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347C58D" w14:textId="77777777" w:rsidR="00C86248" w:rsidRDefault="00E82262" w:rsidP="00926083">
      <w:pPr>
        <w:pStyle w:val="Title"/>
      </w:pPr>
      <w:r>
        <w:t>Non-volitional Sex</w:t>
      </w:r>
    </w:p>
    <w:p w14:paraId="43727462" w14:textId="77777777" w:rsidR="00D27922" w:rsidRDefault="003A5FA0" w:rsidP="00D27922">
      <w:pPr>
        <w:pStyle w:val="Subhead"/>
      </w:pPr>
      <w:r>
        <w:t>Findings from the</w:t>
      </w:r>
      <w:r>
        <w:br/>
        <w:t>2014/15 New Zealand Health Survey</w:t>
      </w:r>
    </w:p>
    <w:p w14:paraId="18E7BC5B" w14:textId="77777777" w:rsidR="00D27922" w:rsidRPr="00D27922" w:rsidRDefault="003A5FA0" w:rsidP="00D27922">
      <w:pPr>
        <w:pStyle w:val="Year"/>
      </w:pPr>
      <w:r>
        <w:t>2019</w:t>
      </w:r>
    </w:p>
    <w:p w14:paraId="0D319FFD" w14:textId="77777777" w:rsidR="00C05132" w:rsidRDefault="00C05132" w:rsidP="00A06BE4"/>
    <w:p w14:paraId="43D377D7" w14:textId="77777777" w:rsidR="00142954" w:rsidRPr="00142954" w:rsidRDefault="00142954" w:rsidP="00142954">
      <w:pPr>
        <w:sectPr w:rsidR="00142954" w:rsidRPr="00142954" w:rsidSect="00925892">
          <w:headerReference w:type="default" r:id="rId8"/>
          <w:footerReference w:type="default" r:id="rId9"/>
          <w:pgSz w:w="11907" w:h="16834" w:code="9"/>
          <w:pgMar w:top="5670" w:right="1134" w:bottom="1134" w:left="1134" w:header="567" w:footer="851" w:gutter="0"/>
          <w:pgNumType w:start="1"/>
          <w:cols w:space="720"/>
        </w:sectPr>
      </w:pPr>
    </w:p>
    <w:p w14:paraId="22A93F29" w14:textId="77777777" w:rsidR="00D27922" w:rsidRDefault="00D27922" w:rsidP="00D27922">
      <w:pPr>
        <w:pStyle w:val="Heading3"/>
      </w:pPr>
      <w:r>
        <w:lastRenderedPageBreak/>
        <w:t>Acknowledgements</w:t>
      </w:r>
    </w:p>
    <w:p w14:paraId="51E8C962" w14:textId="77777777" w:rsidR="003A5FA0" w:rsidRDefault="003A5FA0" w:rsidP="001C51FB">
      <w:pPr>
        <w:spacing w:before="240" w:after="100" w:afterAutospacing="1"/>
      </w:pPr>
      <w:r>
        <w:t>The New Zealand Health Survey would not have been possible without the support and enthusiasm of many individuals, including the many thousands of New Zealanders who gave their time to participate in it and the interviewers who worked so diligently to collect the data. Thank you for your generosity.</w:t>
      </w:r>
    </w:p>
    <w:p w14:paraId="246B0CCD" w14:textId="13B12EAB" w:rsidR="001C51FB" w:rsidRDefault="001C51FB" w:rsidP="001C51FB">
      <w:pPr>
        <w:pStyle w:val="Imprint"/>
        <w:spacing w:before="240" w:after="100" w:afterAutospacing="1"/>
        <w:rPr>
          <w:rFonts w:cs="Segoe UI"/>
          <w:color w:val="000000"/>
          <w:lang w:eastAsia="en-NZ"/>
        </w:rPr>
      </w:pPr>
      <w:r>
        <w:rPr>
          <w:rFonts w:cs="Segoe UI"/>
          <w:color w:val="000000"/>
          <w:lang w:eastAsia="en-NZ"/>
        </w:rPr>
        <w:t xml:space="preserve">This data brief was written by Nigel Dickson (University of Otago), Bridget Murphy (Ministry of Health), Jennie Connor (University of Otago), Antoinette </w:t>
      </w:r>
      <w:proofErr w:type="spellStart"/>
      <w:r>
        <w:rPr>
          <w:rFonts w:cs="Segoe UI"/>
          <w:color w:val="000000"/>
          <w:lang w:eastAsia="en-NZ"/>
        </w:rPr>
        <w:t>Righarts</w:t>
      </w:r>
      <w:proofErr w:type="spellEnd"/>
      <w:r>
        <w:rPr>
          <w:rFonts w:cs="Segoe UI"/>
          <w:color w:val="000000"/>
          <w:lang w:eastAsia="en-NZ"/>
        </w:rPr>
        <w:t xml:space="preserve"> (University of Otago) and Peter Saxton (University of Auckland). The data analysis was undertaken by Barry Gribben (CBG Health Research), Thomas Zhang (CBG Health Research) and James Stanley (University of Otago).</w:t>
      </w:r>
    </w:p>
    <w:p w14:paraId="2C352705" w14:textId="338C321B" w:rsidR="00A80363" w:rsidRPr="00C05132" w:rsidRDefault="00A80363" w:rsidP="00A63DFF">
      <w:pPr>
        <w:pStyle w:val="Imprint"/>
        <w:spacing w:before="1200"/>
        <w:rPr>
          <w:rFonts w:cs="Segoe UI"/>
        </w:rPr>
      </w:pPr>
      <w:r w:rsidRPr="00C05132">
        <w:rPr>
          <w:rFonts w:cs="Segoe UI"/>
        </w:rPr>
        <w:t xml:space="preserve">Citation: </w:t>
      </w:r>
      <w:r w:rsidR="00442C1C" w:rsidRPr="00C05132">
        <w:rPr>
          <w:rFonts w:cs="Segoe UI"/>
        </w:rPr>
        <w:t xml:space="preserve">Ministry of Health. </w:t>
      </w:r>
      <w:r w:rsidR="003A5FA0">
        <w:rPr>
          <w:rFonts w:cs="Segoe UI"/>
        </w:rPr>
        <w:t>2019</w:t>
      </w:r>
      <w:r w:rsidR="00442C1C" w:rsidRPr="00C05132">
        <w:rPr>
          <w:rFonts w:cs="Segoe UI"/>
        </w:rPr>
        <w:t xml:space="preserve">. </w:t>
      </w:r>
      <w:r w:rsidR="00E82262">
        <w:rPr>
          <w:rFonts w:cs="Segoe UI"/>
          <w:i/>
        </w:rPr>
        <w:t>Non-volitional Sex</w:t>
      </w:r>
      <w:r w:rsidR="00D27922">
        <w:rPr>
          <w:rFonts w:cs="Segoe UI"/>
          <w:i/>
        </w:rPr>
        <w:t xml:space="preserve">: </w:t>
      </w:r>
      <w:r w:rsidR="003A5FA0">
        <w:rPr>
          <w:rFonts w:cs="Segoe UI"/>
          <w:i/>
        </w:rPr>
        <w:t>Findings from the 2014/15 New Zealand Heath Survey</w:t>
      </w:r>
      <w:r w:rsidR="00442C1C" w:rsidRPr="00C05132">
        <w:rPr>
          <w:rFonts w:cs="Segoe UI"/>
        </w:rPr>
        <w:t>. Wellington: Ministry of Health.</w:t>
      </w:r>
    </w:p>
    <w:p w14:paraId="0E26B260" w14:textId="437AC275" w:rsidR="00C86248" w:rsidRDefault="00C86248">
      <w:pPr>
        <w:pStyle w:val="Imprint"/>
      </w:pPr>
      <w:r>
        <w:t xml:space="preserve">Published in </w:t>
      </w:r>
      <w:r w:rsidR="00953641">
        <w:t>November</w:t>
      </w:r>
      <w:r w:rsidR="00D27922">
        <w:t xml:space="preserve"> </w:t>
      </w:r>
      <w:r w:rsidR="003235C6">
        <w:t>2019</w:t>
      </w:r>
      <w:r w:rsidR="00A63DFF">
        <w:t xml:space="preserve"> </w:t>
      </w:r>
      <w:r>
        <w:t>by the</w:t>
      </w:r>
      <w:r w:rsidR="00442C1C">
        <w:t xml:space="preserve"> </w:t>
      </w:r>
      <w:r>
        <w:t>Ministry of Health</w:t>
      </w:r>
      <w:r>
        <w:br/>
        <w:t>PO Box 5013, Wellington</w:t>
      </w:r>
      <w:r w:rsidR="00A80363">
        <w:t xml:space="preserve"> 614</w:t>
      </w:r>
      <w:r w:rsidR="006041F0">
        <w:t>0</w:t>
      </w:r>
      <w:r>
        <w:t xml:space="preserve">, </w:t>
      </w:r>
      <w:r w:rsidR="00571223">
        <w:t>New Zealand</w:t>
      </w:r>
    </w:p>
    <w:p w14:paraId="7D95D241" w14:textId="2CA858E0" w:rsidR="00082CD6" w:rsidRPr="009C0F2D" w:rsidRDefault="00D863D0" w:rsidP="00082CD6">
      <w:pPr>
        <w:pStyle w:val="Imprint"/>
      </w:pPr>
      <w:r>
        <w:t>ISBN</w:t>
      </w:r>
      <w:r w:rsidR="00442C1C">
        <w:t xml:space="preserve"> </w:t>
      </w:r>
      <w:r w:rsidR="00953641" w:rsidRPr="00953641">
        <w:t>978-1-98-859748-5</w:t>
      </w:r>
      <w:r w:rsidR="00953641">
        <w:t xml:space="preserve"> </w:t>
      </w:r>
      <w:r>
        <w:t>(</w:t>
      </w:r>
      <w:r w:rsidR="00442C1C">
        <w:t>online</w:t>
      </w:r>
      <w:r>
        <w:t>)</w:t>
      </w:r>
      <w:r w:rsidR="00082CD6">
        <w:br/>
      </w:r>
      <w:r w:rsidR="00082CD6" w:rsidRPr="009C0F2D">
        <w:t xml:space="preserve">HP </w:t>
      </w:r>
      <w:r w:rsidR="00953641">
        <w:t>7272</w:t>
      </w:r>
    </w:p>
    <w:p w14:paraId="77B00F75" w14:textId="77777777" w:rsidR="00C86248" w:rsidRDefault="008C64C4" w:rsidP="00D27922">
      <w:pPr>
        <w:spacing w:before="360"/>
      </w:pPr>
      <w:r>
        <w:rPr>
          <w:noProof/>
          <w:lang w:eastAsia="en-NZ"/>
        </w:rPr>
        <w:drawing>
          <wp:inline distT="0" distB="0" distL="0" distR="0" wp14:anchorId="2E88FD4B" wp14:editId="2423EDD5">
            <wp:extent cx="1413163" cy="576330"/>
            <wp:effectExtent l="0" t="0" r="0" b="0"/>
            <wp:docPr id="2" name="Picture 2"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413017" cy="576270"/>
                    </a:xfrm>
                    <a:prstGeom prst="rect">
                      <a:avLst/>
                    </a:prstGeom>
                    <a:noFill/>
                    <a:ln>
                      <a:noFill/>
                    </a:ln>
                  </pic:spPr>
                </pic:pic>
              </a:graphicData>
            </a:graphic>
          </wp:inline>
        </w:drawing>
      </w:r>
    </w:p>
    <w:p w14:paraId="384DE17B" w14:textId="77777777" w:rsidR="00A63DFF" w:rsidRDefault="00A63DFF" w:rsidP="00A63DFF">
      <w:pPr>
        <w:pStyle w:val="Imprint"/>
        <w:spacing w:before="240" w:after="480"/>
      </w:pPr>
      <w:r>
        <w:t>This document is available at health.govt.nz</w:t>
      </w:r>
    </w:p>
    <w:tbl>
      <w:tblPr>
        <w:tblW w:w="0" w:type="auto"/>
        <w:tblLayout w:type="fixed"/>
        <w:tblLook w:val="04A0" w:firstRow="1" w:lastRow="0" w:firstColumn="1" w:lastColumn="0" w:noHBand="0" w:noVBand="1"/>
      </w:tblPr>
      <w:tblGrid>
        <w:gridCol w:w="1526"/>
        <w:gridCol w:w="6061"/>
      </w:tblGrid>
      <w:tr w:rsidR="00A63DFF" w:rsidRPr="00A63DFF" w14:paraId="3A78510F" w14:textId="77777777" w:rsidTr="00A63DFF">
        <w:trPr>
          <w:cantSplit/>
        </w:trPr>
        <w:tc>
          <w:tcPr>
            <w:tcW w:w="1526" w:type="dxa"/>
          </w:tcPr>
          <w:p w14:paraId="1ED00DC4" w14:textId="77777777" w:rsidR="00A63DFF" w:rsidRPr="00A63DFF" w:rsidRDefault="00A63DFF" w:rsidP="00F103BE">
            <w:pPr>
              <w:spacing w:before="240"/>
              <w:rPr>
                <w:rFonts w:cs="Segoe UI"/>
                <w:sz w:val="15"/>
                <w:szCs w:val="15"/>
              </w:rPr>
            </w:pPr>
            <w:r w:rsidRPr="00A63DFF">
              <w:rPr>
                <w:rFonts w:cs="Segoe UI"/>
                <w:b/>
                <w:noProof/>
                <w:sz w:val="15"/>
                <w:szCs w:val="15"/>
                <w:lang w:eastAsia="en-NZ"/>
              </w:rPr>
              <w:drawing>
                <wp:inline distT="0" distB="0" distL="0" distR="0" wp14:anchorId="71A9CAAB" wp14:editId="19D0EA33">
                  <wp:extent cx="809625" cy="285750"/>
                  <wp:effectExtent l="0" t="0" r="9525" b="0"/>
                  <wp:docPr id="3" name="Picture 3" descr="CC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B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tc>
        <w:tc>
          <w:tcPr>
            <w:tcW w:w="6061" w:type="dxa"/>
          </w:tcPr>
          <w:p w14:paraId="2EACE921" w14:textId="77777777" w:rsidR="00A63DFF" w:rsidRPr="00A63DFF" w:rsidRDefault="00A63DFF" w:rsidP="00A63DFF">
            <w:pPr>
              <w:rPr>
                <w:rFonts w:cs="Segoe UI"/>
                <w:sz w:val="15"/>
                <w:szCs w:val="15"/>
              </w:rPr>
            </w:pPr>
            <w:r w:rsidRPr="00A63DFF">
              <w:rPr>
                <w:rFonts w:cs="Segoe UI"/>
                <w:sz w:val="15"/>
                <w:szCs w:val="15"/>
              </w:rPr>
              <w:t xml:space="preserve">This work is licensed under the Creative Commons Attribution 4.0 International licence. </w:t>
            </w:r>
            <w:proofErr w:type="gramStart"/>
            <w:r w:rsidRPr="00A63DFF">
              <w:rPr>
                <w:rFonts w:cs="Segoe UI"/>
                <w:sz w:val="15"/>
                <w:szCs w:val="15"/>
              </w:rPr>
              <w:t xml:space="preserve">In essence, </w:t>
            </w:r>
            <w:r w:rsidRPr="00A63DFF">
              <w:rPr>
                <w:rFonts w:cs="Segoe UI"/>
                <w:bCs/>
                <w:sz w:val="15"/>
                <w:szCs w:val="15"/>
              </w:rPr>
              <w:t>you</w:t>
            </w:r>
            <w:proofErr w:type="gramEnd"/>
            <w:r w:rsidRPr="00A63DFF">
              <w:rPr>
                <w:rFonts w:cs="Segoe UI"/>
                <w:bCs/>
                <w:sz w:val="15"/>
                <w:szCs w:val="15"/>
              </w:rPr>
              <w:t xml:space="preserve"> are free to: </w:t>
            </w:r>
            <w:r w:rsidRPr="00A63DFF">
              <w:rPr>
                <w:rFonts w:cs="Segoe UI"/>
                <w:sz w:val="15"/>
                <w:szCs w:val="15"/>
              </w:rPr>
              <w:t xml:space="preserve">share </w:t>
            </w:r>
            <w:proofErr w:type="spellStart"/>
            <w:r w:rsidRPr="00A63DFF">
              <w:rPr>
                <w:rFonts w:cs="Segoe UI"/>
                <w:sz w:val="15"/>
                <w:szCs w:val="15"/>
              </w:rPr>
              <w:t>ie</w:t>
            </w:r>
            <w:proofErr w:type="spellEnd"/>
            <w:r w:rsidRPr="00A63DFF">
              <w:rPr>
                <w:rFonts w:cs="Segoe UI"/>
                <w:sz w:val="15"/>
                <w:szCs w:val="15"/>
              </w:rPr>
              <w:t xml:space="preserve">, copy and redistribute the material in any medium or format; adapt </w:t>
            </w:r>
            <w:proofErr w:type="spellStart"/>
            <w:r w:rsidRPr="00A63DFF">
              <w:rPr>
                <w:rFonts w:cs="Segoe UI"/>
                <w:sz w:val="15"/>
                <w:szCs w:val="15"/>
              </w:rPr>
              <w:t>ie</w:t>
            </w:r>
            <w:proofErr w:type="spellEnd"/>
            <w:r w:rsidRPr="00A63DFF">
              <w:rPr>
                <w:rFonts w:cs="Segoe UI"/>
                <w:sz w:val="15"/>
                <w:szCs w:val="15"/>
              </w:rPr>
              <w:t xml:space="preserve">, remix, transform and build upon the material. </w:t>
            </w:r>
            <w:r w:rsidRPr="00A63DFF">
              <w:rPr>
                <w:rFonts w:cs="Segoe UI"/>
                <w:bCs/>
                <w:sz w:val="15"/>
                <w:szCs w:val="15"/>
              </w:rPr>
              <w:t>You must give appropriate credit, provide a link to the licence and indicate if changes were made.</w:t>
            </w:r>
          </w:p>
        </w:tc>
      </w:tr>
    </w:tbl>
    <w:p w14:paraId="34CA7D86" w14:textId="77777777" w:rsidR="007E74F1" w:rsidRPr="001F45A7" w:rsidRDefault="007E74F1" w:rsidP="006E2886">
      <w:pPr>
        <w:pStyle w:val="Imprint"/>
      </w:pPr>
    </w:p>
    <w:p w14:paraId="573E45AF" w14:textId="77777777" w:rsidR="00C86248" w:rsidRDefault="00C86248">
      <w:pPr>
        <w:jc w:val="center"/>
        <w:sectPr w:rsidR="00C86248" w:rsidSect="00925892">
          <w:footerReference w:type="even" r:id="rId12"/>
          <w:footerReference w:type="default" r:id="rId13"/>
          <w:pgSz w:w="11907" w:h="16834" w:code="9"/>
          <w:pgMar w:top="1701" w:right="2268" w:bottom="1134" w:left="2268" w:header="0" w:footer="0" w:gutter="0"/>
          <w:cols w:space="720"/>
          <w:vAlign w:val="bottom"/>
        </w:sectPr>
      </w:pPr>
    </w:p>
    <w:p w14:paraId="0B0439C5" w14:textId="77777777" w:rsidR="00C86248" w:rsidRDefault="00C86248" w:rsidP="00025A6F">
      <w:pPr>
        <w:pStyle w:val="IntroHead"/>
      </w:pPr>
      <w:bookmarkStart w:id="0" w:name="_Toc405792991"/>
      <w:bookmarkStart w:id="1" w:name="_Toc405793224"/>
      <w:r>
        <w:lastRenderedPageBreak/>
        <w:t>Contents</w:t>
      </w:r>
      <w:bookmarkEnd w:id="0"/>
      <w:bookmarkEnd w:id="1"/>
    </w:p>
    <w:p w14:paraId="2DD33128" w14:textId="73BF85D2" w:rsidR="00B55994" w:rsidRDefault="00B55994">
      <w:pPr>
        <w:pStyle w:val="TOC1"/>
        <w:rPr>
          <w:rFonts w:asciiTheme="minorHAnsi" w:eastAsiaTheme="minorEastAsia" w:hAnsiTheme="minorHAnsi" w:cstheme="minorBidi"/>
          <w:noProof/>
          <w:sz w:val="22"/>
          <w:szCs w:val="22"/>
          <w:lang w:eastAsia="en-NZ"/>
        </w:rPr>
      </w:pPr>
      <w:r>
        <w:rPr>
          <w:b/>
        </w:rPr>
        <w:fldChar w:fldCharType="begin"/>
      </w:r>
      <w:r>
        <w:rPr>
          <w:b/>
        </w:rPr>
        <w:instrText xml:space="preserve"> TOC \o "1-2" \h \z </w:instrText>
      </w:r>
      <w:r>
        <w:rPr>
          <w:b/>
        </w:rPr>
        <w:fldChar w:fldCharType="separate"/>
      </w:r>
      <w:hyperlink w:anchor="_Toc22300492" w:history="1">
        <w:r w:rsidRPr="00C95635">
          <w:rPr>
            <w:rStyle w:val="Hyperlink"/>
            <w:noProof/>
          </w:rPr>
          <w:t>Key findings</w:t>
        </w:r>
        <w:r>
          <w:rPr>
            <w:noProof/>
            <w:webHidden/>
          </w:rPr>
          <w:tab/>
        </w:r>
        <w:r>
          <w:rPr>
            <w:noProof/>
            <w:webHidden/>
          </w:rPr>
          <w:fldChar w:fldCharType="begin"/>
        </w:r>
        <w:r>
          <w:rPr>
            <w:noProof/>
            <w:webHidden/>
          </w:rPr>
          <w:instrText xml:space="preserve"> PAGEREF _Toc22300492 \h </w:instrText>
        </w:r>
        <w:r>
          <w:rPr>
            <w:noProof/>
            <w:webHidden/>
          </w:rPr>
        </w:r>
        <w:r>
          <w:rPr>
            <w:noProof/>
            <w:webHidden/>
          </w:rPr>
          <w:fldChar w:fldCharType="separate"/>
        </w:r>
        <w:r w:rsidR="00F543AF">
          <w:rPr>
            <w:noProof/>
            <w:webHidden/>
          </w:rPr>
          <w:t>iv</w:t>
        </w:r>
        <w:r>
          <w:rPr>
            <w:noProof/>
            <w:webHidden/>
          </w:rPr>
          <w:fldChar w:fldCharType="end"/>
        </w:r>
      </w:hyperlink>
    </w:p>
    <w:p w14:paraId="1A11A8F8" w14:textId="11C43EA3" w:rsidR="00B55994" w:rsidRDefault="00F543AF">
      <w:pPr>
        <w:pStyle w:val="TOC1"/>
        <w:rPr>
          <w:rFonts w:asciiTheme="minorHAnsi" w:eastAsiaTheme="minorEastAsia" w:hAnsiTheme="minorHAnsi" w:cstheme="minorBidi"/>
          <w:noProof/>
          <w:sz w:val="22"/>
          <w:szCs w:val="22"/>
          <w:lang w:eastAsia="en-NZ"/>
        </w:rPr>
      </w:pPr>
      <w:hyperlink w:anchor="_Toc22300493" w:history="1">
        <w:r w:rsidR="00B55994" w:rsidRPr="00C95635">
          <w:rPr>
            <w:rStyle w:val="Hyperlink"/>
            <w:noProof/>
          </w:rPr>
          <w:t>Introduction</w:t>
        </w:r>
        <w:r w:rsidR="00B55994">
          <w:rPr>
            <w:noProof/>
            <w:webHidden/>
          </w:rPr>
          <w:tab/>
        </w:r>
        <w:r w:rsidR="00B55994">
          <w:rPr>
            <w:noProof/>
            <w:webHidden/>
          </w:rPr>
          <w:fldChar w:fldCharType="begin"/>
        </w:r>
        <w:r w:rsidR="00B55994">
          <w:rPr>
            <w:noProof/>
            <w:webHidden/>
          </w:rPr>
          <w:instrText xml:space="preserve"> PAGEREF _Toc22300493 \h </w:instrText>
        </w:r>
        <w:r w:rsidR="00B55994">
          <w:rPr>
            <w:noProof/>
            <w:webHidden/>
          </w:rPr>
        </w:r>
        <w:r w:rsidR="00B55994">
          <w:rPr>
            <w:noProof/>
            <w:webHidden/>
          </w:rPr>
          <w:fldChar w:fldCharType="separate"/>
        </w:r>
        <w:r>
          <w:rPr>
            <w:noProof/>
            <w:webHidden/>
          </w:rPr>
          <w:t>1</w:t>
        </w:r>
        <w:r w:rsidR="00B55994">
          <w:rPr>
            <w:noProof/>
            <w:webHidden/>
          </w:rPr>
          <w:fldChar w:fldCharType="end"/>
        </w:r>
      </w:hyperlink>
    </w:p>
    <w:p w14:paraId="328BF8FA" w14:textId="12163C47" w:rsidR="00B55994" w:rsidRDefault="00F543AF">
      <w:pPr>
        <w:pStyle w:val="TOC1"/>
        <w:rPr>
          <w:rFonts w:asciiTheme="minorHAnsi" w:eastAsiaTheme="minorEastAsia" w:hAnsiTheme="minorHAnsi" w:cstheme="minorBidi"/>
          <w:noProof/>
          <w:sz w:val="22"/>
          <w:szCs w:val="22"/>
          <w:lang w:eastAsia="en-NZ"/>
        </w:rPr>
      </w:pPr>
      <w:hyperlink w:anchor="_Toc22300494" w:history="1">
        <w:r w:rsidR="00B55994" w:rsidRPr="00C95635">
          <w:rPr>
            <w:rStyle w:val="Hyperlink"/>
            <w:noProof/>
          </w:rPr>
          <w:t>Experience of non</w:t>
        </w:r>
        <w:r w:rsidR="00B55994" w:rsidRPr="00C95635">
          <w:rPr>
            <w:rStyle w:val="Hyperlink"/>
            <w:noProof/>
          </w:rPr>
          <w:noBreakHyphen/>
          <w:t>volitional sex</w:t>
        </w:r>
        <w:r w:rsidR="00B55994">
          <w:rPr>
            <w:noProof/>
            <w:webHidden/>
          </w:rPr>
          <w:tab/>
        </w:r>
        <w:r w:rsidR="00B55994">
          <w:rPr>
            <w:noProof/>
            <w:webHidden/>
          </w:rPr>
          <w:fldChar w:fldCharType="begin"/>
        </w:r>
        <w:r w:rsidR="00B55994">
          <w:rPr>
            <w:noProof/>
            <w:webHidden/>
          </w:rPr>
          <w:instrText xml:space="preserve"> PAGEREF _Toc22300494 \h </w:instrText>
        </w:r>
        <w:r w:rsidR="00B55994">
          <w:rPr>
            <w:noProof/>
            <w:webHidden/>
          </w:rPr>
        </w:r>
        <w:r w:rsidR="00B55994">
          <w:rPr>
            <w:noProof/>
            <w:webHidden/>
          </w:rPr>
          <w:fldChar w:fldCharType="separate"/>
        </w:r>
        <w:r>
          <w:rPr>
            <w:noProof/>
            <w:webHidden/>
          </w:rPr>
          <w:t>2</w:t>
        </w:r>
        <w:r w:rsidR="00B55994">
          <w:rPr>
            <w:noProof/>
            <w:webHidden/>
          </w:rPr>
          <w:fldChar w:fldCharType="end"/>
        </w:r>
      </w:hyperlink>
    </w:p>
    <w:p w14:paraId="3EDB6237" w14:textId="4AD84444" w:rsidR="00B55994" w:rsidRDefault="00F543AF">
      <w:pPr>
        <w:pStyle w:val="TOC1"/>
        <w:rPr>
          <w:rFonts w:asciiTheme="minorHAnsi" w:eastAsiaTheme="minorEastAsia" w:hAnsiTheme="minorHAnsi" w:cstheme="minorBidi"/>
          <w:noProof/>
          <w:sz w:val="22"/>
          <w:szCs w:val="22"/>
          <w:lang w:eastAsia="en-NZ"/>
        </w:rPr>
      </w:pPr>
      <w:hyperlink w:anchor="_Toc22300495" w:history="1">
        <w:r w:rsidR="00B55994" w:rsidRPr="00C95635">
          <w:rPr>
            <w:rStyle w:val="Hyperlink"/>
            <w:noProof/>
          </w:rPr>
          <w:t>Interpretation notes</w:t>
        </w:r>
        <w:r w:rsidR="00B55994">
          <w:rPr>
            <w:noProof/>
            <w:webHidden/>
          </w:rPr>
          <w:tab/>
        </w:r>
        <w:r w:rsidR="00B55994">
          <w:rPr>
            <w:noProof/>
            <w:webHidden/>
          </w:rPr>
          <w:fldChar w:fldCharType="begin"/>
        </w:r>
        <w:r w:rsidR="00B55994">
          <w:rPr>
            <w:noProof/>
            <w:webHidden/>
          </w:rPr>
          <w:instrText xml:space="preserve"> PAGEREF _Toc22300495 \h </w:instrText>
        </w:r>
        <w:r w:rsidR="00B55994">
          <w:rPr>
            <w:noProof/>
            <w:webHidden/>
          </w:rPr>
        </w:r>
        <w:r w:rsidR="00B55994">
          <w:rPr>
            <w:noProof/>
            <w:webHidden/>
          </w:rPr>
          <w:fldChar w:fldCharType="separate"/>
        </w:r>
        <w:r>
          <w:rPr>
            <w:noProof/>
            <w:webHidden/>
          </w:rPr>
          <w:t>7</w:t>
        </w:r>
        <w:r w:rsidR="00B55994">
          <w:rPr>
            <w:noProof/>
            <w:webHidden/>
          </w:rPr>
          <w:fldChar w:fldCharType="end"/>
        </w:r>
      </w:hyperlink>
    </w:p>
    <w:p w14:paraId="0153B831" w14:textId="068DBCBA" w:rsidR="00B55994" w:rsidRDefault="00F543AF">
      <w:pPr>
        <w:pStyle w:val="TOC1"/>
        <w:rPr>
          <w:rFonts w:asciiTheme="minorHAnsi" w:eastAsiaTheme="minorEastAsia" w:hAnsiTheme="minorHAnsi" w:cstheme="minorBidi"/>
          <w:noProof/>
          <w:sz w:val="22"/>
          <w:szCs w:val="22"/>
          <w:lang w:eastAsia="en-NZ"/>
        </w:rPr>
      </w:pPr>
      <w:hyperlink w:anchor="_Toc22300496" w:history="1">
        <w:r w:rsidR="00B55994" w:rsidRPr="00C95635">
          <w:rPr>
            <w:rStyle w:val="Hyperlink"/>
            <w:noProof/>
          </w:rPr>
          <w:t>Overview of survey methodology</w:t>
        </w:r>
        <w:r w:rsidR="00B55994">
          <w:rPr>
            <w:noProof/>
            <w:webHidden/>
          </w:rPr>
          <w:tab/>
        </w:r>
        <w:r w:rsidR="00B55994">
          <w:rPr>
            <w:noProof/>
            <w:webHidden/>
          </w:rPr>
          <w:fldChar w:fldCharType="begin"/>
        </w:r>
        <w:r w:rsidR="00B55994">
          <w:rPr>
            <w:noProof/>
            <w:webHidden/>
          </w:rPr>
          <w:instrText xml:space="preserve"> PAGEREF _Toc22300496 \h </w:instrText>
        </w:r>
        <w:r w:rsidR="00B55994">
          <w:rPr>
            <w:noProof/>
            <w:webHidden/>
          </w:rPr>
        </w:r>
        <w:r w:rsidR="00B55994">
          <w:rPr>
            <w:noProof/>
            <w:webHidden/>
          </w:rPr>
          <w:fldChar w:fldCharType="separate"/>
        </w:r>
        <w:r>
          <w:rPr>
            <w:noProof/>
            <w:webHidden/>
          </w:rPr>
          <w:t>9</w:t>
        </w:r>
        <w:r w:rsidR="00B55994">
          <w:rPr>
            <w:noProof/>
            <w:webHidden/>
          </w:rPr>
          <w:fldChar w:fldCharType="end"/>
        </w:r>
      </w:hyperlink>
    </w:p>
    <w:p w14:paraId="03CDEBF9" w14:textId="0A31725D" w:rsidR="00B55994" w:rsidRDefault="00F543AF">
      <w:pPr>
        <w:pStyle w:val="TOC1"/>
        <w:rPr>
          <w:rFonts w:asciiTheme="minorHAnsi" w:eastAsiaTheme="minorEastAsia" w:hAnsiTheme="minorHAnsi" w:cstheme="minorBidi"/>
          <w:noProof/>
          <w:sz w:val="22"/>
          <w:szCs w:val="22"/>
          <w:lang w:eastAsia="en-NZ"/>
        </w:rPr>
      </w:pPr>
      <w:hyperlink w:anchor="_Toc22300497" w:history="1">
        <w:r w:rsidR="00B55994" w:rsidRPr="00C95635">
          <w:rPr>
            <w:rStyle w:val="Hyperlink"/>
            <w:noProof/>
          </w:rPr>
          <w:t>References</w:t>
        </w:r>
        <w:r w:rsidR="00B55994">
          <w:rPr>
            <w:noProof/>
            <w:webHidden/>
          </w:rPr>
          <w:tab/>
        </w:r>
        <w:r w:rsidR="00B55994">
          <w:rPr>
            <w:noProof/>
            <w:webHidden/>
          </w:rPr>
          <w:fldChar w:fldCharType="begin"/>
        </w:r>
        <w:r w:rsidR="00B55994">
          <w:rPr>
            <w:noProof/>
            <w:webHidden/>
          </w:rPr>
          <w:instrText xml:space="preserve"> PAGEREF _Toc22300497 \h </w:instrText>
        </w:r>
        <w:r w:rsidR="00B55994">
          <w:rPr>
            <w:noProof/>
            <w:webHidden/>
          </w:rPr>
        </w:r>
        <w:r w:rsidR="00B55994">
          <w:rPr>
            <w:noProof/>
            <w:webHidden/>
          </w:rPr>
          <w:fldChar w:fldCharType="separate"/>
        </w:r>
        <w:r>
          <w:rPr>
            <w:noProof/>
            <w:webHidden/>
          </w:rPr>
          <w:t>12</w:t>
        </w:r>
        <w:r w:rsidR="00B55994">
          <w:rPr>
            <w:noProof/>
            <w:webHidden/>
          </w:rPr>
          <w:fldChar w:fldCharType="end"/>
        </w:r>
      </w:hyperlink>
    </w:p>
    <w:p w14:paraId="47F7632F" w14:textId="63F875C4" w:rsidR="00C86248" w:rsidRDefault="00B55994">
      <w:r>
        <w:rPr>
          <w:rFonts w:ascii="Segoe UI Semibold" w:hAnsi="Segoe UI Semibold"/>
          <w:b/>
          <w:sz w:val="24"/>
        </w:rPr>
        <w:fldChar w:fldCharType="end"/>
      </w:r>
    </w:p>
    <w:p w14:paraId="78A4EF77" w14:textId="77777777" w:rsidR="0033448B" w:rsidRDefault="0033448B" w:rsidP="001D6BAB">
      <w:pPr>
        <w:pStyle w:val="TOC1"/>
        <w:keepNext/>
      </w:pPr>
      <w:r>
        <w:t>List of Figures</w:t>
      </w:r>
    </w:p>
    <w:p w14:paraId="681B3AD9" w14:textId="417A1396" w:rsidR="00B55994" w:rsidRDefault="00B55994">
      <w:pPr>
        <w:pStyle w:val="TOC3"/>
        <w:rPr>
          <w:rFonts w:asciiTheme="minorHAnsi" w:eastAsiaTheme="minorEastAsia" w:hAnsiTheme="minorHAnsi" w:cstheme="minorBidi"/>
          <w:noProof/>
          <w:sz w:val="22"/>
          <w:szCs w:val="22"/>
          <w:lang w:eastAsia="en-NZ"/>
        </w:rPr>
      </w:pPr>
      <w:r>
        <w:fldChar w:fldCharType="begin"/>
      </w:r>
      <w:r>
        <w:instrText xml:space="preserve"> TOC \h \z \t "Figure,3" </w:instrText>
      </w:r>
      <w:r>
        <w:fldChar w:fldCharType="separate"/>
      </w:r>
      <w:hyperlink w:anchor="_Toc22300499" w:history="1">
        <w:r w:rsidRPr="00D4564A">
          <w:rPr>
            <w:rStyle w:val="Hyperlink"/>
            <w:noProof/>
          </w:rPr>
          <w:t>Figure 1</w:t>
        </w:r>
        <w:r w:rsidR="007F60E6">
          <w:rPr>
            <w:rStyle w:val="Hyperlink"/>
            <w:noProof/>
          </w:rPr>
          <w:t>:</w:t>
        </w:r>
        <w:r w:rsidR="007F60E6">
          <w:rPr>
            <w:rStyle w:val="Hyperlink"/>
            <w:noProof/>
          </w:rPr>
          <w:tab/>
        </w:r>
        <w:r w:rsidRPr="00D4564A">
          <w:rPr>
            <w:rStyle w:val="Hyperlink"/>
            <w:noProof/>
          </w:rPr>
          <w:t>Experience of non-volitional sex in lifetime, by age group and gender</w:t>
        </w:r>
        <w:r>
          <w:rPr>
            <w:noProof/>
            <w:webHidden/>
          </w:rPr>
          <w:tab/>
        </w:r>
        <w:r>
          <w:rPr>
            <w:noProof/>
            <w:webHidden/>
          </w:rPr>
          <w:fldChar w:fldCharType="begin"/>
        </w:r>
        <w:r>
          <w:rPr>
            <w:noProof/>
            <w:webHidden/>
          </w:rPr>
          <w:instrText xml:space="preserve"> PAGEREF _Toc22300499 \h </w:instrText>
        </w:r>
        <w:r>
          <w:rPr>
            <w:noProof/>
            <w:webHidden/>
          </w:rPr>
        </w:r>
        <w:r>
          <w:rPr>
            <w:noProof/>
            <w:webHidden/>
          </w:rPr>
          <w:fldChar w:fldCharType="separate"/>
        </w:r>
        <w:r w:rsidR="00F543AF">
          <w:rPr>
            <w:noProof/>
            <w:webHidden/>
          </w:rPr>
          <w:t>2</w:t>
        </w:r>
        <w:r>
          <w:rPr>
            <w:noProof/>
            <w:webHidden/>
          </w:rPr>
          <w:fldChar w:fldCharType="end"/>
        </w:r>
      </w:hyperlink>
    </w:p>
    <w:p w14:paraId="77AD978E" w14:textId="69EB2D32" w:rsidR="00B55994" w:rsidRDefault="00F543AF">
      <w:pPr>
        <w:pStyle w:val="TOC3"/>
        <w:rPr>
          <w:rFonts w:asciiTheme="minorHAnsi" w:eastAsiaTheme="minorEastAsia" w:hAnsiTheme="minorHAnsi" w:cstheme="minorBidi"/>
          <w:noProof/>
          <w:sz w:val="22"/>
          <w:szCs w:val="22"/>
          <w:lang w:eastAsia="en-NZ"/>
        </w:rPr>
      </w:pPr>
      <w:hyperlink w:anchor="_Toc22300500" w:history="1">
        <w:r w:rsidR="00B55994" w:rsidRPr="00D4564A">
          <w:rPr>
            <w:rStyle w:val="Hyperlink"/>
            <w:noProof/>
          </w:rPr>
          <w:t>Figure 2</w:t>
        </w:r>
        <w:r w:rsidR="007F60E6">
          <w:rPr>
            <w:rStyle w:val="Hyperlink"/>
            <w:noProof/>
          </w:rPr>
          <w:t>:</w:t>
        </w:r>
        <w:r w:rsidR="007F60E6">
          <w:rPr>
            <w:rStyle w:val="Hyperlink"/>
            <w:noProof/>
          </w:rPr>
          <w:tab/>
        </w:r>
        <w:r w:rsidR="00B55994" w:rsidRPr="00D4564A">
          <w:rPr>
            <w:rStyle w:val="Hyperlink"/>
            <w:noProof/>
          </w:rPr>
          <w:t>Experience of non-volitional sex in lifetime, by ethnicity and gender</w:t>
        </w:r>
        <w:r w:rsidR="00B55994">
          <w:rPr>
            <w:noProof/>
            <w:webHidden/>
          </w:rPr>
          <w:tab/>
        </w:r>
        <w:r w:rsidR="00B55994">
          <w:rPr>
            <w:noProof/>
            <w:webHidden/>
          </w:rPr>
          <w:fldChar w:fldCharType="begin"/>
        </w:r>
        <w:r w:rsidR="00B55994">
          <w:rPr>
            <w:noProof/>
            <w:webHidden/>
          </w:rPr>
          <w:instrText xml:space="preserve"> PAGEREF _Toc22300500 \h </w:instrText>
        </w:r>
        <w:r w:rsidR="00B55994">
          <w:rPr>
            <w:noProof/>
            <w:webHidden/>
          </w:rPr>
        </w:r>
        <w:r w:rsidR="00B55994">
          <w:rPr>
            <w:noProof/>
            <w:webHidden/>
          </w:rPr>
          <w:fldChar w:fldCharType="separate"/>
        </w:r>
        <w:r>
          <w:rPr>
            <w:noProof/>
            <w:webHidden/>
          </w:rPr>
          <w:t>3</w:t>
        </w:r>
        <w:r w:rsidR="00B55994">
          <w:rPr>
            <w:noProof/>
            <w:webHidden/>
          </w:rPr>
          <w:fldChar w:fldCharType="end"/>
        </w:r>
      </w:hyperlink>
    </w:p>
    <w:p w14:paraId="599C2509" w14:textId="590BFABA" w:rsidR="00B55994" w:rsidRDefault="00F543AF">
      <w:pPr>
        <w:pStyle w:val="TOC3"/>
        <w:rPr>
          <w:rFonts w:asciiTheme="minorHAnsi" w:eastAsiaTheme="minorEastAsia" w:hAnsiTheme="minorHAnsi" w:cstheme="minorBidi"/>
          <w:noProof/>
          <w:sz w:val="22"/>
          <w:szCs w:val="22"/>
          <w:lang w:eastAsia="en-NZ"/>
        </w:rPr>
      </w:pPr>
      <w:hyperlink w:anchor="_Toc22300501" w:history="1">
        <w:r w:rsidR="00B55994" w:rsidRPr="00D4564A">
          <w:rPr>
            <w:rStyle w:val="Hyperlink"/>
            <w:noProof/>
          </w:rPr>
          <w:t>Figure 3</w:t>
        </w:r>
        <w:r w:rsidR="007F60E6">
          <w:rPr>
            <w:rStyle w:val="Hyperlink"/>
            <w:noProof/>
          </w:rPr>
          <w:t>:</w:t>
        </w:r>
        <w:r w:rsidR="007F60E6">
          <w:rPr>
            <w:rStyle w:val="Hyperlink"/>
            <w:noProof/>
          </w:rPr>
          <w:tab/>
        </w:r>
        <w:r w:rsidR="00B55994" w:rsidRPr="00D4564A">
          <w:rPr>
            <w:rStyle w:val="Hyperlink"/>
            <w:noProof/>
          </w:rPr>
          <w:t>Median age at most recent non-volitional sex, by age group and gender</w:t>
        </w:r>
        <w:r w:rsidR="00B55994">
          <w:rPr>
            <w:noProof/>
            <w:webHidden/>
          </w:rPr>
          <w:tab/>
        </w:r>
        <w:r w:rsidR="00B55994">
          <w:rPr>
            <w:noProof/>
            <w:webHidden/>
          </w:rPr>
          <w:fldChar w:fldCharType="begin"/>
        </w:r>
        <w:r w:rsidR="00B55994">
          <w:rPr>
            <w:noProof/>
            <w:webHidden/>
          </w:rPr>
          <w:instrText xml:space="preserve"> PAGEREF _Toc22300501 \h </w:instrText>
        </w:r>
        <w:r w:rsidR="00B55994">
          <w:rPr>
            <w:noProof/>
            <w:webHidden/>
          </w:rPr>
        </w:r>
        <w:r w:rsidR="00B55994">
          <w:rPr>
            <w:noProof/>
            <w:webHidden/>
          </w:rPr>
          <w:fldChar w:fldCharType="separate"/>
        </w:r>
        <w:r>
          <w:rPr>
            <w:noProof/>
            <w:webHidden/>
          </w:rPr>
          <w:t>4</w:t>
        </w:r>
        <w:r w:rsidR="00B55994">
          <w:rPr>
            <w:noProof/>
            <w:webHidden/>
          </w:rPr>
          <w:fldChar w:fldCharType="end"/>
        </w:r>
      </w:hyperlink>
    </w:p>
    <w:p w14:paraId="5645AD40" w14:textId="4F426B31" w:rsidR="00B55994" w:rsidRDefault="00F543AF">
      <w:pPr>
        <w:pStyle w:val="TOC3"/>
        <w:rPr>
          <w:rFonts w:asciiTheme="minorHAnsi" w:eastAsiaTheme="minorEastAsia" w:hAnsiTheme="minorHAnsi" w:cstheme="minorBidi"/>
          <w:noProof/>
          <w:sz w:val="22"/>
          <w:szCs w:val="22"/>
          <w:lang w:eastAsia="en-NZ"/>
        </w:rPr>
      </w:pPr>
      <w:hyperlink w:anchor="_Toc22300502" w:history="1">
        <w:r w:rsidR="00B55994" w:rsidRPr="00D4564A">
          <w:rPr>
            <w:rStyle w:val="Hyperlink"/>
            <w:noProof/>
          </w:rPr>
          <w:t>Figure 4</w:t>
        </w:r>
        <w:r w:rsidR="007F60E6">
          <w:rPr>
            <w:rStyle w:val="Hyperlink"/>
            <w:noProof/>
          </w:rPr>
          <w:t>:</w:t>
        </w:r>
        <w:r w:rsidR="007F60E6">
          <w:rPr>
            <w:rStyle w:val="Hyperlink"/>
            <w:noProof/>
          </w:rPr>
          <w:tab/>
        </w:r>
        <w:r w:rsidR="00B55994" w:rsidRPr="00D4564A">
          <w:rPr>
            <w:rStyle w:val="Hyperlink"/>
            <w:noProof/>
          </w:rPr>
          <w:t>Relationship to perpetrator of most recent non-volitional sex, by gender</w:t>
        </w:r>
        <w:r w:rsidR="00B55994">
          <w:rPr>
            <w:noProof/>
            <w:webHidden/>
          </w:rPr>
          <w:tab/>
        </w:r>
        <w:r w:rsidR="00B55994">
          <w:rPr>
            <w:noProof/>
            <w:webHidden/>
          </w:rPr>
          <w:fldChar w:fldCharType="begin"/>
        </w:r>
        <w:r w:rsidR="00B55994">
          <w:rPr>
            <w:noProof/>
            <w:webHidden/>
          </w:rPr>
          <w:instrText xml:space="preserve"> PAGEREF _Toc22300502 \h </w:instrText>
        </w:r>
        <w:r w:rsidR="00B55994">
          <w:rPr>
            <w:noProof/>
            <w:webHidden/>
          </w:rPr>
        </w:r>
        <w:r w:rsidR="00B55994">
          <w:rPr>
            <w:noProof/>
            <w:webHidden/>
          </w:rPr>
          <w:fldChar w:fldCharType="separate"/>
        </w:r>
        <w:r>
          <w:rPr>
            <w:noProof/>
            <w:webHidden/>
          </w:rPr>
          <w:t>5</w:t>
        </w:r>
        <w:r w:rsidR="00B55994">
          <w:rPr>
            <w:noProof/>
            <w:webHidden/>
          </w:rPr>
          <w:fldChar w:fldCharType="end"/>
        </w:r>
      </w:hyperlink>
    </w:p>
    <w:p w14:paraId="4A144811" w14:textId="0A3C7160" w:rsidR="00B55994" w:rsidRDefault="00F543AF">
      <w:pPr>
        <w:pStyle w:val="TOC3"/>
        <w:rPr>
          <w:rFonts w:asciiTheme="minorHAnsi" w:eastAsiaTheme="minorEastAsia" w:hAnsiTheme="minorHAnsi" w:cstheme="minorBidi"/>
          <w:noProof/>
          <w:sz w:val="22"/>
          <w:szCs w:val="22"/>
          <w:lang w:eastAsia="en-NZ"/>
        </w:rPr>
      </w:pPr>
      <w:hyperlink w:anchor="_Toc22300503" w:history="1">
        <w:r w:rsidR="00B55994" w:rsidRPr="00D4564A">
          <w:rPr>
            <w:rStyle w:val="Hyperlink"/>
            <w:noProof/>
          </w:rPr>
          <w:t>Figure 5</w:t>
        </w:r>
        <w:r w:rsidR="007F60E6">
          <w:rPr>
            <w:rStyle w:val="Hyperlink"/>
            <w:noProof/>
          </w:rPr>
          <w:t>:</w:t>
        </w:r>
        <w:r w:rsidR="007F60E6">
          <w:rPr>
            <w:rStyle w:val="Hyperlink"/>
            <w:noProof/>
          </w:rPr>
          <w:tab/>
        </w:r>
        <w:r w:rsidR="00B55994" w:rsidRPr="00D4564A">
          <w:rPr>
            <w:rStyle w:val="Hyperlink"/>
            <w:noProof/>
          </w:rPr>
          <w:t>Relationship to perpetrator of most recent non-volitional sex among women, by ethnicity</w:t>
        </w:r>
        <w:r w:rsidR="00B55994">
          <w:rPr>
            <w:noProof/>
            <w:webHidden/>
          </w:rPr>
          <w:tab/>
        </w:r>
        <w:r w:rsidR="00B55994">
          <w:rPr>
            <w:noProof/>
            <w:webHidden/>
          </w:rPr>
          <w:fldChar w:fldCharType="begin"/>
        </w:r>
        <w:r w:rsidR="00B55994">
          <w:rPr>
            <w:noProof/>
            <w:webHidden/>
          </w:rPr>
          <w:instrText xml:space="preserve"> PAGEREF _Toc22300503 \h </w:instrText>
        </w:r>
        <w:r w:rsidR="00B55994">
          <w:rPr>
            <w:noProof/>
            <w:webHidden/>
          </w:rPr>
        </w:r>
        <w:r w:rsidR="00B55994">
          <w:rPr>
            <w:noProof/>
            <w:webHidden/>
          </w:rPr>
          <w:fldChar w:fldCharType="separate"/>
        </w:r>
        <w:r>
          <w:rPr>
            <w:noProof/>
            <w:webHidden/>
          </w:rPr>
          <w:t>6</w:t>
        </w:r>
        <w:r w:rsidR="00B55994">
          <w:rPr>
            <w:noProof/>
            <w:webHidden/>
          </w:rPr>
          <w:fldChar w:fldCharType="end"/>
        </w:r>
      </w:hyperlink>
    </w:p>
    <w:p w14:paraId="21F561C8" w14:textId="5C0B9326" w:rsidR="0033448B" w:rsidRPr="000A0158" w:rsidRDefault="00B55994" w:rsidP="0033448B">
      <w:r>
        <w:fldChar w:fldCharType="end"/>
      </w:r>
    </w:p>
    <w:p w14:paraId="5DB4FD70" w14:textId="77777777" w:rsidR="00C62314" w:rsidRDefault="00C62314" w:rsidP="00C62314">
      <w:pPr>
        <w:pStyle w:val="TOC1"/>
      </w:pPr>
      <w:r>
        <w:t>List of Tables</w:t>
      </w:r>
    </w:p>
    <w:p w14:paraId="7831D3CB" w14:textId="6FBE14E2" w:rsidR="00B55994" w:rsidRDefault="00B55994">
      <w:pPr>
        <w:pStyle w:val="TOC3"/>
        <w:rPr>
          <w:rFonts w:asciiTheme="minorHAnsi" w:eastAsiaTheme="minorEastAsia" w:hAnsiTheme="minorHAnsi" w:cstheme="minorBidi"/>
          <w:noProof/>
          <w:sz w:val="22"/>
          <w:szCs w:val="22"/>
          <w:lang w:eastAsia="en-NZ"/>
        </w:rPr>
      </w:pPr>
      <w:r>
        <w:rPr>
          <w:sz w:val="20"/>
        </w:rPr>
        <w:fldChar w:fldCharType="begin"/>
      </w:r>
      <w:r>
        <w:rPr>
          <w:sz w:val="20"/>
        </w:rPr>
        <w:instrText xml:space="preserve"> TOC \h \z \t "Table,3" </w:instrText>
      </w:r>
      <w:r>
        <w:rPr>
          <w:sz w:val="20"/>
        </w:rPr>
        <w:fldChar w:fldCharType="separate"/>
      </w:r>
      <w:hyperlink w:anchor="_Toc22300507" w:history="1">
        <w:r w:rsidRPr="000D4911">
          <w:rPr>
            <w:rStyle w:val="Hyperlink"/>
            <w:noProof/>
          </w:rPr>
          <w:t>Table 1:</w:t>
        </w:r>
        <w:r w:rsidR="007F60E6">
          <w:rPr>
            <w:rStyle w:val="Hyperlink"/>
            <w:noProof/>
          </w:rPr>
          <w:tab/>
        </w:r>
        <w:r w:rsidRPr="000D4911">
          <w:rPr>
            <w:rStyle w:val="Hyperlink"/>
            <w:noProof/>
          </w:rPr>
          <w:t>Participation in the Sexual and Reproductive Health module of the New Zealand Health Survey, by ethnicity</w:t>
        </w:r>
        <w:r>
          <w:rPr>
            <w:noProof/>
            <w:webHidden/>
          </w:rPr>
          <w:tab/>
        </w:r>
        <w:r>
          <w:rPr>
            <w:noProof/>
            <w:webHidden/>
          </w:rPr>
          <w:fldChar w:fldCharType="begin"/>
        </w:r>
        <w:r>
          <w:rPr>
            <w:noProof/>
            <w:webHidden/>
          </w:rPr>
          <w:instrText xml:space="preserve"> PAGEREF _Toc22300507 \h </w:instrText>
        </w:r>
        <w:r>
          <w:rPr>
            <w:noProof/>
            <w:webHidden/>
          </w:rPr>
        </w:r>
        <w:r>
          <w:rPr>
            <w:noProof/>
            <w:webHidden/>
          </w:rPr>
          <w:fldChar w:fldCharType="separate"/>
        </w:r>
        <w:r w:rsidR="00F543AF">
          <w:rPr>
            <w:noProof/>
            <w:webHidden/>
          </w:rPr>
          <w:t>10</w:t>
        </w:r>
        <w:r>
          <w:rPr>
            <w:noProof/>
            <w:webHidden/>
          </w:rPr>
          <w:fldChar w:fldCharType="end"/>
        </w:r>
      </w:hyperlink>
    </w:p>
    <w:p w14:paraId="4FE5CAF0" w14:textId="15AFAE67" w:rsidR="00C62314" w:rsidRDefault="00B55994" w:rsidP="00C62314">
      <w:r>
        <w:rPr>
          <w:sz w:val="20"/>
        </w:rPr>
        <w:fldChar w:fldCharType="end"/>
      </w:r>
    </w:p>
    <w:p w14:paraId="3DA74037" w14:textId="77777777" w:rsidR="0033448B" w:rsidRDefault="0033448B" w:rsidP="003A5FEA"/>
    <w:p w14:paraId="54574E74" w14:textId="77777777" w:rsidR="001D3E4E" w:rsidRDefault="001D3E4E" w:rsidP="003A5FEA">
      <w:pPr>
        <w:sectPr w:rsidR="001D3E4E" w:rsidSect="00925892">
          <w:headerReference w:type="even" r:id="rId14"/>
          <w:headerReference w:type="default" r:id="rId15"/>
          <w:footerReference w:type="even" r:id="rId16"/>
          <w:footerReference w:type="default" r:id="rId17"/>
          <w:pgSz w:w="11907" w:h="16840" w:code="9"/>
          <w:pgMar w:top="1418" w:right="1701" w:bottom="1134" w:left="1843" w:header="284" w:footer="425" w:gutter="284"/>
          <w:pgNumType w:fmt="lowerRoman"/>
          <w:cols w:space="720"/>
        </w:sectPr>
      </w:pPr>
    </w:p>
    <w:p w14:paraId="34699521" w14:textId="77777777" w:rsidR="006E2886" w:rsidRDefault="003A5FA0" w:rsidP="00F54E74">
      <w:pPr>
        <w:pStyle w:val="Heading1"/>
      </w:pPr>
      <w:bookmarkStart w:id="2" w:name="_Toc22300492"/>
      <w:r>
        <w:lastRenderedPageBreak/>
        <w:t>Key findings</w:t>
      </w:r>
      <w:bookmarkEnd w:id="2"/>
    </w:p>
    <w:p w14:paraId="518AD66C" w14:textId="77777777" w:rsidR="003A5FA0" w:rsidRPr="006A6DBE" w:rsidRDefault="003A5FA0" w:rsidP="003A5FA0">
      <w:r w:rsidRPr="006A6DBE">
        <w:t>Key findings include</w:t>
      </w:r>
      <w:r>
        <w:t xml:space="preserve"> the following.</w:t>
      </w:r>
    </w:p>
    <w:p w14:paraId="5650D95B" w14:textId="77777777" w:rsidR="00E82262" w:rsidRPr="00FB6EA2" w:rsidRDefault="00E82262" w:rsidP="0080347F">
      <w:pPr>
        <w:pStyle w:val="Bullet"/>
      </w:pPr>
      <w:r>
        <w:t>S</w:t>
      </w:r>
      <w:r w:rsidRPr="00FB6EA2">
        <w:t>ex against an individual</w:t>
      </w:r>
      <w:r w:rsidR="00C6247D">
        <w:t>’</w:t>
      </w:r>
      <w:r w:rsidRPr="00FB6EA2">
        <w:t xml:space="preserve">s will after the age of 13, referred to </w:t>
      </w:r>
      <w:r>
        <w:t xml:space="preserve">in this document </w:t>
      </w:r>
      <w:r w:rsidRPr="00FB6EA2">
        <w:t>as non-volitional sex, has been experienced by many more women (one in nine) than men (one in 30)</w:t>
      </w:r>
      <w:r>
        <w:t xml:space="preserve"> </w:t>
      </w:r>
      <w:r w:rsidRPr="00FB6EA2">
        <w:t xml:space="preserve">aged 16–74 years; over half of these experiences </w:t>
      </w:r>
      <w:r>
        <w:t xml:space="preserve">occurred when the people concerned were </w:t>
      </w:r>
      <w:r w:rsidRPr="00FB6EA2">
        <w:t>teenagers.</w:t>
      </w:r>
    </w:p>
    <w:p w14:paraId="76AF5604" w14:textId="77777777" w:rsidR="00E82262" w:rsidRPr="00FB6EA2" w:rsidRDefault="00E82262" w:rsidP="0080347F">
      <w:pPr>
        <w:pStyle w:val="Bullet"/>
      </w:pPr>
      <w:r w:rsidRPr="00FB6EA2">
        <w:t xml:space="preserve">Māori men and women </w:t>
      </w:r>
      <w:r>
        <w:t>were</w:t>
      </w:r>
      <w:r w:rsidRPr="00FB6EA2">
        <w:t xml:space="preserve"> more likely to have experienced non-volitional sex than non-Māori, and Asian women </w:t>
      </w:r>
      <w:r>
        <w:t xml:space="preserve">were </w:t>
      </w:r>
      <w:r w:rsidRPr="00FB6EA2">
        <w:t>less likely than non-Asian women to have experienced it.</w:t>
      </w:r>
    </w:p>
    <w:p w14:paraId="3F83CF1D" w14:textId="77777777" w:rsidR="00E82262" w:rsidRPr="00FB6EA2" w:rsidRDefault="00E82262" w:rsidP="0080347F">
      <w:pPr>
        <w:pStyle w:val="Bullet"/>
      </w:pPr>
      <w:r w:rsidRPr="00FB6EA2">
        <w:t xml:space="preserve">Women currently living in the most deprived areas </w:t>
      </w:r>
      <w:r>
        <w:t xml:space="preserve">were </w:t>
      </w:r>
      <w:r w:rsidRPr="00FB6EA2">
        <w:t>more likely than those in the least deprived areas to have experienced non-volitional sex.</w:t>
      </w:r>
    </w:p>
    <w:p w14:paraId="3EAD6886" w14:textId="0754FB71" w:rsidR="00E82262" w:rsidRPr="00FB6EA2" w:rsidRDefault="00A549ED" w:rsidP="0080347F">
      <w:pPr>
        <w:pStyle w:val="Bullet"/>
      </w:pPr>
      <w:r>
        <w:t xml:space="preserve">Women and men mostly knew the </w:t>
      </w:r>
      <w:r w:rsidRPr="00A549ED">
        <w:t xml:space="preserve">perpetrator </w:t>
      </w:r>
      <w:r>
        <w:t>of the</w:t>
      </w:r>
      <w:r w:rsidR="00F40063">
        <w:t>ir</w:t>
      </w:r>
      <w:r>
        <w:t xml:space="preserve"> most recent </w:t>
      </w:r>
      <w:r w:rsidR="00F40063">
        <w:t xml:space="preserve">experience of </w:t>
      </w:r>
      <w:r>
        <w:t>non-volitional sex</w:t>
      </w:r>
      <w:r w:rsidR="00F40063">
        <w:t>,</w:t>
      </w:r>
      <w:r>
        <w:t xml:space="preserve"> </w:t>
      </w:r>
      <w:r w:rsidRPr="00A549ED">
        <w:t xml:space="preserve">either as a former </w:t>
      </w:r>
      <w:r>
        <w:t xml:space="preserve">or </w:t>
      </w:r>
      <w:r w:rsidRPr="00A549ED">
        <w:t>current intimate partner (</w:t>
      </w:r>
      <w:r>
        <w:t>34</w:t>
      </w:r>
      <w:r w:rsidR="002123D7">
        <w:t xml:space="preserve"> percent of </w:t>
      </w:r>
      <w:r w:rsidRPr="00A549ED">
        <w:t>women</w:t>
      </w:r>
      <w:r>
        <w:t>, 1</w:t>
      </w:r>
      <w:r w:rsidR="002123D7">
        <w:t>6 percent of</w:t>
      </w:r>
      <w:r w:rsidRPr="00A549ED">
        <w:t xml:space="preserve"> men), a family member or friend (</w:t>
      </w:r>
      <w:r>
        <w:t>26</w:t>
      </w:r>
      <w:r w:rsidR="002123D7">
        <w:t xml:space="preserve"> percent of</w:t>
      </w:r>
      <w:r w:rsidRPr="00A549ED">
        <w:t xml:space="preserve"> women, </w:t>
      </w:r>
      <w:r>
        <w:t>31</w:t>
      </w:r>
      <w:r w:rsidR="0080347F">
        <w:t> </w:t>
      </w:r>
      <w:r w:rsidR="002123D7">
        <w:t>percent of</w:t>
      </w:r>
      <w:r w:rsidRPr="00A549ED">
        <w:t xml:space="preserve"> men), or </w:t>
      </w:r>
      <w:r w:rsidR="00D249AD">
        <w:t>as an acquaintance</w:t>
      </w:r>
      <w:r w:rsidRPr="00A549ED">
        <w:t xml:space="preserve"> (</w:t>
      </w:r>
      <w:r>
        <w:t>22</w:t>
      </w:r>
      <w:r w:rsidR="002123D7">
        <w:t xml:space="preserve"> percent of</w:t>
      </w:r>
      <w:r w:rsidRPr="00A549ED">
        <w:t xml:space="preserve"> women, </w:t>
      </w:r>
      <w:r>
        <w:t>28</w:t>
      </w:r>
      <w:r w:rsidR="002123D7">
        <w:t xml:space="preserve"> percent of</w:t>
      </w:r>
      <w:r w:rsidRPr="00A549ED">
        <w:t xml:space="preserve"> men).</w:t>
      </w:r>
    </w:p>
    <w:p w14:paraId="1D8FA01E" w14:textId="77777777" w:rsidR="00E82262" w:rsidRPr="00FB6EA2" w:rsidRDefault="00E82262" w:rsidP="0080347F">
      <w:pPr>
        <w:pStyle w:val="Bullet"/>
      </w:pPr>
      <w:r w:rsidRPr="00FB6EA2">
        <w:t>Among Māori and Pacific women, the most recent perpetrator was more likely to have been a family member or friend than it was for non-Māori and non-Pacific women.</w:t>
      </w:r>
    </w:p>
    <w:p w14:paraId="29FE64A9" w14:textId="77777777" w:rsidR="002B7BEC" w:rsidRDefault="002B7BEC" w:rsidP="002B7BEC"/>
    <w:p w14:paraId="1F685EFE" w14:textId="77777777" w:rsidR="00F16595" w:rsidRDefault="00F16595" w:rsidP="002B7BEC"/>
    <w:p w14:paraId="02110793" w14:textId="77777777" w:rsidR="001D3E4E" w:rsidRDefault="001D3E4E" w:rsidP="003A5FEA">
      <w:pPr>
        <w:sectPr w:rsidR="001D3E4E" w:rsidSect="00925892">
          <w:footerReference w:type="even" r:id="rId18"/>
          <w:pgSz w:w="11907" w:h="16840" w:code="9"/>
          <w:pgMar w:top="1418" w:right="1701" w:bottom="1134" w:left="1843" w:header="284" w:footer="425" w:gutter="284"/>
          <w:pgNumType w:fmt="lowerRoman"/>
          <w:cols w:space="720"/>
        </w:sectPr>
      </w:pPr>
    </w:p>
    <w:p w14:paraId="625C48F3" w14:textId="77777777" w:rsidR="008C2973" w:rsidRDefault="002B7BEC" w:rsidP="00F54E74">
      <w:pPr>
        <w:pStyle w:val="Heading1"/>
      </w:pPr>
      <w:bookmarkStart w:id="3" w:name="_Toc22300493"/>
      <w:r>
        <w:lastRenderedPageBreak/>
        <w:t>Introduction</w:t>
      </w:r>
      <w:bookmarkEnd w:id="3"/>
    </w:p>
    <w:p w14:paraId="0967751D" w14:textId="77777777" w:rsidR="00E82262" w:rsidRPr="00A0035E" w:rsidRDefault="00E82262" w:rsidP="00A0035E">
      <w:pPr>
        <w:ind w:right="-142"/>
        <w:rPr>
          <w:spacing w:val="-2"/>
        </w:rPr>
      </w:pPr>
      <w:r w:rsidRPr="00A0035E">
        <w:rPr>
          <w:spacing w:val="-2"/>
        </w:rPr>
        <w:t>Having sexual experiences against one</w:t>
      </w:r>
      <w:r w:rsidR="00C6247D" w:rsidRPr="00A0035E">
        <w:rPr>
          <w:spacing w:val="-2"/>
        </w:rPr>
        <w:t>’</w:t>
      </w:r>
      <w:r w:rsidRPr="00A0035E">
        <w:rPr>
          <w:spacing w:val="-2"/>
        </w:rPr>
        <w:t>s will, referred to as non-volitional sex violates an individual</w:t>
      </w:r>
      <w:r w:rsidR="00C6247D" w:rsidRPr="00A0035E">
        <w:rPr>
          <w:spacing w:val="-2"/>
        </w:rPr>
        <w:t>’</w:t>
      </w:r>
      <w:r w:rsidRPr="00A0035E">
        <w:rPr>
          <w:spacing w:val="-2"/>
        </w:rPr>
        <w:t>s rights to choose when and with whom to have sex, and what behaviours to engage in (</w:t>
      </w:r>
      <w:proofErr w:type="spellStart"/>
      <w:r w:rsidRPr="00A0035E">
        <w:rPr>
          <w:spacing w:val="-2"/>
        </w:rPr>
        <w:t>Kalmuss</w:t>
      </w:r>
      <w:proofErr w:type="spellEnd"/>
      <w:r w:rsidRPr="00A0035E">
        <w:rPr>
          <w:spacing w:val="-2"/>
        </w:rPr>
        <w:t xml:space="preserve"> 2004). People of all ages can experience non-volitional sex as a single event or as part of a pattern of victimisation lasting for months or years. Violence might be involved in non-volitional sex, and that can add to broad-ranging consequences, which include long-term mental, physical, sexual and reproductive health effects (</w:t>
      </w:r>
      <w:proofErr w:type="spellStart"/>
      <w:r w:rsidRPr="00A0035E">
        <w:rPr>
          <w:spacing w:val="-2"/>
        </w:rPr>
        <w:t>Macdowall</w:t>
      </w:r>
      <w:proofErr w:type="spellEnd"/>
      <w:r w:rsidRPr="00A0035E">
        <w:rPr>
          <w:spacing w:val="-2"/>
        </w:rPr>
        <w:t xml:space="preserve"> et al 2013). These factors, and the associated economic and social costs, make non-volitional sex a serious public health issue (</w:t>
      </w:r>
      <w:proofErr w:type="spellStart"/>
      <w:r w:rsidRPr="00A0035E">
        <w:rPr>
          <w:spacing w:val="-2"/>
        </w:rPr>
        <w:t>Garca</w:t>
      </w:r>
      <w:proofErr w:type="spellEnd"/>
      <w:r w:rsidRPr="00A0035E">
        <w:rPr>
          <w:spacing w:val="-2"/>
        </w:rPr>
        <w:t>-Moreno and Watts 2011).</w:t>
      </w:r>
    </w:p>
    <w:p w14:paraId="07B0B19C" w14:textId="77777777" w:rsidR="00E82262" w:rsidRPr="00FB6EA2" w:rsidRDefault="00E82262" w:rsidP="0080347F">
      <w:pPr>
        <w:spacing w:before="200"/>
      </w:pPr>
      <w:proofErr w:type="gramStart"/>
      <w:r w:rsidRPr="00FB6EA2">
        <w:t>A number of</w:t>
      </w:r>
      <w:proofErr w:type="gramEnd"/>
      <w:r w:rsidRPr="00FB6EA2">
        <w:t xml:space="preserve"> research projects both in New Zealand and internationally have shown that women experience sexual violence relatively commonly, and particularly when they are young (</w:t>
      </w:r>
      <w:proofErr w:type="spellStart"/>
      <w:r w:rsidRPr="00FB6EA2">
        <w:t>Fanslow</w:t>
      </w:r>
      <w:proofErr w:type="spellEnd"/>
      <w:r w:rsidRPr="00FB6EA2">
        <w:t xml:space="preserve"> and Robinson 2004, Fleming et al 2007). Victims were more likely to report current poor physical and mental health than those who had not experienced sexual violence.</w:t>
      </w:r>
    </w:p>
    <w:p w14:paraId="5CECC7B8" w14:textId="77777777" w:rsidR="00E82262" w:rsidRPr="00A0035E" w:rsidRDefault="00E82262" w:rsidP="0080347F">
      <w:pPr>
        <w:spacing w:before="200"/>
        <w:rPr>
          <w:spacing w:val="-2"/>
        </w:rPr>
      </w:pPr>
      <w:r w:rsidRPr="00A0035E">
        <w:rPr>
          <w:spacing w:val="-2"/>
        </w:rPr>
        <w:t xml:space="preserve">The New Zealand Crime and Safety Survey (NZCASS) undertaken in 2006, 2009 and 2014 found that around one-quarter of women (24 percent) and 6 percent of men had experienced some degree of sexual victimisation, including distressing sexual touching, attempted or completed forced sex or other sexual violence (New Zealand Family Violence Clearinghouse 2017). The definition of completed non-volitional sex used in this data brief is </w:t>
      </w:r>
      <w:proofErr w:type="gramStart"/>
      <w:r w:rsidRPr="00A0035E">
        <w:rPr>
          <w:spacing w:val="-2"/>
        </w:rPr>
        <w:t>similar to</w:t>
      </w:r>
      <w:proofErr w:type="gramEnd"/>
      <w:r w:rsidRPr="00A0035E">
        <w:rPr>
          <w:spacing w:val="-2"/>
        </w:rPr>
        <w:t xml:space="preserve"> that of </w:t>
      </w:r>
      <w:r w:rsidR="00C6247D" w:rsidRPr="00A0035E">
        <w:rPr>
          <w:spacing w:val="-2"/>
        </w:rPr>
        <w:t>‘</w:t>
      </w:r>
      <w:r w:rsidRPr="00A0035E">
        <w:rPr>
          <w:spacing w:val="-2"/>
        </w:rPr>
        <w:t>completed forced sex</w:t>
      </w:r>
      <w:r w:rsidR="00C6247D" w:rsidRPr="00A0035E">
        <w:rPr>
          <w:spacing w:val="-2"/>
        </w:rPr>
        <w:t>’</w:t>
      </w:r>
      <w:r w:rsidRPr="00A0035E">
        <w:rPr>
          <w:spacing w:val="-2"/>
        </w:rPr>
        <w:t xml:space="preserve"> in the NZCASS. One in nine women (11 percent) and 1.7 percent of men have experienced completed forced sex, according to the 2014 NZCASS (Ministry of Justice 2015). This data also suggested that the incidence of what could be classified as sexual offences among adults dropped from 3.9 percent (317,000 events) in 2005 to 2.1 percent (186,000 events) in 2013; in the latter year 2.9 percent of women experienced such victimisation, and 1.1 percent of men.</w:t>
      </w:r>
    </w:p>
    <w:p w14:paraId="36B745FD" w14:textId="77777777" w:rsidR="00C6247D" w:rsidRDefault="00E82262" w:rsidP="0080347F">
      <w:pPr>
        <w:spacing w:before="200"/>
      </w:pPr>
      <w:r w:rsidRPr="00FB6EA2">
        <w:t>The Ministry of Health included questions on non-volitional sex since the age of 13 years in the Sexual and Reproductive Health module of its national 2014/15 New Zealand Health Survey (</w:t>
      </w:r>
      <w:r>
        <w:t>the survey</w:t>
      </w:r>
      <w:r w:rsidRPr="00FB6EA2">
        <w:t>).</w:t>
      </w:r>
    </w:p>
    <w:p w14:paraId="217BD49B" w14:textId="21C4B984" w:rsidR="00E82262" w:rsidRDefault="00E82262" w:rsidP="0080347F">
      <w:pPr>
        <w:spacing w:before="200"/>
      </w:pPr>
      <w:r w:rsidRPr="00FB6EA2">
        <w:t xml:space="preserve">After defining </w:t>
      </w:r>
      <w:r w:rsidR="00C6247D">
        <w:t>‘</w:t>
      </w:r>
      <w:r w:rsidRPr="00FB6EA2">
        <w:t>having sex</w:t>
      </w:r>
      <w:r w:rsidR="00C6247D">
        <w:t>’</w:t>
      </w:r>
      <w:r w:rsidRPr="00FB6EA2">
        <w:t xml:space="preserve"> as having vaginal, oral or anal sex or genital contact, the </w:t>
      </w:r>
      <w:r>
        <w:t xml:space="preserve">survey </w:t>
      </w:r>
      <w:r w:rsidRPr="00FB6EA2">
        <w:t xml:space="preserve">asked participants </w:t>
      </w:r>
      <w:r w:rsidR="00C6247D">
        <w:t>‘</w:t>
      </w:r>
      <w:r w:rsidRPr="00FB6EA2">
        <w:t>Since the age of 13, has anyone tried to make you have sex with them, against your will?</w:t>
      </w:r>
      <w:r w:rsidR="00C6247D">
        <w:t>’</w:t>
      </w:r>
      <w:r w:rsidRPr="00FB6EA2">
        <w:t xml:space="preserve"> A follow-up question asked </w:t>
      </w:r>
      <w:r w:rsidR="00C6247D">
        <w:t>‘</w:t>
      </w:r>
      <w:r w:rsidRPr="00FB6EA2">
        <w:t>Since the age of 13, has anyone actually made you have sex with them, against your will?</w:t>
      </w:r>
      <w:r w:rsidR="00C6247D">
        <w:t>’</w:t>
      </w:r>
      <w:r w:rsidRPr="00FB6EA2">
        <w:t xml:space="preserve"> Those who said </w:t>
      </w:r>
      <w:r w:rsidR="00C6247D">
        <w:t>‘</w:t>
      </w:r>
      <w:r w:rsidRPr="00FB6EA2">
        <w:t>Yes</w:t>
      </w:r>
      <w:r w:rsidR="00C6247D">
        <w:t>’</w:t>
      </w:r>
      <w:r w:rsidRPr="00FB6EA2">
        <w:t xml:space="preserve"> to both questions were considered to have experienced </w:t>
      </w:r>
      <w:bookmarkStart w:id="4" w:name="OLE_LINK3"/>
      <w:r w:rsidRPr="00FB6EA2">
        <w:t>non-volitional sex</w:t>
      </w:r>
      <w:bookmarkEnd w:id="4"/>
      <w:r w:rsidRPr="00FB6EA2">
        <w:t xml:space="preserve">. The survey then asked those people who had experienced non-volitional sex how old they had been when it last happened, and their relationship with the perpetrator. It did not </w:t>
      </w:r>
      <w:r w:rsidR="0080347F">
        <w:t>ask the sex of the perpetrator.</w:t>
      </w:r>
    </w:p>
    <w:p w14:paraId="26980844" w14:textId="1097CDBB" w:rsidR="00E82262" w:rsidRDefault="00E82262" w:rsidP="0080347F">
      <w:pPr>
        <w:spacing w:before="200"/>
      </w:pPr>
      <w:r w:rsidRPr="00FB6EA2">
        <w:t xml:space="preserve">The </w:t>
      </w:r>
      <w:r>
        <w:t>survey</w:t>
      </w:r>
      <w:r w:rsidRPr="00FB6EA2">
        <w:t xml:space="preserve"> questions originated from the 2010 British National Survey of Sexual Attitudes and Lifestyles, which avoided the term </w:t>
      </w:r>
      <w:r w:rsidR="00C6247D">
        <w:t>‘</w:t>
      </w:r>
      <w:r w:rsidRPr="00FB6EA2">
        <w:t>rape</w:t>
      </w:r>
      <w:r w:rsidR="00C6247D">
        <w:t>’</w:t>
      </w:r>
      <w:r w:rsidRPr="00FB6EA2">
        <w:t>, as research has found that term to be highly subjective, to imply possible legal ramifications in the minds of participants, and to be likely to lead to under-reporting (Koss 1993).</w:t>
      </w:r>
    </w:p>
    <w:p w14:paraId="5D1DDFE3" w14:textId="6B47F4E9" w:rsidR="00DA4156" w:rsidRPr="00CF4F69" w:rsidRDefault="008363BD" w:rsidP="0080347F">
      <w:pPr>
        <w:spacing w:before="200"/>
        <w:rPr>
          <w:b/>
        </w:rPr>
      </w:pPr>
      <w:r w:rsidRPr="00E55352">
        <w:t xml:space="preserve">You can find more information and results from the survey, including data tables in the data explorer, online at </w:t>
      </w:r>
      <w:r w:rsidR="00CF4F69" w:rsidRPr="00CF4F69">
        <w:rPr>
          <w:rStyle w:val="Hyperlink"/>
          <w:sz w:val="20"/>
        </w:rPr>
        <w:t>https://www.health.govt.nz/publication/sexual-and-reproductive-health-2014-15-new-zealand-health-survey</w:t>
      </w:r>
    </w:p>
    <w:p w14:paraId="5E22F95B" w14:textId="77777777" w:rsidR="00E82262" w:rsidRPr="00FB6EA2" w:rsidRDefault="00E82262" w:rsidP="00A0035E">
      <w:pPr>
        <w:pStyle w:val="Heading1"/>
      </w:pPr>
      <w:bookmarkStart w:id="5" w:name="_Toc4572299"/>
      <w:bookmarkStart w:id="6" w:name="_Toc4588247"/>
      <w:bookmarkStart w:id="7" w:name="_Toc22300494"/>
      <w:r w:rsidRPr="00FB6EA2">
        <w:lastRenderedPageBreak/>
        <w:t>Experience of non</w:t>
      </w:r>
      <w:r w:rsidR="00A0035E">
        <w:noBreakHyphen/>
      </w:r>
      <w:r w:rsidRPr="00FB6EA2">
        <w:t>volitional sex</w:t>
      </w:r>
      <w:bookmarkEnd w:id="5"/>
      <w:bookmarkEnd w:id="6"/>
      <w:bookmarkEnd w:id="7"/>
    </w:p>
    <w:p w14:paraId="7EC4F57E" w14:textId="77777777" w:rsidR="00E82262" w:rsidRPr="00553C05" w:rsidRDefault="00E82262" w:rsidP="00A0035E">
      <w:pPr>
        <w:pStyle w:val="Heading4"/>
      </w:pPr>
      <w:r w:rsidRPr="00553C05">
        <w:t>One in nine women and one in 30</w:t>
      </w:r>
      <w:r>
        <w:t> </w:t>
      </w:r>
      <w:r w:rsidRPr="00553C05">
        <w:t>men had ever experienced non-volitional sex</w:t>
      </w:r>
    </w:p>
    <w:p w14:paraId="650AD004" w14:textId="77777777" w:rsidR="00E82262" w:rsidRDefault="00E82262" w:rsidP="00A0035E">
      <w:pPr>
        <w:pStyle w:val="Bullet"/>
      </w:pPr>
      <w:r w:rsidRPr="00553C05">
        <w:t>3.1</w:t>
      </w:r>
      <w:r>
        <w:t xml:space="preserve"> percent </w:t>
      </w:r>
      <w:r w:rsidRPr="00553C05">
        <w:t>of men and 11</w:t>
      </w:r>
      <w:r>
        <w:t> percent</w:t>
      </w:r>
      <w:r w:rsidRPr="00553C05">
        <w:t xml:space="preserve"> of women aged 16–74 years had experienced non-volitional sex since the age of 13 years, equivalent to around 50,000 men and 186,000 women.</w:t>
      </w:r>
    </w:p>
    <w:p w14:paraId="6ADB235C" w14:textId="77777777" w:rsidR="00E82262" w:rsidRDefault="00E82262" w:rsidP="00A0035E">
      <w:pPr>
        <w:pStyle w:val="Bullet"/>
      </w:pPr>
      <w:r w:rsidRPr="00553C05">
        <w:t>Among men, there was no clear pattern of experiencing non-volitional sex by age at survey interview (Figure 1), although rates were marginally highe</w:t>
      </w:r>
      <w:r>
        <w:t>r</w:t>
      </w:r>
      <w:r w:rsidRPr="00553C05">
        <w:t xml:space="preserve"> in the 45–54-year age group. Note that percentages reported by the youngest and oldest men should be </w:t>
      </w:r>
      <w:r w:rsidRPr="00553C05">
        <w:rPr>
          <w:color w:val="000000" w:themeColor="text1"/>
        </w:rPr>
        <w:t>treated cautiously in view of the relatively small numbers</w:t>
      </w:r>
      <w:r w:rsidRPr="00553C05">
        <w:t>.</w:t>
      </w:r>
    </w:p>
    <w:p w14:paraId="73E86E90" w14:textId="77777777" w:rsidR="00E82262" w:rsidRDefault="00E82262" w:rsidP="00A0035E">
      <w:pPr>
        <w:pStyle w:val="Bullet"/>
      </w:pPr>
      <w:r w:rsidRPr="00553C05">
        <w:rPr>
          <w:color w:val="000000" w:themeColor="text1"/>
        </w:rPr>
        <w:t xml:space="preserve">Among women, the percentage who had reported experiencing non-volitional sex was highest among those aged 45–54 years (Figure 1), and the rate </w:t>
      </w:r>
      <w:r>
        <w:rPr>
          <w:color w:val="000000" w:themeColor="text1"/>
        </w:rPr>
        <w:t>was lower</w:t>
      </w:r>
      <w:r w:rsidRPr="00553C05">
        <w:rPr>
          <w:color w:val="000000" w:themeColor="text1"/>
        </w:rPr>
        <w:t xml:space="preserve"> among both those older and younger</w:t>
      </w:r>
      <w:r>
        <w:rPr>
          <w:color w:val="000000" w:themeColor="text1"/>
        </w:rPr>
        <w:t>.</w:t>
      </w:r>
      <w:r w:rsidRPr="00553C05">
        <w:rPr>
          <w:color w:val="000000" w:themeColor="text1"/>
        </w:rPr>
        <w:t xml:space="preserve"> </w:t>
      </w:r>
      <w:r>
        <w:t>N</w:t>
      </w:r>
      <w:r w:rsidRPr="00EA40FC">
        <w:t xml:space="preserve">on-volitional sex is more likely to occur in the future </w:t>
      </w:r>
      <w:r>
        <w:t xml:space="preserve">for </w:t>
      </w:r>
      <w:r w:rsidRPr="00EA40FC">
        <w:t>young people</w:t>
      </w:r>
      <w:r>
        <w:t xml:space="preserve">, </w:t>
      </w:r>
      <w:r w:rsidRPr="00EA40FC">
        <w:t xml:space="preserve">meaning </w:t>
      </w:r>
      <w:r w:rsidRPr="009F667F">
        <w:t>the</w:t>
      </w:r>
      <w:r w:rsidRPr="00EA40FC">
        <w:t xml:space="preserve"> median age will rise over time</w:t>
      </w:r>
      <w:r>
        <w:t>.</w:t>
      </w:r>
    </w:p>
    <w:p w14:paraId="36E68B1D" w14:textId="77777777" w:rsidR="00A0035E" w:rsidRPr="00553C05" w:rsidRDefault="00A0035E" w:rsidP="00A0035E"/>
    <w:p w14:paraId="4573BAAA" w14:textId="77C9D9B3" w:rsidR="00E82262" w:rsidRDefault="00E82262" w:rsidP="00A0035E">
      <w:pPr>
        <w:pStyle w:val="Figure"/>
      </w:pPr>
      <w:bookmarkStart w:id="8" w:name="_Toc525908131"/>
      <w:bookmarkStart w:id="9" w:name="_Toc14961437"/>
      <w:bookmarkStart w:id="10" w:name="_Toc22300499"/>
      <w:r w:rsidRPr="007A42A9">
        <w:t xml:space="preserve">Figure </w:t>
      </w:r>
      <w:r>
        <w:rPr>
          <w:noProof/>
        </w:rPr>
        <w:fldChar w:fldCharType="begin"/>
      </w:r>
      <w:r>
        <w:rPr>
          <w:noProof/>
        </w:rPr>
        <w:instrText xml:space="preserve"> SEQ Figure \* ARABIC </w:instrText>
      </w:r>
      <w:r>
        <w:rPr>
          <w:noProof/>
        </w:rPr>
        <w:fldChar w:fldCharType="separate"/>
      </w:r>
      <w:r w:rsidR="00F543AF">
        <w:rPr>
          <w:noProof/>
        </w:rPr>
        <w:t>1</w:t>
      </w:r>
      <w:r>
        <w:rPr>
          <w:noProof/>
        </w:rPr>
        <w:fldChar w:fldCharType="end"/>
      </w:r>
      <w:r>
        <w:t>: Experience of non-volitional sex in lifetime,</w:t>
      </w:r>
      <w:r w:rsidRPr="007A42A9">
        <w:t xml:space="preserve"> by age group</w:t>
      </w:r>
      <w:bookmarkEnd w:id="8"/>
      <w:r>
        <w:t xml:space="preserve"> and gender</w:t>
      </w:r>
      <w:bookmarkEnd w:id="9"/>
      <w:bookmarkEnd w:id="10"/>
    </w:p>
    <w:p w14:paraId="03CCF184" w14:textId="77777777" w:rsidR="005E61C0" w:rsidRPr="005E61C0" w:rsidRDefault="005E61C0" w:rsidP="005E61C0">
      <w:r w:rsidRPr="005E61C0">
        <w:rPr>
          <w:noProof/>
          <w:lang w:eastAsia="en-NZ"/>
        </w:rPr>
        <w:drawing>
          <wp:inline distT="0" distB="0" distL="0" distR="0" wp14:anchorId="7EB5658A" wp14:editId="129A1006">
            <wp:extent cx="5130165" cy="3347762"/>
            <wp:effectExtent l="0" t="0" r="0" b="5080"/>
            <wp:docPr id="1" name="Picture 1" descr="Women were more likely than men to experience non-volitional sex in every age group. Women 45-54 had the highest rate, at about 15%. About 12% of women 35-44 and 55-64 and 11% of women 65-74 had experienced it. About 8% of women 25-34 and 6% of women 16-24 had experienced it. No more than 4% of men in any age group had experienced non-volitional s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130165" cy="3347762"/>
                    </a:xfrm>
                    <a:prstGeom prst="rect">
                      <a:avLst/>
                    </a:prstGeom>
                  </pic:spPr>
                </pic:pic>
              </a:graphicData>
            </a:graphic>
          </wp:inline>
        </w:drawing>
      </w:r>
    </w:p>
    <w:p w14:paraId="6859FBB0" w14:textId="77777777" w:rsidR="00E82262" w:rsidRPr="007A42A9" w:rsidRDefault="00E82262" w:rsidP="00A0035E"/>
    <w:p w14:paraId="5F198B9E" w14:textId="77777777" w:rsidR="00E82262" w:rsidRPr="007A42A9" w:rsidRDefault="00E82262" w:rsidP="00A0035E">
      <w:pPr>
        <w:pStyle w:val="Bullet"/>
        <w:keepNext/>
      </w:pPr>
      <w:r w:rsidRPr="007A42A9">
        <w:lastRenderedPageBreak/>
        <w:t>Among men, those of European/</w:t>
      </w:r>
      <w:r>
        <w:t>O</w:t>
      </w:r>
      <w:r w:rsidRPr="007A42A9">
        <w:t xml:space="preserve">ther ethnicity </w:t>
      </w:r>
      <w:r>
        <w:t>were</w:t>
      </w:r>
      <w:r w:rsidRPr="007A42A9">
        <w:t xml:space="preserve"> the least likely to have experienced non-volitional sex (Figure 2); however, </w:t>
      </w:r>
      <w:r w:rsidRPr="00553C05">
        <w:t xml:space="preserve">the percentage reported by Pacific and Asian men should be </w:t>
      </w:r>
      <w:r w:rsidRPr="00553C05">
        <w:rPr>
          <w:color w:val="000000" w:themeColor="text1"/>
        </w:rPr>
        <w:t>treated cautiously in view of the relatively small numbers</w:t>
      </w:r>
      <w:r w:rsidRPr="00553C05">
        <w:t>.</w:t>
      </w:r>
    </w:p>
    <w:p w14:paraId="720E0FD3" w14:textId="77777777" w:rsidR="00E82262" w:rsidRPr="007A42A9" w:rsidRDefault="00E82262" w:rsidP="00A0035E">
      <w:pPr>
        <w:pStyle w:val="Bullet"/>
      </w:pPr>
      <w:r w:rsidRPr="00553C05">
        <w:t xml:space="preserve">After adjustment for age, </w:t>
      </w:r>
      <w:r w:rsidRPr="007A42A9">
        <w:t xml:space="preserve">Māori men </w:t>
      </w:r>
      <w:r>
        <w:t>were</w:t>
      </w:r>
      <w:r w:rsidRPr="007A42A9">
        <w:t xml:space="preserve"> twice as likely to have experienced non</w:t>
      </w:r>
      <w:r w:rsidR="00A0035E">
        <w:noBreakHyphen/>
      </w:r>
      <w:r w:rsidRPr="007A42A9">
        <w:t>volitional sex as non-Māori</w:t>
      </w:r>
      <w:r>
        <w:t xml:space="preserve"> men</w:t>
      </w:r>
      <w:r w:rsidRPr="007A42A9">
        <w:t>.</w:t>
      </w:r>
    </w:p>
    <w:p w14:paraId="20821348" w14:textId="77777777" w:rsidR="00E82262" w:rsidRPr="007A42A9" w:rsidRDefault="00E82262" w:rsidP="00A0035E">
      <w:pPr>
        <w:pStyle w:val="Bullet"/>
      </w:pPr>
      <w:r w:rsidRPr="007A42A9">
        <w:t>Māori</w:t>
      </w:r>
      <w:r>
        <w:t xml:space="preserve"> women</w:t>
      </w:r>
      <w:r w:rsidRPr="007A42A9">
        <w:t xml:space="preserve"> and women of European/</w:t>
      </w:r>
      <w:r>
        <w:t>O</w:t>
      </w:r>
      <w:r w:rsidRPr="007A42A9">
        <w:t xml:space="preserve">ther ethnicity </w:t>
      </w:r>
      <w:r>
        <w:t>were</w:t>
      </w:r>
      <w:r w:rsidRPr="007A42A9">
        <w:t xml:space="preserve"> most likely to have experienced non-volitional sex, and Asian women</w:t>
      </w:r>
      <w:r>
        <w:t xml:space="preserve"> were</w:t>
      </w:r>
      <w:r w:rsidRPr="007A42A9">
        <w:t xml:space="preserve"> the least likely.</w:t>
      </w:r>
    </w:p>
    <w:p w14:paraId="392A6DED" w14:textId="77777777" w:rsidR="00E82262" w:rsidRPr="002D1ECD" w:rsidRDefault="00E82262" w:rsidP="00A0035E">
      <w:pPr>
        <w:pStyle w:val="Bullet"/>
        <w:rPr>
          <w:color w:val="000000" w:themeColor="text1"/>
        </w:rPr>
      </w:pPr>
      <w:r w:rsidRPr="00553C05">
        <w:t xml:space="preserve">After adjustment for age, </w:t>
      </w:r>
      <w:r w:rsidRPr="007A42A9">
        <w:t xml:space="preserve">Māori women </w:t>
      </w:r>
      <w:r>
        <w:t>were</w:t>
      </w:r>
      <w:r w:rsidRPr="007A42A9">
        <w:t xml:space="preserve"> 1.6 times as likely to have experienced non-volitional sex as non-Māori; Asian women </w:t>
      </w:r>
      <w:r>
        <w:t>were</w:t>
      </w:r>
      <w:r w:rsidRPr="007A42A9">
        <w:t xml:space="preserve"> 0.3 times as likely </w:t>
      </w:r>
      <w:r>
        <w:t xml:space="preserve">to have experienced it </w:t>
      </w:r>
      <w:r w:rsidRPr="007A42A9">
        <w:t>as non-Asian</w:t>
      </w:r>
      <w:r>
        <w:t xml:space="preserve"> </w:t>
      </w:r>
      <w:r w:rsidRPr="001735A3">
        <w:t>women</w:t>
      </w:r>
      <w:r w:rsidRPr="007A42A9">
        <w:t>.</w:t>
      </w:r>
    </w:p>
    <w:p w14:paraId="2BC7DC7D" w14:textId="77777777" w:rsidR="00E82262" w:rsidRPr="00261E60" w:rsidRDefault="00E82262" w:rsidP="00A0035E"/>
    <w:p w14:paraId="2D627483" w14:textId="77777777" w:rsidR="00E82262" w:rsidRDefault="00E82262" w:rsidP="00A0035E">
      <w:pPr>
        <w:pStyle w:val="Figure"/>
      </w:pPr>
      <w:bookmarkStart w:id="11" w:name="_Toc525908132"/>
      <w:bookmarkStart w:id="12" w:name="_Toc14961438"/>
      <w:bookmarkStart w:id="13" w:name="_Toc22300500"/>
      <w:r w:rsidRPr="007A42A9">
        <w:t>Figure 2</w:t>
      </w:r>
      <w:r>
        <w:t>: Experience of non-volitional sex in lifetime,</w:t>
      </w:r>
      <w:r w:rsidRPr="007A42A9">
        <w:t xml:space="preserve"> by ethnicity</w:t>
      </w:r>
      <w:bookmarkEnd w:id="11"/>
      <w:r>
        <w:t xml:space="preserve"> and gender</w:t>
      </w:r>
      <w:bookmarkEnd w:id="12"/>
      <w:bookmarkEnd w:id="13"/>
    </w:p>
    <w:p w14:paraId="351C9BE9" w14:textId="77777777" w:rsidR="00806F4F" w:rsidRPr="00806F4F" w:rsidRDefault="00806F4F" w:rsidP="00806F4F">
      <w:r w:rsidRPr="00806F4F">
        <w:rPr>
          <w:noProof/>
          <w:lang w:eastAsia="en-NZ"/>
        </w:rPr>
        <w:drawing>
          <wp:inline distT="0" distB="0" distL="0" distR="0" wp14:anchorId="37C5A7D2" wp14:editId="0C4A35C9">
            <wp:extent cx="5130165" cy="3353242"/>
            <wp:effectExtent l="0" t="0" r="0" b="0"/>
            <wp:docPr id="12" name="Picture 12" descr="Māori women were most likely to experience non-volitional sex, at about 15%. European/other women were the next most likely, at about 12%. For Pacific women it was about 7%. Māori and Pacific men both experienced non-volitional sex at about 5%. Asian men reported a higher rate of non-volitional sex than Asian women, at 4 and 3% respectively. European/other men were the least likely to experience non-volitional sex of any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130165" cy="3353242"/>
                    </a:xfrm>
                    <a:prstGeom prst="rect">
                      <a:avLst/>
                    </a:prstGeom>
                  </pic:spPr>
                </pic:pic>
              </a:graphicData>
            </a:graphic>
          </wp:inline>
        </w:drawing>
      </w:r>
    </w:p>
    <w:p w14:paraId="2595F6B7" w14:textId="77777777" w:rsidR="00E82262" w:rsidRDefault="00E82262" w:rsidP="00A0035E">
      <w:pPr>
        <w:pStyle w:val="Note"/>
      </w:pPr>
      <w:bookmarkStart w:id="14" w:name="_Hlk17274187"/>
      <w:r>
        <w:t>Note: Adults who reported more than one ethnic group are counted once in each group reported. This means that the total number of responses for all ethnic groups can be greater than the total number of adults who stated their ethnicities.</w:t>
      </w:r>
      <w:bookmarkEnd w:id="14"/>
    </w:p>
    <w:p w14:paraId="05267F62" w14:textId="77777777" w:rsidR="00E82262" w:rsidRPr="006F69DC" w:rsidRDefault="00E82262" w:rsidP="00A0035E"/>
    <w:p w14:paraId="30F18F38" w14:textId="77777777" w:rsidR="00E82262" w:rsidRPr="007A42A9" w:rsidRDefault="00E82262" w:rsidP="00A0035E">
      <w:pPr>
        <w:pStyle w:val="Bullet"/>
      </w:pPr>
      <w:r>
        <w:t xml:space="preserve">Among women, there was a clear pattern for those </w:t>
      </w:r>
      <w:r w:rsidRPr="007A42A9">
        <w:t>living in the more deprived areas to have experienced more non-volitional sex</w:t>
      </w:r>
      <w:r>
        <w:t>; for men, t</w:t>
      </w:r>
      <w:r w:rsidRPr="007A42A9">
        <w:t xml:space="preserve">here </w:t>
      </w:r>
      <w:r>
        <w:t>was</w:t>
      </w:r>
      <w:r w:rsidRPr="007A42A9">
        <w:t xml:space="preserve"> a </w:t>
      </w:r>
      <w:r>
        <w:t>less</w:t>
      </w:r>
      <w:r w:rsidRPr="007A42A9">
        <w:t xml:space="preserve"> consistent </w:t>
      </w:r>
      <w:r>
        <w:t>pattern</w:t>
      </w:r>
      <w:r w:rsidRPr="007A42A9">
        <w:t>.</w:t>
      </w:r>
    </w:p>
    <w:p w14:paraId="3E102F29" w14:textId="77777777" w:rsidR="00E82262" w:rsidRDefault="00E82262" w:rsidP="00A0035E">
      <w:pPr>
        <w:pStyle w:val="Bullet"/>
      </w:pPr>
      <w:r w:rsidRPr="007A42A9">
        <w:t>After adjustment for age and ethnicity, women living in the most de</w:t>
      </w:r>
      <w:r>
        <w:t>p</w:t>
      </w:r>
      <w:r w:rsidRPr="007A42A9">
        <w:t xml:space="preserve">rived areas </w:t>
      </w:r>
      <w:r>
        <w:t xml:space="preserve">were </w:t>
      </w:r>
      <w:r w:rsidRPr="007A42A9">
        <w:t>2.2</w:t>
      </w:r>
      <w:r>
        <w:t> </w:t>
      </w:r>
      <w:r w:rsidRPr="007A42A9">
        <w:t>times as likely to have experienced non-volitional sex as those living in the least deprived areas.</w:t>
      </w:r>
    </w:p>
    <w:p w14:paraId="0DEE0D3E" w14:textId="77777777" w:rsidR="00A0035E" w:rsidRDefault="00A0035E" w:rsidP="00A0035E"/>
    <w:p w14:paraId="007EB2BC" w14:textId="77777777" w:rsidR="00E82262" w:rsidRDefault="00E82262" w:rsidP="00A0035E">
      <w:pPr>
        <w:pStyle w:val="Heading4"/>
      </w:pPr>
      <w:r w:rsidRPr="007A42A9">
        <w:lastRenderedPageBreak/>
        <w:t xml:space="preserve">Most non-volitional sex </w:t>
      </w:r>
      <w:r>
        <w:t xml:space="preserve">was </w:t>
      </w:r>
      <w:r w:rsidRPr="007A42A9">
        <w:t xml:space="preserve">experienced by young </w:t>
      </w:r>
      <w:r w:rsidRPr="00B565D3">
        <w:t>people</w:t>
      </w:r>
    </w:p>
    <w:p w14:paraId="179B740C" w14:textId="77777777" w:rsidR="00E82262" w:rsidRPr="003C4C49" w:rsidRDefault="00E82262" w:rsidP="00A0035E">
      <w:pPr>
        <w:pStyle w:val="Bullet"/>
        <w:keepNext/>
      </w:pPr>
      <w:r w:rsidRPr="003C4C49">
        <w:t xml:space="preserve">The median ages for the only or most recent episode of non-volitional sex </w:t>
      </w:r>
      <w:r>
        <w:t>were</w:t>
      </w:r>
      <w:r w:rsidRPr="003C4C49">
        <w:t xml:space="preserve"> 15</w:t>
      </w:r>
      <w:r>
        <w:t> </w:t>
      </w:r>
      <w:r w:rsidRPr="003C4C49">
        <w:t>years for men and 18 years for women</w:t>
      </w:r>
      <w:r>
        <w:t>; this means that n</w:t>
      </w:r>
      <w:r w:rsidRPr="003C4C49">
        <w:t>on-volitional sex is</w:t>
      </w:r>
      <w:r>
        <w:t xml:space="preserve"> </w:t>
      </w:r>
      <w:r w:rsidRPr="003C4C49">
        <w:t>a problem concentrated at a young age</w:t>
      </w:r>
      <w:r>
        <w:t>.</w:t>
      </w:r>
    </w:p>
    <w:p w14:paraId="70A0FE8B" w14:textId="725177E8" w:rsidR="00A0035E" w:rsidRDefault="00E82262" w:rsidP="0072595D">
      <w:pPr>
        <w:pStyle w:val="Bullet"/>
      </w:pPr>
      <w:r w:rsidRPr="00AE0238">
        <w:t>The median age for the only or most recent episode change</w:t>
      </w:r>
      <w:r>
        <w:t>d</w:t>
      </w:r>
      <w:r w:rsidRPr="00AE0238">
        <w:t xml:space="preserve"> little by age group (Figure 3)</w:t>
      </w:r>
      <w:r>
        <w:t>.</w:t>
      </w:r>
    </w:p>
    <w:p w14:paraId="41AA5CA1" w14:textId="77777777" w:rsidR="0080347F" w:rsidRPr="0011469C" w:rsidRDefault="0080347F" w:rsidP="0080347F"/>
    <w:p w14:paraId="6B51FDD9" w14:textId="77777777" w:rsidR="00E82262" w:rsidRDefault="00E82262" w:rsidP="00A0035E">
      <w:pPr>
        <w:pStyle w:val="Figure"/>
      </w:pPr>
      <w:bookmarkStart w:id="15" w:name="_Toc525908133"/>
      <w:bookmarkStart w:id="16" w:name="_Toc14961439"/>
      <w:bookmarkStart w:id="17" w:name="_Toc22300501"/>
      <w:r w:rsidRPr="007A42A9">
        <w:t>Figure 3</w:t>
      </w:r>
      <w:r>
        <w:t xml:space="preserve">: </w:t>
      </w:r>
      <w:r w:rsidRPr="007A42A9">
        <w:t xml:space="preserve">Median age </w:t>
      </w:r>
      <w:r>
        <w:t>at</w:t>
      </w:r>
      <w:r w:rsidRPr="007A42A9">
        <w:t xml:space="preserve"> most recent non-volitional sex</w:t>
      </w:r>
      <w:r>
        <w:t>, by age group</w:t>
      </w:r>
      <w:bookmarkEnd w:id="15"/>
      <w:r>
        <w:t xml:space="preserve"> and gender</w:t>
      </w:r>
      <w:bookmarkEnd w:id="16"/>
      <w:bookmarkEnd w:id="17"/>
    </w:p>
    <w:p w14:paraId="50DDB22E" w14:textId="3FAF83E3" w:rsidR="0080347F" w:rsidRPr="00F577E2" w:rsidRDefault="00F577E2" w:rsidP="0080347F">
      <w:pPr>
        <w:pStyle w:val="Note"/>
      </w:pPr>
      <w:r w:rsidRPr="00F577E2">
        <w:rPr>
          <w:noProof/>
        </w:rPr>
        <w:drawing>
          <wp:inline distT="0" distB="0" distL="0" distR="0" wp14:anchorId="4B637095" wp14:editId="58F2CE81">
            <wp:extent cx="5130165" cy="3347762"/>
            <wp:effectExtent l="0" t="0" r="0" b="5080"/>
            <wp:docPr id="9" name="Picture 9" title="Figure 3: Median age at most recent non-volitional sex, by age group and ge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130165" cy="3347762"/>
                    </a:xfrm>
                    <a:prstGeom prst="rect">
                      <a:avLst/>
                    </a:prstGeom>
                  </pic:spPr>
                </pic:pic>
              </a:graphicData>
            </a:graphic>
          </wp:inline>
        </w:drawing>
      </w:r>
    </w:p>
    <w:p w14:paraId="49AF2A54" w14:textId="77777777" w:rsidR="003251A4" w:rsidRDefault="008363BD" w:rsidP="0080347F">
      <w:pPr>
        <w:pStyle w:val="Note"/>
      </w:pPr>
      <w:r>
        <w:t xml:space="preserve">Note: </w:t>
      </w:r>
      <w:r w:rsidRPr="00EA40FC">
        <w:t xml:space="preserve">The </w:t>
      </w:r>
      <w:r>
        <w:t xml:space="preserve">figure does not display </w:t>
      </w:r>
      <w:r w:rsidRPr="00EA40FC">
        <w:t>median ages for the age groups 16</w:t>
      </w:r>
      <w:r>
        <w:t>–</w:t>
      </w:r>
      <w:r w:rsidRPr="00EA40FC">
        <w:t>24 years (</w:t>
      </w:r>
      <w:r>
        <w:t xml:space="preserve">although </w:t>
      </w:r>
      <w:proofErr w:type="spellStart"/>
      <w:r w:rsidRPr="00EA40FC">
        <w:t>eTables</w:t>
      </w:r>
      <w:proofErr w:type="spellEnd"/>
      <w:r>
        <w:t xml:space="preserve"> do</w:t>
      </w:r>
      <w:r w:rsidRPr="00EA40FC">
        <w:t>)</w:t>
      </w:r>
      <w:r>
        <w:t xml:space="preserve">. They </w:t>
      </w:r>
      <w:r w:rsidRPr="00EA40FC">
        <w:t>could be misleading</w:t>
      </w:r>
      <w:r>
        <w:t>, as</w:t>
      </w:r>
      <w:r w:rsidRPr="00EA40FC">
        <w:t xml:space="preserve"> non-volitional sex is more likely to occur in the future </w:t>
      </w:r>
      <w:r>
        <w:t xml:space="preserve">for </w:t>
      </w:r>
      <w:r w:rsidRPr="00EA40FC">
        <w:t>young people</w:t>
      </w:r>
      <w:r>
        <w:t>,</w:t>
      </w:r>
      <w:r w:rsidRPr="00EA40FC">
        <w:t xml:space="preserve"> meaning </w:t>
      </w:r>
      <w:r w:rsidRPr="009F667F">
        <w:t>the</w:t>
      </w:r>
      <w:r w:rsidRPr="00EA40FC">
        <w:t xml:space="preserve"> median age will rise over time.</w:t>
      </w:r>
    </w:p>
    <w:p w14:paraId="3FB05911" w14:textId="77777777" w:rsidR="0080347F" w:rsidRPr="0080347F" w:rsidRDefault="0080347F" w:rsidP="0080347F"/>
    <w:p w14:paraId="5FF7AEAE" w14:textId="77777777" w:rsidR="00E82262" w:rsidRPr="003C4C49" w:rsidRDefault="00E82262" w:rsidP="00A0035E">
      <w:pPr>
        <w:pStyle w:val="Bullet"/>
      </w:pPr>
      <w:r w:rsidRPr="003C4C49">
        <w:t xml:space="preserve">Among men, the median age of the most recent episode of non-volitional sex </w:t>
      </w:r>
      <w:r>
        <w:t xml:space="preserve">was </w:t>
      </w:r>
      <w:r w:rsidRPr="003C4C49">
        <w:t>14</w:t>
      </w:r>
      <w:r>
        <w:t> </w:t>
      </w:r>
      <w:r w:rsidRPr="003C4C49">
        <w:t>years for M</w:t>
      </w:r>
      <w:r w:rsidRPr="00C47D1A">
        <w:t>ā</w:t>
      </w:r>
      <w:r w:rsidRPr="003C4C49">
        <w:t>ori</w:t>
      </w:r>
      <w:r>
        <w:t xml:space="preserve"> and</w:t>
      </w:r>
      <w:r w:rsidRPr="003C4C49">
        <w:t xml:space="preserve"> Pacific </w:t>
      </w:r>
      <w:r>
        <w:t xml:space="preserve">men </w:t>
      </w:r>
      <w:r w:rsidRPr="003C4C49">
        <w:t>and those of European/other ethnicity, and 19</w:t>
      </w:r>
      <w:r>
        <w:t> </w:t>
      </w:r>
      <w:r w:rsidRPr="003C4C49">
        <w:t>year</w:t>
      </w:r>
      <w:r>
        <w:t>s</w:t>
      </w:r>
      <w:r w:rsidRPr="003C4C49">
        <w:t xml:space="preserve"> for Asian men. Among women, it </w:t>
      </w:r>
      <w:r>
        <w:t xml:space="preserve">was </w:t>
      </w:r>
      <w:r w:rsidRPr="003C4C49">
        <w:t xml:space="preserve">lowest for Pacific women (15 years), slightly </w:t>
      </w:r>
      <w:r>
        <w:t>older</w:t>
      </w:r>
      <w:r w:rsidRPr="003C4C49">
        <w:t xml:space="preserve"> for M</w:t>
      </w:r>
      <w:r w:rsidRPr="00C47D1A">
        <w:t>ā</w:t>
      </w:r>
      <w:r w:rsidRPr="003C4C49">
        <w:t>ori women (16 years</w:t>
      </w:r>
      <w:r>
        <w:t>),</w:t>
      </w:r>
      <w:r w:rsidRPr="003C4C49">
        <w:t xml:space="preserve"> 18 year</w:t>
      </w:r>
      <w:r>
        <w:t>s</w:t>
      </w:r>
      <w:r w:rsidRPr="003C4C49">
        <w:t xml:space="preserve"> for women of European/other ethnicity and highest for Asian women </w:t>
      </w:r>
      <w:r>
        <w:t>(20 years).</w:t>
      </w:r>
      <w:r w:rsidRPr="00A0035E">
        <w:rPr>
          <w:rStyle w:val="FootnoteReference"/>
        </w:rPr>
        <w:footnoteReference w:id="1"/>
      </w:r>
    </w:p>
    <w:p w14:paraId="3BF54511" w14:textId="77777777" w:rsidR="00E82262" w:rsidRPr="003C4C49" w:rsidRDefault="00E82262" w:rsidP="00A0035E">
      <w:pPr>
        <w:pStyle w:val="Bullet"/>
      </w:pPr>
      <w:r>
        <w:t xml:space="preserve">There was no pattern for the median age of </w:t>
      </w:r>
      <w:r w:rsidRPr="003C4C49">
        <w:t>the most recent episode of non-volitional sex</w:t>
      </w:r>
      <w:r>
        <w:t xml:space="preserve"> by level of neighbourhood deprivation.</w:t>
      </w:r>
    </w:p>
    <w:p w14:paraId="4B6780AE" w14:textId="77777777" w:rsidR="00E82262" w:rsidRDefault="00E82262" w:rsidP="00A0035E"/>
    <w:p w14:paraId="5CC07571" w14:textId="77777777" w:rsidR="00C6247D" w:rsidRDefault="00E82262" w:rsidP="00A0035E">
      <w:pPr>
        <w:pStyle w:val="Heading4"/>
      </w:pPr>
      <w:r w:rsidRPr="00583DCB">
        <w:lastRenderedPageBreak/>
        <w:t>The</w:t>
      </w:r>
      <w:r w:rsidRPr="007A42A9">
        <w:t xml:space="preserve"> most recent non-volitional sex for </w:t>
      </w:r>
      <w:r>
        <w:t>wo</w:t>
      </w:r>
      <w:r w:rsidRPr="007A42A9">
        <w:t>men was perpetrated</w:t>
      </w:r>
      <w:r>
        <w:t xml:space="preserve"> </w:t>
      </w:r>
      <w:r w:rsidRPr="007A42A9">
        <w:t xml:space="preserve">by </w:t>
      </w:r>
      <w:r>
        <w:t>an intimate partner (former or current) in one in three cases</w:t>
      </w:r>
    </w:p>
    <w:p w14:paraId="5E664EE9" w14:textId="77777777" w:rsidR="00E82262" w:rsidRDefault="00E82262" w:rsidP="0080347F">
      <w:pPr>
        <w:pStyle w:val="Bullet"/>
        <w:keepNext/>
      </w:pPr>
      <w:r w:rsidRPr="007A42A9">
        <w:t xml:space="preserve">Among women, the perpetrator of the most recent episode of non-volitional sex was </w:t>
      </w:r>
      <w:r>
        <w:t xml:space="preserve">most commonly </w:t>
      </w:r>
      <w:r w:rsidRPr="007A42A9">
        <w:t xml:space="preserve">a </w:t>
      </w:r>
      <w:r>
        <w:t xml:space="preserve">former or current intimate partner (34 percent) </w:t>
      </w:r>
      <w:r w:rsidRPr="007A42A9">
        <w:t xml:space="preserve">(Figure 4). </w:t>
      </w:r>
      <w:r>
        <w:t>T</w:t>
      </w:r>
      <w:r w:rsidRPr="007A42A9">
        <w:t>he numbers are too small to examine how this varied by age.</w:t>
      </w:r>
    </w:p>
    <w:p w14:paraId="15EE18D7" w14:textId="0A09068E" w:rsidR="00E82262" w:rsidRPr="007A42A9" w:rsidRDefault="00E82262" w:rsidP="00A0035E">
      <w:pPr>
        <w:pStyle w:val="Bullet"/>
      </w:pPr>
      <w:r w:rsidRPr="007A42A9">
        <w:t xml:space="preserve">Among men, the perpetrator of the most recent episode of non-volitional sex was </w:t>
      </w:r>
      <w:r>
        <w:t xml:space="preserve">most commonly </w:t>
      </w:r>
      <w:r w:rsidRPr="007A42A9">
        <w:t>either a family member/friend (3</w:t>
      </w:r>
      <w:r>
        <w:t>1 percent</w:t>
      </w:r>
      <w:r w:rsidRPr="007A42A9">
        <w:t xml:space="preserve">), or </w:t>
      </w:r>
      <w:r w:rsidR="00232A88">
        <w:t>an acquaintance</w:t>
      </w:r>
      <w:r w:rsidRPr="007A42A9">
        <w:t xml:space="preserve"> (2</w:t>
      </w:r>
      <w:r>
        <w:t>8 percent</w:t>
      </w:r>
      <w:r w:rsidRPr="007A42A9">
        <w:t>) (Figure 4). The numbers are too small to examine how this varied by age.</w:t>
      </w:r>
    </w:p>
    <w:p w14:paraId="6A3B9B90" w14:textId="77777777" w:rsidR="00E82262" w:rsidRPr="007A42A9" w:rsidRDefault="00E82262" w:rsidP="00232A88"/>
    <w:p w14:paraId="0BCBCAA4" w14:textId="77777777" w:rsidR="00E82262" w:rsidRDefault="00E82262" w:rsidP="00A0035E">
      <w:pPr>
        <w:pStyle w:val="Figure"/>
      </w:pPr>
      <w:bookmarkStart w:id="18" w:name="_Toc525908134"/>
      <w:bookmarkStart w:id="19" w:name="_Toc14961440"/>
      <w:bookmarkStart w:id="20" w:name="_Toc22300502"/>
      <w:r w:rsidRPr="00261E60">
        <w:t xml:space="preserve">Figure </w:t>
      </w:r>
      <w:r w:rsidRPr="00261E60">
        <w:rPr>
          <w:noProof/>
        </w:rPr>
        <w:t>4:</w:t>
      </w:r>
      <w:r>
        <w:rPr>
          <w:noProof/>
        </w:rPr>
        <w:t xml:space="preserve"> Relationship </w:t>
      </w:r>
      <w:r>
        <w:t>to</w:t>
      </w:r>
      <w:r w:rsidRPr="00261E60">
        <w:t xml:space="preserve"> perpetrator of </w:t>
      </w:r>
      <w:r>
        <w:t xml:space="preserve">most recent </w:t>
      </w:r>
      <w:r w:rsidRPr="00261E60">
        <w:t>non-volitional sex</w:t>
      </w:r>
      <w:r>
        <w:t>,</w:t>
      </w:r>
      <w:r w:rsidRPr="00261E60">
        <w:t xml:space="preserve"> </w:t>
      </w:r>
      <w:bookmarkEnd w:id="18"/>
      <w:r>
        <w:t>by gender</w:t>
      </w:r>
      <w:bookmarkEnd w:id="19"/>
      <w:bookmarkEnd w:id="20"/>
    </w:p>
    <w:p w14:paraId="700D4FD0" w14:textId="44CFDB5E" w:rsidR="00E82262" w:rsidRDefault="0080347F" w:rsidP="00A0035E">
      <w:r w:rsidRPr="0080347F">
        <w:rPr>
          <w:noProof/>
          <w:lang w:eastAsia="en-NZ"/>
        </w:rPr>
        <w:drawing>
          <wp:inline distT="0" distB="0" distL="0" distR="0" wp14:anchorId="751F7E63" wp14:editId="056997B1">
            <wp:extent cx="5130165" cy="3353242"/>
            <wp:effectExtent l="0" t="0" r="0" b="0"/>
            <wp:docPr id="7" name="Picture 7" descr="For about 35% of women, the perpetrator was a current or former intimate partner. For about 28% of women it was a friend or family member, for about 22% it was an acquaintance, and for about 18% it was a stranger. For men, the most likely perpetrator was a friend or family member, about 32%. For about 29% of men it was an acquaintance, for 20% of men it was a stranger, and for about 17% of men it was a former or current intimate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130165" cy="3353242"/>
                    </a:xfrm>
                    <a:prstGeom prst="rect">
                      <a:avLst/>
                    </a:prstGeom>
                  </pic:spPr>
                </pic:pic>
              </a:graphicData>
            </a:graphic>
          </wp:inline>
        </w:drawing>
      </w:r>
    </w:p>
    <w:p w14:paraId="1081072F" w14:textId="77777777" w:rsidR="0080347F" w:rsidRDefault="0080347F" w:rsidP="00A0035E"/>
    <w:p w14:paraId="49BBC9DC" w14:textId="77777777" w:rsidR="00E82262" w:rsidRDefault="00E82262" w:rsidP="00A0035E">
      <w:pPr>
        <w:pStyle w:val="Bullet"/>
      </w:pPr>
      <w:r w:rsidRPr="007A42A9">
        <w:t>Among men, the numbers were too small to reliably analyse by relationship with the most recent perpetrator for most ethnic groups.</w:t>
      </w:r>
    </w:p>
    <w:p w14:paraId="443BDAF5" w14:textId="77777777" w:rsidR="00E82262" w:rsidRPr="007A42A9" w:rsidRDefault="00E82262" w:rsidP="00A0035E">
      <w:pPr>
        <w:pStyle w:val="Bullet"/>
      </w:pPr>
      <w:r>
        <w:t>W</w:t>
      </w:r>
      <w:r w:rsidRPr="007A42A9">
        <w:t xml:space="preserve">omen of Asian and European/other ethnicity most commonly reported </w:t>
      </w:r>
      <w:r>
        <w:t xml:space="preserve">that </w:t>
      </w:r>
      <w:r w:rsidRPr="007A42A9">
        <w:t xml:space="preserve">the perpetrator of their most recent episode of </w:t>
      </w:r>
      <w:r>
        <w:t>non-volitional</w:t>
      </w:r>
      <w:r w:rsidRPr="007A42A9">
        <w:t xml:space="preserve"> sex was </w:t>
      </w:r>
      <w:r>
        <w:t>a former or current intimate partner</w:t>
      </w:r>
      <w:r w:rsidRPr="007A42A9">
        <w:t>, while for Māori and Pacific women it was most likely to have been a family member or friend.</w:t>
      </w:r>
    </w:p>
    <w:p w14:paraId="474BC145" w14:textId="77777777" w:rsidR="00E82262" w:rsidRPr="007A42A9" w:rsidRDefault="00E82262" w:rsidP="00A0035E"/>
    <w:p w14:paraId="40424CDB" w14:textId="77777777" w:rsidR="00E82262" w:rsidRDefault="00E82262" w:rsidP="00A0035E">
      <w:pPr>
        <w:pStyle w:val="Figure"/>
      </w:pPr>
      <w:bookmarkStart w:id="21" w:name="_Toc525908135"/>
      <w:bookmarkStart w:id="22" w:name="_Toc14961441"/>
      <w:bookmarkStart w:id="23" w:name="_Toc22300503"/>
      <w:r w:rsidRPr="007A42A9">
        <w:lastRenderedPageBreak/>
        <w:t xml:space="preserve">Figure </w:t>
      </w:r>
      <w:r w:rsidRPr="007A42A9">
        <w:rPr>
          <w:noProof/>
        </w:rPr>
        <w:t>5</w:t>
      </w:r>
      <w:r>
        <w:rPr>
          <w:noProof/>
        </w:rPr>
        <w:t xml:space="preserve">: </w:t>
      </w:r>
      <w:r>
        <w:t>Relationship to</w:t>
      </w:r>
      <w:r w:rsidRPr="007A42A9">
        <w:t xml:space="preserve"> perpetrator of </w:t>
      </w:r>
      <w:r>
        <w:t xml:space="preserve">most recent </w:t>
      </w:r>
      <w:r w:rsidRPr="007A42A9">
        <w:t>non-volitional sex among women</w:t>
      </w:r>
      <w:r>
        <w:t>,</w:t>
      </w:r>
      <w:r w:rsidRPr="007A42A9">
        <w:t xml:space="preserve"> by ethnicity</w:t>
      </w:r>
      <w:bookmarkEnd w:id="21"/>
      <w:bookmarkEnd w:id="22"/>
      <w:bookmarkEnd w:id="23"/>
    </w:p>
    <w:p w14:paraId="5AD54B5F" w14:textId="4006D1C8" w:rsidR="00CD0E39" w:rsidRDefault="00CD0E39" w:rsidP="00CD0E39">
      <w:r w:rsidRPr="00CD0E39">
        <w:rPr>
          <w:noProof/>
          <w:lang w:eastAsia="en-NZ"/>
        </w:rPr>
        <w:drawing>
          <wp:inline distT="0" distB="0" distL="0" distR="0" wp14:anchorId="60AAB0A9" wp14:editId="7D6F7B3A">
            <wp:extent cx="5130165" cy="3353242"/>
            <wp:effectExtent l="0" t="0" r="0" b="0"/>
            <wp:docPr id="8" name="Picture 8" descr="A former or current intimate partner was the most likely perpetrator for Asian and European/other women, close to 40%, while it was under 30% for Māori and Pacific women. Close to 50% of Pacific women had a family member or friend who was the perpetrator, compared to about 35% for Māori women and about 25% for Asian and European/other women. Other acquaintances were the perpetrators for about 30% of Asian women, while only about 20% for the other groups. About 18% of European/other women had a stranger perpetrator, compared to 10% or less for other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130165" cy="3353242"/>
                    </a:xfrm>
                    <a:prstGeom prst="rect">
                      <a:avLst/>
                    </a:prstGeom>
                  </pic:spPr>
                </pic:pic>
              </a:graphicData>
            </a:graphic>
          </wp:inline>
        </w:drawing>
      </w:r>
    </w:p>
    <w:p w14:paraId="5DA6358F" w14:textId="77777777" w:rsidR="00E82262" w:rsidRDefault="00E82262" w:rsidP="00A0035E">
      <w:pPr>
        <w:pStyle w:val="Note"/>
      </w:pPr>
      <w:r>
        <w:t>Note: Adults who reported more than one ethnic group are counted once in each group reported. This means that the total number of responses for all ethnic groups can be greater than the total number of adults who stated their ethnicities.</w:t>
      </w:r>
    </w:p>
    <w:p w14:paraId="4C619E4B" w14:textId="77777777" w:rsidR="00A0035E" w:rsidRPr="00A0035E" w:rsidRDefault="00A0035E" w:rsidP="00A0035E"/>
    <w:p w14:paraId="580279F0" w14:textId="77777777" w:rsidR="00E82262" w:rsidRDefault="00E82262" w:rsidP="00A0035E">
      <w:pPr>
        <w:pStyle w:val="Bullet"/>
      </w:pPr>
      <w:r w:rsidRPr="007A42A9">
        <w:t>After adjustment for age, the most recent perpetrator for Māori women was 1.5</w:t>
      </w:r>
      <w:r>
        <w:t> </w:t>
      </w:r>
      <w:r w:rsidRPr="007A42A9">
        <w:t xml:space="preserve">times as likely to have been a family member or friend </w:t>
      </w:r>
      <w:r>
        <w:t>as it was</w:t>
      </w:r>
      <w:r w:rsidRPr="007A42A9">
        <w:t xml:space="preserve"> for non-Māori</w:t>
      </w:r>
      <w:r>
        <w:t xml:space="preserve"> women.</w:t>
      </w:r>
      <w:r w:rsidRPr="007A42A9">
        <w:t xml:space="preserve"> </w:t>
      </w:r>
      <w:r>
        <w:t>T</w:t>
      </w:r>
      <w:r w:rsidRPr="007A42A9">
        <w:t xml:space="preserve">he most recent perpetrator </w:t>
      </w:r>
      <w:r>
        <w:t xml:space="preserve">for </w:t>
      </w:r>
      <w:r w:rsidRPr="007A42A9">
        <w:t xml:space="preserve">Pacific women </w:t>
      </w:r>
      <w:r>
        <w:t>was</w:t>
      </w:r>
      <w:r w:rsidRPr="007A42A9">
        <w:t xml:space="preserve"> twice as likely to have been a family member </w:t>
      </w:r>
      <w:r>
        <w:t xml:space="preserve">or friend </w:t>
      </w:r>
      <w:r w:rsidRPr="007A42A9">
        <w:t xml:space="preserve">as </w:t>
      </w:r>
      <w:r>
        <w:t xml:space="preserve">it was for </w:t>
      </w:r>
      <w:r w:rsidRPr="007A42A9">
        <w:t xml:space="preserve">non-Pacific </w:t>
      </w:r>
      <w:r>
        <w:t>women</w:t>
      </w:r>
      <w:r w:rsidRPr="007A42A9">
        <w:t>.</w:t>
      </w:r>
    </w:p>
    <w:p w14:paraId="720CCC18" w14:textId="77777777" w:rsidR="00E82262" w:rsidRDefault="00E82262" w:rsidP="00A0035E">
      <w:pPr>
        <w:pStyle w:val="Bullet"/>
      </w:pPr>
      <w:r w:rsidRPr="007A42A9">
        <w:t xml:space="preserve">Among women, there were no clear or consistent </w:t>
      </w:r>
      <w:r>
        <w:t>pattern</w:t>
      </w:r>
      <w:r w:rsidRPr="007A42A9">
        <w:t xml:space="preserve">s in </w:t>
      </w:r>
      <w:r>
        <w:t xml:space="preserve">terms of </w:t>
      </w:r>
      <w:r w:rsidRPr="007A42A9">
        <w:t>relationship</w:t>
      </w:r>
      <w:r>
        <w:t>s</w:t>
      </w:r>
      <w:r w:rsidRPr="007A42A9">
        <w:t xml:space="preserve"> with the most recent perpetrator by nei</w:t>
      </w:r>
      <w:r>
        <w:t>ghbourhood level of deprivation, before and after adjusting for age and ethnicity</w:t>
      </w:r>
      <w:r w:rsidRPr="007A42A9">
        <w:t>.</w:t>
      </w:r>
    </w:p>
    <w:p w14:paraId="6FFEA1BD" w14:textId="77777777" w:rsidR="00E82262" w:rsidRPr="007A42A9" w:rsidRDefault="00E82262" w:rsidP="00A0035E">
      <w:pPr>
        <w:pStyle w:val="Bullet"/>
      </w:pPr>
      <w:r w:rsidRPr="007A42A9">
        <w:t xml:space="preserve">Among men, small numbers </w:t>
      </w:r>
      <w:r>
        <w:t>prevented</w:t>
      </w:r>
      <w:r w:rsidRPr="007A42A9">
        <w:t xml:space="preserve"> reliable examination of the type of perpetrator by neighbourhood deprivation.</w:t>
      </w:r>
    </w:p>
    <w:p w14:paraId="168FB497" w14:textId="77777777" w:rsidR="00E82262" w:rsidRPr="00553C05" w:rsidRDefault="00E82262" w:rsidP="00A0035E"/>
    <w:p w14:paraId="220FD21C" w14:textId="77777777" w:rsidR="00E82262" w:rsidRPr="00FB6EA2" w:rsidRDefault="00E82262" w:rsidP="00A0035E">
      <w:pPr>
        <w:pStyle w:val="Heading1"/>
      </w:pPr>
      <w:bookmarkStart w:id="24" w:name="_Toc1549824"/>
      <w:bookmarkStart w:id="25" w:name="_Toc4494805"/>
      <w:bookmarkStart w:id="26" w:name="_Toc4569366"/>
      <w:bookmarkStart w:id="27" w:name="_Toc4572302"/>
      <w:bookmarkStart w:id="28" w:name="_Toc4588248"/>
      <w:bookmarkStart w:id="29" w:name="_Toc22300495"/>
      <w:r w:rsidRPr="00FB6EA2">
        <w:lastRenderedPageBreak/>
        <w:t>Interpretation notes</w:t>
      </w:r>
      <w:bookmarkEnd w:id="24"/>
      <w:bookmarkEnd w:id="25"/>
      <w:bookmarkEnd w:id="26"/>
      <w:bookmarkEnd w:id="27"/>
      <w:bookmarkEnd w:id="28"/>
      <w:bookmarkEnd w:id="29"/>
    </w:p>
    <w:p w14:paraId="53FC3A10" w14:textId="77777777" w:rsidR="00E82262" w:rsidRPr="00FB6EA2" w:rsidRDefault="00E82262" w:rsidP="00A0035E">
      <w:r w:rsidRPr="00FB6EA2">
        <w:t xml:space="preserve">This section provides some key points for interpreting the survey results presented in this report. For more details about the survey methodology, see the </w:t>
      </w:r>
      <w:r w:rsidRPr="00087A73">
        <w:rPr>
          <w:i/>
          <w:iCs/>
        </w:rPr>
        <w:t>Methodology Report 2014/15: New Zealand Health Survey</w:t>
      </w:r>
      <w:r w:rsidRPr="00FB6EA2">
        <w:t xml:space="preserve"> (Ministry of Health 2015b) and </w:t>
      </w:r>
      <w:r w:rsidRPr="00087A73">
        <w:rPr>
          <w:i/>
          <w:iCs/>
        </w:rPr>
        <w:t>Sexual and Reproductive Health Indicator Interpretation Guide 2014/15: New Zealand Health Survey</w:t>
      </w:r>
      <w:r w:rsidRPr="00FB6EA2">
        <w:t xml:space="preserve"> (Ministry of Health 2019).</w:t>
      </w:r>
    </w:p>
    <w:p w14:paraId="0E4C5301" w14:textId="77777777" w:rsidR="00E82262" w:rsidRPr="006F69DC" w:rsidRDefault="00E82262" w:rsidP="00A0035E"/>
    <w:p w14:paraId="21190304" w14:textId="77777777" w:rsidR="00E82262" w:rsidRPr="00FB6EA2" w:rsidRDefault="00E82262" w:rsidP="00A0035E">
      <w:pPr>
        <w:pStyle w:val="Heading3"/>
      </w:pPr>
      <w:r w:rsidRPr="00FB6EA2">
        <w:t>Statistical significance</w:t>
      </w:r>
    </w:p>
    <w:p w14:paraId="57956607" w14:textId="77777777" w:rsidR="00E82262" w:rsidRPr="00FB6EA2" w:rsidRDefault="00E82262" w:rsidP="00A0035E">
      <w:r w:rsidRPr="00FB6EA2">
        <w:t>Unless otherwise specified, the results discussed in this report only refer to differences that are statistically significant at the 5 percent level (</w:t>
      </w:r>
      <w:proofErr w:type="spellStart"/>
      <w:r>
        <w:t>ie</w:t>
      </w:r>
      <w:proofErr w:type="spellEnd"/>
      <w:r w:rsidRPr="00FB6EA2">
        <w:t xml:space="preserve">, those with a p-value of less than 0.05). </w:t>
      </w:r>
      <w:r w:rsidR="00C6247D">
        <w:t>‘</w:t>
      </w:r>
      <w:r w:rsidRPr="00FB6EA2">
        <w:t>Statistically significant</w:t>
      </w:r>
      <w:r w:rsidR="00C6247D">
        <w:t>’</w:t>
      </w:r>
      <w:r w:rsidRPr="00FB6EA2">
        <w:t xml:space="preserve"> means that the difference between the sample groups is likely to reflect real differences in the population groups, rather than being caused by chance. A statistically significant difference does not necessarily mean the difference between the population groups is meaningful.</w:t>
      </w:r>
    </w:p>
    <w:p w14:paraId="1977EF84" w14:textId="77777777" w:rsidR="00E82262" w:rsidRPr="006F69DC" w:rsidRDefault="00E82262" w:rsidP="00A0035E"/>
    <w:p w14:paraId="292C4DAE" w14:textId="77777777" w:rsidR="00E82262" w:rsidRPr="00FB6EA2" w:rsidRDefault="00E82262" w:rsidP="00A0035E">
      <w:pPr>
        <w:pStyle w:val="Heading3"/>
        <w:rPr>
          <w:b/>
          <w:bCs/>
        </w:rPr>
      </w:pPr>
      <w:r w:rsidRPr="00FB6EA2">
        <w:t>Confidence intervals</w:t>
      </w:r>
    </w:p>
    <w:p w14:paraId="10EB3618" w14:textId="77777777" w:rsidR="00957859" w:rsidRDefault="00957859" w:rsidP="00957859">
      <w:r>
        <w:t>We use 95% confidence intervals to show the statistical precision of the estimates. Wider confidence intervals indicate less precise estimates than narrow intervals, caused by higher variation with a sample and/or smaller numbers in a sample. Confidence intervals generally agree with statistical significance. When confidence intervals for two estimates don't overlap, there is a statistically significant difference between the estimates. However, the opposite may not always be true.</w:t>
      </w:r>
    </w:p>
    <w:p w14:paraId="3AD73456" w14:textId="77777777" w:rsidR="00A0035E" w:rsidRPr="00FB6EA2" w:rsidRDefault="00A0035E" w:rsidP="00A0035E">
      <w:bookmarkStart w:id="30" w:name="_GoBack"/>
      <w:bookmarkEnd w:id="30"/>
    </w:p>
    <w:p w14:paraId="6CFF91B8" w14:textId="77777777" w:rsidR="00E82262" w:rsidRPr="00FB6EA2" w:rsidRDefault="00E82262" w:rsidP="00A0035E">
      <w:pPr>
        <w:pStyle w:val="Heading3"/>
      </w:pPr>
      <w:r w:rsidRPr="00FB6EA2">
        <w:t>Comparing population subgroups</w:t>
      </w:r>
    </w:p>
    <w:p w14:paraId="23862ED1" w14:textId="77777777" w:rsidR="00C6247D" w:rsidRDefault="00E82262" w:rsidP="00A0035E">
      <w:r w:rsidRPr="00FB6EA2">
        <w:t>This report uses adjusted ratios to test if the prevalence of indicators is statistically significantly different between groups. We have adjusted these ratios for demographic factors that may be influencing the comparison, such as age, gender and ethnicity. The adjusted ratio indicates whether the results are less or more likely in the group of interest than the comparison group. A ratio of less than 1 indicates that the result is less likely and a ratio greater than 1 indicates that it is more likely.</w:t>
      </w:r>
    </w:p>
    <w:p w14:paraId="6DBEBBD9" w14:textId="77777777" w:rsidR="00E82262" w:rsidRPr="00FB6EA2" w:rsidRDefault="00E82262" w:rsidP="00A0035E"/>
    <w:p w14:paraId="49396F50" w14:textId="77777777" w:rsidR="00C6247D" w:rsidRDefault="00E82262" w:rsidP="00A0035E">
      <w:r w:rsidRPr="00FB6EA2">
        <w:t xml:space="preserve">The survey uses the New Zealand Index of Deprivation 2013 (NZDep2013) to measure neighbourhood deprivation. The </w:t>
      </w:r>
      <w:r>
        <w:t>s</w:t>
      </w:r>
      <w:r w:rsidRPr="00FB6EA2">
        <w:t xml:space="preserve">urvey groups neighbourhoods into five quintiles (the label </w:t>
      </w:r>
      <w:r w:rsidR="00C6247D">
        <w:t>‘</w:t>
      </w:r>
      <w:r w:rsidRPr="00FB6EA2">
        <w:t>quintile 1</w:t>
      </w:r>
      <w:r w:rsidR="00C6247D">
        <w:t>’</w:t>
      </w:r>
      <w:r w:rsidRPr="00FB6EA2">
        <w:t xml:space="preserve"> applies to neighbourhoods with the lowest levels of deprivation, and </w:t>
      </w:r>
      <w:r w:rsidR="00C6247D">
        <w:t>‘</w:t>
      </w:r>
      <w:r w:rsidRPr="00FB6EA2">
        <w:t>quintile 5</w:t>
      </w:r>
      <w:r w:rsidR="00C6247D">
        <w:t>’</w:t>
      </w:r>
      <w:r w:rsidRPr="00FB6EA2">
        <w:t xml:space="preserve"> to those with the highest). Indicators are reported for each quintile.</w:t>
      </w:r>
      <w:r w:rsidRPr="00FB6EA2" w:rsidDel="005D7206">
        <w:t xml:space="preserve"> </w:t>
      </w:r>
      <w:r w:rsidRPr="00FB6EA2">
        <w:t>The adjusted ratios for deprivation compare the highest and lowest deprivation areas, after adjusting for age, ethnic group, gender and the pattern across all five quintiles.</w:t>
      </w:r>
    </w:p>
    <w:p w14:paraId="3B703717" w14:textId="77777777" w:rsidR="00E82262" w:rsidRPr="006F69DC" w:rsidRDefault="00E82262" w:rsidP="00A0035E"/>
    <w:p w14:paraId="5AFE3DD4" w14:textId="77777777" w:rsidR="00E82262" w:rsidRPr="00FB6EA2" w:rsidRDefault="00E82262" w:rsidP="00A0035E">
      <w:pPr>
        <w:pStyle w:val="Heading3"/>
      </w:pPr>
      <w:r w:rsidRPr="00FB6EA2">
        <w:lastRenderedPageBreak/>
        <w:t>Gender</w:t>
      </w:r>
    </w:p>
    <w:p w14:paraId="6696CB00" w14:textId="77777777" w:rsidR="00C6247D" w:rsidRDefault="00E82262" w:rsidP="00A0035E">
      <w:r w:rsidRPr="00FB6EA2">
        <w:t>Gender is self-defined by respondents in the survey. For some people their gender is not the same as their biological sex at birth. Respondents were asked if they were male or female, and while what these options meant was open to the respondent</w:t>
      </w:r>
      <w:r w:rsidR="00C6247D">
        <w:t>’</w:t>
      </w:r>
      <w:r w:rsidRPr="00FB6EA2">
        <w:t>s interpretation, gender-diverse options (</w:t>
      </w:r>
      <w:proofErr w:type="spellStart"/>
      <w:r w:rsidRPr="00FB6EA2">
        <w:t>eg</w:t>
      </w:r>
      <w:proofErr w:type="spellEnd"/>
      <w:r w:rsidRPr="00FB6EA2">
        <w:t xml:space="preserve">, </w:t>
      </w:r>
      <w:r w:rsidR="00C6247D">
        <w:t>‘</w:t>
      </w:r>
      <w:r w:rsidRPr="00FB6EA2">
        <w:t>gender non-conforming</w:t>
      </w:r>
      <w:r w:rsidR="00C6247D">
        <w:t>’</w:t>
      </w:r>
      <w:r w:rsidRPr="00FB6EA2">
        <w:t xml:space="preserve"> or </w:t>
      </w:r>
      <w:r w:rsidR="00C6247D">
        <w:t>‘</w:t>
      </w:r>
      <w:r w:rsidRPr="00FB6EA2">
        <w:t>other</w:t>
      </w:r>
      <w:r w:rsidR="00C6247D">
        <w:t>’</w:t>
      </w:r>
      <w:r w:rsidRPr="00FB6EA2">
        <w:t xml:space="preserve">) were not available. The Ministry of Health acknowledges the need to improve data collection in this </w:t>
      </w:r>
      <w:proofErr w:type="gramStart"/>
      <w:r w:rsidRPr="00FB6EA2">
        <w:t>area, and</w:t>
      </w:r>
      <w:proofErr w:type="gramEnd"/>
      <w:r w:rsidRPr="00FB6EA2">
        <w:t xml:space="preserve"> is considering implementing the statistical standard for gender identity in future surveys (Statistics New Zealand 2015).</w:t>
      </w:r>
    </w:p>
    <w:p w14:paraId="41F6A8CD" w14:textId="77777777" w:rsidR="00A0035E" w:rsidRDefault="00A0035E" w:rsidP="00A0035E"/>
    <w:p w14:paraId="2EB6863B" w14:textId="77777777" w:rsidR="00E82262" w:rsidRPr="00FB6EA2" w:rsidRDefault="00E82262" w:rsidP="00A0035E">
      <w:pPr>
        <w:pStyle w:val="Heading3"/>
      </w:pPr>
      <w:r w:rsidRPr="00FB6EA2">
        <w:t>Non-sampling error</w:t>
      </w:r>
    </w:p>
    <w:p w14:paraId="2B486365" w14:textId="77777777" w:rsidR="00C6247D" w:rsidRDefault="00E82262" w:rsidP="00A0035E">
      <w:r w:rsidRPr="00FB6EA2">
        <w:t>The survey results may underestimate or overestimate some indicators because the data is self-reported. The accuracy of a person</w:t>
      </w:r>
      <w:r w:rsidR="00C6247D">
        <w:t>’</w:t>
      </w:r>
      <w:r w:rsidRPr="00FB6EA2">
        <w:t>s memory may vary depending on many factors, including social norms, the importance of the event being recalled, the individual</w:t>
      </w:r>
      <w:r w:rsidR="00C6247D">
        <w:t>’</w:t>
      </w:r>
      <w:r w:rsidRPr="00FB6EA2">
        <w:t xml:space="preserve">s age at the time and the </w:t>
      </w:r>
      <w:proofErr w:type="gramStart"/>
      <w:r w:rsidRPr="00FB6EA2">
        <w:t>period of time</w:t>
      </w:r>
      <w:proofErr w:type="gramEnd"/>
      <w:r w:rsidRPr="00FB6EA2">
        <w:t xml:space="preserve"> that has passed since the event occurred.</w:t>
      </w:r>
    </w:p>
    <w:p w14:paraId="1319EAFE" w14:textId="77777777" w:rsidR="00A0035E" w:rsidRDefault="00A0035E" w:rsidP="00A0035E"/>
    <w:p w14:paraId="6458C8D2" w14:textId="77777777" w:rsidR="00E82262" w:rsidRPr="00FB6EA2" w:rsidRDefault="00E82262" w:rsidP="00A0035E">
      <w:pPr>
        <w:pStyle w:val="Heading1"/>
      </w:pPr>
      <w:bookmarkStart w:id="31" w:name="_Toc4569367"/>
      <w:bookmarkStart w:id="32" w:name="_Toc4572303"/>
      <w:bookmarkStart w:id="33" w:name="_Toc4588249"/>
      <w:bookmarkStart w:id="34" w:name="_Toc22300496"/>
      <w:r w:rsidRPr="00FB6EA2">
        <w:lastRenderedPageBreak/>
        <w:t>Overview of survey methodology</w:t>
      </w:r>
      <w:bookmarkEnd w:id="31"/>
      <w:bookmarkEnd w:id="32"/>
      <w:bookmarkEnd w:id="33"/>
      <w:bookmarkEnd w:id="34"/>
    </w:p>
    <w:p w14:paraId="3D1D031F" w14:textId="77777777" w:rsidR="00C6247D" w:rsidRDefault="00E82262" w:rsidP="00A0035E">
      <w:r w:rsidRPr="00EA3E17">
        <w:t xml:space="preserve">This section gives a brief overview of the </w:t>
      </w:r>
      <w:r>
        <w:t>survey methodology</w:t>
      </w:r>
      <w:r w:rsidRPr="00EA3E17">
        <w:t xml:space="preserve"> for the New Zealand Health Survey.</w:t>
      </w:r>
    </w:p>
    <w:p w14:paraId="1D0D8625" w14:textId="77777777" w:rsidR="00A0035E" w:rsidRDefault="00A0035E" w:rsidP="00A0035E"/>
    <w:p w14:paraId="2ADFF0AA" w14:textId="77777777" w:rsidR="00C6247D" w:rsidRDefault="00E82262" w:rsidP="00A0035E">
      <w:pPr>
        <w:pStyle w:val="Heading3"/>
      </w:pPr>
      <w:r w:rsidRPr="00FB6EA2">
        <w:t>How were people selected for the survey?</w:t>
      </w:r>
    </w:p>
    <w:p w14:paraId="6C207E93" w14:textId="77777777" w:rsidR="00E82262" w:rsidRDefault="00E82262" w:rsidP="00A0035E">
      <w:pPr>
        <w:rPr>
          <w:rFonts w:cs="Segoe UI"/>
          <w:szCs w:val="21"/>
        </w:rPr>
      </w:pPr>
      <w:r w:rsidRPr="00FB6EA2">
        <w:t>The 2014/15 results refer to the sample selected for the period July 2014–June 2015.</w:t>
      </w:r>
      <w:r w:rsidR="00A0035E">
        <w:t xml:space="preserve"> </w:t>
      </w:r>
      <w:r w:rsidRPr="00FB6EA2">
        <w:t xml:space="preserve">The survey has a multi-stage sampling design that involves randomly selecting a sample of small geographic areas, households within the selected areas and individuals within the selected households. One adult aged 15 years or older and one child aged 14 years or younger (if there were any) were chosen at random from each selected household. Adults aged 16–74 years who had completed the 2014/15 survey were invited to participate in the Sexual and Reproductive Health module. </w:t>
      </w:r>
      <w:r>
        <w:rPr>
          <w:rFonts w:cs="Segoe UI"/>
          <w:szCs w:val="21"/>
        </w:rPr>
        <w:t xml:space="preserve">Further details are available in </w:t>
      </w:r>
      <w:r>
        <w:rPr>
          <w:rFonts w:cs="Segoe UI"/>
          <w:i/>
          <w:szCs w:val="21"/>
        </w:rPr>
        <w:t>The New Zealand Health Survey: Sample design, years 1–3 (2011–2013)</w:t>
      </w:r>
      <w:r>
        <w:rPr>
          <w:rFonts w:cs="Segoe UI"/>
          <w:szCs w:val="21"/>
        </w:rPr>
        <w:t xml:space="preserve"> (Ministry of Health 2011).</w:t>
      </w:r>
    </w:p>
    <w:p w14:paraId="35A4BEEB" w14:textId="77777777" w:rsidR="00A0035E" w:rsidRPr="00FB6EA2" w:rsidRDefault="00A0035E" w:rsidP="00A0035E"/>
    <w:p w14:paraId="0C3D1E68" w14:textId="77777777" w:rsidR="00C6247D" w:rsidRDefault="00E82262" w:rsidP="00A0035E">
      <w:pPr>
        <w:pStyle w:val="Heading3"/>
      </w:pPr>
      <w:r w:rsidRPr="00FB6EA2">
        <w:t>How was data collected?</w:t>
      </w:r>
    </w:p>
    <w:p w14:paraId="1FC437E0" w14:textId="77777777" w:rsidR="00E82262" w:rsidRPr="00FB6EA2" w:rsidRDefault="00E82262" w:rsidP="00A0035E">
      <w:r w:rsidRPr="00FB6EA2">
        <w:t>Professional surveyors from CBG Health Research Ltd collected data in respondents</w:t>
      </w:r>
      <w:r w:rsidR="00C6247D">
        <w:t>’</w:t>
      </w:r>
      <w:r w:rsidRPr="00FB6EA2">
        <w:t xml:space="preserve"> homes. For the core part of the survey, data was collected through a face-to-face interview. However, participants completed the Sexual and Reproductive Health module by themselves, directly entering responses into a program run on a tablet computer. Surveyors provided minimal </w:t>
      </w:r>
      <w:proofErr w:type="gramStart"/>
      <w:r w:rsidRPr="00FB6EA2">
        <w:t>assistance, and</w:t>
      </w:r>
      <w:proofErr w:type="gramEnd"/>
      <w:r w:rsidRPr="00FB6EA2">
        <w:t xml:space="preserve"> reiterated that they would not be able to see the answers. Respondents could answer </w:t>
      </w:r>
      <w:r w:rsidR="00C6247D">
        <w:t>‘</w:t>
      </w:r>
      <w:r w:rsidRPr="00FB6EA2">
        <w:t>Don</w:t>
      </w:r>
      <w:r w:rsidR="00C6247D">
        <w:t>’</w:t>
      </w:r>
      <w:r w:rsidRPr="00FB6EA2">
        <w:t>t know</w:t>
      </w:r>
      <w:r w:rsidR="00C6247D">
        <w:t>’</w:t>
      </w:r>
      <w:r w:rsidRPr="00FB6EA2">
        <w:t xml:space="preserve"> or </w:t>
      </w:r>
      <w:r w:rsidR="00C6247D">
        <w:t>‘</w:t>
      </w:r>
      <w:r w:rsidRPr="00FB6EA2">
        <w:t>Choose not to answer</w:t>
      </w:r>
      <w:r w:rsidR="00C6247D">
        <w:t>’</w:t>
      </w:r>
      <w:r w:rsidRPr="00FB6EA2">
        <w:t xml:space="preserve"> to any question. If they chose either of those options for the question about having ever had sex with someone of a different sex, then they were not asked to complete the rest of the survey module.</w:t>
      </w:r>
    </w:p>
    <w:p w14:paraId="45A059C7" w14:textId="77777777" w:rsidR="00E82262" w:rsidRPr="006F69DC" w:rsidRDefault="00E82262" w:rsidP="00A0035E"/>
    <w:p w14:paraId="33A0F31F" w14:textId="77777777" w:rsidR="00C6247D" w:rsidRDefault="00E82262" w:rsidP="00A0035E">
      <w:pPr>
        <w:pStyle w:val="Heading3"/>
      </w:pPr>
      <w:r w:rsidRPr="00FB6EA2">
        <w:lastRenderedPageBreak/>
        <w:t>How many people took part?</w:t>
      </w:r>
    </w:p>
    <w:p w14:paraId="409BBF35" w14:textId="77777777" w:rsidR="00E82262" w:rsidRPr="00FB6EA2" w:rsidRDefault="00E82262" w:rsidP="003057E1">
      <w:pPr>
        <w:keepNext/>
      </w:pPr>
      <w:r w:rsidRPr="00FB6EA2">
        <w:t>11,993 adults aged 16–74 years completed the core 2014/15 survey and were eligible for the Sexual and Reproductive Health module. This report is based on the responses from 10,198 adults (or 87</w:t>
      </w:r>
      <w:r>
        <w:t> percent</w:t>
      </w:r>
      <w:r w:rsidRPr="00FB6EA2">
        <w:t xml:space="preserve"> of eligible respondents). Some eligible respondents were not included in the final data set for the following reasons.</w:t>
      </w:r>
    </w:p>
    <w:p w14:paraId="32033104" w14:textId="77777777" w:rsidR="00E82262" w:rsidRPr="00FB6EA2" w:rsidRDefault="00E82262" w:rsidP="003057E1">
      <w:pPr>
        <w:pStyle w:val="Bullet"/>
        <w:keepNext/>
      </w:pPr>
      <w:r w:rsidRPr="00FB6EA2">
        <w:t>668 respondents (5.6</w:t>
      </w:r>
      <w:r>
        <w:t> percent</w:t>
      </w:r>
      <w:r w:rsidRPr="00FB6EA2">
        <w:t xml:space="preserve"> of those who were eligible) did not start the module, either because they refused or because of English language and/or cognitive difficulties.</w:t>
      </w:r>
    </w:p>
    <w:p w14:paraId="3F7C3B59" w14:textId="77777777" w:rsidR="00E82262" w:rsidRPr="00FB6EA2" w:rsidRDefault="00E82262" w:rsidP="003057E1">
      <w:pPr>
        <w:pStyle w:val="Bullet"/>
      </w:pPr>
      <w:r w:rsidRPr="00FB6EA2">
        <w:t>991 respondents (6.5</w:t>
      </w:r>
      <w:r>
        <w:t> percent</w:t>
      </w:r>
      <w:r w:rsidRPr="00FB6EA2">
        <w:t xml:space="preserve"> of eligible respondents) started the module but stopped before the end of the module.</w:t>
      </w:r>
    </w:p>
    <w:p w14:paraId="1BFD9775" w14:textId="77777777" w:rsidR="00E82262" w:rsidRPr="00FB6EA2" w:rsidRDefault="00E82262" w:rsidP="003057E1">
      <w:pPr>
        <w:pStyle w:val="Bullet"/>
      </w:pPr>
      <w:r w:rsidRPr="00FB6EA2">
        <w:t>123 respondents (1.2</w:t>
      </w:r>
      <w:r>
        <w:t> percent</w:t>
      </w:r>
      <w:r w:rsidRPr="00FB6EA2">
        <w:t xml:space="preserve"> of eligible respondents) completed the module but their records were discarded because at least half of their responses were </w:t>
      </w:r>
      <w:r w:rsidR="00C6247D">
        <w:t>‘</w:t>
      </w:r>
      <w:r w:rsidRPr="00FB6EA2">
        <w:t>Don</w:t>
      </w:r>
      <w:r w:rsidR="00C6247D">
        <w:t>’</w:t>
      </w:r>
      <w:r w:rsidRPr="00FB6EA2">
        <w:t>t know</w:t>
      </w:r>
      <w:r w:rsidR="00C6247D">
        <w:t>’</w:t>
      </w:r>
      <w:r w:rsidRPr="00FB6EA2">
        <w:t xml:space="preserve"> or </w:t>
      </w:r>
      <w:r w:rsidR="00C6247D">
        <w:t>‘</w:t>
      </w:r>
      <w:r w:rsidRPr="00FB6EA2">
        <w:t>Choose not to answer</w:t>
      </w:r>
      <w:r w:rsidR="00C6247D">
        <w:t>’</w:t>
      </w:r>
      <w:r w:rsidRPr="00FB6EA2">
        <w:t>.</w:t>
      </w:r>
    </w:p>
    <w:p w14:paraId="6AA819F9" w14:textId="77777777" w:rsidR="003057E1" w:rsidRDefault="003057E1" w:rsidP="003057E1"/>
    <w:p w14:paraId="4DF967AF" w14:textId="77777777" w:rsidR="00E82262" w:rsidRDefault="00E82262" w:rsidP="003057E1">
      <w:r w:rsidRPr="00FB6EA2">
        <w:t>Of the people who completed the Sexual and Reproductive Health module, 4,358 gave their gender as male and 5,840 as female. The table below summarises the 10,198 survey respondents by ethnic group.</w:t>
      </w:r>
    </w:p>
    <w:p w14:paraId="740B7292" w14:textId="77777777" w:rsidR="003057E1" w:rsidRPr="00FB6EA2" w:rsidRDefault="003057E1" w:rsidP="003057E1"/>
    <w:p w14:paraId="76374E9C" w14:textId="5F2CC9F3" w:rsidR="00E82262" w:rsidRPr="00EC26BE" w:rsidRDefault="00E82262" w:rsidP="003057E1">
      <w:pPr>
        <w:pStyle w:val="Table"/>
      </w:pPr>
      <w:bookmarkStart w:id="35" w:name="_Toc4571437"/>
      <w:bookmarkStart w:id="36" w:name="_Toc13308702"/>
      <w:bookmarkStart w:id="37" w:name="_Toc14961442"/>
      <w:bookmarkStart w:id="38" w:name="_Toc22300507"/>
      <w:r>
        <w:t xml:space="preserve">Table </w:t>
      </w:r>
      <w:r>
        <w:rPr>
          <w:noProof/>
        </w:rPr>
        <w:fldChar w:fldCharType="begin"/>
      </w:r>
      <w:r>
        <w:rPr>
          <w:noProof/>
        </w:rPr>
        <w:instrText xml:space="preserve"> SEQ Table \* ARABIC </w:instrText>
      </w:r>
      <w:r>
        <w:rPr>
          <w:noProof/>
        </w:rPr>
        <w:fldChar w:fldCharType="separate"/>
      </w:r>
      <w:r w:rsidR="00F543AF">
        <w:rPr>
          <w:noProof/>
        </w:rPr>
        <w:t>1</w:t>
      </w:r>
      <w:r>
        <w:rPr>
          <w:noProof/>
        </w:rPr>
        <w:fldChar w:fldCharType="end"/>
      </w:r>
      <w:r>
        <w:t>:</w:t>
      </w:r>
      <w:r w:rsidRPr="00742B4D">
        <w:t xml:space="preserve"> </w:t>
      </w:r>
      <w:r w:rsidRPr="00F111CA">
        <w:t>Participation in the Sexual and Reproductive Health module of the New Zealand Health Survey, by ethnicity</w:t>
      </w:r>
      <w:bookmarkEnd w:id="35"/>
      <w:bookmarkEnd w:id="36"/>
      <w:bookmarkEnd w:id="37"/>
      <w:bookmarkEnd w:id="38"/>
    </w:p>
    <w:tbl>
      <w:tblPr>
        <w:tblStyle w:val="TableGrid"/>
        <w:tblW w:w="0" w:type="auto"/>
        <w:tblInd w:w="57" w:type="dxa"/>
        <w:tblBorders>
          <w:left w:val="none" w:sz="0" w:space="0" w:color="auto"/>
          <w:right w:val="none" w:sz="0" w:space="0" w:color="auto"/>
          <w:insideV w:val="none" w:sz="0" w:space="0" w:color="auto"/>
        </w:tblBorders>
        <w:tblLayout w:type="fixed"/>
        <w:tblCellMar>
          <w:left w:w="57" w:type="dxa"/>
          <w:right w:w="57" w:type="dxa"/>
        </w:tblCellMar>
        <w:tblLook w:val="04A0" w:firstRow="1" w:lastRow="0" w:firstColumn="1" w:lastColumn="0" w:noHBand="0" w:noVBand="1"/>
      </w:tblPr>
      <w:tblGrid>
        <w:gridCol w:w="3003"/>
        <w:gridCol w:w="1161"/>
      </w:tblGrid>
      <w:tr w:rsidR="00E82262" w:rsidRPr="003057E1" w14:paraId="58911CCE" w14:textId="77777777" w:rsidTr="003057E1">
        <w:trPr>
          <w:cantSplit/>
        </w:trPr>
        <w:tc>
          <w:tcPr>
            <w:tcW w:w="3003" w:type="dxa"/>
            <w:tcBorders>
              <w:top w:val="nil"/>
              <w:bottom w:val="nil"/>
            </w:tcBorders>
            <w:shd w:val="clear" w:color="auto" w:fill="D9D9D9" w:themeFill="background1" w:themeFillShade="D9"/>
          </w:tcPr>
          <w:p w14:paraId="42CFB560" w14:textId="77777777" w:rsidR="00E82262" w:rsidRPr="003057E1" w:rsidRDefault="003057E1" w:rsidP="003057E1">
            <w:pPr>
              <w:pStyle w:val="TableText"/>
              <w:rPr>
                <w:b/>
              </w:rPr>
            </w:pPr>
            <w:r w:rsidRPr="003057E1">
              <w:rPr>
                <w:b/>
              </w:rPr>
              <w:t>Ethnic group</w:t>
            </w:r>
          </w:p>
        </w:tc>
        <w:tc>
          <w:tcPr>
            <w:tcW w:w="1161" w:type="dxa"/>
            <w:tcBorders>
              <w:top w:val="nil"/>
              <w:bottom w:val="nil"/>
            </w:tcBorders>
            <w:shd w:val="clear" w:color="auto" w:fill="D9D9D9" w:themeFill="background1" w:themeFillShade="D9"/>
          </w:tcPr>
          <w:p w14:paraId="356E03B6" w14:textId="77777777" w:rsidR="00E82262" w:rsidRPr="003057E1" w:rsidRDefault="00E82262" w:rsidP="003057E1">
            <w:pPr>
              <w:pStyle w:val="TableText"/>
              <w:jc w:val="center"/>
              <w:rPr>
                <w:b/>
              </w:rPr>
            </w:pPr>
            <w:r w:rsidRPr="003057E1">
              <w:rPr>
                <w:b/>
              </w:rPr>
              <w:t>Number</w:t>
            </w:r>
          </w:p>
        </w:tc>
      </w:tr>
      <w:tr w:rsidR="00E82262" w:rsidRPr="002077E6" w14:paraId="4CD85F9F" w14:textId="77777777" w:rsidTr="003057E1">
        <w:trPr>
          <w:cantSplit/>
        </w:trPr>
        <w:tc>
          <w:tcPr>
            <w:tcW w:w="3003" w:type="dxa"/>
            <w:tcBorders>
              <w:top w:val="nil"/>
              <w:bottom w:val="single" w:sz="4" w:space="0" w:color="BFBFBF" w:themeColor="background1" w:themeShade="BF"/>
            </w:tcBorders>
          </w:tcPr>
          <w:p w14:paraId="520AF3CF" w14:textId="77777777" w:rsidR="00E82262" w:rsidRPr="002077E6" w:rsidRDefault="00E82262" w:rsidP="003057E1">
            <w:pPr>
              <w:pStyle w:val="TableText"/>
            </w:pPr>
            <w:r w:rsidRPr="002077E6">
              <w:t>Māori</w:t>
            </w:r>
          </w:p>
        </w:tc>
        <w:tc>
          <w:tcPr>
            <w:tcW w:w="1161" w:type="dxa"/>
            <w:tcBorders>
              <w:top w:val="nil"/>
              <w:bottom w:val="single" w:sz="4" w:space="0" w:color="BFBFBF" w:themeColor="background1" w:themeShade="BF"/>
            </w:tcBorders>
          </w:tcPr>
          <w:p w14:paraId="09383866" w14:textId="77777777" w:rsidR="00E82262" w:rsidRPr="002077E6" w:rsidRDefault="00E82262" w:rsidP="003057E1">
            <w:pPr>
              <w:pStyle w:val="TableText"/>
              <w:tabs>
                <w:tab w:val="decimal" w:pos="768"/>
              </w:tabs>
            </w:pPr>
            <w:r w:rsidRPr="002077E6">
              <w:t>2</w:t>
            </w:r>
            <w:r w:rsidR="003057E1">
              <w:t>,</w:t>
            </w:r>
            <w:r w:rsidRPr="002077E6">
              <w:t>460</w:t>
            </w:r>
          </w:p>
        </w:tc>
      </w:tr>
      <w:tr w:rsidR="00E82262" w:rsidRPr="002077E6" w14:paraId="4CA78044" w14:textId="77777777" w:rsidTr="003057E1">
        <w:trPr>
          <w:cantSplit/>
        </w:trPr>
        <w:tc>
          <w:tcPr>
            <w:tcW w:w="3003" w:type="dxa"/>
            <w:tcBorders>
              <w:top w:val="single" w:sz="4" w:space="0" w:color="BFBFBF" w:themeColor="background1" w:themeShade="BF"/>
              <w:bottom w:val="single" w:sz="4" w:space="0" w:color="BFBFBF" w:themeColor="background1" w:themeShade="BF"/>
            </w:tcBorders>
          </w:tcPr>
          <w:p w14:paraId="23D923F1" w14:textId="77777777" w:rsidR="00E82262" w:rsidRPr="002077E6" w:rsidRDefault="00E82262" w:rsidP="003057E1">
            <w:pPr>
              <w:pStyle w:val="TableText"/>
            </w:pPr>
            <w:r w:rsidRPr="002077E6">
              <w:t>Pacific</w:t>
            </w:r>
          </w:p>
        </w:tc>
        <w:tc>
          <w:tcPr>
            <w:tcW w:w="1161" w:type="dxa"/>
            <w:tcBorders>
              <w:top w:val="single" w:sz="4" w:space="0" w:color="BFBFBF" w:themeColor="background1" w:themeShade="BF"/>
              <w:bottom w:val="single" w:sz="4" w:space="0" w:color="BFBFBF" w:themeColor="background1" w:themeShade="BF"/>
            </w:tcBorders>
          </w:tcPr>
          <w:p w14:paraId="5C448B79" w14:textId="77777777" w:rsidR="00E82262" w:rsidRPr="002077E6" w:rsidRDefault="00E82262" w:rsidP="003057E1">
            <w:pPr>
              <w:pStyle w:val="TableText"/>
              <w:tabs>
                <w:tab w:val="decimal" w:pos="768"/>
              </w:tabs>
            </w:pPr>
            <w:r w:rsidRPr="002077E6">
              <w:t>619</w:t>
            </w:r>
          </w:p>
        </w:tc>
      </w:tr>
      <w:tr w:rsidR="00E82262" w:rsidRPr="002077E6" w14:paraId="6448E062" w14:textId="77777777" w:rsidTr="003057E1">
        <w:trPr>
          <w:cantSplit/>
        </w:trPr>
        <w:tc>
          <w:tcPr>
            <w:tcW w:w="3003" w:type="dxa"/>
            <w:tcBorders>
              <w:top w:val="single" w:sz="4" w:space="0" w:color="BFBFBF" w:themeColor="background1" w:themeShade="BF"/>
              <w:bottom w:val="single" w:sz="4" w:space="0" w:color="BFBFBF" w:themeColor="background1" w:themeShade="BF"/>
            </w:tcBorders>
          </w:tcPr>
          <w:p w14:paraId="50F08C57" w14:textId="77777777" w:rsidR="00E82262" w:rsidRPr="002077E6" w:rsidRDefault="00E82262" w:rsidP="003057E1">
            <w:pPr>
              <w:pStyle w:val="TableText"/>
            </w:pPr>
            <w:r w:rsidRPr="002077E6">
              <w:t>Asian</w:t>
            </w:r>
          </w:p>
        </w:tc>
        <w:tc>
          <w:tcPr>
            <w:tcW w:w="1161" w:type="dxa"/>
            <w:tcBorders>
              <w:top w:val="single" w:sz="4" w:space="0" w:color="BFBFBF" w:themeColor="background1" w:themeShade="BF"/>
              <w:bottom w:val="single" w:sz="4" w:space="0" w:color="BFBFBF" w:themeColor="background1" w:themeShade="BF"/>
            </w:tcBorders>
          </w:tcPr>
          <w:p w14:paraId="3744C511" w14:textId="77777777" w:rsidR="00E82262" w:rsidRPr="002077E6" w:rsidRDefault="00E82262" w:rsidP="003057E1">
            <w:pPr>
              <w:pStyle w:val="TableText"/>
              <w:tabs>
                <w:tab w:val="decimal" w:pos="768"/>
              </w:tabs>
            </w:pPr>
            <w:r w:rsidRPr="002077E6">
              <w:t>814</w:t>
            </w:r>
          </w:p>
        </w:tc>
      </w:tr>
      <w:tr w:rsidR="00E82262" w:rsidRPr="002077E6" w14:paraId="30DA9172" w14:textId="77777777" w:rsidTr="003057E1">
        <w:trPr>
          <w:cantSplit/>
        </w:trPr>
        <w:tc>
          <w:tcPr>
            <w:tcW w:w="3003" w:type="dxa"/>
            <w:tcBorders>
              <w:top w:val="single" w:sz="4" w:space="0" w:color="BFBFBF" w:themeColor="background1" w:themeShade="BF"/>
              <w:bottom w:val="single" w:sz="4" w:space="0" w:color="BFBFBF" w:themeColor="background1" w:themeShade="BF"/>
            </w:tcBorders>
          </w:tcPr>
          <w:p w14:paraId="5AD50D2E" w14:textId="77777777" w:rsidR="00E82262" w:rsidRPr="002077E6" w:rsidRDefault="00E82262" w:rsidP="003057E1">
            <w:pPr>
              <w:pStyle w:val="TableText"/>
            </w:pPr>
            <w:r w:rsidRPr="002077E6">
              <w:t>European/Other</w:t>
            </w:r>
          </w:p>
        </w:tc>
        <w:tc>
          <w:tcPr>
            <w:tcW w:w="1161" w:type="dxa"/>
            <w:tcBorders>
              <w:top w:val="single" w:sz="4" w:space="0" w:color="BFBFBF" w:themeColor="background1" w:themeShade="BF"/>
              <w:bottom w:val="single" w:sz="4" w:space="0" w:color="BFBFBF" w:themeColor="background1" w:themeShade="BF"/>
            </w:tcBorders>
          </w:tcPr>
          <w:p w14:paraId="3A678809" w14:textId="77777777" w:rsidR="00E82262" w:rsidRPr="002077E6" w:rsidRDefault="00E82262" w:rsidP="003057E1">
            <w:pPr>
              <w:pStyle w:val="TableText"/>
              <w:tabs>
                <w:tab w:val="decimal" w:pos="768"/>
              </w:tabs>
            </w:pPr>
            <w:r>
              <w:t>7,542</w:t>
            </w:r>
          </w:p>
        </w:tc>
      </w:tr>
    </w:tbl>
    <w:p w14:paraId="4C0A8387" w14:textId="77777777" w:rsidR="00C6247D" w:rsidRDefault="00E82262" w:rsidP="003057E1">
      <w:pPr>
        <w:pStyle w:val="Note"/>
        <w:rPr>
          <w:lang w:eastAsia="en-US"/>
        </w:rPr>
      </w:pPr>
      <w:r>
        <w:rPr>
          <w:lang w:eastAsia="en-US"/>
        </w:rPr>
        <w:t xml:space="preserve">Note: </w:t>
      </w:r>
      <w:r w:rsidRPr="00F111CA">
        <w:rPr>
          <w:lang w:eastAsia="en-US"/>
        </w:rPr>
        <w:t xml:space="preserve">Adults who reported more than one ethnic group are counted once in each group reported. This means that the total number of responses for all ethnic groups </w:t>
      </w:r>
      <w:r>
        <w:rPr>
          <w:lang w:eastAsia="en-US"/>
        </w:rPr>
        <w:t>can</w:t>
      </w:r>
      <w:r w:rsidRPr="00F111CA">
        <w:rPr>
          <w:lang w:eastAsia="en-US"/>
        </w:rPr>
        <w:t xml:space="preserve"> be greater than the total number of adults who stated their ethnicities.</w:t>
      </w:r>
    </w:p>
    <w:p w14:paraId="4A64A5F6" w14:textId="77777777" w:rsidR="00E82262" w:rsidRDefault="00E82262" w:rsidP="003057E1">
      <w:pPr>
        <w:rPr>
          <w:lang w:eastAsia="en-US"/>
        </w:rPr>
      </w:pPr>
    </w:p>
    <w:p w14:paraId="123FB8FE" w14:textId="77777777" w:rsidR="00E82262" w:rsidRPr="00FB6EA2" w:rsidRDefault="00E82262" w:rsidP="003057E1">
      <w:pPr>
        <w:pStyle w:val="Heading3"/>
      </w:pPr>
      <w:r w:rsidRPr="00FB6EA2">
        <w:t>Survey weights</w:t>
      </w:r>
    </w:p>
    <w:p w14:paraId="31A8ADF5" w14:textId="77777777" w:rsidR="00E82262" w:rsidRPr="00FB6EA2" w:rsidRDefault="00E82262" w:rsidP="003057E1">
      <w:r w:rsidRPr="00FB6EA2">
        <w:t xml:space="preserve">The Sexual and Reproductive Health data set was weighted so that the responding sample represented the New Zealand </w:t>
      </w:r>
      <w:r w:rsidR="00C6247D">
        <w:t>‘</w:t>
      </w:r>
      <w:r w:rsidRPr="00FB6EA2">
        <w:t>usually resident</w:t>
      </w:r>
      <w:r w:rsidR="00C6247D">
        <w:t>’</w:t>
      </w:r>
      <w:r w:rsidRPr="00FB6EA2">
        <w:t xml:space="preserve"> population in that year, using external population benchmarks (age, sex, ethnicity and neighbourhood deprivation) and demographic and behavioural benchmarks (</w:t>
      </w:r>
      <w:proofErr w:type="spellStart"/>
      <w:r w:rsidRPr="00FB6EA2">
        <w:t>eg</w:t>
      </w:r>
      <w:proofErr w:type="spellEnd"/>
      <w:r w:rsidRPr="00FB6EA2">
        <w:t xml:space="preserve">, educational level and hazardous drinking). After an initial selection weight was calculated, it was adjusted for those who did not complete the module (for any reason). This should have minimised the impact of any differences in the characteristics of people who did or did not participate in the Sexual and Reproductive Health module. For more detail about the survey methodology, refer to the </w:t>
      </w:r>
      <w:r w:rsidRPr="00087A73">
        <w:rPr>
          <w:i/>
          <w:iCs/>
        </w:rPr>
        <w:t>Methodology Report 2014/15</w:t>
      </w:r>
      <w:r w:rsidRPr="00FB6EA2">
        <w:t xml:space="preserve"> (Ministry of Health 2015b).</w:t>
      </w:r>
    </w:p>
    <w:p w14:paraId="2F2666FF" w14:textId="77777777" w:rsidR="00E82262" w:rsidRPr="00FB6EA2" w:rsidRDefault="00E82262" w:rsidP="003057E1"/>
    <w:p w14:paraId="6F4A1A0D" w14:textId="77777777" w:rsidR="00C6247D" w:rsidRDefault="00E82262" w:rsidP="003057E1">
      <w:pPr>
        <w:pStyle w:val="Heading3"/>
      </w:pPr>
      <w:r w:rsidRPr="00FB6EA2">
        <w:lastRenderedPageBreak/>
        <w:t>Additional information</w:t>
      </w:r>
    </w:p>
    <w:p w14:paraId="08D667A0" w14:textId="77777777" w:rsidR="00E82262" w:rsidRPr="00FB6EA2" w:rsidRDefault="00E82262" w:rsidP="003057E1">
      <w:r w:rsidRPr="00FB6EA2">
        <w:t>See also the following documents:</w:t>
      </w:r>
    </w:p>
    <w:p w14:paraId="24522531" w14:textId="77777777" w:rsidR="00E82262" w:rsidRPr="00FB6EA2" w:rsidRDefault="00E82262" w:rsidP="003057E1">
      <w:pPr>
        <w:pStyle w:val="Bullet"/>
      </w:pPr>
      <w:r w:rsidRPr="00FB6EA2">
        <w:rPr>
          <w:i/>
        </w:rPr>
        <w:t>The New Zealand Health Survey: Sample design years 1–3 (2011–2013)</w:t>
      </w:r>
      <w:r w:rsidRPr="00FB6EA2">
        <w:t xml:space="preserve"> (Ministry of Health 2011). Note, despite the report title being 2011</w:t>
      </w:r>
      <w:r>
        <w:t>–</w:t>
      </w:r>
      <w:r w:rsidRPr="00FB6EA2">
        <w:t>13, this sample design was used for the 2014/15 Health Survey</w:t>
      </w:r>
    </w:p>
    <w:p w14:paraId="7E6987E3" w14:textId="77777777" w:rsidR="00E82262" w:rsidRPr="00FB6EA2" w:rsidRDefault="00E82262" w:rsidP="003057E1">
      <w:pPr>
        <w:pStyle w:val="Bullet"/>
      </w:pPr>
      <w:r w:rsidRPr="00FB6EA2">
        <w:rPr>
          <w:i/>
        </w:rPr>
        <w:t>Methodology Report 2014/15: New Zealand Health Survey</w:t>
      </w:r>
      <w:r w:rsidRPr="00FB6EA2">
        <w:t xml:space="preserve"> (Ministry of Health 2015b)</w:t>
      </w:r>
    </w:p>
    <w:p w14:paraId="318F0D6C" w14:textId="77777777" w:rsidR="00E82262" w:rsidRPr="00FB6EA2" w:rsidRDefault="00E82262" w:rsidP="003057E1">
      <w:pPr>
        <w:pStyle w:val="Bullet"/>
      </w:pPr>
      <w:r w:rsidRPr="00FB6EA2">
        <w:rPr>
          <w:i/>
        </w:rPr>
        <w:t>Content Guide 2014/15: New Zealand Health Survey</w:t>
      </w:r>
      <w:r w:rsidRPr="00FB6EA2">
        <w:t xml:space="preserve"> (Ministry of Health 2015a)</w:t>
      </w:r>
    </w:p>
    <w:p w14:paraId="5802A8BF" w14:textId="77777777" w:rsidR="00E82262" w:rsidRPr="00FB6EA2" w:rsidRDefault="00E82262" w:rsidP="003057E1">
      <w:pPr>
        <w:pStyle w:val="Bullet"/>
      </w:pPr>
      <w:r w:rsidRPr="00FB6EA2">
        <w:t>Questionnaires for the New Zealand Health Survey 2014/15 (Ministry of Health 2016a; Ministry of Heath 2016b)</w:t>
      </w:r>
    </w:p>
    <w:p w14:paraId="79109048" w14:textId="77777777" w:rsidR="00C6247D" w:rsidRDefault="00E82262" w:rsidP="003057E1">
      <w:pPr>
        <w:pStyle w:val="Bullet"/>
      </w:pPr>
      <w:r w:rsidRPr="00FB6EA2">
        <w:rPr>
          <w:i/>
        </w:rPr>
        <w:t>Sexual and Reproductive Health Indicator Interpretation Guide 2014/15: New Zealand Health Survey</w:t>
      </w:r>
      <w:r w:rsidRPr="00FB6EA2">
        <w:t xml:space="preserve"> (Ministry of Health 2019).</w:t>
      </w:r>
    </w:p>
    <w:p w14:paraId="0B7C25C0" w14:textId="77777777" w:rsidR="003057E1" w:rsidRDefault="003057E1" w:rsidP="003057E1"/>
    <w:p w14:paraId="34C0F983" w14:textId="77777777" w:rsidR="00E82262" w:rsidRPr="00FB6EA2" w:rsidRDefault="00E82262" w:rsidP="003057E1">
      <w:pPr>
        <w:pStyle w:val="Heading1"/>
      </w:pPr>
      <w:bookmarkStart w:id="39" w:name="_Toc525908130"/>
      <w:bookmarkStart w:id="40" w:name="_Toc4572304"/>
      <w:bookmarkStart w:id="41" w:name="_Toc4588250"/>
      <w:bookmarkStart w:id="42" w:name="_Toc22300497"/>
      <w:r w:rsidRPr="00FB6EA2">
        <w:lastRenderedPageBreak/>
        <w:t>References</w:t>
      </w:r>
      <w:bookmarkEnd w:id="39"/>
      <w:bookmarkEnd w:id="40"/>
      <w:bookmarkEnd w:id="41"/>
      <w:bookmarkEnd w:id="42"/>
    </w:p>
    <w:p w14:paraId="6A30EA5C" w14:textId="77777777" w:rsidR="00E82262" w:rsidRDefault="00E82262" w:rsidP="003057E1">
      <w:pPr>
        <w:pStyle w:val="References"/>
      </w:pPr>
      <w:proofErr w:type="spellStart"/>
      <w:r w:rsidRPr="00BF2295">
        <w:t>Fanslow</w:t>
      </w:r>
      <w:proofErr w:type="spellEnd"/>
      <w:r w:rsidRPr="00BF2295">
        <w:t xml:space="preserve"> J</w:t>
      </w:r>
      <w:r w:rsidRPr="00534B57">
        <w:t>, Robinson E. 2004. Violence</w:t>
      </w:r>
      <w:r w:rsidR="003057E1">
        <w:t xml:space="preserve"> against women in New Zealand: p</w:t>
      </w:r>
      <w:r w:rsidRPr="00534B57">
        <w:t xml:space="preserve">revalence and health consequences. </w:t>
      </w:r>
      <w:r w:rsidRPr="00534B57">
        <w:rPr>
          <w:i/>
          <w:iCs/>
        </w:rPr>
        <w:t>New Zealand Medical Journal</w:t>
      </w:r>
      <w:r w:rsidRPr="00AC5EBE">
        <w:rPr>
          <w:iCs/>
        </w:rPr>
        <w:t xml:space="preserve"> 117</w:t>
      </w:r>
      <w:r w:rsidRPr="00534B57">
        <w:t>(1206)</w:t>
      </w:r>
      <w:r>
        <w:t xml:space="preserve">: </w:t>
      </w:r>
      <w:r w:rsidRPr="00534B57">
        <w:t>1173.</w:t>
      </w:r>
    </w:p>
    <w:p w14:paraId="719BA81B" w14:textId="77777777" w:rsidR="00E82262" w:rsidRDefault="00E82262" w:rsidP="003057E1">
      <w:pPr>
        <w:pStyle w:val="References"/>
        <w:rPr>
          <w:color w:val="000000"/>
          <w:lang w:eastAsia="en-US"/>
        </w:rPr>
      </w:pPr>
      <w:r w:rsidRPr="00BF3AF5">
        <w:rPr>
          <w:color w:val="000000"/>
          <w:lang w:eastAsia="en-US"/>
        </w:rPr>
        <w:t xml:space="preserve">Fleming TM, Watson PD, Robinson E, </w:t>
      </w:r>
      <w:r>
        <w:rPr>
          <w:color w:val="000000"/>
          <w:lang w:eastAsia="en-US"/>
        </w:rPr>
        <w:t>et al</w:t>
      </w:r>
      <w:r w:rsidRPr="00BF3AF5">
        <w:rPr>
          <w:color w:val="000000"/>
          <w:lang w:eastAsia="en-US"/>
        </w:rPr>
        <w:t>. 2007</w:t>
      </w:r>
      <w:r>
        <w:rPr>
          <w:color w:val="000000"/>
          <w:lang w:eastAsia="en-US"/>
        </w:rPr>
        <w:t>.</w:t>
      </w:r>
      <w:r w:rsidRPr="00BF3AF5">
        <w:rPr>
          <w:color w:val="000000"/>
          <w:lang w:eastAsia="en-US"/>
        </w:rPr>
        <w:t xml:space="preserve"> </w:t>
      </w:r>
      <w:r w:rsidRPr="00AC5EBE">
        <w:rPr>
          <w:i/>
          <w:color w:val="000000"/>
          <w:lang w:eastAsia="en-US"/>
        </w:rPr>
        <w:t>Violence and New Zealand Young People: Findings of Youth2000 – A National Secondary School Youth Health and Wellbeing Survey</w:t>
      </w:r>
      <w:r w:rsidRPr="00BF3AF5">
        <w:rPr>
          <w:color w:val="000000"/>
          <w:lang w:eastAsia="en-US"/>
        </w:rPr>
        <w:t>. Auckland: University of Auckland.</w:t>
      </w:r>
    </w:p>
    <w:p w14:paraId="7B8D0818" w14:textId="77777777" w:rsidR="00E82262" w:rsidRDefault="00E82262" w:rsidP="003057E1">
      <w:pPr>
        <w:pStyle w:val="References"/>
      </w:pPr>
      <w:proofErr w:type="spellStart"/>
      <w:r w:rsidRPr="00BF2295">
        <w:t>Garca</w:t>
      </w:r>
      <w:proofErr w:type="spellEnd"/>
      <w:r w:rsidRPr="00BF2295">
        <w:t xml:space="preserve">-Moreno C, Watts C. </w:t>
      </w:r>
      <w:r>
        <w:t xml:space="preserve">2011. </w:t>
      </w:r>
      <w:r w:rsidRPr="00BF2295">
        <w:t xml:space="preserve">Violence against women: an urgent public health priority. </w:t>
      </w:r>
      <w:r w:rsidRPr="00AC5EBE">
        <w:rPr>
          <w:i/>
        </w:rPr>
        <w:t>Bulletin of the World Health Organization</w:t>
      </w:r>
      <w:r w:rsidRPr="00BF2295">
        <w:t xml:space="preserve"> 89</w:t>
      </w:r>
      <w:r>
        <w:t>(1)</w:t>
      </w:r>
      <w:r w:rsidRPr="00BF2295">
        <w:t>: 2.</w:t>
      </w:r>
    </w:p>
    <w:p w14:paraId="6C7C7D52" w14:textId="77777777" w:rsidR="00E82262" w:rsidRDefault="00E82262" w:rsidP="003057E1">
      <w:pPr>
        <w:pStyle w:val="References"/>
      </w:pPr>
      <w:proofErr w:type="spellStart"/>
      <w:r w:rsidRPr="00BF2295">
        <w:t>Kalmuss</w:t>
      </w:r>
      <w:proofErr w:type="spellEnd"/>
      <w:r w:rsidRPr="00BF2295">
        <w:t xml:space="preserve"> D. 2004. Non</w:t>
      </w:r>
      <w:r w:rsidR="003057E1">
        <w:t>-</w:t>
      </w:r>
      <w:r w:rsidRPr="00BF2295">
        <w:t xml:space="preserve">volitional sex and sexual health. </w:t>
      </w:r>
      <w:r w:rsidRPr="00BF2295">
        <w:rPr>
          <w:i/>
          <w:iCs/>
        </w:rPr>
        <w:t xml:space="preserve">Archives of Sexual </w:t>
      </w:r>
      <w:proofErr w:type="spellStart"/>
      <w:r w:rsidRPr="00BF2295">
        <w:rPr>
          <w:i/>
          <w:iCs/>
        </w:rPr>
        <w:t>Behavior</w:t>
      </w:r>
      <w:proofErr w:type="spellEnd"/>
      <w:r w:rsidRPr="00BF2295">
        <w:t xml:space="preserve"> </w:t>
      </w:r>
      <w:r w:rsidRPr="00AC5EBE">
        <w:rPr>
          <w:iCs/>
        </w:rPr>
        <w:t>33</w:t>
      </w:r>
      <w:r w:rsidRPr="00BF2295">
        <w:t>(3)</w:t>
      </w:r>
      <w:r>
        <w:t>: </w:t>
      </w:r>
      <w:r w:rsidRPr="00BF2295">
        <w:t>197</w:t>
      </w:r>
      <w:r>
        <w:t>–</w:t>
      </w:r>
      <w:r w:rsidRPr="00BF2295">
        <w:t>209.</w:t>
      </w:r>
    </w:p>
    <w:p w14:paraId="7EE0B5AF" w14:textId="77777777" w:rsidR="00E82262" w:rsidRDefault="00E82262" w:rsidP="003057E1">
      <w:pPr>
        <w:pStyle w:val="References"/>
      </w:pPr>
      <w:r w:rsidRPr="00BF2295">
        <w:t xml:space="preserve">Koss M. </w:t>
      </w:r>
      <w:r>
        <w:t xml:space="preserve">1993. </w:t>
      </w:r>
      <w:r w:rsidRPr="00BF2295">
        <w:t xml:space="preserve">Detecting the scope of rape: a review of prevalence research methods. </w:t>
      </w:r>
      <w:r w:rsidRPr="00AC5EBE">
        <w:rPr>
          <w:i/>
        </w:rPr>
        <w:t>J</w:t>
      </w:r>
      <w:r>
        <w:rPr>
          <w:i/>
        </w:rPr>
        <w:t>ournal of</w:t>
      </w:r>
      <w:r w:rsidRPr="00AC5EBE">
        <w:rPr>
          <w:i/>
        </w:rPr>
        <w:t xml:space="preserve"> Interpers</w:t>
      </w:r>
      <w:r>
        <w:rPr>
          <w:i/>
        </w:rPr>
        <w:t>onal</w:t>
      </w:r>
      <w:r w:rsidRPr="00AC5EBE">
        <w:rPr>
          <w:i/>
        </w:rPr>
        <w:t xml:space="preserve"> Violence</w:t>
      </w:r>
      <w:r w:rsidRPr="00BF2295">
        <w:t xml:space="preserve"> 8: 198–222</w:t>
      </w:r>
      <w:r>
        <w:t>.</w:t>
      </w:r>
    </w:p>
    <w:p w14:paraId="0DA7075E" w14:textId="77777777" w:rsidR="00E82262" w:rsidRDefault="00E82262" w:rsidP="003057E1">
      <w:pPr>
        <w:pStyle w:val="References"/>
      </w:pPr>
      <w:proofErr w:type="spellStart"/>
      <w:r w:rsidRPr="00BF2295">
        <w:t>Macdowall</w:t>
      </w:r>
      <w:proofErr w:type="spellEnd"/>
      <w:r w:rsidRPr="00BF2295">
        <w:t xml:space="preserve"> W, Gibson LJ, </w:t>
      </w:r>
      <w:proofErr w:type="spellStart"/>
      <w:r w:rsidRPr="00BF2295">
        <w:t>Tanton</w:t>
      </w:r>
      <w:proofErr w:type="spellEnd"/>
      <w:r w:rsidRPr="00BF2295">
        <w:t xml:space="preserve"> C, </w:t>
      </w:r>
      <w:r>
        <w:t>et al</w:t>
      </w:r>
      <w:r w:rsidRPr="00BF2295">
        <w:t xml:space="preserve">. 2013. Lifetime prevalence, associated factors, and circumstances of non-volitional sex in women and men in Britain: findings from the third National Survey of Sexual Attitudes and Lifestyles (Natsal-3). </w:t>
      </w:r>
      <w:r w:rsidRPr="00BF2295">
        <w:rPr>
          <w:i/>
          <w:iCs/>
        </w:rPr>
        <w:t>Lancet</w:t>
      </w:r>
      <w:r w:rsidRPr="00BF2295">
        <w:t xml:space="preserve"> </w:t>
      </w:r>
      <w:r w:rsidRPr="00AC5EBE">
        <w:rPr>
          <w:iCs/>
        </w:rPr>
        <w:t>382</w:t>
      </w:r>
      <w:r w:rsidRPr="00BF2295">
        <w:t>(9907)</w:t>
      </w:r>
      <w:r>
        <w:t>:</w:t>
      </w:r>
      <w:r w:rsidRPr="00BF2295">
        <w:t xml:space="preserve"> 1845</w:t>
      </w:r>
      <w:r>
        <w:t>–</w:t>
      </w:r>
      <w:r w:rsidRPr="00BF2295">
        <w:t>55</w:t>
      </w:r>
      <w:r>
        <w:t>.</w:t>
      </w:r>
    </w:p>
    <w:p w14:paraId="5BD26050" w14:textId="77777777" w:rsidR="00E82262" w:rsidRPr="005F3616" w:rsidRDefault="00E82262" w:rsidP="003057E1">
      <w:pPr>
        <w:pStyle w:val="References"/>
        <w:rPr>
          <w:rFonts w:cs="Segoe UI"/>
          <w:szCs w:val="21"/>
        </w:rPr>
      </w:pPr>
      <w:r w:rsidRPr="005F3616">
        <w:rPr>
          <w:rFonts w:cs="Segoe UI"/>
          <w:szCs w:val="21"/>
        </w:rPr>
        <w:t xml:space="preserve">Ministry of Health. 2011. </w:t>
      </w:r>
      <w:r w:rsidRPr="005F3616">
        <w:rPr>
          <w:rFonts w:cs="Segoe UI"/>
          <w:i/>
          <w:szCs w:val="21"/>
        </w:rPr>
        <w:t>The New Zealand Health Survey: Sample design, years 1–3 (2011–2013)</w:t>
      </w:r>
      <w:r w:rsidRPr="00087A73">
        <w:rPr>
          <w:rFonts w:cs="Segoe UI"/>
          <w:iCs/>
          <w:szCs w:val="21"/>
        </w:rPr>
        <w:t>.</w:t>
      </w:r>
      <w:r w:rsidRPr="005F3616">
        <w:rPr>
          <w:rFonts w:cs="Segoe UI"/>
          <w:szCs w:val="21"/>
        </w:rPr>
        <w:t xml:space="preserve"> Wellington: Ministry of Health.</w:t>
      </w:r>
    </w:p>
    <w:p w14:paraId="30C5BBA0" w14:textId="77777777" w:rsidR="00E82262" w:rsidRPr="009D18D7" w:rsidRDefault="00E82262" w:rsidP="003057E1">
      <w:pPr>
        <w:pStyle w:val="References"/>
      </w:pPr>
      <w:r w:rsidRPr="006829B3">
        <w:t>Ministry of Health. 201</w:t>
      </w:r>
      <w:r>
        <w:t>5a</w:t>
      </w:r>
      <w:r w:rsidRPr="006829B3">
        <w:t xml:space="preserve">. </w:t>
      </w:r>
      <w:r w:rsidRPr="006829B3">
        <w:rPr>
          <w:i/>
        </w:rPr>
        <w:t>Content Guide</w:t>
      </w:r>
      <w:r>
        <w:rPr>
          <w:i/>
        </w:rPr>
        <w:t xml:space="preserve"> </w:t>
      </w:r>
      <w:r>
        <w:rPr>
          <w:rFonts w:cs="Arial Mäori"/>
          <w:i/>
          <w:szCs w:val="22"/>
          <w:lang w:eastAsia="en-NZ"/>
        </w:rPr>
        <w:t>2014/15:</w:t>
      </w:r>
      <w:r w:rsidRPr="000644E3">
        <w:rPr>
          <w:i/>
        </w:rPr>
        <w:t xml:space="preserve"> </w:t>
      </w:r>
      <w:r w:rsidRPr="006829B3">
        <w:rPr>
          <w:i/>
        </w:rPr>
        <w:t>New Zealand Health Survey</w:t>
      </w:r>
      <w:r w:rsidRPr="00087A73">
        <w:rPr>
          <w:iCs/>
        </w:rPr>
        <w:t>.</w:t>
      </w:r>
      <w:r w:rsidRPr="006829B3">
        <w:rPr>
          <w:i/>
        </w:rPr>
        <w:t xml:space="preserve"> </w:t>
      </w:r>
      <w:r w:rsidRPr="006829B3">
        <w:t>Wellington: Ministry of Health.</w:t>
      </w:r>
    </w:p>
    <w:p w14:paraId="2CBBA572" w14:textId="77777777" w:rsidR="00E82262" w:rsidRDefault="00E82262" w:rsidP="003057E1">
      <w:pPr>
        <w:pStyle w:val="References"/>
        <w:rPr>
          <w:rFonts w:cs="Segoe UI"/>
          <w:szCs w:val="21"/>
        </w:rPr>
      </w:pPr>
      <w:r w:rsidRPr="005F3616">
        <w:rPr>
          <w:rFonts w:cs="Segoe UI"/>
          <w:szCs w:val="21"/>
        </w:rPr>
        <w:t>Ministry of Health. 2015</w:t>
      </w:r>
      <w:r>
        <w:rPr>
          <w:rFonts w:cs="Segoe UI"/>
          <w:szCs w:val="21"/>
        </w:rPr>
        <w:t>b</w:t>
      </w:r>
      <w:r w:rsidRPr="005F3616">
        <w:rPr>
          <w:rFonts w:cs="Segoe UI"/>
          <w:szCs w:val="21"/>
        </w:rPr>
        <w:t xml:space="preserve">. </w:t>
      </w:r>
      <w:r w:rsidRPr="005F3616">
        <w:rPr>
          <w:rFonts w:cs="Segoe UI"/>
          <w:i/>
          <w:szCs w:val="21"/>
        </w:rPr>
        <w:t>Methodology Report 2014/15: New Zealand Health Survey</w:t>
      </w:r>
      <w:r w:rsidRPr="00087A73">
        <w:rPr>
          <w:rFonts w:cs="Segoe UI"/>
          <w:iCs/>
          <w:szCs w:val="21"/>
        </w:rPr>
        <w:t>.</w:t>
      </w:r>
      <w:r w:rsidRPr="005F3616">
        <w:rPr>
          <w:rFonts w:cs="Segoe UI"/>
          <w:szCs w:val="21"/>
        </w:rPr>
        <w:t xml:space="preserve"> Wellington: Ministry of Health.</w:t>
      </w:r>
    </w:p>
    <w:p w14:paraId="35C6C25C" w14:textId="77777777" w:rsidR="00E82262" w:rsidRPr="000C147A" w:rsidRDefault="00E82262" w:rsidP="003057E1">
      <w:pPr>
        <w:pStyle w:val="References"/>
        <w:rPr>
          <w:rFonts w:cs="Segoe UI"/>
          <w:szCs w:val="21"/>
        </w:rPr>
      </w:pPr>
      <w:r w:rsidRPr="000C147A">
        <w:rPr>
          <w:rFonts w:cs="Segoe UI"/>
          <w:szCs w:val="21"/>
        </w:rPr>
        <w:t xml:space="preserve">Ministry of Health. 2016a. </w:t>
      </w:r>
      <w:r w:rsidRPr="000C147A">
        <w:rPr>
          <w:rFonts w:cs="Segoe UI"/>
          <w:i/>
          <w:iCs/>
          <w:szCs w:val="21"/>
        </w:rPr>
        <w:t xml:space="preserve">Adult Sexual </w:t>
      </w:r>
      <w:r w:rsidR="003057E1">
        <w:rPr>
          <w:rFonts w:cs="Segoe UI"/>
          <w:i/>
          <w:iCs/>
          <w:szCs w:val="21"/>
        </w:rPr>
        <w:t>and</w:t>
      </w:r>
      <w:r w:rsidRPr="000C147A">
        <w:rPr>
          <w:rFonts w:cs="Segoe UI"/>
          <w:i/>
          <w:iCs/>
          <w:szCs w:val="21"/>
        </w:rPr>
        <w:t xml:space="preserve"> Reproductive Health Module (Year 4)</w:t>
      </w:r>
      <w:r w:rsidRPr="000C147A">
        <w:rPr>
          <w:rFonts w:cs="Segoe UI"/>
          <w:szCs w:val="21"/>
        </w:rPr>
        <w:t>. Wellington: Ministry of Health.</w:t>
      </w:r>
    </w:p>
    <w:p w14:paraId="251B02E3" w14:textId="77777777" w:rsidR="00E82262" w:rsidRPr="007E54E5" w:rsidRDefault="00E82262" w:rsidP="003057E1">
      <w:pPr>
        <w:pStyle w:val="References"/>
      </w:pPr>
      <w:r w:rsidRPr="007E54E5">
        <w:t>Ministry of Health. 2016</w:t>
      </w:r>
      <w:r>
        <w:t>b</w:t>
      </w:r>
      <w:r w:rsidRPr="007E54E5">
        <w:t xml:space="preserve">. </w:t>
      </w:r>
      <w:r w:rsidRPr="007E54E5">
        <w:rPr>
          <w:i/>
        </w:rPr>
        <w:t xml:space="preserve">New Zealand Health Survey </w:t>
      </w:r>
      <w:r>
        <w:rPr>
          <w:i/>
        </w:rPr>
        <w:t>A</w:t>
      </w:r>
      <w:r w:rsidRPr="007E54E5">
        <w:rPr>
          <w:i/>
        </w:rPr>
        <w:t xml:space="preserve">dult </w:t>
      </w:r>
      <w:r>
        <w:rPr>
          <w:i/>
        </w:rPr>
        <w:t>Q</w:t>
      </w:r>
      <w:r w:rsidRPr="007E54E5">
        <w:rPr>
          <w:i/>
        </w:rPr>
        <w:t>uestionnaire (Year 4)</w:t>
      </w:r>
      <w:r w:rsidRPr="007E54E5">
        <w:t>. Wellington: Ministry of Health.</w:t>
      </w:r>
    </w:p>
    <w:p w14:paraId="184A928A" w14:textId="77777777" w:rsidR="00E82262" w:rsidRDefault="00E82262" w:rsidP="003057E1">
      <w:pPr>
        <w:pStyle w:val="References"/>
      </w:pPr>
      <w:r>
        <w:t xml:space="preserve">Ministry of Health. 2019. </w:t>
      </w:r>
      <w:r w:rsidRPr="004C2F7C">
        <w:rPr>
          <w:i/>
          <w:iCs/>
        </w:rPr>
        <w:t>Sexual and Reproductive Health Indicator Interpretation Guide 2014/15: New Zealand Health Survey</w:t>
      </w:r>
      <w:r>
        <w:t xml:space="preserve">. Wellington: </w:t>
      </w:r>
      <w:r w:rsidRPr="00FB6EA2">
        <w:t>Ministry of Health</w:t>
      </w:r>
      <w:r>
        <w:t>.</w:t>
      </w:r>
    </w:p>
    <w:p w14:paraId="7FE463F6" w14:textId="77777777" w:rsidR="00E82262" w:rsidRPr="008F39F4" w:rsidRDefault="00E82262" w:rsidP="003057E1">
      <w:pPr>
        <w:pStyle w:val="References"/>
        <w:rPr>
          <w:rFonts w:cs="Segoe UI"/>
          <w:szCs w:val="21"/>
        </w:rPr>
      </w:pPr>
      <w:r w:rsidRPr="008F39F4">
        <w:rPr>
          <w:rFonts w:cs="Segoe UI"/>
          <w:szCs w:val="21"/>
        </w:rPr>
        <w:t>Ministry of Justice</w:t>
      </w:r>
      <w:r>
        <w:rPr>
          <w:rFonts w:cs="Segoe UI"/>
          <w:szCs w:val="21"/>
        </w:rPr>
        <w:t>.</w:t>
      </w:r>
      <w:r w:rsidRPr="008F39F4">
        <w:rPr>
          <w:rFonts w:cs="Segoe UI"/>
          <w:szCs w:val="21"/>
        </w:rPr>
        <w:t xml:space="preserve"> 2015. </w:t>
      </w:r>
      <w:r w:rsidRPr="002D1ECD">
        <w:rPr>
          <w:rFonts w:cs="Segoe UI"/>
          <w:i/>
          <w:szCs w:val="21"/>
        </w:rPr>
        <w:t>2014 New Zealand Crime and Safety Survey: Main findings</w:t>
      </w:r>
      <w:r w:rsidRPr="008F39F4">
        <w:rPr>
          <w:rFonts w:cs="Segoe UI"/>
          <w:szCs w:val="21"/>
        </w:rPr>
        <w:t xml:space="preserve">. </w:t>
      </w:r>
      <w:r>
        <w:rPr>
          <w:rFonts w:cs="Segoe UI"/>
          <w:szCs w:val="21"/>
        </w:rPr>
        <w:t>Wellington: Ministry of Justice.</w:t>
      </w:r>
    </w:p>
    <w:p w14:paraId="77DBDE88" w14:textId="77777777" w:rsidR="00E82262" w:rsidRDefault="00E82262" w:rsidP="003057E1">
      <w:pPr>
        <w:pStyle w:val="References"/>
        <w:rPr>
          <w:rFonts w:cstheme="minorHAnsi"/>
          <w:lang w:eastAsia="en-US"/>
        </w:rPr>
      </w:pPr>
      <w:r w:rsidRPr="006256FA">
        <w:rPr>
          <w:rFonts w:cstheme="minorHAnsi"/>
          <w:lang w:eastAsia="en-US"/>
        </w:rPr>
        <w:t>New Zealand Family Violence Clearinghouse</w:t>
      </w:r>
      <w:r>
        <w:rPr>
          <w:rFonts w:cstheme="minorHAnsi"/>
          <w:lang w:eastAsia="en-US"/>
        </w:rPr>
        <w:t>, University of Auckland. 2017.</w:t>
      </w:r>
      <w:r w:rsidRPr="006256FA">
        <w:rPr>
          <w:rFonts w:cstheme="minorHAnsi"/>
          <w:bCs/>
          <w:lang w:eastAsia="en-US"/>
        </w:rPr>
        <w:t xml:space="preserve"> </w:t>
      </w:r>
      <w:r w:rsidRPr="00AC5EBE">
        <w:rPr>
          <w:rFonts w:cstheme="minorHAnsi"/>
          <w:bCs/>
          <w:i/>
          <w:lang w:eastAsia="en-US"/>
        </w:rPr>
        <w:t>Data Summary 5: Adult Sexual Violence</w:t>
      </w:r>
      <w:r w:rsidRPr="006256FA">
        <w:rPr>
          <w:rFonts w:cstheme="minorHAnsi"/>
          <w:lang w:eastAsia="en-US"/>
        </w:rPr>
        <w:t xml:space="preserve">. </w:t>
      </w:r>
      <w:r>
        <w:rPr>
          <w:rFonts w:cstheme="minorHAnsi"/>
          <w:lang w:eastAsia="en-US"/>
        </w:rPr>
        <w:t>Auckland:</w:t>
      </w:r>
      <w:r w:rsidRPr="006256FA">
        <w:rPr>
          <w:rFonts w:cstheme="minorHAnsi"/>
          <w:lang w:eastAsia="en-US"/>
        </w:rPr>
        <w:t xml:space="preserve"> University of Auckland</w:t>
      </w:r>
      <w:r>
        <w:rPr>
          <w:rFonts w:cstheme="minorHAnsi"/>
          <w:lang w:eastAsia="en-US"/>
        </w:rPr>
        <w:t>.</w:t>
      </w:r>
    </w:p>
    <w:p w14:paraId="48F50583" w14:textId="77777777" w:rsidR="00E82262" w:rsidRPr="001D44FA" w:rsidRDefault="00E82262" w:rsidP="003057E1">
      <w:pPr>
        <w:pStyle w:val="References"/>
        <w:rPr>
          <w:rFonts w:cstheme="minorHAnsi"/>
          <w:lang w:eastAsia="en-US"/>
        </w:rPr>
      </w:pPr>
      <w:r w:rsidRPr="001D44FA">
        <w:rPr>
          <w:rFonts w:cstheme="minorHAnsi"/>
          <w:lang w:eastAsia="en-US"/>
        </w:rPr>
        <w:t xml:space="preserve">Statistics New Zealand. 2015. </w:t>
      </w:r>
      <w:r w:rsidRPr="001D44FA">
        <w:rPr>
          <w:rFonts w:cstheme="minorHAnsi"/>
          <w:i/>
          <w:iCs/>
          <w:lang w:eastAsia="en-US"/>
        </w:rPr>
        <w:t xml:space="preserve">Statistical </w:t>
      </w:r>
      <w:r w:rsidR="003057E1">
        <w:rPr>
          <w:rFonts w:cstheme="minorHAnsi"/>
          <w:i/>
          <w:iCs/>
          <w:lang w:eastAsia="en-US"/>
        </w:rPr>
        <w:t>S</w:t>
      </w:r>
      <w:r w:rsidRPr="001D44FA">
        <w:rPr>
          <w:rFonts w:cstheme="minorHAnsi"/>
          <w:i/>
          <w:iCs/>
          <w:lang w:eastAsia="en-US"/>
        </w:rPr>
        <w:t xml:space="preserve">tandard for </w:t>
      </w:r>
      <w:r w:rsidR="003057E1">
        <w:rPr>
          <w:rFonts w:cstheme="minorHAnsi"/>
          <w:i/>
          <w:iCs/>
          <w:lang w:eastAsia="en-US"/>
        </w:rPr>
        <w:t>G</w:t>
      </w:r>
      <w:r w:rsidRPr="001D44FA">
        <w:rPr>
          <w:rFonts w:cstheme="minorHAnsi"/>
          <w:i/>
          <w:iCs/>
          <w:lang w:eastAsia="en-US"/>
        </w:rPr>
        <w:t xml:space="preserve">ender </w:t>
      </w:r>
      <w:r w:rsidR="003057E1">
        <w:rPr>
          <w:rFonts w:cstheme="minorHAnsi"/>
          <w:i/>
          <w:iCs/>
          <w:lang w:eastAsia="en-US"/>
        </w:rPr>
        <w:t>I</w:t>
      </w:r>
      <w:r w:rsidRPr="001D44FA">
        <w:rPr>
          <w:rFonts w:cstheme="minorHAnsi"/>
          <w:i/>
          <w:iCs/>
          <w:lang w:eastAsia="en-US"/>
        </w:rPr>
        <w:t>dentity</w:t>
      </w:r>
      <w:r w:rsidRPr="001D44FA">
        <w:rPr>
          <w:rFonts w:cstheme="minorHAnsi"/>
          <w:lang w:eastAsia="en-US"/>
        </w:rPr>
        <w:t>. Wellington: Statistics New Zealand.</w:t>
      </w:r>
    </w:p>
    <w:p w14:paraId="7AE14109" w14:textId="77777777" w:rsidR="003A5FA0" w:rsidRPr="003A5FA0" w:rsidRDefault="003A5FA0" w:rsidP="003A5FA0"/>
    <w:sectPr w:rsidR="003A5FA0" w:rsidRPr="003A5FA0" w:rsidSect="002B7BEC">
      <w:footerReference w:type="even" r:id="rId24"/>
      <w:footerReference w:type="default" r:id="rId25"/>
      <w:pgSz w:w="11907" w:h="16834" w:code="9"/>
      <w:pgMar w:top="1418" w:right="1701" w:bottom="1134" w:left="1843" w:header="284" w:footer="425" w:gutter="284"/>
      <w:pgNumType w:start="1"/>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6445F9" w14:textId="77777777" w:rsidR="00F13711" w:rsidRDefault="00F13711">
      <w:r>
        <w:separator/>
      </w:r>
    </w:p>
    <w:p w14:paraId="69DD449F" w14:textId="77777777" w:rsidR="00F13711" w:rsidRDefault="00F13711"/>
  </w:endnote>
  <w:endnote w:type="continuationSeparator" w:id="0">
    <w:p w14:paraId="244326DF" w14:textId="77777777" w:rsidR="00F13711" w:rsidRDefault="00F13711">
      <w:r>
        <w:continuationSeparator/>
      </w:r>
    </w:p>
    <w:p w14:paraId="3F36FA46" w14:textId="77777777" w:rsidR="00F13711" w:rsidRDefault="00F1371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Mäori">
    <w:altName w:val="Arial"/>
    <w:panose1 w:val="00000000000000000000"/>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emibold">
    <w:panose1 w:val="020B07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Black">
    <w:panose1 w:val="020B0A02040204020203"/>
    <w:charset w:val="00"/>
    <w:family w:val="swiss"/>
    <w:pitch w:val="variable"/>
    <w:sig w:usb0="E10002FF" w:usb1="4000E47F" w:usb2="00000021" w:usb3="00000000" w:csb0="0000019F" w:csb1="00000000"/>
  </w:font>
  <w:font w:name="Lucida Sans Unicode">
    <w:panose1 w:val="020B0602030504020204"/>
    <w:charset w:val="00"/>
    <w:family w:val="swiss"/>
    <w:pitch w:val="variable"/>
    <w:sig w:usb0="80000AFF" w:usb1="0000396B" w:usb2="00000000" w:usb3="00000000" w:csb0="000000BF" w:csb1="00000000"/>
  </w:font>
  <w:font w:name="Segoe UI Light">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FDA374" w14:textId="77777777" w:rsidR="00B55994" w:rsidRDefault="00B55994" w:rsidP="00D501E3">
    <w:pPr>
      <w:pStyle w:val="Footer"/>
      <w:pBdr>
        <w:bottom w:val="single" w:sz="4" w:space="1" w:color="auto"/>
      </w:pBdr>
      <w:tabs>
        <w:tab w:val="right" w:pos="9639"/>
      </w:tabs>
      <w:spacing w:after="360"/>
      <w:rPr>
        <w:b/>
      </w:rPr>
    </w:pPr>
    <w:r>
      <w:rPr>
        <w:noProof/>
        <w:lang w:eastAsia="en-NZ"/>
      </w:rPr>
      <w:drawing>
        <wp:inline distT="0" distB="0" distL="0" distR="0" wp14:anchorId="1664C43F" wp14:editId="32C96075">
          <wp:extent cx="4397433" cy="1152103"/>
          <wp:effectExtent l="0" t="0" r="3175" b="0"/>
          <wp:docPr id="11" name="Picture 11" descr="NZ Health Survey Logo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NZ Health Survey Logo_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02462" cy="1153420"/>
                  </a:xfrm>
                  <a:prstGeom prst="rect">
                    <a:avLst/>
                  </a:prstGeom>
                  <a:noFill/>
                  <a:ln>
                    <a:noFill/>
                  </a:ln>
                </pic:spPr>
              </pic:pic>
            </a:graphicData>
          </a:graphic>
        </wp:inline>
      </w:drawing>
    </w:r>
  </w:p>
  <w:p w14:paraId="5C747E4B" w14:textId="77777777" w:rsidR="00B55994" w:rsidRPr="00581136" w:rsidRDefault="00B55994" w:rsidP="005A79E5">
    <w:pPr>
      <w:pStyle w:val="Footer"/>
      <w:pBdr>
        <w:bottom w:val="single" w:sz="4" w:space="1" w:color="auto"/>
      </w:pBdr>
      <w:tabs>
        <w:tab w:val="right" w:pos="9639"/>
      </w:tabs>
      <w:rPr>
        <w:b/>
      </w:rPr>
    </w:pPr>
    <w:r w:rsidRPr="00581136">
      <w:rPr>
        <w:b/>
      </w:rPr>
      <w:t>Released 201</w:t>
    </w:r>
    <w:r>
      <w:rPr>
        <w:b/>
      </w:rPr>
      <w:t>9</w:t>
    </w:r>
    <w:r w:rsidRPr="00581136">
      <w:rPr>
        <w:b/>
      </w:rPr>
      <w:tab/>
      <w:t>health.govt.nz</w:t>
    </w:r>
  </w:p>
  <w:p w14:paraId="7C1DE553" w14:textId="77777777" w:rsidR="00B55994" w:rsidRPr="005A79E5" w:rsidRDefault="00B55994">
    <w:pPr>
      <w:pStyle w:val="Foote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BE11F" w14:textId="77777777" w:rsidR="00B55994" w:rsidRDefault="00B55994" w:rsidP="004D6689">
    <w:pPr>
      <w:pStyle w:val="Footer"/>
      <w:ind w:right="360"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63240" w14:textId="77777777" w:rsidR="00B55994" w:rsidRDefault="00B5599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Ind w:w="-709" w:type="dxa"/>
      <w:tblLayout w:type="fixed"/>
      <w:tblCellMar>
        <w:left w:w="0" w:type="dxa"/>
        <w:right w:w="0" w:type="dxa"/>
      </w:tblCellMar>
      <w:tblLook w:val="04A0" w:firstRow="1" w:lastRow="0" w:firstColumn="1" w:lastColumn="0" w:noHBand="0" w:noVBand="1"/>
    </w:tblPr>
    <w:tblGrid>
      <w:gridCol w:w="709"/>
      <w:gridCol w:w="8080"/>
    </w:tblGrid>
    <w:tr w:rsidR="00B55994" w14:paraId="0ADCA9E7" w14:textId="77777777" w:rsidTr="00D662F8">
      <w:trPr>
        <w:cantSplit/>
      </w:trPr>
      <w:tc>
        <w:tcPr>
          <w:tcW w:w="709" w:type="dxa"/>
          <w:vAlign w:val="center"/>
        </w:tcPr>
        <w:p w14:paraId="74DF1988" w14:textId="77777777" w:rsidR="00B55994" w:rsidRPr="00931466" w:rsidRDefault="00B55994" w:rsidP="0043478F">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Pr>
              <w:rStyle w:val="PageNumber"/>
              <w:noProof/>
            </w:rPr>
            <w:t>iv</w:t>
          </w:r>
          <w:r w:rsidRPr="00931466">
            <w:rPr>
              <w:rStyle w:val="PageNumber"/>
            </w:rPr>
            <w:fldChar w:fldCharType="end"/>
          </w:r>
        </w:p>
      </w:tc>
      <w:tc>
        <w:tcPr>
          <w:tcW w:w="8080" w:type="dxa"/>
          <w:vAlign w:val="center"/>
        </w:tcPr>
        <w:p w14:paraId="2DE37A6E" w14:textId="77777777" w:rsidR="00B55994" w:rsidRDefault="00B55994" w:rsidP="00E82262">
          <w:pPr>
            <w:pStyle w:val="RectoFooter"/>
            <w:jc w:val="left"/>
          </w:pPr>
          <w:r>
            <w:t>non-volitional sex: findings from the 2014/15 new zealand health survey</w:t>
          </w:r>
        </w:p>
      </w:tc>
    </w:tr>
  </w:tbl>
  <w:p w14:paraId="4E6EB186" w14:textId="77777777" w:rsidR="00B55994" w:rsidRPr="00571223" w:rsidRDefault="00B55994" w:rsidP="00571223">
    <w:pPr>
      <w:pStyle w:val="VersoFooter"/>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B55994" w14:paraId="7C632B2B" w14:textId="77777777" w:rsidTr="006E2886">
      <w:trPr>
        <w:cantSplit/>
      </w:trPr>
      <w:tc>
        <w:tcPr>
          <w:tcW w:w="8080" w:type="dxa"/>
          <w:vAlign w:val="center"/>
        </w:tcPr>
        <w:p w14:paraId="35E47048" w14:textId="77777777" w:rsidR="00B55994" w:rsidRDefault="00B55994" w:rsidP="00E82262">
          <w:pPr>
            <w:pStyle w:val="RectoFooter"/>
          </w:pPr>
          <w:r>
            <w:t>non-volitional sex: findings from the 2014/15 new zealand health survey</w:t>
          </w:r>
        </w:p>
      </w:tc>
      <w:tc>
        <w:tcPr>
          <w:tcW w:w="709" w:type="dxa"/>
          <w:vAlign w:val="center"/>
        </w:tcPr>
        <w:p w14:paraId="17B45665" w14:textId="77777777" w:rsidR="00B55994" w:rsidRPr="00931466" w:rsidRDefault="00B5599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7F60E6">
            <w:rPr>
              <w:rStyle w:val="PageNumber"/>
              <w:noProof/>
            </w:rPr>
            <w:t>iii</w:t>
          </w:r>
          <w:r w:rsidRPr="00931466">
            <w:rPr>
              <w:rStyle w:val="PageNumber"/>
            </w:rPr>
            <w:fldChar w:fldCharType="end"/>
          </w:r>
        </w:p>
      </w:tc>
    </w:tr>
  </w:tbl>
  <w:p w14:paraId="037BFF98" w14:textId="77777777" w:rsidR="00B55994" w:rsidRPr="00581EB8" w:rsidRDefault="00B55994" w:rsidP="00581EB8">
    <w:pPr>
      <w:pStyle w:val="Footer"/>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B55994" w14:paraId="3E0DC14B" w14:textId="77777777" w:rsidTr="006E2886">
      <w:trPr>
        <w:cantSplit/>
      </w:trPr>
      <w:tc>
        <w:tcPr>
          <w:tcW w:w="675" w:type="dxa"/>
          <w:vAlign w:val="center"/>
        </w:tcPr>
        <w:p w14:paraId="43D6468F" w14:textId="77777777" w:rsidR="00B55994" w:rsidRPr="00931466" w:rsidRDefault="00B5599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7F60E6">
            <w:rPr>
              <w:rStyle w:val="PageNumber"/>
              <w:noProof/>
            </w:rPr>
            <w:t>iv</w:t>
          </w:r>
          <w:r w:rsidRPr="00931466">
            <w:rPr>
              <w:rStyle w:val="PageNumber"/>
            </w:rPr>
            <w:fldChar w:fldCharType="end"/>
          </w:r>
        </w:p>
      </w:tc>
      <w:tc>
        <w:tcPr>
          <w:tcW w:w="9072" w:type="dxa"/>
          <w:vAlign w:val="center"/>
        </w:tcPr>
        <w:p w14:paraId="0E5DC2FB" w14:textId="77777777" w:rsidR="00B55994" w:rsidRDefault="00B55994" w:rsidP="00030EB1">
          <w:pPr>
            <w:pStyle w:val="RectoFooter"/>
            <w:jc w:val="left"/>
          </w:pPr>
          <w:r>
            <w:t>non-volitional sex: findings from the 2014/15 new zealand health survey</w:t>
          </w:r>
        </w:p>
      </w:tc>
    </w:tr>
  </w:tbl>
  <w:p w14:paraId="30BD373C" w14:textId="77777777" w:rsidR="00B55994" w:rsidRPr="00571223" w:rsidRDefault="00B55994" w:rsidP="00571223">
    <w:pPr>
      <w:pStyle w:val="VersoFooter"/>
      <w:rPr>
        <w:sz w:val="2"/>
        <w:szCs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47" w:type="dxa"/>
      <w:tblInd w:w="-567" w:type="dxa"/>
      <w:tblLayout w:type="fixed"/>
      <w:tblLook w:val="04A0" w:firstRow="1" w:lastRow="0" w:firstColumn="1" w:lastColumn="0" w:noHBand="0" w:noVBand="1"/>
    </w:tblPr>
    <w:tblGrid>
      <w:gridCol w:w="675"/>
      <w:gridCol w:w="9072"/>
    </w:tblGrid>
    <w:tr w:rsidR="00B55994" w14:paraId="3EE40428" w14:textId="77777777" w:rsidTr="006E2886">
      <w:trPr>
        <w:cantSplit/>
      </w:trPr>
      <w:tc>
        <w:tcPr>
          <w:tcW w:w="675" w:type="dxa"/>
          <w:vAlign w:val="center"/>
        </w:tcPr>
        <w:p w14:paraId="2BCE0F8F" w14:textId="77777777" w:rsidR="00B55994" w:rsidRPr="00931466" w:rsidRDefault="00B55994" w:rsidP="006E2886">
          <w:pPr>
            <w:pStyle w:val="Footer"/>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7F60E6">
            <w:rPr>
              <w:rStyle w:val="PageNumber"/>
              <w:noProof/>
            </w:rPr>
            <w:t>12</w:t>
          </w:r>
          <w:r w:rsidRPr="00931466">
            <w:rPr>
              <w:rStyle w:val="PageNumber"/>
            </w:rPr>
            <w:fldChar w:fldCharType="end"/>
          </w:r>
        </w:p>
      </w:tc>
      <w:tc>
        <w:tcPr>
          <w:tcW w:w="9072" w:type="dxa"/>
          <w:vAlign w:val="center"/>
        </w:tcPr>
        <w:p w14:paraId="1B37988C" w14:textId="77777777" w:rsidR="00B55994" w:rsidRDefault="00B55994" w:rsidP="00E82262">
          <w:pPr>
            <w:pStyle w:val="RectoFooter"/>
            <w:ind w:left="-85"/>
            <w:jc w:val="left"/>
          </w:pPr>
          <w:r>
            <w:t>non-volitional sex: findings from the 2014/15 new zealand health survey</w:t>
          </w:r>
        </w:p>
      </w:tc>
    </w:tr>
  </w:tbl>
  <w:p w14:paraId="4C804F71" w14:textId="77777777" w:rsidR="00B55994" w:rsidRPr="00571223" w:rsidRDefault="00B55994" w:rsidP="00571223">
    <w:pPr>
      <w:pStyle w:val="VersoFooter"/>
      <w:rPr>
        <w:sz w:val="2"/>
        <w:szCs w:val="2"/>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8789" w:type="dxa"/>
      <w:tblLayout w:type="fixed"/>
      <w:tblCellMar>
        <w:left w:w="0" w:type="dxa"/>
        <w:right w:w="0" w:type="dxa"/>
      </w:tblCellMar>
      <w:tblLook w:val="04A0" w:firstRow="1" w:lastRow="0" w:firstColumn="1" w:lastColumn="0" w:noHBand="0" w:noVBand="1"/>
    </w:tblPr>
    <w:tblGrid>
      <w:gridCol w:w="8080"/>
      <w:gridCol w:w="709"/>
    </w:tblGrid>
    <w:tr w:rsidR="00B55994" w14:paraId="66F51F20" w14:textId="77777777" w:rsidTr="006E2886">
      <w:trPr>
        <w:cantSplit/>
      </w:trPr>
      <w:tc>
        <w:tcPr>
          <w:tcW w:w="8080" w:type="dxa"/>
          <w:vAlign w:val="center"/>
        </w:tcPr>
        <w:p w14:paraId="1E1A9BFC" w14:textId="77777777" w:rsidR="00B55994" w:rsidRDefault="00B55994" w:rsidP="00E82262">
          <w:pPr>
            <w:pStyle w:val="RectoFooter"/>
          </w:pPr>
          <w:r>
            <w:t>non-volitional sex: findings from the 2014/15 new zealand health survey</w:t>
          </w:r>
        </w:p>
      </w:tc>
      <w:tc>
        <w:tcPr>
          <w:tcW w:w="709" w:type="dxa"/>
          <w:vAlign w:val="center"/>
        </w:tcPr>
        <w:p w14:paraId="7DDEC9EA" w14:textId="77777777" w:rsidR="00B55994" w:rsidRPr="00931466" w:rsidRDefault="00B55994" w:rsidP="006E2886">
          <w:pPr>
            <w:pStyle w:val="Footer"/>
            <w:jc w:val="right"/>
            <w:rPr>
              <w:rStyle w:val="PageNumber"/>
            </w:rPr>
          </w:pPr>
          <w:r w:rsidRPr="00931466">
            <w:rPr>
              <w:rStyle w:val="PageNumber"/>
            </w:rPr>
            <w:fldChar w:fldCharType="begin"/>
          </w:r>
          <w:r w:rsidRPr="00931466">
            <w:rPr>
              <w:rStyle w:val="PageNumber"/>
            </w:rPr>
            <w:instrText xml:space="preserve"> PAGE   \* MERGEFORMAT </w:instrText>
          </w:r>
          <w:r w:rsidRPr="00931466">
            <w:rPr>
              <w:rStyle w:val="PageNumber"/>
            </w:rPr>
            <w:fldChar w:fldCharType="separate"/>
          </w:r>
          <w:r w:rsidR="007F60E6">
            <w:rPr>
              <w:rStyle w:val="PageNumber"/>
              <w:noProof/>
            </w:rPr>
            <w:t>11</w:t>
          </w:r>
          <w:r w:rsidRPr="00931466">
            <w:rPr>
              <w:rStyle w:val="PageNumber"/>
            </w:rPr>
            <w:fldChar w:fldCharType="end"/>
          </w:r>
        </w:p>
      </w:tc>
    </w:tr>
  </w:tbl>
  <w:p w14:paraId="64B7F80C" w14:textId="77777777" w:rsidR="00B55994" w:rsidRPr="00581EB8" w:rsidRDefault="00B55994" w:rsidP="00581EB8">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274AB" w14:textId="77777777" w:rsidR="00F13711" w:rsidRPr="00A26E6B" w:rsidRDefault="00F13711" w:rsidP="00A26E6B"/>
  </w:footnote>
  <w:footnote w:type="continuationSeparator" w:id="0">
    <w:p w14:paraId="370976B1" w14:textId="77777777" w:rsidR="00F13711" w:rsidRDefault="00F13711">
      <w:r>
        <w:continuationSeparator/>
      </w:r>
    </w:p>
    <w:p w14:paraId="011B2904" w14:textId="77777777" w:rsidR="00F13711" w:rsidRDefault="00F13711"/>
  </w:footnote>
  <w:footnote w:id="1">
    <w:p w14:paraId="203F4316" w14:textId="77777777" w:rsidR="00B55994" w:rsidRPr="00553C05" w:rsidRDefault="00B55994" w:rsidP="00A0035E">
      <w:pPr>
        <w:pStyle w:val="FootnoteText"/>
      </w:pPr>
      <w:r w:rsidRPr="00A0035E">
        <w:rPr>
          <w:rStyle w:val="FootnoteReference"/>
        </w:rPr>
        <w:footnoteRef/>
      </w:r>
      <w:r>
        <w:tab/>
        <w:t>Statistical c</w:t>
      </w:r>
      <w:r w:rsidRPr="00EA40FC">
        <w:t>omparison between ethnic groups adjusted for age cannot be undertaken on the medians.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0" w:type="dxa"/>
        <w:right w:w="0" w:type="dxa"/>
      </w:tblCellMar>
      <w:tblLook w:val="04A0" w:firstRow="1" w:lastRow="0" w:firstColumn="1" w:lastColumn="0" w:noHBand="0" w:noVBand="1"/>
    </w:tblPr>
    <w:tblGrid>
      <w:gridCol w:w="5210"/>
      <w:gridCol w:w="4429"/>
    </w:tblGrid>
    <w:tr w:rsidR="00B55994" w14:paraId="2F4E8273" w14:textId="77777777" w:rsidTr="005A79E5">
      <w:trPr>
        <w:cantSplit/>
      </w:trPr>
      <w:tc>
        <w:tcPr>
          <w:tcW w:w="5210" w:type="dxa"/>
        </w:tcPr>
        <w:p w14:paraId="642EF2B0" w14:textId="77777777" w:rsidR="00B55994" w:rsidRDefault="00B55994" w:rsidP="008814E8">
          <w:pPr>
            <w:pStyle w:val="Header"/>
          </w:pPr>
          <w:r>
            <w:rPr>
              <w:noProof/>
              <w:lang w:eastAsia="en-NZ"/>
            </w:rPr>
            <w:drawing>
              <wp:inline distT="0" distB="0" distL="0" distR="0" wp14:anchorId="5777E81A" wp14:editId="730DF67A">
                <wp:extent cx="1395076" cy="573578"/>
                <wp:effectExtent l="0" t="0" r="0" b="0"/>
                <wp:docPr id="5" name="Picture 5" descr="Ministry of Healt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H_logo1_RGB.jpg"/>
                        <pic:cNvPicPr/>
                      </pic:nvPicPr>
                      <pic:blipFill rotWithShape="1">
                        <a:blip r:embed="rId1" cstate="print">
                          <a:extLst>
                            <a:ext uri="{28A0092B-C50C-407E-A947-70E740481C1C}">
                              <a14:useLocalDpi xmlns:a14="http://schemas.microsoft.com/office/drawing/2010/main" val="0"/>
                            </a:ext>
                          </a:extLst>
                        </a:blip>
                        <a:srcRect l="7327" t="15285" r="7327" b="13946"/>
                        <a:stretch/>
                      </pic:blipFill>
                      <pic:spPr bwMode="auto">
                        <a:xfrm>
                          <a:off x="0" y="0"/>
                          <a:ext cx="1397853" cy="574720"/>
                        </a:xfrm>
                        <a:prstGeom prst="rect">
                          <a:avLst/>
                        </a:prstGeom>
                        <a:ln>
                          <a:noFill/>
                        </a:ln>
                        <a:extLst>
                          <a:ext uri="{53640926-AAD7-44D8-BBD7-CCE9431645EC}">
                            <a14:shadowObscured xmlns:a14="http://schemas.microsoft.com/office/drawing/2010/main"/>
                          </a:ext>
                        </a:extLst>
                      </pic:spPr>
                    </pic:pic>
                  </a:graphicData>
                </a:graphic>
              </wp:inline>
            </w:drawing>
          </w:r>
        </w:p>
      </w:tc>
      <w:tc>
        <w:tcPr>
          <w:tcW w:w="4429" w:type="dxa"/>
          <w:vAlign w:val="center"/>
        </w:tcPr>
        <w:p w14:paraId="78214484" w14:textId="77777777" w:rsidR="00B55994" w:rsidRDefault="00B55994" w:rsidP="008814E8">
          <w:pPr>
            <w:pStyle w:val="Header"/>
            <w:jc w:val="right"/>
          </w:pPr>
          <w:r>
            <w:rPr>
              <w:noProof/>
              <w:lang w:eastAsia="en-NZ"/>
            </w:rPr>
            <w:drawing>
              <wp:inline distT="0" distB="0" distL="0" distR="0" wp14:anchorId="370727E6" wp14:editId="26128381">
                <wp:extent cx="1720735" cy="177135"/>
                <wp:effectExtent l="0" t="0" r="0" b="0"/>
                <wp:docPr id="6" name="Picture 6" descr="New Zealand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zgovernmentblacksmall.jpg"/>
                        <pic:cNvPicPr/>
                      </pic:nvPicPr>
                      <pic:blipFill>
                        <a:blip r:embed="rId2">
                          <a:extLst>
                            <a:ext uri="{28A0092B-C50C-407E-A947-70E740481C1C}">
                              <a14:useLocalDpi xmlns:a14="http://schemas.microsoft.com/office/drawing/2010/main" val="0"/>
                            </a:ext>
                          </a:extLst>
                        </a:blip>
                        <a:stretch>
                          <a:fillRect/>
                        </a:stretch>
                      </pic:blipFill>
                      <pic:spPr>
                        <a:xfrm>
                          <a:off x="0" y="0"/>
                          <a:ext cx="1718896" cy="176946"/>
                        </a:xfrm>
                        <a:prstGeom prst="rect">
                          <a:avLst/>
                        </a:prstGeom>
                      </pic:spPr>
                    </pic:pic>
                  </a:graphicData>
                </a:graphic>
              </wp:inline>
            </w:drawing>
          </w:r>
        </w:p>
      </w:tc>
    </w:tr>
  </w:tbl>
  <w:p w14:paraId="71EF5169" w14:textId="77777777" w:rsidR="00B55994" w:rsidRDefault="00B5599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81062" w14:textId="77777777" w:rsidR="00B55994" w:rsidRDefault="00B55994" w:rsidP="00533B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1D06" w14:textId="77777777" w:rsidR="00B55994" w:rsidRDefault="00B55994" w:rsidP="0090019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817C7"/>
    <w:multiLevelType w:val="multilevel"/>
    <w:tmpl w:val="97A61EEE"/>
    <w:lvl w:ilvl="0">
      <w:start w:val="1"/>
      <w:numFmt w:val="decimal"/>
      <w:lvlText w:val="%1"/>
      <w:lvlJc w:val="left"/>
      <w:pPr>
        <w:ind w:left="992" w:hanging="992"/>
      </w:pPr>
      <w:rPr>
        <w:rFonts w:hint="default"/>
      </w:rPr>
    </w:lvl>
    <w:lvl w:ilvl="1">
      <w:start w:val="1"/>
      <w:numFmt w:val="lowerLetter"/>
      <w:lvlText w:val="%2."/>
      <w:lvlJc w:val="left"/>
      <w:pPr>
        <w:ind w:left="992" w:hanging="992"/>
      </w:pPr>
      <w:rPr>
        <w:rFonts w:hint="default"/>
      </w:rPr>
    </w:lvl>
    <w:lvl w:ilvl="2">
      <w:start w:val="1"/>
      <w:numFmt w:val="none"/>
      <w:pStyle w:val="Heading3"/>
      <w:suff w:val="nothing"/>
      <w:lvlText w:val="%3"/>
      <w:lvlJc w:val="left"/>
      <w:pPr>
        <w:ind w:left="0" w:firstLine="0"/>
      </w:pPr>
      <w:rPr>
        <w:rFonts w:hint="default"/>
      </w:rPr>
    </w:lvl>
    <w:lvl w:ilvl="3">
      <w:start w:val="1"/>
      <w:numFmt w:val="decimal"/>
      <w:pStyle w:val="Number"/>
      <w:lvlText w:val="%4."/>
      <w:lvlJc w:val="left"/>
      <w:pPr>
        <w:ind w:left="567" w:hanging="567"/>
      </w:pPr>
      <w:rPr>
        <w:rFonts w:hint="default"/>
      </w:rPr>
    </w:lvl>
    <w:lvl w:ilvl="4">
      <w:start w:val="1"/>
      <w:numFmt w:val="lowerLetter"/>
      <w:pStyle w:val="Letter"/>
      <w:lvlText w:val="%5."/>
      <w:lvlJc w:val="left"/>
      <w:pPr>
        <w:ind w:left="1134" w:hanging="567"/>
      </w:pPr>
      <w:rPr>
        <w:rFonts w:hint="default"/>
      </w:rPr>
    </w:lvl>
    <w:lvl w:ilvl="5">
      <w:start w:val="1"/>
      <w:numFmt w:val="lowerRoman"/>
      <w:pStyle w:val="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42E1B55"/>
    <w:multiLevelType w:val="singleLevel"/>
    <w:tmpl w:val="1A46536C"/>
    <w:lvl w:ilvl="0">
      <w:start w:val="1"/>
      <w:numFmt w:val="bullet"/>
      <w:pStyle w:val="TableBullet"/>
      <w:lvlText w:val=""/>
      <w:lvlJc w:val="left"/>
      <w:pPr>
        <w:tabs>
          <w:tab w:val="num" w:pos="284"/>
        </w:tabs>
        <w:ind w:left="284" w:hanging="284"/>
      </w:pPr>
      <w:rPr>
        <w:rFonts w:ascii="Symbol" w:hAnsi="Symbol" w:hint="default"/>
        <w:sz w:val="16"/>
        <w:szCs w:val="16"/>
      </w:rPr>
    </w:lvl>
  </w:abstractNum>
  <w:abstractNum w:abstractNumId="2" w15:restartNumberingAfterBreak="0">
    <w:nsid w:val="18594514"/>
    <w:multiLevelType w:val="hybridMultilevel"/>
    <w:tmpl w:val="88268E98"/>
    <w:lvl w:ilvl="0" w:tplc="14090001">
      <w:start w:val="1"/>
      <w:numFmt w:val="bullet"/>
      <w:lvlText w:val=""/>
      <w:lvlJc w:val="left"/>
      <w:pPr>
        <w:ind w:left="360" w:hanging="360"/>
      </w:pPr>
      <w:rPr>
        <w:rFonts w:ascii="Symbol" w:hAnsi="Symbol" w:hint="default"/>
      </w:rPr>
    </w:lvl>
    <w:lvl w:ilvl="1" w:tplc="14090003" w:tentative="1">
      <w:start w:val="1"/>
      <w:numFmt w:val="bullet"/>
      <w:lvlText w:val="o"/>
      <w:lvlJc w:val="left"/>
      <w:pPr>
        <w:ind w:left="1080" w:hanging="360"/>
      </w:pPr>
      <w:rPr>
        <w:rFonts w:ascii="Courier New" w:hAnsi="Courier New" w:cs="Courier New" w:hint="default"/>
      </w:rPr>
    </w:lvl>
    <w:lvl w:ilvl="2" w:tplc="14090005" w:tentative="1">
      <w:start w:val="1"/>
      <w:numFmt w:val="bullet"/>
      <w:lvlText w:val=""/>
      <w:lvlJc w:val="left"/>
      <w:pPr>
        <w:ind w:left="1800" w:hanging="360"/>
      </w:pPr>
      <w:rPr>
        <w:rFonts w:ascii="Wingdings" w:hAnsi="Wingdings" w:hint="default"/>
      </w:rPr>
    </w:lvl>
    <w:lvl w:ilvl="3" w:tplc="14090001" w:tentative="1">
      <w:start w:val="1"/>
      <w:numFmt w:val="bullet"/>
      <w:lvlText w:val=""/>
      <w:lvlJc w:val="left"/>
      <w:pPr>
        <w:ind w:left="2520" w:hanging="360"/>
      </w:pPr>
      <w:rPr>
        <w:rFonts w:ascii="Symbol" w:hAnsi="Symbol" w:hint="default"/>
      </w:rPr>
    </w:lvl>
    <w:lvl w:ilvl="4" w:tplc="14090003" w:tentative="1">
      <w:start w:val="1"/>
      <w:numFmt w:val="bullet"/>
      <w:lvlText w:val="o"/>
      <w:lvlJc w:val="left"/>
      <w:pPr>
        <w:ind w:left="3240" w:hanging="360"/>
      </w:pPr>
      <w:rPr>
        <w:rFonts w:ascii="Courier New" w:hAnsi="Courier New" w:cs="Courier New" w:hint="default"/>
      </w:rPr>
    </w:lvl>
    <w:lvl w:ilvl="5" w:tplc="14090005" w:tentative="1">
      <w:start w:val="1"/>
      <w:numFmt w:val="bullet"/>
      <w:lvlText w:val=""/>
      <w:lvlJc w:val="left"/>
      <w:pPr>
        <w:ind w:left="3960" w:hanging="360"/>
      </w:pPr>
      <w:rPr>
        <w:rFonts w:ascii="Wingdings" w:hAnsi="Wingdings" w:hint="default"/>
      </w:rPr>
    </w:lvl>
    <w:lvl w:ilvl="6" w:tplc="14090001" w:tentative="1">
      <w:start w:val="1"/>
      <w:numFmt w:val="bullet"/>
      <w:lvlText w:val=""/>
      <w:lvlJc w:val="left"/>
      <w:pPr>
        <w:ind w:left="4680" w:hanging="360"/>
      </w:pPr>
      <w:rPr>
        <w:rFonts w:ascii="Symbol" w:hAnsi="Symbol" w:hint="default"/>
      </w:rPr>
    </w:lvl>
    <w:lvl w:ilvl="7" w:tplc="14090003" w:tentative="1">
      <w:start w:val="1"/>
      <w:numFmt w:val="bullet"/>
      <w:lvlText w:val="o"/>
      <w:lvlJc w:val="left"/>
      <w:pPr>
        <w:ind w:left="5400" w:hanging="360"/>
      </w:pPr>
      <w:rPr>
        <w:rFonts w:ascii="Courier New" w:hAnsi="Courier New" w:cs="Courier New" w:hint="default"/>
      </w:rPr>
    </w:lvl>
    <w:lvl w:ilvl="8" w:tplc="14090005" w:tentative="1">
      <w:start w:val="1"/>
      <w:numFmt w:val="bullet"/>
      <w:lvlText w:val=""/>
      <w:lvlJc w:val="left"/>
      <w:pPr>
        <w:ind w:left="6120" w:hanging="360"/>
      </w:pPr>
      <w:rPr>
        <w:rFonts w:ascii="Wingdings" w:hAnsi="Wingdings" w:hint="default"/>
      </w:rPr>
    </w:lvl>
  </w:abstractNum>
  <w:abstractNum w:abstractNumId="3" w15:restartNumberingAfterBreak="0">
    <w:nsid w:val="1E23621A"/>
    <w:multiLevelType w:val="multilevel"/>
    <w:tmpl w:val="A2A8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CA71F78"/>
    <w:multiLevelType w:val="hybridMultilevel"/>
    <w:tmpl w:val="0D76E58A"/>
    <w:lvl w:ilvl="0" w:tplc="33A80CE8">
      <w:start w:val="1"/>
      <w:numFmt w:val="bullet"/>
      <w:pStyle w:val="Dash"/>
      <w:lvlText w:val="–"/>
      <w:lvlJc w:val="left"/>
      <w:pPr>
        <w:tabs>
          <w:tab w:val="num" w:pos="567"/>
        </w:tabs>
        <w:ind w:left="567" w:hanging="283"/>
      </w:pPr>
      <w:rPr>
        <w:rFonts w:ascii="Arial" w:hAnsi="Arial" w:hint="default"/>
        <w:b w:val="0"/>
        <w:i w:val="0"/>
        <w:sz w:val="20"/>
        <w:szCs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00E20E8"/>
    <w:multiLevelType w:val="hybridMultilevel"/>
    <w:tmpl w:val="FD9CE56E"/>
    <w:lvl w:ilvl="0" w:tplc="84F4142A">
      <w:start w:val="1"/>
      <w:numFmt w:val="bullet"/>
      <w:pStyle w:val="TableDash"/>
      <w:lvlText w:val="–"/>
      <w:lvlJc w:val="left"/>
      <w:pPr>
        <w:tabs>
          <w:tab w:val="num" w:pos="567"/>
        </w:tabs>
        <w:ind w:left="567" w:hanging="283"/>
      </w:pPr>
      <w:rPr>
        <w:rFonts w:ascii="Arial Mäori" w:hAnsi="Arial Mäori" w:hint="default"/>
        <w:color w:val="auto"/>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1218D3"/>
    <w:multiLevelType w:val="singleLevel"/>
    <w:tmpl w:val="9ACAB508"/>
    <w:lvl w:ilvl="0">
      <w:start w:val="1"/>
      <w:numFmt w:val="bullet"/>
      <w:pStyle w:val="Bullet"/>
      <w:lvlText w:val=""/>
      <w:lvlJc w:val="left"/>
      <w:pPr>
        <w:tabs>
          <w:tab w:val="num" w:pos="284"/>
        </w:tabs>
        <w:ind w:left="284" w:hanging="284"/>
      </w:pPr>
      <w:rPr>
        <w:rFonts w:ascii="Symbol" w:hAnsi="Symbol" w:hint="default"/>
        <w:sz w:val="18"/>
      </w:rPr>
    </w:lvl>
  </w:abstractNum>
  <w:num w:numId="1">
    <w:abstractNumId w:val="6"/>
  </w:num>
  <w:num w:numId="2">
    <w:abstractNumId w:val="4"/>
  </w:num>
  <w:num w:numId="3">
    <w:abstractNumId w:val="5"/>
  </w:num>
  <w:num w:numId="4">
    <w:abstractNumId w:val="1"/>
  </w:num>
  <w:num w:numId="5">
    <w:abstractNumId w:val="0"/>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num>
  <w:num w:numId="8">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567"/>
  <w:evenAndOddHeaders/>
  <w:drawingGridHorizontalSpacing w:val="57"/>
  <w:drawingGridVerticalSpacing w:val="57"/>
  <w:displayHorizontalDrawingGridEvery w:val="0"/>
  <w:displayVerticalDrawingGridEvery w:val="0"/>
  <w:doNotUseMarginsForDrawingGridOrigin/>
  <w:drawingGridVerticalOrigin w:val="1985"/>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C78EB"/>
    <w:rsid w:val="000025B8"/>
    <w:rsid w:val="00005BB5"/>
    <w:rsid w:val="00025A6F"/>
    <w:rsid w:val="0002618D"/>
    <w:rsid w:val="00030B26"/>
    <w:rsid w:val="00030E84"/>
    <w:rsid w:val="00030EB1"/>
    <w:rsid w:val="00032C0A"/>
    <w:rsid w:val="00035257"/>
    <w:rsid w:val="00035D68"/>
    <w:rsid w:val="00036027"/>
    <w:rsid w:val="00045613"/>
    <w:rsid w:val="00047899"/>
    <w:rsid w:val="00053921"/>
    <w:rsid w:val="00054B44"/>
    <w:rsid w:val="0006006B"/>
    <w:rsid w:val="0006228D"/>
    <w:rsid w:val="00072BD6"/>
    <w:rsid w:val="00075B78"/>
    <w:rsid w:val="000763E9"/>
    <w:rsid w:val="00082CD6"/>
    <w:rsid w:val="0008437D"/>
    <w:rsid w:val="00085AFE"/>
    <w:rsid w:val="00086905"/>
    <w:rsid w:val="00094800"/>
    <w:rsid w:val="000A0158"/>
    <w:rsid w:val="000A373D"/>
    <w:rsid w:val="000A41ED"/>
    <w:rsid w:val="000B0730"/>
    <w:rsid w:val="000B0876"/>
    <w:rsid w:val="000C3E78"/>
    <w:rsid w:val="000D19F4"/>
    <w:rsid w:val="000D58DD"/>
    <w:rsid w:val="000D6C40"/>
    <w:rsid w:val="000F1F42"/>
    <w:rsid w:val="000F2AE2"/>
    <w:rsid w:val="000F2BFF"/>
    <w:rsid w:val="000F5126"/>
    <w:rsid w:val="00102063"/>
    <w:rsid w:val="0010541C"/>
    <w:rsid w:val="00105770"/>
    <w:rsid w:val="00106F93"/>
    <w:rsid w:val="00111D50"/>
    <w:rsid w:val="00113B8E"/>
    <w:rsid w:val="00117F59"/>
    <w:rsid w:val="0012053C"/>
    <w:rsid w:val="00122363"/>
    <w:rsid w:val="00125D45"/>
    <w:rsid w:val="001342C7"/>
    <w:rsid w:val="0013585C"/>
    <w:rsid w:val="00142261"/>
    <w:rsid w:val="00142954"/>
    <w:rsid w:val="001460E0"/>
    <w:rsid w:val="001472F0"/>
    <w:rsid w:val="00147F71"/>
    <w:rsid w:val="00150A6E"/>
    <w:rsid w:val="0016304B"/>
    <w:rsid w:val="0016318F"/>
    <w:rsid w:val="0016468A"/>
    <w:rsid w:val="0017070E"/>
    <w:rsid w:val="00174F02"/>
    <w:rsid w:val="0018376C"/>
    <w:rsid w:val="00184E0E"/>
    <w:rsid w:val="0018662D"/>
    <w:rsid w:val="00197427"/>
    <w:rsid w:val="001A21B4"/>
    <w:rsid w:val="001A5CF5"/>
    <w:rsid w:val="001B39D2"/>
    <w:rsid w:val="001B4BF8"/>
    <w:rsid w:val="001B7B14"/>
    <w:rsid w:val="001C4326"/>
    <w:rsid w:val="001C51FB"/>
    <w:rsid w:val="001C5AF9"/>
    <w:rsid w:val="001C665E"/>
    <w:rsid w:val="001D3541"/>
    <w:rsid w:val="001D3E4E"/>
    <w:rsid w:val="001D6BAB"/>
    <w:rsid w:val="001E254A"/>
    <w:rsid w:val="001E7386"/>
    <w:rsid w:val="001F45A7"/>
    <w:rsid w:val="001F5E27"/>
    <w:rsid w:val="0020027C"/>
    <w:rsid w:val="00201A01"/>
    <w:rsid w:val="0020754B"/>
    <w:rsid w:val="002104D3"/>
    <w:rsid w:val="002123D7"/>
    <w:rsid w:val="00213A33"/>
    <w:rsid w:val="0021763B"/>
    <w:rsid w:val="00232A88"/>
    <w:rsid w:val="00245438"/>
    <w:rsid w:val="00245748"/>
    <w:rsid w:val="00246DB1"/>
    <w:rsid w:val="002476B5"/>
    <w:rsid w:val="002520CC"/>
    <w:rsid w:val="00253ECF"/>
    <w:rsid w:val="00254044"/>
    <w:rsid w:val="002546A1"/>
    <w:rsid w:val="002575E8"/>
    <w:rsid w:val="00257EF1"/>
    <w:rsid w:val="002628F4"/>
    <w:rsid w:val="00275D08"/>
    <w:rsid w:val="002839AF"/>
    <w:rsid w:val="002858E3"/>
    <w:rsid w:val="0029190A"/>
    <w:rsid w:val="00292C5A"/>
    <w:rsid w:val="00295241"/>
    <w:rsid w:val="002A4DFC"/>
    <w:rsid w:val="002B047D"/>
    <w:rsid w:val="002B732B"/>
    <w:rsid w:val="002B76A7"/>
    <w:rsid w:val="002B7BEC"/>
    <w:rsid w:val="002C2219"/>
    <w:rsid w:val="002C2552"/>
    <w:rsid w:val="002C380A"/>
    <w:rsid w:val="002D0DF2"/>
    <w:rsid w:val="002D23BD"/>
    <w:rsid w:val="002E0B47"/>
    <w:rsid w:val="002F3A0D"/>
    <w:rsid w:val="002F4685"/>
    <w:rsid w:val="002F7213"/>
    <w:rsid w:val="0030382F"/>
    <w:rsid w:val="0030408D"/>
    <w:rsid w:val="003057E1"/>
    <w:rsid w:val="003060E4"/>
    <w:rsid w:val="003160E7"/>
    <w:rsid w:val="0031739E"/>
    <w:rsid w:val="00317DA3"/>
    <w:rsid w:val="00321381"/>
    <w:rsid w:val="00322530"/>
    <w:rsid w:val="003235C6"/>
    <w:rsid w:val="003251A4"/>
    <w:rsid w:val="003309CA"/>
    <w:rsid w:val="003325AB"/>
    <w:rsid w:val="003332D1"/>
    <w:rsid w:val="0033412B"/>
    <w:rsid w:val="0033448B"/>
    <w:rsid w:val="00341161"/>
    <w:rsid w:val="00343365"/>
    <w:rsid w:val="003445F4"/>
    <w:rsid w:val="00353501"/>
    <w:rsid w:val="00353734"/>
    <w:rsid w:val="003538D4"/>
    <w:rsid w:val="003606F8"/>
    <w:rsid w:val="003648EF"/>
    <w:rsid w:val="003673E6"/>
    <w:rsid w:val="00377264"/>
    <w:rsid w:val="003778A8"/>
    <w:rsid w:val="003779D2"/>
    <w:rsid w:val="00385E38"/>
    <w:rsid w:val="00394200"/>
    <w:rsid w:val="00395203"/>
    <w:rsid w:val="003A26A5"/>
    <w:rsid w:val="003A3761"/>
    <w:rsid w:val="003A512D"/>
    <w:rsid w:val="003A5FA0"/>
    <w:rsid w:val="003A5FEA"/>
    <w:rsid w:val="003A710B"/>
    <w:rsid w:val="003B1D10"/>
    <w:rsid w:val="003C310C"/>
    <w:rsid w:val="003C76D4"/>
    <w:rsid w:val="003D137D"/>
    <w:rsid w:val="003D2CC5"/>
    <w:rsid w:val="003D3E5C"/>
    <w:rsid w:val="003E04C1"/>
    <w:rsid w:val="003E0887"/>
    <w:rsid w:val="003E74C8"/>
    <w:rsid w:val="003E74E2"/>
    <w:rsid w:val="003E7C46"/>
    <w:rsid w:val="003F2106"/>
    <w:rsid w:val="003F52A7"/>
    <w:rsid w:val="003F7013"/>
    <w:rsid w:val="003F7F6A"/>
    <w:rsid w:val="0040240C"/>
    <w:rsid w:val="00413021"/>
    <w:rsid w:val="00414C35"/>
    <w:rsid w:val="004171B7"/>
    <w:rsid w:val="00424A98"/>
    <w:rsid w:val="004301C6"/>
    <w:rsid w:val="0043478F"/>
    <w:rsid w:val="0043602B"/>
    <w:rsid w:val="004367D2"/>
    <w:rsid w:val="00440BE0"/>
    <w:rsid w:val="00442A06"/>
    <w:rsid w:val="00442C1C"/>
    <w:rsid w:val="0044584B"/>
    <w:rsid w:val="00447CB7"/>
    <w:rsid w:val="00455CC9"/>
    <w:rsid w:val="00460826"/>
    <w:rsid w:val="00460B1E"/>
    <w:rsid w:val="00460EA7"/>
    <w:rsid w:val="0046195B"/>
    <w:rsid w:val="0046362D"/>
    <w:rsid w:val="0046596D"/>
    <w:rsid w:val="004852AB"/>
    <w:rsid w:val="00487C04"/>
    <w:rsid w:val="004907E1"/>
    <w:rsid w:val="00494C8E"/>
    <w:rsid w:val="004A035B"/>
    <w:rsid w:val="004A2108"/>
    <w:rsid w:val="004A3773"/>
    <w:rsid w:val="004A38D7"/>
    <w:rsid w:val="004A4E18"/>
    <w:rsid w:val="004A778C"/>
    <w:rsid w:val="004B14DD"/>
    <w:rsid w:val="004B48C7"/>
    <w:rsid w:val="004C2E6A"/>
    <w:rsid w:val="004C64B8"/>
    <w:rsid w:val="004D2A2D"/>
    <w:rsid w:val="004D479F"/>
    <w:rsid w:val="004D6689"/>
    <w:rsid w:val="004E1D1D"/>
    <w:rsid w:val="004E7AC8"/>
    <w:rsid w:val="004F05F4"/>
    <w:rsid w:val="004F0C94"/>
    <w:rsid w:val="005019AE"/>
    <w:rsid w:val="00503749"/>
    <w:rsid w:val="00503D59"/>
    <w:rsid w:val="00504CF4"/>
    <w:rsid w:val="0050635B"/>
    <w:rsid w:val="005075B3"/>
    <w:rsid w:val="005151C2"/>
    <w:rsid w:val="005275E8"/>
    <w:rsid w:val="005309FE"/>
    <w:rsid w:val="0053199F"/>
    <w:rsid w:val="00531E12"/>
    <w:rsid w:val="00533B90"/>
    <w:rsid w:val="005410F8"/>
    <w:rsid w:val="005448EC"/>
    <w:rsid w:val="00545963"/>
    <w:rsid w:val="00550256"/>
    <w:rsid w:val="00553165"/>
    <w:rsid w:val="00553958"/>
    <w:rsid w:val="00556BB7"/>
    <w:rsid w:val="0055763D"/>
    <w:rsid w:val="00561516"/>
    <w:rsid w:val="005621F2"/>
    <w:rsid w:val="005636AA"/>
    <w:rsid w:val="00567B58"/>
    <w:rsid w:val="00571223"/>
    <w:rsid w:val="005763E0"/>
    <w:rsid w:val="00581136"/>
    <w:rsid w:val="00581EB8"/>
    <w:rsid w:val="005839E7"/>
    <w:rsid w:val="0058437F"/>
    <w:rsid w:val="005A27CA"/>
    <w:rsid w:val="005A43BD"/>
    <w:rsid w:val="005A79E5"/>
    <w:rsid w:val="005B3E74"/>
    <w:rsid w:val="005D034C"/>
    <w:rsid w:val="005D2320"/>
    <w:rsid w:val="005E226E"/>
    <w:rsid w:val="005E2636"/>
    <w:rsid w:val="005E61C0"/>
    <w:rsid w:val="006015D7"/>
    <w:rsid w:val="00601B21"/>
    <w:rsid w:val="006041F0"/>
    <w:rsid w:val="00605C6D"/>
    <w:rsid w:val="006120CA"/>
    <w:rsid w:val="0061443A"/>
    <w:rsid w:val="006155D4"/>
    <w:rsid w:val="00624174"/>
    <w:rsid w:val="00626CF8"/>
    <w:rsid w:val="006314AF"/>
    <w:rsid w:val="00632505"/>
    <w:rsid w:val="00634003"/>
    <w:rsid w:val="00634ED8"/>
    <w:rsid w:val="00636D7D"/>
    <w:rsid w:val="00637408"/>
    <w:rsid w:val="00642868"/>
    <w:rsid w:val="00647AFE"/>
    <w:rsid w:val="00650417"/>
    <w:rsid w:val="006509E9"/>
    <w:rsid w:val="006512BC"/>
    <w:rsid w:val="00653A5A"/>
    <w:rsid w:val="006554AC"/>
    <w:rsid w:val="00656F28"/>
    <w:rsid w:val="006575F4"/>
    <w:rsid w:val="006579E6"/>
    <w:rsid w:val="00660682"/>
    <w:rsid w:val="00660F74"/>
    <w:rsid w:val="00663EDC"/>
    <w:rsid w:val="00671078"/>
    <w:rsid w:val="006758CA"/>
    <w:rsid w:val="00680A04"/>
    <w:rsid w:val="00686D80"/>
    <w:rsid w:val="00694895"/>
    <w:rsid w:val="00697E2E"/>
    <w:rsid w:val="006A25A2"/>
    <w:rsid w:val="006A3B87"/>
    <w:rsid w:val="006A6E1C"/>
    <w:rsid w:val="006B0A88"/>
    <w:rsid w:val="006B0E73"/>
    <w:rsid w:val="006B1E3D"/>
    <w:rsid w:val="006B4A4D"/>
    <w:rsid w:val="006B5695"/>
    <w:rsid w:val="006B62E6"/>
    <w:rsid w:val="006B7B2E"/>
    <w:rsid w:val="006C78EB"/>
    <w:rsid w:val="006D1660"/>
    <w:rsid w:val="006D5A95"/>
    <w:rsid w:val="006D63E5"/>
    <w:rsid w:val="006E1753"/>
    <w:rsid w:val="006E2886"/>
    <w:rsid w:val="006E3911"/>
    <w:rsid w:val="006E69F4"/>
    <w:rsid w:val="006F1B67"/>
    <w:rsid w:val="006F4D9C"/>
    <w:rsid w:val="0070091D"/>
    <w:rsid w:val="00702854"/>
    <w:rsid w:val="00702B69"/>
    <w:rsid w:val="0071741C"/>
    <w:rsid w:val="0072595D"/>
    <w:rsid w:val="00731F4C"/>
    <w:rsid w:val="00741B9C"/>
    <w:rsid w:val="00742B90"/>
    <w:rsid w:val="0074434D"/>
    <w:rsid w:val="007469E7"/>
    <w:rsid w:val="00751137"/>
    <w:rsid w:val="00752E53"/>
    <w:rsid w:val="007570C4"/>
    <w:rsid w:val="007605B8"/>
    <w:rsid w:val="00771B1E"/>
    <w:rsid w:val="00773C95"/>
    <w:rsid w:val="0078171E"/>
    <w:rsid w:val="0078658E"/>
    <w:rsid w:val="007908D0"/>
    <w:rsid w:val="007920E2"/>
    <w:rsid w:val="0079566E"/>
    <w:rsid w:val="00795B34"/>
    <w:rsid w:val="007A067F"/>
    <w:rsid w:val="007B1770"/>
    <w:rsid w:val="007B4D3E"/>
    <w:rsid w:val="007B7C70"/>
    <w:rsid w:val="007B7DEB"/>
    <w:rsid w:val="007C0449"/>
    <w:rsid w:val="007C43B6"/>
    <w:rsid w:val="007D2151"/>
    <w:rsid w:val="007D3B90"/>
    <w:rsid w:val="007D42CC"/>
    <w:rsid w:val="007D5DE4"/>
    <w:rsid w:val="007D7C3A"/>
    <w:rsid w:val="007E0777"/>
    <w:rsid w:val="007E1341"/>
    <w:rsid w:val="007E1B41"/>
    <w:rsid w:val="007E1EC4"/>
    <w:rsid w:val="007E30B9"/>
    <w:rsid w:val="007E74F1"/>
    <w:rsid w:val="007F0F0C"/>
    <w:rsid w:val="007F1288"/>
    <w:rsid w:val="007F3E11"/>
    <w:rsid w:val="007F60E6"/>
    <w:rsid w:val="007F7576"/>
    <w:rsid w:val="00800A8A"/>
    <w:rsid w:val="0080155C"/>
    <w:rsid w:val="0080347F"/>
    <w:rsid w:val="008052E1"/>
    <w:rsid w:val="00805C7B"/>
    <w:rsid w:val="00806F4F"/>
    <w:rsid w:val="00811EEB"/>
    <w:rsid w:val="00822F2C"/>
    <w:rsid w:val="00823DEE"/>
    <w:rsid w:val="008305E8"/>
    <w:rsid w:val="00836165"/>
    <w:rsid w:val="008363BD"/>
    <w:rsid w:val="008365B2"/>
    <w:rsid w:val="0084640C"/>
    <w:rsid w:val="00856088"/>
    <w:rsid w:val="00860826"/>
    <w:rsid w:val="00860E21"/>
    <w:rsid w:val="00863117"/>
    <w:rsid w:val="0086388B"/>
    <w:rsid w:val="008642E5"/>
    <w:rsid w:val="00864488"/>
    <w:rsid w:val="00870A36"/>
    <w:rsid w:val="00872D93"/>
    <w:rsid w:val="00880470"/>
    <w:rsid w:val="00880D94"/>
    <w:rsid w:val="008814E8"/>
    <w:rsid w:val="00886F64"/>
    <w:rsid w:val="008924DE"/>
    <w:rsid w:val="00896D15"/>
    <w:rsid w:val="008A3755"/>
    <w:rsid w:val="008B19DC"/>
    <w:rsid w:val="008B264F"/>
    <w:rsid w:val="008B2E76"/>
    <w:rsid w:val="008B4AD4"/>
    <w:rsid w:val="008B6F83"/>
    <w:rsid w:val="008B7FD8"/>
    <w:rsid w:val="008C2973"/>
    <w:rsid w:val="008C6324"/>
    <w:rsid w:val="008C64C4"/>
    <w:rsid w:val="008D2CDD"/>
    <w:rsid w:val="008D74D5"/>
    <w:rsid w:val="008D7C9F"/>
    <w:rsid w:val="008E04BA"/>
    <w:rsid w:val="008E0ED1"/>
    <w:rsid w:val="008E3A07"/>
    <w:rsid w:val="008E537B"/>
    <w:rsid w:val="008F29BE"/>
    <w:rsid w:val="008F4AE5"/>
    <w:rsid w:val="008F51EB"/>
    <w:rsid w:val="00900197"/>
    <w:rsid w:val="00902F55"/>
    <w:rsid w:val="0090582B"/>
    <w:rsid w:val="009060C0"/>
    <w:rsid w:val="009133F5"/>
    <w:rsid w:val="0091756F"/>
    <w:rsid w:val="00920A27"/>
    <w:rsid w:val="00921216"/>
    <w:rsid w:val="009216CC"/>
    <w:rsid w:val="00922E41"/>
    <w:rsid w:val="00925892"/>
    <w:rsid w:val="00926083"/>
    <w:rsid w:val="00926D08"/>
    <w:rsid w:val="00927962"/>
    <w:rsid w:val="00930D08"/>
    <w:rsid w:val="00931466"/>
    <w:rsid w:val="00932D69"/>
    <w:rsid w:val="009354FD"/>
    <w:rsid w:val="00935589"/>
    <w:rsid w:val="00937408"/>
    <w:rsid w:val="009427FA"/>
    <w:rsid w:val="00944647"/>
    <w:rsid w:val="009469E2"/>
    <w:rsid w:val="00953641"/>
    <w:rsid w:val="0095565C"/>
    <w:rsid w:val="00957859"/>
    <w:rsid w:val="00964AB6"/>
    <w:rsid w:val="00966F9A"/>
    <w:rsid w:val="00977B8A"/>
    <w:rsid w:val="00982971"/>
    <w:rsid w:val="009845AD"/>
    <w:rsid w:val="00984835"/>
    <w:rsid w:val="009933EF"/>
    <w:rsid w:val="00995BA0"/>
    <w:rsid w:val="009A418B"/>
    <w:rsid w:val="009A426F"/>
    <w:rsid w:val="009A42D5"/>
    <w:rsid w:val="009A4473"/>
    <w:rsid w:val="009B05C9"/>
    <w:rsid w:val="009B286C"/>
    <w:rsid w:val="009C151C"/>
    <w:rsid w:val="009C440A"/>
    <w:rsid w:val="009D15B0"/>
    <w:rsid w:val="009D5125"/>
    <w:rsid w:val="009D60B8"/>
    <w:rsid w:val="009D7D4B"/>
    <w:rsid w:val="009E36ED"/>
    <w:rsid w:val="009E3B47"/>
    <w:rsid w:val="009E3C8C"/>
    <w:rsid w:val="009E6B77"/>
    <w:rsid w:val="009F4372"/>
    <w:rsid w:val="009F460A"/>
    <w:rsid w:val="00A0035E"/>
    <w:rsid w:val="00A043FB"/>
    <w:rsid w:val="00A06BE4"/>
    <w:rsid w:val="00A0729C"/>
    <w:rsid w:val="00A073CF"/>
    <w:rsid w:val="00A07779"/>
    <w:rsid w:val="00A1166A"/>
    <w:rsid w:val="00A20B2E"/>
    <w:rsid w:val="00A24F33"/>
    <w:rsid w:val="00A25069"/>
    <w:rsid w:val="00A26E6B"/>
    <w:rsid w:val="00A3068F"/>
    <w:rsid w:val="00A3145B"/>
    <w:rsid w:val="00A339D0"/>
    <w:rsid w:val="00A3415C"/>
    <w:rsid w:val="00A41002"/>
    <w:rsid w:val="00A4201A"/>
    <w:rsid w:val="00A5465D"/>
    <w:rsid w:val="00A549ED"/>
    <w:rsid w:val="00A553CE"/>
    <w:rsid w:val="00A5677A"/>
    <w:rsid w:val="00A56DCC"/>
    <w:rsid w:val="00A625E8"/>
    <w:rsid w:val="00A63DFF"/>
    <w:rsid w:val="00A64496"/>
    <w:rsid w:val="00A6490D"/>
    <w:rsid w:val="00A67033"/>
    <w:rsid w:val="00A7415D"/>
    <w:rsid w:val="00A80363"/>
    <w:rsid w:val="00A80939"/>
    <w:rsid w:val="00A83E9D"/>
    <w:rsid w:val="00A87C05"/>
    <w:rsid w:val="00A87D51"/>
    <w:rsid w:val="00A9169D"/>
    <w:rsid w:val="00A93598"/>
    <w:rsid w:val="00A97A3A"/>
    <w:rsid w:val="00AA240C"/>
    <w:rsid w:val="00AB0332"/>
    <w:rsid w:val="00AB7DB8"/>
    <w:rsid w:val="00AC101C"/>
    <w:rsid w:val="00AC335F"/>
    <w:rsid w:val="00AD4CF1"/>
    <w:rsid w:val="00AD5988"/>
    <w:rsid w:val="00AD6293"/>
    <w:rsid w:val="00AE1643"/>
    <w:rsid w:val="00AE16AF"/>
    <w:rsid w:val="00AF372E"/>
    <w:rsid w:val="00AF7800"/>
    <w:rsid w:val="00B00CF5"/>
    <w:rsid w:val="00B072E0"/>
    <w:rsid w:val="00B1007E"/>
    <w:rsid w:val="00B10D15"/>
    <w:rsid w:val="00B13D41"/>
    <w:rsid w:val="00B1646F"/>
    <w:rsid w:val="00B253F6"/>
    <w:rsid w:val="00B26675"/>
    <w:rsid w:val="00B305DB"/>
    <w:rsid w:val="00B332F8"/>
    <w:rsid w:val="00B3492B"/>
    <w:rsid w:val="00B4646F"/>
    <w:rsid w:val="00B55994"/>
    <w:rsid w:val="00B55C7D"/>
    <w:rsid w:val="00B63038"/>
    <w:rsid w:val="00B64BD8"/>
    <w:rsid w:val="00B701D1"/>
    <w:rsid w:val="00B73AF2"/>
    <w:rsid w:val="00B73D79"/>
    <w:rsid w:val="00B7551A"/>
    <w:rsid w:val="00B773F1"/>
    <w:rsid w:val="00B86AB1"/>
    <w:rsid w:val="00B87726"/>
    <w:rsid w:val="00B91B22"/>
    <w:rsid w:val="00BA18A0"/>
    <w:rsid w:val="00BA53A4"/>
    <w:rsid w:val="00BA7EBA"/>
    <w:rsid w:val="00BB2A06"/>
    <w:rsid w:val="00BB2CBB"/>
    <w:rsid w:val="00BB4198"/>
    <w:rsid w:val="00BC03EE"/>
    <w:rsid w:val="00BC59F1"/>
    <w:rsid w:val="00BD488E"/>
    <w:rsid w:val="00BF3DE1"/>
    <w:rsid w:val="00BF4843"/>
    <w:rsid w:val="00BF5205"/>
    <w:rsid w:val="00C05132"/>
    <w:rsid w:val="00C07EDB"/>
    <w:rsid w:val="00C12508"/>
    <w:rsid w:val="00C23728"/>
    <w:rsid w:val="00C3026C"/>
    <w:rsid w:val="00C313A9"/>
    <w:rsid w:val="00C347C8"/>
    <w:rsid w:val="00C358E4"/>
    <w:rsid w:val="00C367BF"/>
    <w:rsid w:val="00C418EE"/>
    <w:rsid w:val="00C441CF"/>
    <w:rsid w:val="00C45AA2"/>
    <w:rsid w:val="00C4792C"/>
    <w:rsid w:val="00C55BEF"/>
    <w:rsid w:val="00C57C00"/>
    <w:rsid w:val="00C601AF"/>
    <w:rsid w:val="00C61A63"/>
    <w:rsid w:val="00C62314"/>
    <w:rsid w:val="00C6247D"/>
    <w:rsid w:val="00C66296"/>
    <w:rsid w:val="00C7394D"/>
    <w:rsid w:val="00C756B7"/>
    <w:rsid w:val="00C77282"/>
    <w:rsid w:val="00C84DE5"/>
    <w:rsid w:val="00C86248"/>
    <w:rsid w:val="00C90B31"/>
    <w:rsid w:val="00CA0D6F"/>
    <w:rsid w:val="00CA4C33"/>
    <w:rsid w:val="00CA6F4A"/>
    <w:rsid w:val="00CB3483"/>
    <w:rsid w:val="00CB6427"/>
    <w:rsid w:val="00CC0FBE"/>
    <w:rsid w:val="00CD0E39"/>
    <w:rsid w:val="00CD2119"/>
    <w:rsid w:val="00CD237A"/>
    <w:rsid w:val="00CD36AC"/>
    <w:rsid w:val="00CE13A3"/>
    <w:rsid w:val="00CE36BC"/>
    <w:rsid w:val="00CF1747"/>
    <w:rsid w:val="00CF4F69"/>
    <w:rsid w:val="00CF60ED"/>
    <w:rsid w:val="00D05D74"/>
    <w:rsid w:val="00D20C59"/>
    <w:rsid w:val="00D23323"/>
    <w:rsid w:val="00D2392A"/>
    <w:rsid w:val="00D249AD"/>
    <w:rsid w:val="00D25FFE"/>
    <w:rsid w:val="00D27922"/>
    <w:rsid w:val="00D27A64"/>
    <w:rsid w:val="00D3414E"/>
    <w:rsid w:val="00D37D80"/>
    <w:rsid w:val="00D442F3"/>
    <w:rsid w:val="00D44483"/>
    <w:rsid w:val="00D4476F"/>
    <w:rsid w:val="00D501E3"/>
    <w:rsid w:val="00D50573"/>
    <w:rsid w:val="00D5330E"/>
    <w:rsid w:val="00D54D50"/>
    <w:rsid w:val="00D560B4"/>
    <w:rsid w:val="00D662F8"/>
    <w:rsid w:val="00D66797"/>
    <w:rsid w:val="00D7087C"/>
    <w:rsid w:val="00D70C3C"/>
    <w:rsid w:val="00D71DF7"/>
    <w:rsid w:val="00D72BE5"/>
    <w:rsid w:val="00D81462"/>
    <w:rsid w:val="00D82431"/>
    <w:rsid w:val="00D82F26"/>
    <w:rsid w:val="00D863D0"/>
    <w:rsid w:val="00D86B00"/>
    <w:rsid w:val="00D86FB9"/>
    <w:rsid w:val="00D87C87"/>
    <w:rsid w:val="00D90BB4"/>
    <w:rsid w:val="00D90E07"/>
    <w:rsid w:val="00D932C2"/>
    <w:rsid w:val="00DA0232"/>
    <w:rsid w:val="00DA1D5D"/>
    <w:rsid w:val="00DA4156"/>
    <w:rsid w:val="00DA7F9E"/>
    <w:rsid w:val="00DB39CF"/>
    <w:rsid w:val="00DB7256"/>
    <w:rsid w:val="00DC0401"/>
    <w:rsid w:val="00DC20BD"/>
    <w:rsid w:val="00DD0BCD"/>
    <w:rsid w:val="00DD447A"/>
    <w:rsid w:val="00DE3B20"/>
    <w:rsid w:val="00DE6C94"/>
    <w:rsid w:val="00DE6FD7"/>
    <w:rsid w:val="00DF0C7C"/>
    <w:rsid w:val="00E10B18"/>
    <w:rsid w:val="00E23271"/>
    <w:rsid w:val="00E24F80"/>
    <w:rsid w:val="00E259F3"/>
    <w:rsid w:val="00E30985"/>
    <w:rsid w:val="00E33238"/>
    <w:rsid w:val="00E33934"/>
    <w:rsid w:val="00E376B7"/>
    <w:rsid w:val="00E42F5D"/>
    <w:rsid w:val="00E4486C"/>
    <w:rsid w:val="00E460B6"/>
    <w:rsid w:val="00E511D5"/>
    <w:rsid w:val="00E53A9F"/>
    <w:rsid w:val="00E560A0"/>
    <w:rsid w:val="00E57349"/>
    <w:rsid w:val="00E60249"/>
    <w:rsid w:val="00E62238"/>
    <w:rsid w:val="00E65269"/>
    <w:rsid w:val="00E70C52"/>
    <w:rsid w:val="00E76D66"/>
    <w:rsid w:val="00E82262"/>
    <w:rsid w:val="00E97F75"/>
    <w:rsid w:val="00EA796A"/>
    <w:rsid w:val="00EB1856"/>
    <w:rsid w:val="00EC50CE"/>
    <w:rsid w:val="00EC5B34"/>
    <w:rsid w:val="00ED021E"/>
    <w:rsid w:val="00ED323C"/>
    <w:rsid w:val="00EE2D5C"/>
    <w:rsid w:val="00EE4ADE"/>
    <w:rsid w:val="00EE4DE8"/>
    <w:rsid w:val="00EE5CB7"/>
    <w:rsid w:val="00F000BF"/>
    <w:rsid w:val="00F024FE"/>
    <w:rsid w:val="00F05AD4"/>
    <w:rsid w:val="00F103BE"/>
    <w:rsid w:val="00F10EB6"/>
    <w:rsid w:val="00F12636"/>
    <w:rsid w:val="00F13711"/>
    <w:rsid w:val="00F13F07"/>
    <w:rsid w:val="00F140B2"/>
    <w:rsid w:val="00F16595"/>
    <w:rsid w:val="00F25970"/>
    <w:rsid w:val="00F311A9"/>
    <w:rsid w:val="00F31343"/>
    <w:rsid w:val="00F37381"/>
    <w:rsid w:val="00F378B7"/>
    <w:rsid w:val="00F40063"/>
    <w:rsid w:val="00F5180D"/>
    <w:rsid w:val="00F52480"/>
    <w:rsid w:val="00F543AF"/>
    <w:rsid w:val="00F54E74"/>
    <w:rsid w:val="00F577E2"/>
    <w:rsid w:val="00F63781"/>
    <w:rsid w:val="00F67496"/>
    <w:rsid w:val="00F7421E"/>
    <w:rsid w:val="00F801BA"/>
    <w:rsid w:val="00F807AD"/>
    <w:rsid w:val="00F9366A"/>
    <w:rsid w:val="00F946C9"/>
    <w:rsid w:val="00FA0EA5"/>
    <w:rsid w:val="00FA68C7"/>
    <w:rsid w:val="00FA74EE"/>
    <w:rsid w:val="00FC3711"/>
    <w:rsid w:val="00FC46E7"/>
    <w:rsid w:val="00FC5D25"/>
    <w:rsid w:val="00FD0D7E"/>
    <w:rsid w:val="00FD16C4"/>
    <w:rsid w:val="00FD362F"/>
    <w:rsid w:val="00FD47FE"/>
    <w:rsid w:val="00FD4FFB"/>
    <w:rsid w:val="00FE022F"/>
    <w:rsid w:val="00FE6E13"/>
    <w:rsid w:val="00FE7D38"/>
    <w:rsid w:val="00FF15F6"/>
    <w:rsid w:val="00FF527C"/>
    <w:rsid w:val="00FF65CD"/>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06177794"/>
  <w15:docId w15:val="{94474F3F-9AAB-45B4-856B-7EBFC4A09C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uiPriority="9" w:qFormat="1"/>
    <w:lsdException w:name="heading 3" w:uiPriority="1" w:qFormat="1"/>
    <w:lsdException w:name="heading 4" w:uiPriority="1" w:qFormat="1"/>
    <w:lsdException w:name="heading 5" w:uiPriority="0"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qFormat="1"/>
    <w:lsdException w:name="footer" w:semiHidden="1" w:uiPriority="0" w:unhideWhenUsed="1" w:qFormat="1"/>
    <w:lsdException w:name="index heading" w:semiHidden="1" w:uiPriority="0" w:unhideWhenUsed="1"/>
    <w:lsdException w:name="caption" w:semiHidden="1" w:uiPriority="35" w:unhideWhenUsed="1" w:qFormat="1"/>
    <w:lsdException w:name="table of figures" w:semiHidden="1" w:unhideWhenUsed="1" w:qFormat="1"/>
    <w:lsdException w:name="envelope address" w:semiHidden="1" w:uiPriority="0" w:unhideWhenUsed="1"/>
    <w:lsdException w:name="envelope return" w:semiHidden="1" w:uiPriority="0"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lsdException w:name="Salutation" w:semiHidden="1" w:uiPriority="0" w:unhideWhenUsed="1"/>
    <w:lsdException w:name="Date" w:semiHidden="1" w:uiPriority="0" w:unhideWhenUsed="1"/>
    <w:lsdException w:name="Body Text First Indent" w:semiHidden="1" w:unhideWhenUsed="1"/>
    <w:lsdException w:name="Body Text First Indent 2" w:semiHidden="1" w:unhideWhenUsed="1"/>
    <w:lsdException w:name="Note Heading" w:semiHidden="1" w:uiPriority="0" w:unhideWhenUsed="1"/>
    <w:lsdException w:name="Body Text 2" w:semiHidden="1" w:unhideWhenUsed="1" w:qFormat="1"/>
    <w:lsdException w:name="Body Text 3" w:semiHidden="1" w:uiPriority="0" w:unhideWhenUsed="1" w:qFormat="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iPriority="0"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6362D"/>
    <w:rPr>
      <w:rFonts w:ascii="Segoe UI" w:hAnsi="Segoe UI"/>
      <w:sz w:val="21"/>
      <w:lang w:eastAsia="en-GB"/>
    </w:rPr>
  </w:style>
  <w:style w:type="paragraph" w:styleId="Heading1">
    <w:name w:val="heading 1"/>
    <w:basedOn w:val="Normal"/>
    <w:next w:val="Normal"/>
    <w:link w:val="Heading1Char"/>
    <w:uiPriority w:val="1"/>
    <w:qFormat/>
    <w:rsid w:val="00DA7F9E"/>
    <w:pPr>
      <w:pageBreakBefore/>
      <w:spacing w:after="360"/>
      <w:outlineLvl w:val="0"/>
    </w:pPr>
    <w:rPr>
      <w:b/>
      <w:color w:val="23305D"/>
      <w:spacing w:val="-10"/>
      <w:sz w:val="72"/>
    </w:rPr>
  </w:style>
  <w:style w:type="paragraph" w:styleId="Heading2">
    <w:name w:val="heading 2"/>
    <w:basedOn w:val="Normal"/>
    <w:next w:val="Normal"/>
    <w:link w:val="Heading2Char"/>
    <w:uiPriority w:val="9"/>
    <w:qFormat/>
    <w:rsid w:val="002575E8"/>
    <w:pPr>
      <w:keepNext/>
      <w:spacing w:before="480" w:after="180"/>
      <w:outlineLvl w:val="1"/>
    </w:pPr>
    <w:rPr>
      <w:b/>
      <w:color w:val="0A6AB4"/>
      <w:spacing w:val="-5"/>
      <w:sz w:val="48"/>
    </w:rPr>
  </w:style>
  <w:style w:type="paragraph" w:styleId="Heading3">
    <w:name w:val="heading 3"/>
    <w:basedOn w:val="Normal"/>
    <w:next w:val="Normal"/>
    <w:link w:val="Heading3Char"/>
    <w:uiPriority w:val="1"/>
    <w:qFormat/>
    <w:rsid w:val="00030E84"/>
    <w:pPr>
      <w:keepNext/>
      <w:numPr>
        <w:ilvl w:val="2"/>
        <w:numId w:val="5"/>
      </w:numPr>
      <w:spacing w:before="360" w:after="180"/>
      <w:outlineLvl w:val="2"/>
    </w:pPr>
    <w:rPr>
      <w:color w:val="0A6AB4"/>
      <w:spacing w:val="-5"/>
      <w:sz w:val="36"/>
    </w:rPr>
  </w:style>
  <w:style w:type="paragraph" w:styleId="Heading4">
    <w:name w:val="heading 4"/>
    <w:basedOn w:val="Normal"/>
    <w:next w:val="Normal"/>
    <w:link w:val="Heading4Char"/>
    <w:uiPriority w:val="1"/>
    <w:qFormat/>
    <w:rsid w:val="00030E84"/>
    <w:pPr>
      <w:keepNext/>
      <w:spacing w:before="240" w:after="120"/>
      <w:outlineLvl w:val="3"/>
    </w:pPr>
    <w:rPr>
      <w:color w:val="0A6AB4"/>
      <w:sz w:val="28"/>
    </w:rPr>
  </w:style>
  <w:style w:type="paragraph" w:styleId="Heading5">
    <w:name w:val="heading 5"/>
    <w:basedOn w:val="Normal"/>
    <w:next w:val="Normal"/>
    <w:link w:val="Heading5Char"/>
    <w:qFormat/>
    <w:rsid w:val="00B00CF5"/>
    <w:pPr>
      <w:keepNext/>
      <w:spacing w:before="120" w:after="120"/>
      <w:outlineLvl w:val="4"/>
    </w:pPr>
    <w:rPr>
      <w:color w:val="0A6AB4"/>
      <w:sz w:val="24"/>
    </w:rPr>
  </w:style>
  <w:style w:type="paragraph" w:styleId="Heading6">
    <w:name w:val="heading 6"/>
    <w:basedOn w:val="Normal"/>
    <w:next w:val="Normal"/>
    <w:link w:val="Heading6Char"/>
    <w:unhideWhenUsed/>
    <w:qFormat/>
    <w:rsid w:val="00122363"/>
    <w:pPr>
      <w:keepNext/>
      <w:keepLines/>
      <w:spacing w:before="200" w:after="120" w:line="276" w:lineRule="auto"/>
      <w:ind w:left="1152" w:hanging="1152"/>
      <w:outlineLvl w:val="5"/>
    </w:pPr>
    <w:rPr>
      <w:rFonts w:ascii="Calibri" w:eastAsia="MS Gothic" w:hAnsi="Calibri"/>
      <w:i/>
      <w:iCs/>
      <w:color w:val="243F60"/>
      <w:szCs w:val="24"/>
      <w:lang w:val="en-GB" w:eastAsia="en-US"/>
    </w:rPr>
  </w:style>
  <w:style w:type="paragraph" w:styleId="Heading7">
    <w:name w:val="heading 7"/>
    <w:basedOn w:val="Normal"/>
    <w:next w:val="Normal"/>
    <w:link w:val="Heading7Char"/>
    <w:unhideWhenUsed/>
    <w:qFormat/>
    <w:rsid w:val="00122363"/>
    <w:pPr>
      <w:keepNext/>
      <w:keepLines/>
      <w:spacing w:before="200" w:after="120" w:line="276" w:lineRule="auto"/>
      <w:ind w:left="1296" w:hanging="1296"/>
      <w:outlineLvl w:val="6"/>
    </w:pPr>
    <w:rPr>
      <w:rFonts w:ascii="Calibri" w:eastAsia="MS Gothic" w:hAnsi="Calibri"/>
      <w:i/>
      <w:iCs/>
      <w:color w:val="404040"/>
      <w:szCs w:val="24"/>
      <w:lang w:val="en-GB" w:eastAsia="en-US"/>
    </w:rPr>
  </w:style>
  <w:style w:type="paragraph" w:styleId="Heading8">
    <w:name w:val="heading 8"/>
    <w:basedOn w:val="Normal"/>
    <w:next w:val="Normal"/>
    <w:link w:val="Heading8Char"/>
    <w:unhideWhenUsed/>
    <w:qFormat/>
    <w:rsid w:val="00030E84"/>
    <w:pPr>
      <w:keepNext/>
      <w:keepLines/>
      <w:spacing w:before="480" w:after="240"/>
      <w:outlineLvl w:val="7"/>
    </w:pPr>
    <w:rPr>
      <w:rFonts w:eastAsia="MS Gothic"/>
      <w:color w:val="0A6AB4"/>
      <w:spacing w:val="-10"/>
      <w:sz w:val="36"/>
      <w:szCs w:val="24"/>
      <w:lang w:eastAsia="en-US"/>
    </w:rPr>
  </w:style>
  <w:style w:type="paragraph" w:styleId="Heading9">
    <w:name w:val="heading 9"/>
    <w:basedOn w:val="Normal"/>
    <w:next w:val="Normal"/>
    <w:link w:val="Heading9Char"/>
    <w:unhideWhenUsed/>
    <w:qFormat/>
    <w:rsid w:val="00122363"/>
    <w:pPr>
      <w:keepNext/>
      <w:keepLines/>
      <w:spacing w:before="200" w:after="120" w:line="276" w:lineRule="auto"/>
      <w:ind w:left="1584" w:hanging="1584"/>
      <w:outlineLvl w:val="8"/>
    </w:pPr>
    <w:rPr>
      <w:rFonts w:ascii="Calibri" w:eastAsia="MS Gothic" w:hAnsi="Calibri"/>
      <w:i/>
      <w:iCs/>
      <w:color w:val="404040"/>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9427FA"/>
    <w:rPr>
      <w:rFonts w:ascii="Segoe UI" w:hAnsi="Segoe UI"/>
      <w:b/>
      <w:color w:val="23305D"/>
      <w:spacing w:val="-10"/>
      <w:sz w:val="72"/>
      <w:lang w:eastAsia="en-GB"/>
    </w:rPr>
  </w:style>
  <w:style w:type="character" w:customStyle="1" w:styleId="Heading2Char">
    <w:name w:val="Heading 2 Char"/>
    <w:link w:val="Heading2"/>
    <w:uiPriority w:val="9"/>
    <w:rsid w:val="00030E84"/>
    <w:rPr>
      <w:rFonts w:ascii="Segoe UI" w:hAnsi="Segoe UI"/>
      <w:b/>
      <w:color w:val="0A6AB4"/>
      <w:spacing w:val="-5"/>
      <w:sz w:val="48"/>
      <w:lang w:eastAsia="en-GB"/>
    </w:rPr>
  </w:style>
  <w:style w:type="character" w:customStyle="1" w:styleId="Heading3Char">
    <w:name w:val="Heading 3 Char"/>
    <w:link w:val="Heading3"/>
    <w:uiPriority w:val="1"/>
    <w:rsid w:val="00030E84"/>
    <w:rPr>
      <w:rFonts w:ascii="Segoe UI" w:hAnsi="Segoe UI"/>
      <w:color w:val="0A6AB4"/>
      <w:spacing w:val="-5"/>
      <w:sz w:val="36"/>
      <w:lang w:eastAsia="en-GB"/>
    </w:rPr>
  </w:style>
  <w:style w:type="character" w:customStyle="1" w:styleId="Heading4Char">
    <w:name w:val="Heading 4 Char"/>
    <w:link w:val="Heading4"/>
    <w:uiPriority w:val="1"/>
    <w:rsid w:val="00030E84"/>
    <w:rPr>
      <w:rFonts w:ascii="Segoe UI" w:hAnsi="Segoe UI"/>
      <w:color w:val="0A6AB4"/>
      <w:sz w:val="28"/>
      <w:lang w:eastAsia="en-GB"/>
    </w:rPr>
  </w:style>
  <w:style w:type="character" w:customStyle="1" w:styleId="Heading5Char">
    <w:name w:val="Heading 5 Char"/>
    <w:link w:val="Heading5"/>
    <w:rsid w:val="00B00CF5"/>
    <w:rPr>
      <w:rFonts w:ascii="Segoe UI" w:hAnsi="Segoe UI"/>
      <w:color w:val="0A6AB4"/>
      <w:sz w:val="24"/>
      <w:lang w:eastAsia="en-GB"/>
    </w:rPr>
  </w:style>
  <w:style w:type="character" w:customStyle="1" w:styleId="Heading6Char">
    <w:name w:val="Heading 6 Char"/>
    <w:basedOn w:val="DefaultParagraphFont"/>
    <w:link w:val="Heading6"/>
    <w:rsid w:val="00122363"/>
    <w:rPr>
      <w:rFonts w:ascii="Calibri" w:eastAsia="MS Gothic" w:hAnsi="Calibri"/>
      <w:i/>
      <w:iCs/>
      <w:color w:val="243F60"/>
      <w:sz w:val="22"/>
      <w:szCs w:val="24"/>
      <w:lang w:val="en-GB" w:eastAsia="en-US"/>
    </w:rPr>
  </w:style>
  <w:style w:type="character" w:customStyle="1" w:styleId="Heading7Char">
    <w:name w:val="Heading 7 Char"/>
    <w:basedOn w:val="DefaultParagraphFont"/>
    <w:link w:val="Heading7"/>
    <w:rsid w:val="00122363"/>
    <w:rPr>
      <w:rFonts w:ascii="Calibri" w:eastAsia="MS Gothic" w:hAnsi="Calibri"/>
      <w:i/>
      <w:iCs/>
      <w:color w:val="404040"/>
      <w:sz w:val="22"/>
      <w:szCs w:val="24"/>
      <w:lang w:val="en-GB" w:eastAsia="en-US"/>
    </w:rPr>
  </w:style>
  <w:style w:type="character" w:customStyle="1" w:styleId="Heading8Char">
    <w:name w:val="Heading 8 Char"/>
    <w:basedOn w:val="DefaultParagraphFont"/>
    <w:link w:val="Heading8"/>
    <w:rsid w:val="00030E84"/>
    <w:rPr>
      <w:rFonts w:ascii="Segoe UI" w:eastAsia="MS Gothic" w:hAnsi="Segoe UI"/>
      <w:color w:val="0A6AB4"/>
      <w:spacing w:val="-10"/>
      <w:sz w:val="36"/>
      <w:szCs w:val="24"/>
      <w:lang w:eastAsia="en-US"/>
    </w:rPr>
  </w:style>
  <w:style w:type="character" w:customStyle="1" w:styleId="Heading9Char">
    <w:name w:val="Heading 9 Char"/>
    <w:basedOn w:val="DefaultParagraphFont"/>
    <w:link w:val="Heading9"/>
    <w:rsid w:val="00122363"/>
    <w:rPr>
      <w:rFonts w:ascii="Calibri" w:eastAsia="MS Gothic" w:hAnsi="Calibri"/>
      <w:i/>
      <w:iCs/>
      <w:color w:val="404040"/>
      <w:sz w:val="22"/>
      <w:szCs w:val="24"/>
      <w:lang w:val="en-GB" w:eastAsia="en-US"/>
    </w:rPr>
  </w:style>
  <w:style w:type="paragraph" w:styleId="TOC1">
    <w:name w:val="toc 1"/>
    <w:basedOn w:val="Normal"/>
    <w:next w:val="Normal"/>
    <w:uiPriority w:val="39"/>
    <w:qFormat/>
    <w:rsid w:val="00926D08"/>
    <w:pPr>
      <w:tabs>
        <w:tab w:val="right" w:pos="8080"/>
      </w:tabs>
      <w:spacing w:before="300"/>
      <w:ind w:right="567"/>
    </w:pPr>
    <w:rPr>
      <w:rFonts w:ascii="Segoe UI Semibold" w:hAnsi="Segoe UI Semibold"/>
      <w:sz w:val="24"/>
    </w:rPr>
  </w:style>
  <w:style w:type="paragraph" w:styleId="TOC2">
    <w:name w:val="toc 2"/>
    <w:basedOn w:val="Normal"/>
    <w:next w:val="Normal"/>
    <w:uiPriority w:val="39"/>
    <w:qFormat/>
    <w:rsid w:val="00656F28"/>
    <w:pPr>
      <w:tabs>
        <w:tab w:val="right" w:pos="8080"/>
      </w:tabs>
      <w:spacing w:before="60"/>
      <w:ind w:left="284" w:right="567"/>
    </w:pPr>
  </w:style>
  <w:style w:type="paragraph" w:styleId="TOC3">
    <w:name w:val="toc 3"/>
    <w:basedOn w:val="Normal"/>
    <w:next w:val="Normal"/>
    <w:uiPriority w:val="39"/>
    <w:rsid w:val="00086905"/>
    <w:pPr>
      <w:tabs>
        <w:tab w:val="right" w:pos="8080"/>
      </w:tabs>
      <w:spacing w:before="120"/>
      <w:ind w:left="1134" w:right="567" w:hanging="1134"/>
    </w:pPr>
  </w:style>
  <w:style w:type="paragraph" w:customStyle="1" w:styleId="Bullet">
    <w:name w:val="Bullet"/>
    <w:basedOn w:val="Normal"/>
    <w:link w:val="BulletChar"/>
    <w:qFormat/>
    <w:rsid w:val="00FA0EA5"/>
    <w:pPr>
      <w:numPr>
        <w:numId w:val="1"/>
      </w:numPr>
      <w:tabs>
        <w:tab w:val="clear" w:pos="284"/>
      </w:tabs>
      <w:spacing w:before="90"/>
    </w:pPr>
  </w:style>
  <w:style w:type="character" w:customStyle="1" w:styleId="BulletChar">
    <w:name w:val="Bullet Char"/>
    <w:link w:val="Bullet"/>
    <w:locked/>
    <w:rsid w:val="002B7BEC"/>
    <w:rPr>
      <w:rFonts w:ascii="Segoe UI" w:hAnsi="Segoe UI"/>
      <w:sz w:val="21"/>
      <w:lang w:eastAsia="en-GB"/>
    </w:rPr>
  </w:style>
  <w:style w:type="paragraph" w:styleId="Quote">
    <w:name w:val="Quote"/>
    <w:basedOn w:val="Normal"/>
    <w:next w:val="Normal"/>
    <w:link w:val="QuoteChar"/>
    <w:qFormat/>
    <w:pPr>
      <w:spacing w:before="120"/>
      <w:ind w:left="284" w:right="284"/>
    </w:pPr>
  </w:style>
  <w:style w:type="character" w:customStyle="1" w:styleId="QuoteChar">
    <w:name w:val="Quote Char"/>
    <w:link w:val="Quote"/>
    <w:rsid w:val="00122363"/>
    <w:rPr>
      <w:rFonts w:ascii="Georgia" w:hAnsi="Georgia"/>
      <w:sz w:val="22"/>
      <w:lang w:eastAsia="en-GB"/>
    </w:rPr>
  </w:style>
  <w:style w:type="paragraph" w:styleId="FootnoteText">
    <w:name w:val="footnote text"/>
    <w:basedOn w:val="Normal"/>
    <w:link w:val="FootnoteTextChar"/>
    <w:uiPriority w:val="99"/>
    <w:rsid w:val="00A7415D"/>
    <w:pPr>
      <w:spacing w:before="60" w:line="228" w:lineRule="auto"/>
      <w:ind w:left="284" w:hanging="284"/>
    </w:pPr>
    <w:rPr>
      <w:sz w:val="17"/>
    </w:rPr>
  </w:style>
  <w:style w:type="character" w:customStyle="1" w:styleId="FootnoteTextChar">
    <w:name w:val="Footnote Text Char"/>
    <w:link w:val="FootnoteText"/>
    <w:uiPriority w:val="99"/>
    <w:rsid w:val="00A7415D"/>
    <w:rPr>
      <w:rFonts w:ascii="Segoe UI" w:hAnsi="Segoe UI"/>
      <w:sz w:val="17"/>
      <w:lang w:eastAsia="en-GB"/>
    </w:rPr>
  </w:style>
  <w:style w:type="paragraph" w:styleId="Header">
    <w:name w:val="header"/>
    <w:basedOn w:val="Normal"/>
    <w:link w:val="HeaderChar"/>
    <w:qFormat/>
    <w:rsid w:val="00D25FFE"/>
  </w:style>
  <w:style w:type="character" w:customStyle="1" w:styleId="HeaderChar">
    <w:name w:val="Header Char"/>
    <w:link w:val="Header"/>
    <w:uiPriority w:val="99"/>
    <w:rsid w:val="0086388B"/>
    <w:rPr>
      <w:rFonts w:ascii="Georgia" w:hAnsi="Georgia"/>
      <w:sz w:val="22"/>
      <w:lang w:eastAsia="en-GB"/>
    </w:rPr>
  </w:style>
  <w:style w:type="paragraph" w:styleId="Title">
    <w:name w:val="Title"/>
    <w:basedOn w:val="Normal"/>
    <w:next w:val="Normal"/>
    <w:link w:val="TitleChar"/>
    <w:uiPriority w:val="99"/>
    <w:qFormat/>
    <w:rsid w:val="005A79E5"/>
    <w:pPr>
      <w:spacing w:line="216" w:lineRule="auto"/>
      <w:ind w:right="3402"/>
    </w:pPr>
    <w:rPr>
      <w:rFonts w:ascii="Segoe UI Black" w:hAnsi="Segoe UI Black" w:cs="Lucida Sans Unicode"/>
      <w:b/>
      <w:sz w:val="72"/>
      <w:szCs w:val="72"/>
    </w:rPr>
  </w:style>
  <w:style w:type="character" w:customStyle="1" w:styleId="TitleChar">
    <w:name w:val="Title Char"/>
    <w:link w:val="Title"/>
    <w:uiPriority w:val="99"/>
    <w:rsid w:val="005A79E5"/>
    <w:rPr>
      <w:rFonts w:ascii="Segoe UI Black" w:hAnsi="Segoe UI Black" w:cs="Lucida Sans Unicode"/>
      <w:b/>
      <w:sz w:val="72"/>
      <w:szCs w:val="72"/>
      <w:lang w:eastAsia="en-GB"/>
    </w:rPr>
  </w:style>
  <w:style w:type="paragraph" w:customStyle="1" w:styleId="Imprint">
    <w:name w:val="Imprint"/>
    <w:basedOn w:val="Normal"/>
    <w:next w:val="Normal"/>
    <w:qFormat/>
    <w:rsid w:val="00C05132"/>
    <w:pPr>
      <w:spacing w:after="240"/>
    </w:pPr>
    <w:rPr>
      <w:sz w:val="20"/>
    </w:rPr>
  </w:style>
  <w:style w:type="paragraph" w:styleId="Footer">
    <w:name w:val="footer"/>
    <w:basedOn w:val="Normal"/>
    <w:link w:val="FooterChar"/>
    <w:qFormat/>
    <w:rsid w:val="007A067F"/>
  </w:style>
  <w:style w:type="character" w:customStyle="1" w:styleId="FooterChar">
    <w:name w:val="Footer Char"/>
    <w:link w:val="Footer"/>
    <w:rsid w:val="007A067F"/>
    <w:rPr>
      <w:rFonts w:ascii="Segoe UI" w:hAnsi="Segoe UI"/>
      <w:sz w:val="21"/>
      <w:lang w:eastAsia="en-GB"/>
    </w:rPr>
  </w:style>
  <w:style w:type="character" w:styleId="PageNumber">
    <w:name w:val="page number"/>
    <w:rsid w:val="007A067F"/>
    <w:rPr>
      <w:rFonts w:ascii="Segoe UI" w:hAnsi="Segoe UI"/>
      <w:b/>
      <w:sz w:val="22"/>
    </w:rPr>
  </w:style>
  <w:style w:type="paragraph" w:customStyle="1" w:styleId="VersoFooter">
    <w:name w:val="Verso Footer"/>
    <w:basedOn w:val="Footer"/>
    <w:rsid w:val="00571223"/>
    <w:rPr>
      <w:sz w:val="15"/>
    </w:rPr>
  </w:style>
  <w:style w:type="paragraph" w:customStyle="1" w:styleId="RectoFooter">
    <w:name w:val="Recto Footer"/>
    <w:basedOn w:val="Footer"/>
    <w:rsid w:val="00581EB8"/>
    <w:pPr>
      <w:jc w:val="right"/>
    </w:pPr>
    <w:rPr>
      <w:caps/>
      <w:sz w:val="15"/>
    </w:rPr>
  </w:style>
  <w:style w:type="paragraph" w:customStyle="1" w:styleId="Figure">
    <w:name w:val="Figure"/>
    <w:basedOn w:val="Normal"/>
    <w:next w:val="Normal"/>
    <w:link w:val="FigureChar"/>
    <w:qFormat/>
    <w:rsid w:val="009133F5"/>
    <w:pPr>
      <w:keepNext/>
      <w:spacing w:before="120" w:after="120"/>
    </w:pPr>
    <w:rPr>
      <w:b/>
      <w:sz w:val="20"/>
    </w:rPr>
  </w:style>
  <w:style w:type="character" w:customStyle="1" w:styleId="FigureChar">
    <w:name w:val="Figure Char"/>
    <w:link w:val="Figure"/>
    <w:locked/>
    <w:rsid w:val="002B7BEC"/>
    <w:rPr>
      <w:rFonts w:ascii="Segoe UI" w:hAnsi="Segoe UI"/>
      <w:b/>
      <w:lang w:eastAsia="en-GB"/>
    </w:rPr>
  </w:style>
  <w:style w:type="character" w:styleId="FootnoteReference">
    <w:name w:val="footnote reference"/>
    <w:rPr>
      <w:vertAlign w:val="superscript"/>
    </w:rPr>
  </w:style>
  <w:style w:type="paragraph" w:customStyle="1" w:styleId="Table">
    <w:name w:val="Table"/>
    <w:basedOn w:val="Figure"/>
    <w:link w:val="TableChar"/>
    <w:qFormat/>
    <w:rsid w:val="00642868"/>
  </w:style>
  <w:style w:type="character" w:customStyle="1" w:styleId="TableChar">
    <w:name w:val="Table Char"/>
    <w:link w:val="Table"/>
    <w:locked/>
    <w:rsid w:val="002B7BEC"/>
    <w:rPr>
      <w:rFonts w:ascii="Segoe UI" w:hAnsi="Segoe UI"/>
      <w:b/>
      <w:lang w:eastAsia="en-GB"/>
    </w:rPr>
  </w:style>
  <w:style w:type="paragraph" w:customStyle="1" w:styleId="Dash">
    <w:name w:val="Dash"/>
    <w:basedOn w:val="Bullet"/>
    <w:qFormat/>
    <w:rsid w:val="00702854"/>
    <w:pPr>
      <w:numPr>
        <w:numId w:val="2"/>
      </w:numPr>
      <w:spacing w:before="60"/>
    </w:pPr>
  </w:style>
  <w:style w:type="paragraph" w:customStyle="1" w:styleId="TableText">
    <w:name w:val="TableText"/>
    <w:basedOn w:val="Normal"/>
    <w:qFormat/>
    <w:rsid w:val="00925892"/>
    <w:pPr>
      <w:spacing w:before="60" w:after="60"/>
    </w:pPr>
    <w:rPr>
      <w:sz w:val="18"/>
    </w:rPr>
  </w:style>
  <w:style w:type="paragraph" w:customStyle="1" w:styleId="TableBullet">
    <w:name w:val="TableBullet"/>
    <w:basedOn w:val="TableText"/>
    <w:qFormat/>
    <w:rsid w:val="00B73AF2"/>
    <w:pPr>
      <w:numPr>
        <w:numId w:val="4"/>
      </w:numPr>
      <w:spacing w:before="0"/>
    </w:pPr>
  </w:style>
  <w:style w:type="paragraph" w:customStyle="1" w:styleId="Box">
    <w:name w:val="Box"/>
    <w:basedOn w:val="Normal"/>
    <w:qFormat/>
    <w:pPr>
      <w:pBdr>
        <w:top w:val="single" w:sz="4" w:space="12" w:color="auto"/>
        <w:left w:val="single" w:sz="4" w:space="12" w:color="auto"/>
        <w:bottom w:val="single" w:sz="4" w:space="12" w:color="auto"/>
        <w:right w:val="single" w:sz="4" w:space="12" w:color="auto"/>
      </w:pBdr>
      <w:spacing w:before="120"/>
      <w:ind w:left="284" w:right="284"/>
    </w:pPr>
  </w:style>
  <w:style w:type="paragraph" w:customStyle="1" w:styleId="BoxHeading">
    <w:name w:val="BoxHeading"/>
    <w:basedOn w:val="Normal"/>
    <w:next w:val="Box"/>
    <w:qFormat/>
    <w:rsid w:val="00D37D80"/>
    <w:pPr>
      <w:keepNext/>
      <w:pBdr>
        <w:top w:val="single" w:sz="4" w:space="12" w:color="auto"/>
        <w:left w:val="single" w:sz="4" w:space="12" w:color="auto"/>
        <w:bottom w:val="single" w:sz="4" w:space="12" w:color="auto"/>
        <w:right w:val="single" w:sz="4" w:space="12" w:color="auto"/>
      </w:pBdr>
      <w:spacing w:before="240" w:line="264" w:lineRule="auto"/>
      <w:ind w:left="284" w:right="284"/>
    </w:pPr>
    <w:rPr>
      <w:b/>
      <w:sz w:val="24"/>
      <w:szCs w:val="24"/>
    </w:rPr>
  </w:style>
  <w:style w:type="paragraph" w:customStyle="1" w:styleId="BoxBullet">
    <w:name w:val="BoxBullet"/>
    <w:basedOn w:val="Bullet"/>
    <w:qFormat/>
    <w:rsid w:val="008814E8"/>
    <w:pPr>
      <w:pBdr>
        <w:top w:val="single" w:sz="4" w:space="12" w:color="auto"/>
        <w:left w:val="single" w:sz="4" w:space="12" w:color="auto"/>
        <w:bottom w:val="single" w:sz="4" w:space="12" w:color="auto"/>
        <w:right w:val="single" w:sz="4" w:space="12" w:color="auto"/>
      </w:pBdr>
      <w:spacing w:line="264" w:lineRule="auto"/>
      <w:ind w:left="568" w:right="284"/>
    </w:pPr>
  </w:style>
  <w:style w:type="paragraph" w:customStyle="1" w:styleId="IntroHead">
    <w:name w:val="IntroHead"/>
    <w:basedOn w:val="Heading1"/>
    <w:next w:val="Normal"/>
    <w:qFormat/>
    <w:rsid w:val="00F54E74"/>
    <w:pPr>
      <w:outlineLvl w:val="9"/>
    </w:pPr>
  </w:style>
  <w:style w:type="paragraph" w:customStyle="1" w:styleId="Source">
    <w:name w:val="Source"/>
    <w:basedOn w:val="Note"/>
    <w:next w:val="Normal"/>
    <w:qFormat/>
    <w:rsid w:val="0012053C"/>
  </w:style>
  <w:style w:type="paragraph" w:customStyle="1" w:styleId="Note">
    <w:name w:val="Note"/>
    <w:basedOn w:val="Normal"/>
    <w:next w:val="Normal"/>
    <w:link w:val="NoteChar"/>
    <w:qFormat/>
    <w:rsid w:val="00A87C05"/>
    <w:pPr>
      <w:spacing w:before="80"/>
    </w:pPr>
    <w:rPr>
      <w:sz w:val="17"/>
    </w:rPr>
  </w:style>
  <w:style w:type="character" w:customStyle="1" w:styleId="NoteChar">
    <w:name w:val="Note Char"/>
    <w:link w:val="Note"/>
    <w:rsid w:val="00A87C05"/>
    <w:rPr>
      <w:rFonts w:ascii="Segoe UI" w:hAnsi="Segoe UI"/>
      <w:sz w:val="17"/>
      <w:lang w:eastAsia="en-GB"/>
    </w:rPr>
  </w:style>
  <w:style w:type="paragraph" w:customStyle="1" w:styleId="Subhead">
    <w:name w:val="Subhead"/>
    <w:basedOn w:val="Normal"/>
    <w:next w:val="Year"/>
    <w:qFormat/>
    <w:rsid w:val="00531E12"/>
    <w:pPr>
      <w:spacing w:before="840"/>
      <w:ind w:right="3402"/>
    </w:pPr>
    <w:rPr>
      <w:rFonts w:ascii="Segoe UI Semibold" w:hAnsi="Segoe UI Semibold" w:cs="Segoe UI Semibold"/>
      <w:sz w:val="36"/>
      <w:szCs w:val="26"/>
    </w:rPr>
  </w:style>
  <w:style w:type="paragraph" w:customStyle="1" w:styleId="Year">
    <w:name w:val="Year"/>
    <w:basedOn w:val="Subhead"/>
    <w:next w:val="Subhead"/>
    <w:qFormat/>
    <w:rsid w:val="00531E12"/>
    <w:rPr>
      <w:sz w:val="28"/>
    </w:rPr>
  </w:style>
  <w:style w:type="character" w:styleId="Hyperlink">
    <w:name w:val="Hyperlink"/>
    <w:uiPriority w:val="99"/>
    <w:rsid w:val="003309CA"/>
    <w:rPr>
      <w:b/>
      <w:color w:val="595959" w:themeColor="text1" w:themeTint="A6"/>
      <w:u w:val="none"/>
    </w:rPr>
  </w:style>
  <w:style w:type="paragraph" w:customStyle="1" w:styleId="References">
    <w:name w:val="References"/>
    <w:basedOn w:val="Normal"/>
    <w:qFormat/>
    <w:rsid w:val="001460E0"/>
    <w:pPr>
      <w:spacing w:after="180"/>
    </w:pPr>
  </w:style>
  <w:style w:type="paragraph" w:customStyle="1" w:styleId="TableDash">
    <w:name w:val="TableDash"/>
    <w:basedOn w:val="TableText"/>
    <w:qFormat/>
    <w:rsid w:val="0010541C"/>
    <w:pPr>
      <w:numPr>
        <w:numId w:val="3"/>
      </w:numPr>
      <w:spacing w:before="40" w:after="0"/>
    </w:pPr>
    <w:rPr>
      <w:szCs w:val="22"/>
    </w:rPr>
  </w:style>
  <w:style w:type="paragraph" w:styleId="Revision">
    <w:name w:val="Revision"/>
    <w:hidden/>
    <w:uiPriority w:val="99"/>
    <w:rsid w:val="0086388B"/>
    <w:rPr>
      <w:rFonts w:ascii="Calibri" w:eastAsia="Calibri" w:hAnsi="Calibri"/>
      <w:sz w:val="22"/>
      <w:szCs w:val="22"/>
      <w:lang w:val="en-US" w:eastAsia="en-US"/>
    </w:rPr>
  </w:style>
  <w:style w:type="paragraph" w:customStyle="1" w:styleId="Number">
    <w:name w:val="Number"/>
    <w:basedOn w:val="Normal"/>
    <w:rsid w:val="00C07EDB"/>
    <w:pPr>
      <w:numPr>
        <w:ilvl w:val="3"/>
        <w:numId w:val="5"/>
      </w:numPr>
      <w:spacing w:before="90"/>
      <w:ind w:left="709" w:right="284" w:hanging="425"/>
    </w:pPr>
    <w:rPr>
      <w:szCs w:val="24"/>
    </w:rPr>
  </w:style>
  <w:style w:type="paragraph" w:customStyle="1" w:styleId="Letter">
    <w:name w:val="Letter"/>
    <w:basedOn w:val="Normal"/>
    <w:qFormat/>
    <w:rsid w:val="00F140B2"/>
    <w:pPr>
      <w:numPr>
        <w:ilvl w:val="4"/>
        <w:numId w:val="5"/>
      </w:numPr>
      <w:spacing w:before="120"/>
    </w:pPr>
  </w:style>
  <w:style w:type="paragraph" w:customStyle="1" w:styleId="Introductoryparagraph">
    <w:name w:val="Introductory paragraph"/>
    <w:basedOn w:val="Normal"/>
    <w:next w:val="Normal"/>
    <w:qFormat/>
    <w:rsid w:val="0012053C"/>
    <w:pPr>
      <w:spacing w:after="240" w:line="216" w:lineRule="auto"/>
      <w:ind w:right="1134"/>
    </w:pPr>
    <w:rPr>
      <w:rFonts w:ascii="Segoe UI Light" w:hAnsi="Segoe UI Light"/>
      <w:color w:val="404040" w:themeColor="text1" w:themeTint="BF"/>
      <w:sz w:val="44"/>
    </w:rPr>
  </w:style>
  <w:style w:type="paragraph" w:customStyle="1" w:styleId="Roman">
    <w:name w:val="Roman"/>
    <w:basedOn w:val="Normal"/>
    <w:qFormat/>
    <w:rsid w:val="00AD6293"/>
    <w:pPr>
      <w:numPr>
        <w:ilvl w:val="5"/>
        <w:numId w:val="5"/>
      </w:numPr>
      <w:spacing w:before="90"/>
    </w:pPr>
    <w:rPr>
      <w:rFonts w:eastAsia="Arial Unicode MS"/>
    </w:rPr>
  </w:style>
  <w:style w:type="table" w:styleId="TableGrid">
    <w:name w:val="Table Grid"/>
    <w:basedOn w:val="TableNormal"/>
    <w:uiPriority w:val="39"/>
    <w:rsid w:val="003A5FA0"/>
    <w:pPr>
      <w:spacing w:line="264"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0347F"/>
    <w:rPr>
      <w:rFonts w:ascii="Tahoma" w:hAnsi="Tahoma" w:cs="Tahoma"/>
      <w:sz w:val="16"/>
      <w:szCs w:val="16"/>
    </w:rPr>
  </w:style>
  <w:style w:type="character" w:customStyle="1" w:styleId="BalloonTextChar">
    <w:name w:val="Balloon Text Char"/>
    <w:basedOn w:val="DefaultParagraphFont"/>
    <w:link w:val="BalloonText"/>
    <w:uiPriority w:val="99"/>
    <w:semiHidden/>
    <w:rsid w:val="0080347F"/>
    <w:rPr>
      <w:rFonts w:ascii="Tahoma" w:hAnsi="Tahoma" w:cs="Tahoma"/>
      <w:sz w:val="16"/>
      <w:szCs w:val="16"/>
      <w:lang w:eastAsia="en-GB"/>
    </w:rPr>
  </w:style>
  <w:style w:type="paragraph" w:styleId="CommentText">
    <w:name w:val="annotation text"/>
    <w:basedOn w:val="Normal"/>
    <w:link w:val="CommentTextChar"/>
    <w:unhideWhenUsed/>
    <w:rsid w:val="00DA4156"/>
    <w:rPr>
      <w:sz w:val="48"/>
    </w:rPr>
  </w:style>
  <w:style w:type="character" w:customStyle="1" w:styleId="CommentTextChar">
    <w:name w:val="Comment Text Char"/>
    <w:basedOn w:val="DefaultParagraphFont"/>
    <w:link w:val="CommentText"/>
    <w:rsid w:val="00DA4156"/>
    <w:rPr>
      <w:rFonts w:ascii="Segoe UI" w:hAnsi="Segoe UI"/>
      <w:sz w:val="48"/>
      <w:lang w:eastAsia="en-GB"/>
    </w:rPr>
  </w:style>
  <w:style w:type="character" w:styleId="CommentReference">
    <w:name w:val="annotation reference"/>
    <w:basedOn w:val="DefaultParagraphFont"/>
    <w:unhideWhenUsed/>
    <w:rsid w:val="00DA4156"/>
    <w:rPr>
      <w:sz w:val="18"/>
      <w:szCs w:val="18"/>
    </w:rPr>
  </w:style>
  <w:style w:type="paragraph" w:styleId="CommentSubject">
    <w:name w:val="annotation subject"/>
    <w:basedOn w:val="CommentText"/>
    <w:next w:val="CommentText"/>
    <w:link w:val="CommentSubjectChar"/>
    <w:uiPriority w:val="99"/>
    <w:semiHidden/>
    <w:unhideWhenUsed/>
    <w:rsid w:val="008363BD"/>
    <w:rPr>
      <w:b/>
      <w:bCs/>
      <w:sz w:val="20"/>
    </w:rPr>
  </w:style>
  <w:style w:type="character" w:customStyle="1" w:styleId="CommentSubjectChar">
    <w:name w:val="Comment Subject Char"/>
    <w:basedOn w:val="CommentTextChar"/>
    <w:link w:val="CommentSubject"/>
    <w:uiPriority w:val="99"/>
    <w:semiHidden/>
    <w:rsid w:val="008363BD"/>
    <w:rPr>
      <w:rFonts w:ascii="Segoe UI" w:hAnsi="Segoe UI"/>
      <w:b/>
      <w:bCs/>
      <w:sz w:val="4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1330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png"/><Relationship Id="rId10" Type="http://schemas.openxmlformats.org/officeDocument/2006/relationships/image" Target="media/image4.png"/><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image" Target="media/image9.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ianne\Application%20Data\Microsoft\Templates\Health\2012%20Report%20Sans%20Serif%20Body.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26C8C9-39CD-4CC7-B269-89DA5C210B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2012 Report Sans Serif Body</Template>
  <TotalTime>1</TotalTime>
  <Pages>16</Pages>
  <Words>3444</Words>
  <Characters>19631</Characters>
  <Application>Microsoft Office Word</Application>
  <DocSecurity>0</DocSecurity>
  <Lines>163</Lines>
  <Paragraphs>46</Paragraphs>
  <ScaleCrop>false</ScaleCrop>
  <HeadingPairs>
    <vt:vector size="2" baseType="variant">
      <vt:variant>
        <vt:lpstr>Title</vt:lpstr>
      </vt:variant>
      <vt:variant>
        <vt:i4>1</vt:i4>
      </vt:variant>
    </vt:vector>
  </HeadingPairs>
  <TitlesOfParts>
    <vt:vector size="1" baseType="lpstr">
      <vt:lpstr>Non-volitional Sex: Findings from the 2014/15 New Zealand Heath Survey</vt:lpstr>
    </vt:vector>
  </TitlesOfParts>
  <Company>Microsoft</Company>
  <LinksUpToDate>false</LinksUpToDate>
  <CharactersWithSpaces>23029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Non-volitional Sex: Findings from the 2014/15 New Zealand Heath Survey</dc:title>
  <dc:creator>Ministry of Health</dc:creator>
  <cp:lastModifiedBy>Geneva Ruppert-Wise</cp:lastModifiedBy>
  <cp:revision>3</cp:revision>
  <cp:lastPrinted>2020-01-13T01:09:00Z</cp:lastPrinted>
  <dcterms:created xsi:type="dcterms:W3CDTF">2020-01-13T01:08:00Z</dcterms:created>
  <dcterms:modified xsi:type="dcterms:W3CDTF">2020-01-13T01:09:00Z</dcterms:modified>
</cp:coreProperties>
</file>