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30A7" w14:textId="230AAA6A" w:rsidR="00F71B75" w:rsidRPr="00F71B75" w:rsidRDefault="00F71B75" w:rsidP="00F71B75">
      <w:pPr>
        <w:pStyle w:val="Title"/>
        <w:rPr>
          <w:color w:val="000000" w:themeColor="text1"/>
        </w:rPr>
      </w:pPr>
      <w:r w:rsidRPr="00F71B75">
        <w:rPr>
          <w:color w:val="000000" w:themeColor="text1"/>
        </w:rPr>
        <w:t>National Framework for Home and Community Support Services</w:t>
      </w:r>
    </w:p>
    <w:p w14:paraId="535379A4" w14:textId="77777777" w:rsidR="00C05132" w:rsidRPr="00434299" w:rsidRDefault="00F71B75" w:rsidP="00F71B75">
      <w:pPr>
        <w:pStyle w:val="Title"/>
        <w:rPr>
          <w:color w:val="000000" w:themeColor="text1"/>
        </w:rPr>
      </w:pPr>
      <w:r w:rsidRPr="00F71B75">
        <w:rPr>
          <w:color w:val="000000" w:themeColor="text1"/>
        </w:rPr>
        <w:t>(HCSS)</w:t>
      </w:r>
    </w:p>
    <w:p w14:paraId="446E75E6" w14:textId="77777777" w:rsidR="00C05132" w:rsidRPr="00434299" w:rsidRDefault="00C05132" w:rsidP="00A06BE4">
      <w:pPr>
        <w:rPr>
          <w:color w:val="000000" w:themeColor="text1"/>
        </w:rPr>
      </w:pPr>
    </w:p>
    <w:p w14:paraId="5CADD2EB" w14:textId="77777777" w:rsidR="00142954" w:rsidRPr="00434299" w:rsidRDefault="00142954" w:rsidP="00142954">
      <w:pPr>
        <w:rPr>
          <w:color w:val="000000" w:themeColor="text1"/>
        </w:rPr>
        <w:sectPr w:rsidR="00142954" w:rsidRPr="00434299" w:rsidSect="005A79E5">
          <w:headerReference w:type="default" r:id="rId12"/>
          <w:footerReference w:type="default" r:id="rId13"/>
          <w:pgSz w:w="11907" w:h="16834" w:code="9"/>
          <w:pgMar w:top="5670" w:right="1134" w:bottom="1134" w:left="1134" w:header="567" w:footer="851" w:gutter="0"/>
          <w:pgNumType w:start="1"/>
          <w:cols w:space="720"/>
        </w:sectPr>
      </w:pPr>
    </w:p>
    <w:p w14:paraId="13815D76" w14:textId="2EF95F72" w:rsidR="00D51893" w:rsidRPr="00D51893" w:rsidRDefault="00D51893" w:rsidP="00F71B75">
      <w:pPr>
        <w:pStyle w:val="Imprint"/>
        <w:rPr>
          <w:rFonts w:cs="Segoe UI"/>
          <w:color w:val="000000" w:themeColor="text1"/>
        </w:rPr>
      </w:pPr>
      <w:r w:rsidRPr="00D51893">
        <w:rPr>
          <w:rFonts w:cs="Segoe UI"/>
          <w:color w:val="000000" w:themeColor="text1"/>
        </w:rPr>
        <w:lastRenderedPageBreak/>
        <w:t xml:space="preserve">Citation: Ministry of Health. 2020. </w:t>
      </w:r>
      <w:r w:rsidR="00F71B75" w:rsidRPr="003A4FB1">
        <w:rPr>
          <w:rFonts w:cs="Segoe UI"/>
          <w:i/>
          <w:color w:val="000000" w:themeColor="text1"/>
        </w:rPr>
        <w:t>National Framework for Home and Community Support Services (HCSS)</w:t>
      </w:r>
      <w:r w:rsidRPr="00D51893">
        <w:rPr>
          <w:rFonts w:cs="Segoe UI"/>
          <w:color w:val="000000" w:themeColor="text1"/>
        </w:rPr>
        <w:t>. Wellington: Ministry of Health.</w:t>
      </w:r>
    </w:p>
    <w:p w14:paraId="64EB3468" w14:textId="3AEA6F92" w:rsidR="00D51893" w:rsidRPr="003A4FB1" w:rsidRDefault="00D51893" w:rsidP="00D51893">
      <w:pPr>
        <w:pStyle w:val="Imprint"/>
        <w:spacing w:after="0"/>
      </w:pPr>
      <w:r w:rsidRPr="003A4FB1">
        <w:t xml:space="preserve">Published in </w:t>
      </w:r>
      <w:r w:rsidR="00D84A03">
        <w:t xml:space="preserve">August </w:t>
      </w:r>
      <w:r w:rsidR="00F71B75" w:rsidRPr="003A4FB1">
        <w:t>20</w:t>
      </w:r>
      <w:r w:rsidR="003A4FB1" w:rsidRPr="003A4FB1">
        <w:t>20</w:t>
      </w:r>
      <w:r w:rsidRPr="003A4FB1">
        <w:t xml:space="preserve"> by the Ministry of Health</w:t>
      </w:r>
    </w:p>
    <w:p w14:paraId="2E4670FE" w14:textId="77777777" w:rsidR="00D51893" w:rsidRPr="003A4FB1" w:rsidRDefault="00D51893" w:rsidP="00D51893">
      <w:pPr>
        <w:pStyle w:val="Imprint"/>
        <w:spacing w:after="0"/>
      </w:pPr>
      <w:r w:rsidRPr="003A4FB1">
        <w:t>PO Box 5013, Wellington 6140, New Zealand</w:t>
      </w:r>
    </w:p>
    <w:p w14:paraId="5F6999BC" w14:textId="77777777" w:rsidR="00D51893" w:rsidRPr="003A4FB1" w:rsidRDefault="00D51893" w:rsidP="00D51893"/>
    <w:p w14:paraId="713BBCDA" w14:textId="19C7D45D" w:rsidR="00082CD6" w:rsidRPr="00434299" w:rsidRDefault="003A4FB1" w:rsidP="00D51893">
      <w:pPr>
        <w:pStyle w:val="Imprint"/>
        <w:rPr>
          <w:color w:val="000000" w:themeColor="text1"/>
        </w:rPr>
      </w:pPr>
      <w:r w:rsidRPr="00DE0444">
        <w:t xml:space="preserve">ISBN </w:t>
      </w:r>
      <w:r w:rsidR="00DE0444" w:rsidRPr="00DE0444">
        <w:t xml:space="preserve">978-1-98-859793-5 </w:t>
      </w:r>
      <w:r w:rsidR="00E96447" w:rsidRPr="00DE0444">
        <w:t>(online</w:t>
      </w:r>
      <w:r w:rsidR="00E96447" w:rsidRPr="003A4FB1">
        <w:rPr>
          <w:color w:val="000000" w:themeColor="text1"/>
        </w:rPr>
        <w:t xml:space="preserve">) </w:t>
      </w:r>
      <w:r w:rsidR="00082CD6" w:rsidRPr="003A4FB1">
        <w:rPr>
          <w:color w:val="000000" w:themeColor="text1"/>
        </w:rPr>
        <w:br/>
        <w:t xml:space="preserve">HP </w:t>
      </w:r>
      <w:r w:rsidR="00DE0444">
        <w:rPr>
          <w:color w:val="000000" w:themeColor="text1"/>
        </w:rPr>
        <w:t>7403</w:t>
      </w:r>
    </w:p>
    <w:p w14:paraId="1BC8E531"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55C34E1B" wp14:editId="40983A13">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050D5528"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1003E462" w14:textId="77777777" w:rsidTr="00A63DFF">
        <w:trPr>
          <w:cantSplit/>
        </w:trPr>
        <w:tc>
          <w:tcPr>
            <w:tcW w:w="1526" w:type="dxa"/>
          </w:tcPr>
          <w:p w14:paraId="6B889687"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2AF8C3B2" wp14:editId="2478408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2039F51"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ie, copy and redistribute the material in any medium or format; adapt ie,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005D441E" w14:textId="77777777" w:rsidR="007E74F1" w:rsidRPr="00434299" w:rsidRDefault="007E74F1" w:rsidP="00A63DFF">
      <w:pPr>
        <w:rPr>
          <w:color w:val="000000" w:themeColor="text1"/>
        </w:rPr>
      </w:pPr>
    </w:p>
    <w:p w14:paraId="150AF570" w14:textId="77777777" w:rsidR="00C86248" w:rsidRPr="00434299" w:rsidRDefault="00C86248">
      <w:pPr>
        <w:jc w:val="center"/>
        <w:rPr>
          <w:color w:val="000000" w:themeColor="text1"/>
        </w:rPr>
        <w:sectPr w:rsidR="00C86248" w:rsidRPr="00434299" w:rsidSect="00C05132">
          <w:footerReference w:type="even" r:id="rId16"/>
          <w:footerReference w:type="default" r:id="rId17"/>
          <w:pgSz w:w="11907" w:h="16834" w:code="9"/>
          <w:pgMar w:top="1701" w:right="2268" w:bottom="1134" w:left="2268" w:header="0" w:footer="0" w:gutter="0"/>
          <w:cols w:space="720"/>
          <w:vAlign w:val="bottom"/>
        </w:sectPr>
      </w:pPr>
    </w:p>
    <w:p w14:paraId="6076888D" w14:textId="77777777" w:rsidR="00C86248" w:rsidRPr="005026EE" w:rsidRDefault="00C86248" w:rsidP="00EB06C1">
      <w:pPr>
        <w:pStyle w:val="IntroHead"/>
        <w:keepNext/>
        <w:pageBreakBefore w:val="0"/>
      </w:pPr>
      <w:bookmarkStart w:id="0" w:name="_Toc405792991"/>
      <w:bookmarkStart w:id="1" w:name="_Toc405793224"/>
      <w:r w:rsidRPr="00EB06C1">
        <w:lastRenderedPageBreak/>
        <w:t>Contents</w:t>
      </w:r>
      <w:bookmarkEnd w:id="0"/>
      <w:bookmarkEnd w:id="1"/>
    </w:p>
    <w:p w14:paraId="3E6180A4" w14:textId="10BC4349" w:rsidR="00867D56" w:rsidRDefault="00337885">
      <w:pPr>
        <w:pStyle w:val="TOC1"/>
        <w:rPr>
          <w:rFonts w:asciiTheme="minorHAnsi" w:eastAsiaTheme="minorEastAsia" w:hAnsiTheme="minorHAnsi" w:cstheme="minorBidi"/>
          <w:noProof/>
          <w:sz w:val="22"/>
          <w:szCs w:val="22"/>
          <w:lang w:val="en-AU" w:eastAsia="en-AU"/>
        </w:rPr>
      </w:pPr>
      <w:r>
        <w:rPr>
          <w:b/>
          <w:color w:val="000000" w:themeColor="text1"/>
        </w:rPr>
        <w:fldChar w:fldCharType="begin"/>
      </w:r>
      <w:r>
        <w:rPr>
          <w:b/>
          <w:color w:val="000000" w:themeColor="text1"/>
        </w:rPr>
        <w:instrText xml:space="preserve"> TOC \o "1-2" \h \z </w:instrText>
      </w:r>
      <w:r>
        <w:rPr>
          <w:b/>
          <w:color w:val="000000" w:themeColor="text1"/>
        </w:rPr>
        <w:fldChar w:fldCharType="separate"/>
      </w:r>
      <w:hyperlink w:anchor="_Toc36129204" w:history="1">
        <w:r w:rsidR="00867D56" w:rsidRPr="00483C74">
          <w:rPr>
            <w:rStyle w:val="Hyperlink"/>
            <w:noProof/>
          </w:rPr>
          <w:t>Section one: National Framework for Home and Community Support Services</w:t>
        </w:r>
        <w:r w:rsidR="00867D56">
          <w:rPr>
            <w:noProof/>
            <w:webHidden/>
          </w:rPr>
          <w:tab/>
        </w:r>
        <w:r w:rsidR="00867D56">
          <w:rPr>
            <w:noProof/>
            <w:webHidden/>
          </w:rPr>
          <w:fldChar w:fldCharType="begin"/>
        </w:r>
        <w:r w:rsidR="00867D56">
          <w:rPr>
            <w:noProof/>
            <w:webHidden/>
          </w:rPr>
          <w:instrText xml:space="preserve"> PAGEREF _Toc36129204 \h </w:instrText>
        </w:r>
        <w:r w:rsidR="00867D56">
          <w:rPr>
            <w:noProof/>
            <w:webHidden/>
          </w:rPr>
        </w:r>
        <w:r w:rsidR="00867D56">
          <w:rPr>
            <w:noProof/>
            <w:webHidden/>
          </w:rPr>
          <w:fldChar w:fldCharType="separate"/>
        </w:r>
        <w:r w:rsidR="005F0AE6">
          <w:rPr>
            <w:noProof/>
            <w:webHidden/>
          </w:rPr>
          <w:t>1</w:t>
        </w:r>
        <w:r w:rsidR="00867D56">
          <w:rPr>
            <w:noProof/>
            <w:webHidden/>
          </w:rPr>
          <w:fldChar w:fldCharType="end"/>
        </w:r>
      </w:hyperlink>
    </w:p>
    <w:p w14:paraId="3D90E374" w14:textId="11FE8B1F" w:rsidR="00867D56" w:rsidRDefault="005F0AE6">
      <w:pPr>
        <w:pStyle w:val="TOC2"/>
        <w:rPr>
          <w:rFonts w:asciiTheme="minorHAnsi" w:eastAsiaTheme="minorEastAsia" w:hAnsiTheme="minorHAnsi" w:cstheme="minorBidi"/>
          <w:noProof/>
          <w:szCs w:val="22"/>
          <w:lang w:val="en-AU" w:eastAsia="en-AU"/>
        </w:rPr>
      </w:pPr>
      <w:hyperlink w:anchor="_Toc36129205" w:history="1">
        <w:r w:rsidR="00867D56" w:rsidRPr="00483C74">
          <w:rPr>
            <w:rStyle w:val="Hyperlink"/>
            <w:noProof/>
          </w:rPr>
          <w:t>Introduction</w:t>
        </w:r>
        <w:r w:rsidR="00867D56">
          <w:rPr>
            <w:noProof/>
            <w:webHidden/>
          </w:rPr>
          <w:tab/>
        </w:r>
        <w:r w:rsidR="00867D56">
          <w:rPr>
            <w:noProof/>
            <w:webHidden/>
          </w:rPr>
          <w:fldChar w:fldCharType="begin"/>
        </w:r>
        <w:r w:rsidR="00867D56">
          <w:rPr>
            <w:noProof/>
            <w:webHidden/>
          </w:rPr>
          <w:instrText xml:space="preserve"> PAGEREF _Toc36129205 \h </w:instrText>
        </w:r>
        <w:r w:rsidR="00867D56">
          <w:rPr>
            <w:noProof/>
            <w:webHidden/>
          </w:rPr>
        </w:r>
        <w:r w:rsidR="00867D56">
          <w:rPr>
            <w:noProof/>
            <w:webHidden/>
          </w:rPr>
          <w:fldChar w:fldCharType="separate"/>
        </w:r>
        <w:r>
          <w:rPr>
            <w:noProof/>
            <w:webHidden/>
          </w:rPr>
          <w:t>1</w:t>
        </w:r>
        <w:r w:rsidR="00867D56">
          <w:rPr>
            <w:noProof/>
            <w:webHidden/>
          </w:rPr>
          <w:fldChar w:fldCharType="end"/>
        </w:r>
      </w:hyperlink>
    </w:p>
    <w:p w14:paraId="7A72A4BD" w14:textId="49AF14EA" w:rsidR="00867D56" w:rsidRDefault="005F0AE6">
      <w:pPr>
        <w:pStyle w:val="TOC2"/>
        <w:rPr>
          <w:rFonts w:asciiTheme="minorHAnsi" w:eastAsiaTheme="minorEastAsia" w:hAnsiTheme="minorHAnsi" w:cstheme="minorBidi"/>
          <w:noProof/>
          <w:szCs w:val="22"/>
          <w:lang w:val="en-AU" w:eastAsia="en-AU"/>
        </w:rPr>
      </w:pPr>
      <w:hyperlink w:anchor="_Toc36129206" w:history="1">
        <w:r w:rsidR="00867D56" w:rsidRPr="00483C74">
          <w:rPr>
            <w:rStyle w:val="Hyperlink"/>
            <w:rFonts w:eastAsia="TheSans-OT3Light"/>
            <w:noProof/>
          </w:rPr>
          <w:t>Overview of the National Framework for Home and Community Support Services</w:t>
        </w:r>
        <w:r w:rsidR="00867D56">
          <w:rPr>
            <w:noProof/>
            <w:webHidden/>
          </w:rPr>
          <w:tab/>
        </w:r>
        <w:r w:rsidR="00867D56">
          <w:rPr>
            <w:noProof/>
            <w:webHidden/>
          </w:rPr>
          <w:fldChar w:fldCharType="begin"/>
        </w:r>
        <w:r w:rsidR="00867D56">
          <w:rPr>
            <w:noProof/>
            <w:webHidden/>
          </w:rPr>
          <w:instrText xml:space="preserve"> PAGEREF _Toc36129206 \h </w:instrText>
        </w:r>
        <w:r w:rsidR="00867D56">
          <w:rPr>
            <w:noProof/>
            <w:webHidden/>
          </w:rPr>
        </w:r>
        <w:r w:rsidR="00867D56">
          <w:rPr>
            <w:noProof/>
            <w:webHidden/>
          </w:rPr>
          <w:fldChar w:fldCharType="separate"/>
        </w:r>
        <w:r>
          <w:rPr>
            <w:noProof/>
            <w:webHidden/>
          </w:rPr>
          <w:t>3</w:t>
        </w:r>
        <w:r w:rsidR="00867D56">
          <w:rPr>
            <w:noProof/>
            <w:webHidden/>
          </w:rPr>
          <w:fldChar w:fldCharType="end"/>
        </w:r>
      </w:hyperlink>
    </w:p>
    <w:p w14:paraId="1B26F16E" w14:textId="1F279C8B" w:rsidR="00867D56" w:rsidRDefault="005F0AE6">
      <w:pPr>
        <w:pStyle w:val="TOC2"/>
        <w:rPr>
          <w:rFonts w:asciiTheme="minorHAnsi" w:eastAsiaTheme="minorEastAsia" w:hAnsiTheme="minorHAnsi" w:cstheme="minorBidi"/>
          <w:noProof/>
          <w:szCs w:val="22"/>
          <w:lang w:val="en-AU" w:eastAsia="en-AU"/>
        </w:rPr>
      </w:pPr>
      <w:hyperlink w:anchor="_Toc36129207" w:history="1">
        <w:r w:rsidR="00867D56" w:rsidRPr="00483C74">
          <w:rPr>
            <w:rStyle w:val="Hyperlink"/>
            <w:noProof/>
          </w:rPr>
          <w:t>Why we need a National Framework</w:t>
        </w:r>
        <w:r w:rsidR="00867D56">
          <w:rPr>
            <w:noProof/>
            <w:webHidden/>
          </w:rPr>
          <w:tab/>
        </w:r>
        <w:r w:rsidR="00867D56">
          <w:rPr>
            <w:noProof/>
            <w:webHidden/>
          </w:rPr>
          <w:fldChar w:fldCharType="begin"/>
        </w:r>
        <w:r w:rsidR="00867D56">
          <w:rPr>
            <w:noProof/>
            <w:webHidden/>
          </w:rPr>
          <w:instrText xml:space="preserve"> PAGEREF _Toc36129207 \h </w:instrText>
        </w:r>
        <w:r w:rsidR="00867D56">
          <w:rPr>
            <w:noProof/>
            <w:webHidden/>
          </w:rPr>
        </w:r>
        <w:r w:rsidR="00867D56">
          <w:rPr>
            <w:noProof/>
            <w:webHidden/>
          </w:rPr>
          <w:fldChar w:fldCharType="separate"/>
        </w:r>
        <w:r>
          <w:rPr>
            <w:noProof/>
            <w:webHidden/>
          </w:rPr>
          <w:t>4</w:t>
        </w:r>
        <w:r w:rsidR="00867D56">
          <w:rPr>
            <w:noProof/>
            <w:webHidden/>
          </w:rPr>
          <w:fldChar w:fldCharType="end"/>
        </w:r>
      </w:hyperlink>
    </w:p>
    <w:p w14:paraId="4008CBB9" w14:textId="0A75D4B3" w:rsidR="00867D56" w:rsidRDefault="005F0AE6">
      <w:pPr>
        <w:pStyle w:val="TOC2"/>
        <w:rPr>
          <w:rFonts w:asciiTheme="minorHAnsi" w:eastAsiaTheme="minorEastAsia" w:hAnsiTheme="minorHAnsi" w:cstheme="minorBidi"/>
          <w:noProof/>
          <w:szCs w:val="22"/>
          <w:lang w:val="en-AU" w:eastAsia="en-AU"/>
        </w:rPr>
      </w:pPr>
      <w:hyperlink w:anchor="_Toc36129208" w:history="1">
        <w:r w:rsidR="00867D56" w:rsidRPr="00483C74">
          <w:rPr>
            <w:rStyle w:val="Hyperlink"/>
            <w:noProof/>
          </w:rPr>
          <w:t>How we developed the National Framework</w:t>
        </w:r>
        <w:r w:rsidR="00867D56">
          <w:rPr>
            <w:noProof/>
            <w:webHidden/>
          </w:rPr>
          <w:tab/>
        </w:r>
        <w:r w:rsidR="00867D56">
          <w:rPr>
            <w:noProof/>
            <w:webHidden/>
          </w:rPr>
          <w:fldChar w:fldCharType="begin"/>
        </w:r>
        <w:r w:rsidR="00867D56">
          <w:rPr>
            <w:noProof/>
            <w:webHidden/>
          </w:rPr>
          <w:instrText xml:space="preserve"> PAGEREF _Toc36129208 \h </w:instrText>
        </w:r>
        <w:r w:rsidR="00867D56">
          <w:rPr>
            <w:noProof/>
            <w:webHidden/>
          </w:rPr>
        </w:r>
        <w:r w:rsidR="00867D56">
          <w:rPr>
            <w:noProof/>
            <w:webHidden/>
          </w:rPr>
          <w:fldChar w:fldCharType="separate"/>
        </w:r>
        <w:r>
          <w:rPr>
            <w:noProof/>
            <w:webHidden/>
          </w:rPr>
          <w:t>8</w:t>
        </w:r>
        <w:r w:rsidR="00867D56">
          <w:rPr>
            <w:noProof/>
            <w:webHidden/>
          </w:rPr>
          <w:fldChar w:fldCharType="end"/>
        </w:r>
      </w:hyperlink>
    </w:p>
    <w:p w14:paraId="2C7C4BFA" w14:textId="367E4780" w:rsidR="00867D56" w:rsidRDefault="005F0AE6">
      <w:pPr>
        <w:pStyle w:val="TOC2"/>
        <w:rPr>
          <w:rFonts w:asciiTheme="minorHAnsi" w:eastAsiaTheme="minorEastAsia" w:hAnsiTheme="minorHAnsi" w:cstheme="minorBidi"/>
          <w:noProof/>
          <w:szCs w:val="22"/>
          <w:lang w:val="en-AU" w:eastAsia="en-AU"/>
        </w:rPr>
      </w:pPr>
      <w:hyperlink w:anchor="_Toc36129209" w:history="1">
        <w:r w:rsidR="00867D56" w:rsidRPr="00483C74">
          <w:rPr>
            <w:rStyle w:val="Hyperlink"/>
            <w:noProof/>
          </w:rPr>
          <w:t>How we will implement the National Framework</w:t>
        </w:r>
        <w:r w:rsidR="00867D56">
          <w:rPr>
            <w:noProof/>
            <w:webHidden/>
          </w:rPr>
          <w:tab/>
        </w:r>
        <w:r w:rsidR="00867D56">
          <w:rPr>
            <w:noProof/>
            <w:webHidden/>
          </w:rPr>
          <w:fldChar w:fldCharType="begin"/>
        </w:r>
        <w:r w:rsidR="00867D56">
          <w:rPr>
            <w:noProof/>
            <w:webHidden/>
          </w:rPr>
          <w:instrText xml:space="preserve"> PAGEREF _Toc36129209 \h </w:instrText>
        </w:r>
        <w:r w:rsidR="00867D56">
          <w:rPr>
            <w:noProof/>
            <w:webHidden/>
          </w:rPr>
        </w:r>
        <w:r w:rsidR="00867D56">
          <w:rPr>
            <w:noProof/>
            <w:webHidden/>
          </w:rPr>
          <w:fldChar w:fldCharType="separate"/>
        </w:r>
        <w:r>
          <w:rPr>
            <w:noProof/>
            <w:webHidden/>
          </w:rPr>
          <w:t>9</w:t>
        </w:r>
        <w:r w:rsidR="00867D56">
          <w:rPr>
            <w:noProof/>
            <w:webHidden/>
          </w:rPr>
          <w:fldChar w:fldCharType="end"/>
        </w:r>
      </w:hyperlink>
    </w:p>
    <w:p w14:paraId="377B9282" w14:textId="343B39BE" w:rsidR="00867D56" w:rsidRDefault="005F0AE6">
      <w:pPr>
        <w:pStyle w:val="TOC2"/>
        <w:rPr>
          <w:rFonts w:asciiTheme="minorHAnsi" w:eastAsiaTheme="minorEastAsia" w:hAnsiTheme="minorHAnsi" w:cstheme="minorBidi"/>
          <w:noProof/>
          <w:szCs w:val="22"/>
          <w:lang w:val="en-AU" w:eastAsia="en-AU"/>
        </w:rPr>
      </w:pPr>
      <w:hyperlink w:anchor="_Toc36129210" w:history="1">
        <w:r w:rsidR="00867D56" w:rsidRPr="00483C74">
          <w:rPr>
            <w:rStyle w:val="Hyperlink"/>
            <w:noProof/>
          </w:rPr>
          <w:t>When we will implement the National Framework</w:t>
        </w:r>
        <w:r w:rsidR="00867D56">
          <w:rPr>
            <w:noProof/>
            <w:webHidden/>
          </w:rPr>
          <w:tab/>
        </w:r>
        <w:r w:rsidR="00867D56">
          <w:rPr>
            <w:noProof/>
            <w:webHidden/>
          </w:rPr>
          <w:fldChar w:fldCharType="begin"/>
        </w:r>
        <w:r w:rsidR="00867D56">
          <w:rPr>
            <w:noProof/>
            <w:webHidden/>
          </w:rPr>
          <w:instrText xml:space="preserve"> PAGEREF _Toc36129210 \h </w:instrText>
        </w:r>
        <w:r w:rsidR="00867D56">
          <w:rPr>
            <w:noProof/>
            <w:webHidden/>
          </w:rPr>
        </w:r>
        <w:r w:rsidR="00867D56">
          <w:rPr>
            <w:noProof/>
            <w:webHidden/>
          </w:rPr>
          <w:fldChar w:fldCharType="separate"/>
        </w:r>
        <w:r>
          <w:rPr>
            <w:noProof/>
            <w:webHidden/>
          </w:rPr>
          <w:t>9</w:t>
        </w:r>
        <w:r w:rsidR="00867D56">
          <w:rPr>
            <w:noProof/>
            <w:webHidden/>
          </w:rPr>
          <w:fldChar w:fldCharType="end"/>
        </w:r>
      </w:hyperlink>
    </w:p>
    <w:p w14:paraId="1AB05328" w14:textId="5D5C01AE" w:rsidR="00867D56" w:rsidRDefault="005F0AE6">
      <w:pPr>
        <w:pStyle w:val="TOC1"/>
        <w:rPr>
          <w:rFonts w:asciiTheme="minorHAnsi" w:eastAsiaTheme="minorEastAsia" w:hAnsiTheme="minorHAnsi" w:cstheme="minorBidi"/>
          <w:noProof/>
          <w:sz w:val="22"/>
          <w:szCs w:val="22"/>
          <w:lang w:val="en-AU" w:eastAsia="en-AU"/>
        </w:rPr>
      </w:pPr>
      <w:hyperlink w:anchor="_Toc36129211" w:history="1">
        <w:r w:rsidR="00867D56" w:rsidRPr="00483C74">
          <w:rPr>
            <w:rStyle w:val="Hyperlink"/>
            <w:noProof/>
          </w:rPr>
          <w:t>Section two: Vision and key principles of the National Framework</w:t>
        </w:r>
        <w:r w:rsidR="00867D56">
          <w:rPr>
            <w:noProof/>
            <w:webHidden/>
          </w:rPr>
          <w:tab/>
        </w:r>
        <w:r w:rsidR="00867D56">
          <w:rPr>
            <w:noProof/>
            <w:webHidden/>
          </w:rPr>
          <w:fldChar w:fldCharType="begin"/>
        </w:r>
        <w:r w:rsidR="00867D56">
          <w:rPr>
            <w:noProof/>
            <w:webHidden/>
          </w:rPr>
          <w:instrText xml:space="preserve"> PAGEREF _Toc36129211 \h </w:instrText>
        </w:r>
        <w:r w:rsidR="00867D56">
          <w:rPr>
            <w:noProof/>
            <w:webHidden/>
          </w:rPr>
        </w:r>
        <w:r w:rsidR="00867D56">
          <w:rPr>
            <w:noProof/>
            <w:webHidden/>
          </w:rPr>
          <w:fldChar w:fldCharType="separate"/>
        </w:r>
        <w:r>
          <w:rPr>
            <w:noProof/>
            <w:webHidden/>
          </w:rPr>
          <w:t>11</w:t>
        </w:r>
        <w:r w:rsidR="00867D56">
          <w:rPr>
            <w:noProof/>
            <w:webHidden/>
          </w:rPr>
          <w:fldChar w:fldCharType="end"/>
        </w:r>
      </w:hyperlink>
    </w:p>
    <w:p w14:paraId="7972D568" w14:textId="3BA7C060" w:rsidR="00867D56" w:rsidRDefault="005F0AE6">
      <w:pPr>
        <w:pStyle w:val="TOC2"/>
        <w:rPr>
          <w:rFonts w:asciiTheme="minorHAnsi" w:eastAsiaTheme="minorEastAsia" w:hAnsiTheme="minorHAnsi" w:cstheme="minorBidi"/>
          <w:noProof/>
          <w:szCs w:val="22"/>
          <w:lang w:val="en-AU" w:eastAsia="en-AU"/>
        </w:rPr>
      </w:pPr>
      <w:hyperlink w:anchor="_Toc36129212" w:history="1">
        <w:r w:rsidR="00867D56" w:rsidRPr="00483C74">
          <w:rPr>
            <w:rStyle w:val="Hyperlink"/>
            <w:noProof/>
          </w:rPr>
          <w:t>Vision for home and community support services</w:t>
        </w:r>
        <w:r w:rsidR="00867D56">
          <w:rPr>
            <w:noProof/>
            <w:webHidden/>
          </w:rPr>
          <w:tab/>
        </w:r>
        <w:r w:rsidR="00867D56">
          <w:rPr>
            <w:noProof/>
            <w:webHidden/>
          </w:rPr>
          <w:fldChar w:fldCharType="begin"/>
        </w:r>
        <w:r w:rsidR="00867D56">
          <w:rPr>
            <w:noProof/>
            <w:webHidden/>
          </w:rPr>
          <w:instrText xml:space="preserve"> PAGEREF _Toc36129212 \h </w:instrText>
        </w:r>
        <w:r w:rsidR="00867D56">
          <w:rPr>
            <w:noProof/>
            <w:webHidden/>
          </w:rPr>
        </w:r>
        <w:r w:rsidR="00867D56">
          <w:rPr>
            <w:noProof/>
            <w:webHidden/>
          </w:rPr>
          <w:fldChar w:fldCharType="separate"/>
        </w:r>
        <w:r>
          <w:rPr>
            <w:noProof/>
            <w:webHidden/>
          </w:rPr>
          <w:t>11</w:t>
        </w:r>
        <w:r w:rsidR="00867D56">
          <w:rPr>
            <w:noProof/>
            <w:webHidden/>
          </w:rPr>
          <w:fldChar w:fldCharType="end"/>
        </w:r>
      </w:hyperlink>
    </w:p>
    <w:p w14:paraId="4571F99B" w14:textId="6B00F177" w:rsidR="00867D56" w:rsidRDefault="005F0AE6">
      <w:pPr>
        <w:pStyle w:val="TOC2"/>
        <w:rPr>
          <w:rFonts w:asciiTheme="minorHAnsi" w:eastAsiaTheme="minorEastAsia" w:hAnsiTheme="minorHAnsi" w:cstheme="minorBidi"/>
          <w:noProof/>
          <w:szCs w:val="22"/>
          <w:lang w:val="en-AU" w:eastAsia="en-AU"/>
        </w:rPr>
      </w:pPr>
      <w:hyperlink w:anchor="_Toc36129213" w:history="1">
        <w:r w:rsidR="00867D56" w:rsidRPr="00483C74">
          <w:rPr>
            <w:rStyle w:val="Hyperlink"/>
            <w:noProof/>
          </w:rPr>
          <w:t>Key principles of the National Framework</w:t>
        </w:r>
        <w:r w:rsidR="00867D56">
          <w:rPr>
            <w:noProof/>
            <w:webHidden/>
          </w:rPr>
          <w:tab/>
        </w:r>
        <w:r w:rsidR="00867D56">
          <w:rPr>
            <w:noProof/>
            <w:webHidden/>
          </w:rPr>
          <w:fldChar w:fldCharType="begin"/>
        </w:r>
        <w:r w:rsidR="00867D56">
          <w:rPr>
            <w:noProof/>
            <w:webHidden/>
          </w:rPr>
          <w:instrText xml:space="preserve"> PAGEREF _Toc36129213 \h </w:instrText>
        </w:r>
        <w:r w:rsidR="00867D56">
          <w:rPr>
            <w:noProof/>
            <w:webHidden/>
          </w:rPr>
        </w:r>
        <w:r w:rsidR="00867D56">
          <w:rPr>
            <w:noProof/>
            <w:webHidden/>
          </w:rPr>
          <w:fldChar w:fldCharType="separate"/>
        </w:r>
        <w:r>
          <w:rPr>
            <w:noProof/>
            <w:webHidden/>
          </w:rPr>
          <w:t>12</w:t>
        </w:r>
        <w:r w:rsidR="00867D56">
          <w:rPr>
            <w:noProof/>
            <w:webHidden/>
          </w:rPr>
          <w:fldChar w:fldCharType="end"/>
        </w:r>
      </w:hyperlink>
    </w:p>
    <w:p w14:paraId="40818ED8" w14:textId="0B8DE59D" w:rsidR="00867D56" w:rsidRDefault="005F0AE6">
      <w:pPr>
        <w:pStyle w:val="TOC1"/>
        <w:rPr>
          <w:rFonts w:asciiTheme="minorHAnsi" w:eastAsiaTheme="minorEastAsia" w:hAnsiTheme="minorHAnsi" w:cstheme="minorBidi"/>
          <w:noProof/>
          <w:sz w:val="22"/>
          <w:szCs w:val="22"/>
          <w:lang w:val="en-AU" w:eastAsia="en-AU"/>
        </w:rPr>
      </w:pPr>
      <w:hyperlink w:anchor="_Toc36129214" w:history="1">
        <w:r w:rsidR="00867D56" w:rsidRPr="00483C74">
          <w:rPr>
            <w:rStyle w:val="Hyperlink"/>
            <w:noProof/>
          </w:rPr>
          <w:t>Section three: Core components of national Home and Community Support Services</w:t>
        </w:r>
        <w:r w:rsidR="00867D56">
          <w:rPr>
            <w:noProof/>
            <w:webHidden/>
          </w:rPr>
          <w:tab/>
        </w:r>
        <w:r w:rsidR="00867D56">
          <w:rPr>
            <w:noProof/>
            <w:webHidden/>
          </w:rPr>
          <w:fldChar w:fldCharType="begin"/>
        </w:r>
        <w:r w:rsidR="00867D56">
          <w:rPr>
            <w:noProof/>
            <w:webHidden/>
          </w:rPr>
          <w:instrText xml:space="preserve"> PAGEREF _Toc36129214 \h </w:instrText>
        </w:r>
        <w:r w:rsidR="00867D56">
          <w:rPr>
            <w:noProof/>
            <w:webHidden/>
          </w:rPr>
        </w:r>
        <w:r w:rsidR="00867D56">
          <w:rPr>
            <w:noProof/>
            <w:webHidden/>
          </w:rPr>
          <w:fldChar w:fldCharType="separate"/>
        </w:r>
        <w:r>
          <w:rPr>
            <w:noProof/>
            <w:webHidden/>
          </w:rPr>
          <w:t>14</w:t>
        </w:r>
        <w:r w:rsidR="00867D56">
          <w:rPr>
            <w:noProof/>
            <w:webHidden/>
          </w:rPr>
          <w:fldChar w:fldCharType="end"/>
        </w:r>
      </w:hyperlink>
    </w:p>
    <w:p w14:paraId="4551BEA6" w14:textId="05C444C2" w:rsidR="00867D56" w:rsidRDefault="005F0AE6">
      <w:pPr>
        <w:pStyle w:val="TOC2"/>
        <w:rPr>
          <w:rFonts w:asciiTheme="minorHAnsi" w:eastAsiaTheme="minorEastAsia" w:hAnsiTheme="minorHAnsi" w:cstheme="minorBidi"/>
          <w:noProof/>
          <w:szCs w:val="22"/>
          <w:lang w:val="en-AU" w:eastAsia="en-AU"/>
        </w:rPr>
      </w:pPr>
      <w:hyperlink w:anchor="_Toc36129215" w:history="1">
        <w:r w:rsidR="00867D56" w:rsidRPr="00483C74">
          <w:rPr>
            <w:rStyle w:val="Hyperlink"/>
            <w:noProof/>
          </w:rPr>
          <w:t>Nine core components</w:t>
        </w:r>
        <w:r w:rsidR="00867D56">
          <w:rPr>
            <w:noProof/>
            <w:webHidden/>
          </w:rPr>
          <w:tab/>
        </w:r>
        <w:r w:rsidR="00867D56">
          <w:rPr>
            <w:noProof/>
            <w:webHidden/>
          </w:rPr>
          <w:fldChar w:fldCharType="begin"/>
        </w:r>
        <w:r w:rsidR="00867D56">
          <w:rPr>
            <w:noProof/>
            <w:webHidden/>
          </w:rPr>
          <w:instrText xml:space="preserve"> PAGEREF _Toc36129215 \h </w:instrText>
        </w:r>
        <w:r w:rsidR="00867D56">
          <w:rPr>
            <w:noProof/>
            <w:webHidden/>
          </w:rPr>
        </w:r>
        <w:r w:rsidR="00867D56">
          <w:rPr>
            <w:noProof/>
            <w:webHidden/>
          </w:rPr>
          <w:fldChar w:fldCharType="separate"/>
        </w:r>
        <w:r>
          <w:rPr>
            <w:noProof/>
            <w:webHidden/>
          </w:rPr>
          <w:t>15</w:t>
        </w:r>
        <w:r w:rsidR="00867D56">
          <w:rPr>
            <w:noProof/>
            <w:webHidden/>
          </w:rPr>
          <w:fldChar w:fldCharType="end"/>
        </w:r>
      </w:hyperlink>
    </w:p>
    <w:p w14:paraId="6C0BB966" w14:textId="57EBE029" w:rsidR="00867D56" w:rsidRDefault="005F0AE6">
      <w:pPr>
        <w:pStyle w:val="TOC1"/>
        <w:rPr>
          <w:rFonts w:asciiTheme="minorHAnsi" w:eastAsiaTheme="minorEastAsia" w:hAnsiTheme="minorHAnsi" w:cstheme="minorBidi"/>
          <w:noProof/>
          <w:sz w:val="22"/>
          <w:szCs w:val="22"/>
          <w:lang w:val="en-AU" w:eastAsia="en-AU"/>
        </w:rPr>
      </w:pPr>
      <w:hyperlink w:anchor="_Toc36129216" w:history="1">
        <w:r w:rsidR="00867D56" w:rsidRPr="00483C74">
          <w:rPr>
            <w:rStyle w:val="Hyperlink"/>
            <w:noProof/>
          </w:rPr>
          <w:t>Section four: Consultation with older people and the home and community support sector</w:t>
        </w:r>
        <w:r w:rsidR="00867D56">
          <w:rPr>
            <w:noProof/>
            <w:webHidden/>
          </w:rPr>
          <w:tab/>
        </w:r>
        <w:r w:rsidR="00867D56">
          <w:rPr>
            <w:noProof/>
            <w:webHidden/>
          </w:rPr>
          <w:fldChar w:fldCharType="begin"/>
        </w:r>
        <w:r w:rsidR="00867D56">
          <w:rPr>
            <w:noProof/>
            <w:webHidden/>
          </w:rPr>
          <w:instrText xml:space="preserve"> PAGEREF _Toc36129216 \h </w:instrText>
        </w:r>
        <w:r w:rsidR="00867D56">
          <w:rPr>
            <w:noProof/>
            <w:webHidden/>
          </w:rPr>
        </w:r>
        <w:r w:rsidR="00867D56">
          <w:rPr>
            <w:noProof/>
            <w:webHidden/>
          </w:rPr>
          <w:fldChar w:fldCharType="separate"/>
        </w:r>
        <w:r>
          <w:rPr>
            <w:noProof/>
            <w:webHidden/>
          </w:rPr>
          <w:t>17</w:t>
        </w:r>
        <w:r w:rsidR="00867D56">
          <w:rPr>
            <w:noProof/>
            <w:webHidden/>
          </w:rPr>
          <w:fldChar w:fldCharType="end"/>
        </w:r>
      </w:hyperlink>
    </w:p>
    <w:p w14:paraId="18D468C1" w14:textId="13B451AA" w:rsidR="00867D56" w:rsidRDefault="005F0AE6">
      <w:pPr>
        <w:pStyle w:val="TOC2"/>
        <w:rPr>
          <w:rFonts w:asciiTheme="minorHAnsi" w:eastAsiaTheme="minorEastAsia" w:hAnsiTheme="minorHAnsi" w:cstheme="minorBidi"/>
          <w:noProof/>
          <w:szCs w:val="22"/>
          <w:lang w:val="en-AU" w:eastAsia="en-AU"/>
        </w:rPr>
      </w:pPr>
      <w:hyperlink w:anchor="_Toc36129217" w:history="1">
        <w:r w:rsidR="00867D56" w:rsidRPr="00483C74">
          <w:rPr>
            <w:rStyle w:val="Hyperlink"/>
            <w:noProof/>
          </w:rPr>
          <w:t>Format of the 2018 workshops</w:t>
        </w:r>
        <w:r w:rsidR="00867D56">
          <w:rPr>
            <w:noProof/>
            <w:webHidden/>
          </w:rPr>
          <w:tab/>
        </w:r>
        <w:r w:rsidR="00867D56">
          <w:rPr>
            <w:noProof/>
            <w:webHidden/>
          </w:rPr>
          <w:fldChar w:fldCharType="begin"/>
        </w:r>
        <w:r w:rsidR="00867D56">
          <w:rPr>
            <w:noProof/>
            <w:webHidden/>
          </w:rPr>
          <w:instrText xml:space="preserve"> PAGEREF _Toc36129217 \h </w:instrText>
        </w:r>
        <w:r w:rsidR="00867D56">
          <w:rPr>
            <w:noProof/>
            <w:webHidden/>
          </w:rPr>
        </w:r>
        <w:r w:rsidR="00867D56">
          <w:rPr>
            <w:noProof/>
            <w:webHidden/>
          </w:rPr>
          <w:fldChar w:fldCharType="separate"/>
        </w:r>
        <w:r>
          <w:rPr>
            <w:noProof/>
            <w:webHidden/>
          </w:rPr>
          <w:t>17</w:t>
        </w:r>
        <w:r w:rsidR="00867D56">
          <w:rPr>
            <w:noProof/>
            <w:webHidden/>
          </w:rPr>
          <w:fldChar w:fldCharType="end"/>
        </w:r>
      </w:hyperlink>
    </w:p>
    <w:p w14:paraId="27C380C4" w14:textId="2B2AD426" w:rsidR="00867D56" w:rsidRDefault="005F0AE6">
      <w:pPr>
        <w:pStyle w:val="TOC2"/>
        <w:rPr>
          <w:rFonts w:asciiTheme="minorHAnsi" w:eastAsiaTheme="minorEastAsia" w:hAnsiTheme="minorHAnsi" w:cstheme="minorBidi"/>
          <w:noProof/>
          <w:szCs w:val="22"/>
          <w:lang w:val="en-AU" w:eastAsia="en-AU"/>
        </w:rPr>
      </w:pPr>
      <w:hyperlink w:anchor="_Toc36129218" w:history="1">
        <w:r w:rsidR="00867D56" w:rsidRPr="00483C74">
          <w:rPr>
            <w:rStyle w:val="Hyperlink"/>
            <w:noProof/>
          </w:rPr>
          <w:t>Results of consultation</w:t>
        </w:r>
        <w:r w:rsidR="00867D56">
          <w:rPr>
            <w:noProof/>
            <w:webHidden/>
          </w:rPr>
          <w:tab/>
        </w:r>
        <w:r w:rsidR="00867D56">
          <w:rPr>
            <w:noProof/>
            <w:webHidden/>
          </w:rPr>
          <w:fldChar w:fldCharType="begin"/>
        </w:r>
        <w:r w:rsidR="00867D56">
          <w:rPr>
            <w:noProof/>
            <w:webHidden/>
          </w:rPr>
          <w:instrText xml:space="preserve"> PAGEREF _Toc36129218 \h </w:instrText>
        </w:r>
        <w:r w:rsidR="00867D56">
          <w:rPr>
            <w:noProof/>
            <w:webHidden/>
          </w:rPr>
        </w:r>
        <w:r w:rsidR="00867D56">
          <w:rPr>
            <w:noProof/>
            <w:webHidden/>
          </w:rPr>
          <w:fldChar w:fldCharType="separate"/>
        </w:r>
        <w:r>
          <w:rPr>
            <w:noProof/>
            <w:webHidden/>
          </w:rPr>
          <w:t>18</w:t>
        </w:r>
        <w:r w:rsidR="00867D56">
          <w:rPr>
            <w:noProof/>
            <w:webHidden/>
          </w:rPr>
          <w:fldChar w:fldCharType="end"/>
        </w:r>
      </w:hyperlink>
    </w:p>
    <w:p w14:paraId="122FB214" w14:textId="603863A8" w:rsidR="00867D56" w:rsidRDefault="005F0AE6">
      <w:pPr>
        <w:pStyle w:val="TOC2"/>
        <w:rPr>
          <w:rFonts w:asciiTheme="minorHAnsi" w:eastAsiaTheme="minorEastAsia" w:hAnsiTheme="minorHAnsi" w:cstheme="minorBidi"/>
          <w:noProof/>
          <w:szCs w:val="22"/>
          <w:lang w:val="en-AU" w:eastAsia="en-AU"/>
        </w:rPr>
      </w:pPr>
      <w:hyperlink w:anchor="_Toc36129219" w:history="1">
        <w:r w:rsidR="00867D56" w:rsidRPr="00483C74">
          <w:rPr>
            <w:rStyle w:val="Hyperlink"/>
            <w:noProof/>
          </w:rPr>
          <w:t>Hearing Māori and Pacific voices through targeted workshops</w:t>
        </w:r>
        <w:r w:rsidR="00867D56">
          <w:rPr>
            <w:noProof/>
            <w:webHidden/>
          </w:rPr>
          <w:tab/>
        </w:r>
        <w:r w:rsidR="00867D56">
          <w:rPr>
            <w:noProof/>
            <w:webHidden/>
          </w:rPr>
          <w:fldChar w:fldCharType="begin"/>
        </w:r>
        <w:r w:rsidR="00867D56">
          <w:rPr>
            <w:noProof/>
            <w:webHidden/>
          </w:rPr>
          <w:instrText xml:space="preserve"> PAGEREF _Toc36129219 \h </w:instrText>
        </w:r>
        <w:r w:rsidR="00867D56">
          <w:rPr>
            <w:noProof/>
            <w:webHidden/>
          </w:rPr>
        </w:r>
        <w:r w:rsidR="00867D56">
          <w:rPr>
            <w:noProof/>
            <w:webHidden/>
          </w:rPr>
          <w:fldChar w:fldCharType="separate"/>
        </w:r>
        <w:r>
          <w:rPr>
            <w:noProof/>
            <w:webHidden/>
          </w:rPr>
          <w:t>20</w:t>
        </w:r>
        <w:r w:rsidR="00867D56">
          <w:rPr>
            <w:noProof/>
            <w:webHidden/>
          </w:rPr>
          <w:fldChar w:fldCharType="end"/>
        </w:r>
      </w:hyperlink>
    </w:p>
    <w:p w14:paraId="4ACF58B2" w14:textId="2844B9EB" w:rsidR="00867D56" w:rsidRDefault="005F0AE6">
      <w:pPr>
        <w:pStyle w:val="TOC1"/>
        <w:rPr>
          <w:rFonts w:asciiTheme="minorHAnsi" w:eastAsiaTheme="minorEastAsia" w:hAnsiTheme="minorHAnsi" w:cstheme="minorBidi"/>
          <w:noProof/>
          <w:sz w:val="22"/>
          <w:szCs w:val="22"/>
          <w:lang w:val="en-AU" w:eastAsia="en-AU"/>
        </w:rPr>
      </w:pPr>
      <w:hyperlink w:anchor="_Toc36129220" w:history="1">
        <w:r w:rsidR="00867D56" w:rsidRPr="00483C74">
          <w:rPr>
            <w:rStyle w:val="Hyperlink"/>
            <w:noProof/>
          </w:rPr>
          <w:t>Appendix A: Continuous improvement – outcome measures and accountability</w:t>
        </w:r>
        <w:r w:rsidR="00867D56">
          <w:rPr>
            <w:noProof/>
            <w:webHidden/>
          </w:rPr>
          <w:tab/>
        </w:r>
        <w:r w:rsidR="00867D56">
          <w:rPr>
            <w:noProof/>
            <w:webHidden/>
          </w:rPr>
          <w:fldChar w:fldCharType="begin"/>
        </w:r>
        <w:r w:rsidR="00867D56">
          <w:rPr>
            <w:noProof/>
            <w:webHidden/>
          </w:rPr>
          <w:instrText xml:space="preserve"> PAGEREF _Toc36129220 \h </w:instrText>
        </w:r>
        <w:r w:rsidR="00867D56">
          <w:rPr>
            <w:noProof/>
            <w:webHidden/>
          </w:rPr>
        </w:r>
        <w:r w:rsidR="00867D56">
          <w:rPr>
            <w:noProof/>
            <w:webHidden/>
          </w:rPr>
          <w:fldChar w:fldCharType="separate"/>
        </w:r>
        <w:r>
          <w:rPr>
            <w:noProof/>
            <w:webHidden/>
          </w:rPr>
          <w:t>21</w:t>
        </w:r>
        <w:r w:rsidR="00867D56">
          <w:rPr>
            <w:noProof/>
            <w:webHidden/>
          </w:rPr>
          <w:fldChar w:fldCharType="end"/>
        </w:r>
      </w:hyperlink>
    </w:p>
    <w:p w14:paraId="0F8A7DAF" w14:textId="7B17CB46" w:rsidR="00867D56" w:rsidRDefault="005F0AE6">
      <w:pPr>
        <w:pStyle w:val="TOC2"/>
        <w:rPr>
          <w:rFonts w:asciiTheme="minorHAnsi" w:eastAsiaTheme="minorEastAsia" w:hAnsiTheme="minorHAnsi" w:cstheme="minorBidi"/>
          <w:noProof/>
          <w:szCs w:val="22"/>
          <w:lang w:val="en-AU" w:eastAsia="en-AU"/>
        </w:rPr>
      </w:pPr>
      <w:hyperlink w:anchor="_Toc36129221" w:history="1">
        <w:r w:rsidR="00867D56" w:rsidRPr="00483C74">
          <w:rPr>
            <w:rStyle w:val="Hyperlink"/>
            <w:noProof/>
          </w:rPr>
          <w:t>Home support</w:t>
        </w:r>
        <w:r w:rsidR="00867D56">
          <w:rPr>
            <w:noProof/>
            <w:webHidden/>
          </w:rPr>
          <w:tab/>
        </w:r>
        <w:r w:rsidR="00867D56">
          <w:rPr>
            <w:noProof/>
            <w:webHidden/>
          </w:rPr>
          <w:fldChar w:fldCharType="begin"/>
        </w:r>
        <w:r w:rsidR="00867D56">
          <w:rPr>
            <w:noProof/>
            <w:webHidden/>
          </w:rPr>
          <w:instrText xml:space="preserve"> PAGEREF _Toc36129221 \h </w:instrText>
        </w:r>
        <w:r w:rsidR="00867D56">
          <w:rPr>
            <w:noProof/>
            <w:webHidden/>
          </w:rPr>
        </w:r>
        <w:r w:rsidR="00867D56">
          <w:rPr>
            <w:noProof/>
            <w:webHidden/>
          </w:rPr>
          <w:fldChar w:fldCharType="separate"/>
        </w:r>
        <w:r>
          <w:rPr>
            <w:noProof/>
            <w:webHidden/>
          </w:rPr>
          <w:t>22</w:t>
        </w:r>
        <w:r w:rsidR="00867D56">
          <w:rPr>
            <w:noProof/>
            <w:webHidden/>
          </w:rPr>
          <w:fldChar w:fldCharType="end"/>
        </w:r>
      </w:hyperlink>
    </w:p>
    <w:p w14:paraId="4F044DF5" w14:textId="1BC5D938" w:rsidR="00867D56" w:rsidRDefault="005F0AE6">
      <w:pPr>
        <w:pStyle w:val="TOC2"/>
        <w:rPr>
          <w:rFonts w:asciiTheme="minorHAnsi" w:eastAsiaTheme="minorEastAsia" w:hAnsiTheme="minorHAnsi" w:cstheme="minorBidi"/>
          <w:noProof/>
          <w:szCs w:val="22"/>
          <w:lang w:val="en-AU" w:eastAsia="en-AU"/>
        </w:rPr>
      </w:pPr>
      <w:hyperlink w:anchor="_Toc36129222" w:history="1">
        <w:r w:rsidR="00867D56" w:rsidRPr="00483C74">
          <w:rPr>
            <w:rStyle w:val="Hyperlink"/>
            <w:noProof/>
          </w:rPr>
          <w:t>Other factors</w:t>
        </w:r>
        <w:r w:rsidR="00867D56">
          <w:rPr>
            <w:noProof/>
            <w:webHidden/>
          </w:rPr>
          <w:tab/>
        </w:r>
        <w:r w:rsidR="00867D56">
          <w:rPr>
            <w:noProof/>
            <w:webHidden/>
          </w:rPr>
          <w:fldChar w:fldCharType="begin"/>
        </w:r>
        <w:r w:rsidR="00867D56">
          <w:rPr>
            <w:noProof/>
            <w:webHidden/>
          </w:rPr>
          <w:instrText xml:space="preserve"> PAGEREF _Toc36129222 \h </w:instrText>
        </w:r>
        <w:r w:rsidR="00867D56">
          <w:rPr>
            <w:noProof/>
            <w:webHidden/>
          </w:rPr>
        </w:r>
        <w:r w:rsidR="00867D56">
          <w:rPr>
            <w:noProof/>
            <w:webHidden/>
          </w:rPr>
          <w:fldChar w:fldCharType="separate"/>
        </w:r>
        <w:r>
          <w:rPr>
            <w:noProof/>
            <w:webHidden/>
          </w:rPr>
          <w:t>22</w:t>
        </w:r>
        <w:r w:rsidR="00867D56">
          <w:rPr>
            <w:noProof/>
            <w:webHidden/>
          </w:rPr>
          <w:fldChar w:fldCharType="end"/>
        </w:r>
      </w:hyperlink>
    </w:p>
    <w:p w14:paraId="732F905C" w14:textId="5DEAF67F" w:rsidR="00867D56" w:rsidRDefault="005F0AE6">
      <w:pPr>
        <w:pStyle w:val="TOC1"/>
        <w:rPr>
          <w:rFonts w:asciiTheme="minorHAnsi" w:eastAsiaTheme="minorEastAsia" w:hAnsiTheme="minorHAnsi" w:cstheme="minorBidi"/>
          <w:noProof/>
          <w:sz w:val="22"/>
          <w:szCs w:val="22"/>
          <w:lang w:val="en-AU" w:eastAsia="en-AU"/>
        </w:rPr>
      </w:pPr>
      <w:hyperlink w:anchor="_Toc36129223" w:history="1">
        <w:r w:rsidR="00867D56" w:rsidRPr="00483C74">
          <w:rPr>
            <w:rStyle w:val="Hyperlink"/>
            <w:noProof/>
          </w:rPr>
          <w:t>Appendix B: List of outcome measures and indicators to monitor HCSS</w:t>
        </w:r>
        <w:r w:rsidR="00867D56">
          <w:rPr>
            <w:noProof/>
            <w:webHidden/>
          </w:rPr>
          <w:tab/>
        </w:r>
        <w:r w:rsidR="00867D56">
          <w:rPr>
            <w:noProof/>
            <w:webHidden/>
          </w:rPr>
          <w:fldChar w:fldCharType="begin"/>
        </w:r>
        <w:r w:rsidR="00867D56">
          <w:rPr>
            <w:noProof/>
            <w:webHidden/>
          </w:rPr>
          <w:instrText xml:space="preserve"> PAGEREF _Toc36129223 \h </w:instrText>
        </w:r>
        <w:r w:rsidR="00867D56">
          <w:rPr>
            <w:noProof/>
            <w:webHidden/>
          </w:rPr>
        </w:r>
        <w:r w:rsidR="00867D56">
          <w:rPr>
            <w:noProof/>
            <w:webHidden/>
          </w:rPr>
          <w:fldChar w:fldCharType="separate"/>
        </w:r>
        <w:r>
          <w:rPr>
            <w:noProof/>
            <w:webHidden/>
          </w:rPr>
          <w:t>23</w:t>
        </w:r>
        <w:r w:rsidR="00867D56">
          <w:rPr>
            <w:noProof/>
            <w:webHidden/>
          </w:rPr>
          <w:fldChar w:fldCharType="end"/>
        </w:r>
      </w:hyperlink>
    </w:p>
    <w:p w14:paraId="02C209E5" w14:textId="77777777" w:rsidR="00C86248" w:rsidRDefault="00337885">
      <w:pPr>
        <w:rPr>
          <w:rFonts w:ascii="Segoe UI Semibold" w:hAnsi="Segoe UI Semibold"/>
          <w:b/>
          <w:color w:val="000000" w:themeColor="text1"/>
          <w:sz w:val="24"/>
        </w:rPr>
      </w:pPr>
      <w:r>
        <w:rPr>
          <w:rFonts w:ascii="Segoe UI Semibold" w:hAnsi="Segoe UI Semibold"/>
          <w:b/>
          <w:color w:val="000000" w:themeColor="text1"/>
          <w:sz w:val="24"/>
        </w:rPr>
        <w:fldChar w:fldCharType="end"/>
      </w:r>
    </w:p>
    <w:p w14:paraId="69023C07" w14:textId="77777777" w:rsidR="005026EE" w:rsidRDefault="005026EE">
      <w:pPr>
        <w:rPr>
          <w:color w:val="000000" w:themeColor="text1"/>
        </w:rPr>
        <w:sectPr w:rsidR="005026EE" w:rsidSect="00F056BB">
          <w:headerReference w:type="default" r:id="rId18"/>
          <w:footerReference w:type="even" r:id="rId19"/>
          <w:footerReference w:type="default" r:id="rId20"/>
          <w:pgSz w:w="11907" w:h="16834" w:code="9"/>
          <w:pgMar w:top="1418" w:right="1701" w:bottom="1134" w:left="1843" w:header="284" w:footer="425" w:gutter="284"/>
          <w:pgNumType w:fmt="lowerRoman" w:start="1"/>
          <w:cols w:space="720"/>
        </w:sectPr>
      </w:pPr>
    </w:p>
    <w:p w14:paraId="15C5CE56" w14:textId="77777777" w:rsidR="00F71B75" w:rsidRDefault="00F71B75" w:rsidP="00F71B75">
      <w:pPr>
        <w:pStyle w:val="Heading1"/>
      </w:pPr>
      <w:bookmarkStart w:id="2" w:name="_bookmark4"/>
      <w:bookmarkStart w:id="3" w:name="_Toc35415762"/>
      <w:bookmarkStart w:id="4" w:name="_Toc36129204"/>
      <w:bookmarkEnd w:id="2"/>
      <w:r w:rsidRPr="0011721E">
        <w:lastRenderedPageBreak/>
        <w:t xml:space="preserve">Section one: </w:t>
      </w:r>
      <w:r w:rsidRPr="00EA3623">
        <w:t>National</w:t>
      </w:r>
      <w:r w:rsidRPr="0011721E">
        <w:t xml:space="preserve"> Framework for Home and Community Support Services</w:t>
      </w:r>
      <w:bookmarkEnd w:id="3"/>
      <w:bookmarkEnd w:id="4"/>
    </w:p>
    <w:p w14:paraId="60897209" w14:textId="77777777" w:rsidR="00F71B75" w:rsidRPr="003E5E2F" w:rsidRDefault="00F71B75" w:rsidP="0098023F">
      <w:pPr>
        <w:pStyle w:val="Heading2"/>
      </w:pPr>
      <w:bookmarkStart w:id="5" w:name="_Toc35415763"/>
      <w:bookmarkStart w:id="6" w:name="_Toc36129205"/>
      <w:r w:rsidRPr="003E5E2F">
        <w:t>Introduction</w:t>
      </w:r>
      <w:bookmarkEnd w:id="5"/>
      <w:bookmarkEnd w:id="6"/>
    </w:p>
    <w:p w14:paraId="13E8B756" w14:textId="77777777" w:rsidR="00F71B75" w:rsidRDefault="00F71B75" w:rsidP="0098023F">
      <w:r>
        <w:t>The New Zealand Healthy Ageing Strategy (2016)</w:t>
      </w:r>
      <w:r>
        <w:rPr>
          <w:rStyle w:val="FootnoteReference"/>
          <w:rFonts w:eastAsia="MS Gothic" w:cs="Calibri"/>
          <w:bCs/>
          <w:color w:val="000000"/>
        </w:rPr>
        <w:footnoteReference w:id="1"/>
      </w:r>
      <w:r>
        <w:t xml:space="preserve"> (the Strategy) and the Director-General’s Reference Group (DGRG) report on in-between travel</w:t>
      </w:r>
      <w:r>
        <w:rPr>
          <w:rStyle w:val="FootnoteReference"/>
          <w:rFonts w:eastAsia="MS Gothic" w:cs="Calibri"/>
          <w:bCs/>
          <w:color w:val="000000"/>
        </w:rPr>
        <w:footnoteReference w:id="2"/>
      </w:r>
      <w:r>
        <w:t xml:space="preserve"> (2015) have called for new ways of working in home and community support services (HCSS) to respond to the multiple and growing demands on HCSS. The DGRG report identified the following as key issues facing HCSS in New Zealand:</w:t>
      </w:r>
    </w:p>
    <w:p w14:paraId="61CE1F94" w14:textId="77777777" w:rsidR="00F71B75" w:rsidRPr="0098023F" w:rsidRDefault="00F71B75" w:rsidP="003A4FB1">
      <w:pPr>
        <w:pStyle w:val="Bullet"/>
      </w:pPr>
      <w:r w:rsidRPr="0098023F">
        <w:t>increasing demand in terms of both the number of people needing care and the complexity of that care</w:t>
      </w:r>
    </w:p>
    <w:p w14:paraId="3B9E5997" w14:textId="77777777" w:rsidR="00F71B75" w:rsidRPr="0098023F" w:rsidRDefault="00F71B75" w:rsidP="003A4FB1">
      <w:pPr>
        <w:pStyle w:val="Bullet"/>
      </w:pPr>
      <w:r w:rsidRPr="0098023F">
        <w:t>inconsistent, fragmented service delivery with no national approach</w:t>
      </w:r>
    </w:p>
    <w:p w14:paraId="44DFD41E" w14:textId="77777777" w:rsidR="00F71B75" w:rsidRPr="0098023F" w:rsidRDefault="00F71B75" w:rsidP="003A4FB1">
      <w:pPr>
        <w:pStyle w:val="Bullet"/>
      </w:pPr>
      <w:r w:rsidRPr="0098023F">
        <w:t>a lack of focus on the person at the centre, including funding arrangements that create inefficiencies in the system and negatively impact on the older person</w:t>
      </w:r>
    </w:p>
    <w:p w14:paraId="59D949B4" w14:textId="77777777" w:rsidR="00F71B75" w:rsidRPr="0098023F" w:rsidRDefault="00F71B75" w:rsidP="003A4FB1">
      <w:pPr>
        <w:pStyle w:val="Bullet"/>
      </w:pPr>
      <w:r w:rsidRPr="0098023F">
        <w:t>a lack of regularisation of the HCSS workforce, resulting in high turnover</w:t>
      </w:r>
    </w:p>
    <w:p w14:paraId="7FED712D" w14:textId="4F1BF242" w:rsidR="00F71B75" w:rsidRPr="0098023F" w:rsidRDefault="00F71B75" w:rsidP="003A4FB1">
      <w:pPr>
        <w:pStyle w:val="Bullet"/>
      </w:pPr>
      <w:r w:rsidRPr="0098023F">
        <w:t>increasing skill and competency levels required for support workers, including in relation to health and safety</w:t>
      </w:r>
    </w:p>
    <w:p w14:paraId="531BD60A" w14:textId="77777777" w:rsidR="00F71B75" w:rsidRPr="0098023F" w:rsidRDefault="00F71B75" w:rsidP="003A4FB1">
      <w:pPr>
        <w:pStyle w:val="Bullet"/>
      </w:pPr>
      <w:r w:rsidRPr="0098023F">
        <w:t>inconsistent quality improvement processes</w:t>
      </w:r>
    </w:p>
    <w:p w14:paraId="6DEF1FDC" w14:textId="77777777" w:rsidR="00F71B75" w:rsidRPr="0098023F" w:rsidRDefault="00F71B75" w:rsidP="003A4FB1">
      <w:pPr>
        <w:pStyle w:val="Bullet"/>
      </w:pPr>
      <w:r w:rsidRPr="0098023F">
        <w:t>wide variation in contract agreements and insufficient funding to increase supply to a level that will meet the growing demand.</w:t>
      </w:r>
    </w:p>
    <w:p w14:paraId="09A64026" w14:textId="77777777" w:rsidR="0098023F" w:rsidRDefault="0098023F" w:rsidP="0098023F"/>
    <w:p w14:paraId="49F7A3C8" w14:textId="77777777" w:rsidR="00F71B75" w:rsidRPr="00023973" w:rsidRDefault="00F71B75" w:rsidP="0098023F">
      <w:r w:rsidRPr="002C7677">
        <w:rPr>
          <w:rFonts w:cs="Calibri"/>
          <w:bCs/>
        </w:rPr>
        <w:t xml:space="preserve">The </w:t>
      </w:r>
      <w:r>
        <w:rPr>
          <w:rFonts w:cs="Calibri"/>
          <w:bCs/>
        </w:rPr>
        <w:t>S</w:t>
      </w:r>
      <w:r w:rsidRPr="002C7677">
        <w:rPr>
          <w:rFonts w:cs="Calibri"/>
          <w:bCs/>
        </w:rPr>
        <w:t xml:space="preserve">trategy </w:t>
      </w:r>
      <w:r>
        <w:t>identifies a vision to enable o</w:t>
      </w:r>
      <w:r w:rsidRPr="006520E3">
        <w:t>lder people</w:t>
      </w:r>
      <w:r>
        <w:t xml:space="preserve"> to</w:t>
      </w:r>
      <w:r w:rsidRPr="006520E3">
        <w:t xml:space="preserve"> live well, age well and have a respectful end of life in age-friendly communities</w:t>
      </w:r>
      <w:r w:rsidRPr="002C7677">
        <w:rPr>
          <w:i/>
        </w:rPr>
        <w:t>.</w:t>
      </w:r>
      <w:r>
        <w:t xml:space="preserve"> This vision will be achieved by </w:t>
      </w:r>
      <w:r w:rsidRPr="00023973">
        <w:t>ensur</w:t>
      </w:r>
      <w:r>
        <w:t>ing</w:t>
      </w:r>
      <w:r w:rsidRPr="00023973">
        <w:t xml:space="preserve"> our policies, funding, planning and service delivery:</w:t>
      </w:r>
    </w:p>
    <w:p w14:paraId="3C530F6A" w14:textId="77777777" w:rsidR="00F71B75" w:rsidRPr="0098023F" w:rsidRDefault="00F71B75" w:rsidP="003A4FB1">
      <w:pPr>
        <w:pStyle w:val="Bullet"/>
      </w:pPr>
      <w:r w:rsidRPr="0098023F">
        <w:t>prioritise healthy ageing and resilience throughout people’s older years</w:t>
      </w:r>
    </w:p>
    <w:p w14:paraId="59833497" w14:textId="77777777" w:rsidR="00F71B75" w:rsidRPr="0098023F" w:rsidRDefault="00F71B75" w:rsidP="003A4FB1">
      <w:pPr>
        <w:pStyle w:val="Bullet"/>
      </w:pPr>
      <w:r w:rsidRPr="0098023F">
        <w:t>enable high-quality acute and restorative care, for effective rehabilitation, recovery and restoration after acute events</w:t>
      </w:r>
    </w:p>
    <w:p w14:paraId="198571F4" w14:textId="77777777" w:rsidR="00F71B75" w:rsidRPr="0098023F" w:rsidRDefault="00F71B75" w:rsidP="003A4FB1">
      <w:pPr>
        <w:pStyle w:val="Bullet"/>
      </w:pPr>
      <w:r w:rsidRPr="0098023F">
        <w:lastRenderedPageBreak/>
        <w:t>ensure older people can live well with long-term conditions</w:t>
      </w:r>
    </w:p>
    <w:p w14:paraId="2F71631A" w14:textId="77777777" w:rsidR="00F71B75" w:rsidRPr="0098023F" w:rsidRDefault="00F71B75" w:rsidP="003A4FB1">
      <w:pPr>
        <w:pStyle w:val="Bullet"/>
      </w:pPr>
      <w:r w:rsidRPr="0098023F">
        <w:t>better support older people with high and complex needs</w:t>
      </w:r>
    </w:p>
    <w:p w14:paraId="29147130" w14:textId="78405297" w:rsidR="00260402" w:rsidRDefault="00F71B75" w:rsidP="00260402">
      <w:pPr>
        <w:pStyle w:val="Bullet"/>
      </w:pPr>
      <w:r w:rsidRPr="0098023F">
        <w:t>provide respectful end-of-life care that caters to personal, cultural and spiritual needs.</w:t>
      </w:r>
    </w:p>
    <w:p w14:paraId="263DD6BC" w14:textId="77777777" w:rsidR="00526055" w:rsidRDefault="00526055" w:rsidP="0098023F"/>
    <w:p w14:paraId="3C15A930" w14:textId="644AD798" w:rsidR="00F71B75" w:rsidRDefault="00F71B75" w:rsidP="0098023F">
      <w:r>
        <w:t>The Strategy provides the framework to guide development and continued improvement in services and supports for older New Zealanders (see Figure 1). It outlines actions to change the system in ways that will achieve improved and more equitable outcomes for older New Zealanders through greater integration and smarter use of the workforce and technology.</w:t>
      </w:r>
    </w:p>
    <w:p w14:paraId="260871DA" w14:textId="77777777" w:rsidR="0098023F" w:rsidRPr="000C57BD" w:rsidRDefault="0098023F" w:rsidP="0098023F"/>
    <w:p w14:paraId="2D0482C0" w14:textId="77777777" w:rsidR="00F71B75" w:rsidRDefault="00F71B75" w:rsidP="0098023F">
      <w:r>
        <w:t xml:space="preserve">One of the Strategy’s identified priority actions is to ‘identify and implement models of care that are person-centred, needs-based and equitable, and deliver high-value, high-quality and better outcomes through HCSS across New Zealand’. </w:t>
      </w:r>
    </w:p>
    <w:p w14:paraId="2118CF53" w14:textId="7182EDE4" w:rsidR="00F71B75" w:rsidRPr="0098023F" w:rsidRDefault="0098023F" w:rsidP="00F056BB">
      <w:pPr>
        <w:pStyle w:val="Caption"/>
        <w:spacing w:after="120"/>
      </w:pPr>
      <w:r w:rsidRPr="0098023F">
        <w:t xml:space="preserve">Figure </w:t>
      </w:r>
      <w:r w:rsidR="005F0AE6">
        <w:fldChar w:fldCharType="begin"/>
      </w:r>
      <w:r w:rsidR="005F0AE6">
        <w:instrText xml:space="preserve"> SEQ Figure \* ARABIC </w:instrText>
      </w:r>
      <w:r w:rsidR="005F0AE6">
        <w:fldChar w:fldCharType="separate"/>
      </w:r>
      <w:r w:rsidR="005F0AE6">
        <w:rPr>
          <w:noProof/>
        </w:rPr>
        <w:t>1</w:t>
      </w:r>
      <w:r w:rsidR="005F0AE6">
        <w:rPr>
          <w:noProof/>
        </w:rPr>
        <w:fldChar w:fldCharType="end"/>
      </w:r>
      <w:r w:rsidRPr="0098023F">
        <w:t xml:space="preserve">: </w:t>
      </w:r>
      <w:r w:rsidR="00F71B75" w:rsidRPr="0098023F">
        <w:t xml:space="preserve">Strategic framework for healthy ageing </w:t>
      </w:r>
    </w:p>
    <w:p w14:paraId="4FD6793F" w14:textId="7DAF4A44" w:rsidR="00F71B75" w:rsidRDefault="00B0589F" w:rsidP="00F71B75">
      <w:pPr>
        <w:spacing w:after="120"/>
        <w:jc w:val="center"/>
        <w:rPr>
          <w:rFonts w:cs="Calibri"/>
          <w:b/>
          <w:bCs/>
          <w:color w:val="365F91" w:themeColor="accent1" w:themeShade="BF"/>
          <w:sz w:val="36"/>
          <w:szCs w:val="36"/>
        </w:rPr>
      </w:pPr>
      <w:bookmarkStart w:id="7" w:name="_GoBack"/>
      <w:r>
        <w:rPr>
          <w:noProof/>
        </w:rPr>
        <w:drawing>
          <wp:inline distT="0" distB="0" distL="0" distR="0" wp14:anchorId="00C36B8F" wp14:editId="70CB8439">
            <wp:extent cx="2896648" cy="3039511"/>
            <wp:effectExtent l="0" t="0" r="0" b="0"/>
            <wp:docPr id="7" name="Picture 7" descr="Healthy ageing has overlapping components: ageing well, acute and restorative care, living well with long term conditions, supporting people with high and complex needs, and respectful end of life. This requires one team (kotahi te tima), people-powered (ma te iwi he kawe), closer to home (kia aro mai ki te kainga), value and high performance (te whainga hua me te tika o nga mahi) and a smart system (he atamai te whakarau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3717" cy="3067915"/>
                    </a:xfrm>
                    <a:prstGeom prst="rect">
                      <a:avLst/>
                    </a:prstGeom>
                    <a:noFill/>
                    <a:ln>
                      <a:noFill/>
                    </a:ln>
                  </pic:spPr>
                </pic:pic>
              </a:graphicData>
            </a:graphic>
          </wp:inline>
        </w:drawing>
      </w:r>
      <w:bookmarkEnd w:id="7"/>
    </w:p>
    <w:p w14:paraId="48C10558" w14:textId="77777777" w:rsidR="00CD3766" w:rsidRDefault="00CD3766" w:rsidP="00F71B75">
      <w:pPr>
        <w:spacing w:after="120"/>
        <w:jc w:val="center"/>
        <w:rPr>
          <w:rFonts w:cs="Calibri"/>
          <w:b/>
          <w:bCs/>
          <w:color w:val="365F91" w:themeColor="accent1" w:themeShade="BF"/>
          <w:sz w:val="36"/>
          <w:szCs w:val="36"/>
        </w:rPr>
      </w:pPr>
    </w:p>
    <w:p w14:paraId="71F63469" w14:textId="43A51753" w:rsidR="00F71B75" w:rsidRDefault="00F71B75" w:rsidP="0098023F">
      <w:r>
        <w:t>In New Zealand, o</w:t>
      </w:r>
      <w:r w:rsidRPr="002A7327">
        <w:t xml:space="preserve">ver </w:t>
      </w:r>
      <w:r>
        <w:t xml:space="preserve">75,000 </w:t>
      </w:r>
      <w:r w:rsidRPr="002A7327">
        <w:t>older pe</w:t>
      </w:r>
      <w:r>
        <w:t>ople receive government-funded HCSS</w:t>
      </w:r>
      <w:r w:rsidRPr="002A7327">
        <w:t xml:space="preserve"> provided in their homes</w:t>
      </w:r>
      <w:r>
        <w:t>. In 2017/18 district health boards (DHBs) funded HCSS at a cost of over $478 million</w:t>
      </w:r>
      <w:r w:rsidRPr="002A7327">
        <w:t xml:space="preserve">. </w:t>
      </w:r>
      <w:r>
        <w:t xml:space="preserve">Typical HCSS </w:t>
      </w:r>
      <w:r w:rsidR="00844BD7">
        <w:t>include</w:t>
      </w:r>
      <w:r>
        <w:t xml:space="preserve"> help with </w:t>
      </w:r>
      <w:r w:rsidRPr="000C57BD">
        <w:t>perso</w:t>
      </w:r>
      <w:r>
        <w:t xml:space="preserve">nal care and </w:t>
      </w:r>
      <w:r w:rsidRPr="000C57BD">
        <w:t xml:space="preserve">household </w:t>
      </w:r>
      <w:r>
        <w:t xml:space="preserve">management as well as clinical coordination and support for older people to remain active and independent. Such services </w:t>
      </w:r>
      <w:r w:rsidRPr="002A7327">
        <w:t xml:space="preserve">can be </w:t>
      </w:r>
      <w:r>
        <w:t xml:space="preserve">a </w:t>
      </w:r>
      <w:r w:rsidRPr="002A7327">
        <w:t xml:space="preserve">critical </w:t>
      </w:r>
      <w:r>
        <w:t>way of supporting the</w:t>
      </w:r>
      <w:r w:rsidRPr="002A7327">
        <w:t xml:space="preserve"> continued health and wellbeing of older people</w:t>
      </w:r>
      <w:r>
        <w:t>, enabling them to stay in their own homes and to be more connected to their community</w:t>
      </w:r>
      <w:r w:rsidRPr="002A7327">
        <w:t xml:space="preserve">. As the </w:t>
      </w:r>
      <w:r>
        <w:t xml:space="preserve">Controller and </w:t>
      </w:r>
      <w:r w:rsidRPr="002A7327">
        <w:t>Auditor</w:t>
      </w:r>
      <w:r>
        <w:t>-</w:t>
      </w:r>
      <w:r w:rsidRPr="002A7327">
        <w:t xml:space="preserve">General’s report into HCSS </w:t>
      </w:r>
      <w:r>
        <w:t>for older people</w:t>
      </w:r>
      <w:r w:rsidRPr="00CD4E5D">
        <w:t xml:space="preserve"> </w:t>
      </w:r>
      <w:r w:rsidRPr="002A7327">
        <w:t>note</w:t>
      </w:r>
      <w:r>
        <w:t>s,</w:t>
      </w:r>
      <w:r w:rsidRPr="002A7327">
        <w:t xml:space="preserve"> ‘</w:t>
      </w:r>
      <w:r>
        <w:t>A</w:t>
      </w:r>
      <w:r w:rsidRPr="002A7327">
        <w:t>ssurance about the quality and adequacy of those services is important for the older people receiving them and for those of us who care about people receiving the services</w:t>
      </w:r>
      <w:r w:rsidR="00133F64">
        <w:t>’</w:t>
      </w:r>
      <w:r w:rsidRPr="002A7327">
        <w:t>.</w:t>
      </w:r>
      <w:r>
        <w:rPr>
          <w:rStyle w:val="FootnoteReference"/>
          <w:rFonts w:eastAsia="TheSans-OT3Light"/>
        </w:rPr>
        <w:footnoteReference w:id="3"/>
      </w:r>
    </w:p>
    <w:p w14:paraId="0D4587C6" w14:textId="77777777" w:rsidR="0098023F" w:rsidRPr="002A7327" w:rsidRDefault="0098023F" w:rsidP="0098023F"/>
    <w:p w14:paraId="1E8448C6" w14:textId="77777777" w:rsidR="00CD3766" w:rsidRDefault="00F71B75" w:rsidP="0098023F">
      <w:pPr>
        <w:rPr>
          <w:rFonts w:eastAsia="TheSans-OT3Light" w:cs="TheSans-OT3Light"/>
          <w:color w:val="231F20"/>
        </w:rPr>
      </w:pPr>
      <w:r w:rsidRPr="002C7677">
        <w:rPr>
          <w:rFonts w:eastAsia="TheSans-OT3Light" w:cs="TheSans-OT3Light"/>
          <w:color w:val="231F20"/>
        </w:rPr>
        <w:t>Most peopl</w:t>
      </w:r>
      <w:r>
        <w:rPr>
          <w:rFonts w:eastAsia="TheSans-OT3Light" w:cs="TheSans-OT3Light"/>
          <w:color w:val="231F20"/>
        </w:rPr>
        <w:t xml:space="preserve">e aged between 65 and 74 years live at home without any formal </w:t>
      </w:r>
      <w:r w:rsidRPr="002C7677">
        <w:rPr>
          <w:rFonts w:eastAsia="TheSans-OT3Light" w:cs="TheSans-OT3Light"/>
          <w:color w:val="231F20"/>
        </w:rPr>
        <w:t>assistance. However, the proportion of people ne</w:t>
      </w:r>
      <w:r>
        <w:rPr>
          <w:rFonts w:eastAsia="TheSans-OT3Light" w:cs="TheSans-OT3Light"/>
          <w:color w:val="231F20"/>
        </w:rPr>
        <w:t xml:space="preserve">eding assistance increases with </w:t>
      </w:r>
      <w:r w:rsidRPr="002C7677">
        <w:rPr>
          <w:rFonts w:eastAsia="TheSans-OT3Light" w:cs="TheSans-OT3Light"/>
          <w:color w:val="231F20"/>
        </w:rPr>
        <w:t xml:space="preserve">age. </w:t>
      </w:r>
      <w:r>
        <w:rPr>
          <w:rFonts w:eastAsia="TheSans-OT3Light" w:cs="TheSans-OT3Light"/>
          <w:color w:val="231F20"/>
        </w:rPr>
        <w:t>O</w:t>
      </w:r>
      <w:r w:rsidRPr="002C7677">
        <w:rPr>
          <w:rFonts w:eastAsia="TheSans-OT3Light" w:cs="TheSans-OT3Light"/>
          <w:color w:val="231F20"/>
        </w:rPr>
        <w:t xml:space="preserve">lder people </w:t>
      </w:r>
    </w:p>
    <w:p w14:paraId="3F76727F" w14:textId="66B08FAA" w:rsidR="00F71B75" w:rsidRDefault="00F71B75" w:rsidP="0098023F">
      <w:pPr>
        <w:rPr>
          <w:rFonts w:eastAsia="TheSans-OT3Light" w:cs="TheSans-OT3Light"/>
          <w:color w:val="231F20"/>
        </w:rPr>
      </w:pPr>
      <w:r w:rsidRPr="002C7677">
        <w:rPr>
          <w:rFonts w:eastAsia="TheSans-OT3Light" w:cs="TheSans-OT3Light"/>
          <w:color w:val="231F20"/>
        </w:rPr>
        <w:lastRenderedPageBreak/>
        <w:t xml:space="preserve">receiving </w:t>
      </w:r>
      <w:r>
        <w:rPr>
          <w:rFonts w:eastAsia="TheSans-OT3Light" w:cs="TheSans-OT3Light"/>
          <w:color w:val="231F20"/>
        </w:rPr>
        <w:t xml:space="preserve">HCSS are generally aged over </w:t>
      </w:r>
      <w:r w:rsidRPr="002C7677">
        <w:rPr>
          <w:rFonts w:eastAsia="TheSans-OT3Light" w:cs="TheSans-OT3Light"/>
          <w:color w:val="231F20"/>
        </w:rPr>
        <w:t>75 years. Around half the population aged 85 y</w:t>
      </w:r>
      <w:r>
        <w:rPr>
          <w:rFonts w:eastAsia="TheSans-OT3Light" w:cs="TheSans-OT3Light"/>
          <w:color w:val="231F20"/>
        </w:rPr>
        <w:t>ears and over live at home with HCSS</w:t>
      </w:r>
      <w:r w:rsidRPr="002C7677">
        <w:rPr>
          <w:rFonts w:eastAsia="TheSans-OT3Light" w:cs="TheSans-OT3Light"/>
          <w:color w:val="231F20"/>
        </w:rPr>
        <w:t xml:space="preserve">, </w:t>
      </w:r>
      <w:r>
        <w:rPr>
          <w:rFonts w:eastAsia="TheSans-OT3Light" w:cs="TheSans-OT3Light"/>
          <w:color w:val="231F20"/>
        </w:rPr>
        <w:t>while another</w:t>
      </w:r>
      <w:r w:rsidRPr="002C7677">
        <w:rPr>
          <w:rFonts w:eastAsia="TheSans-OT3Light" w:cs="TheSans-OT3Light"/>
          <w:color w:val="231F20"/>
        </w:rPr>
        <w:t xml:space="preserve"> 28</w:t>
      </w:r>
      <w:r>
        <w:rPr>
          <w:rFonts w:eastAsia="TheSans-OT3Light" w:cs="TheSans-OT3Light"/>
          <w:color w:val="231F20"/>
        </w:rPr>
        <w:t xml:space="preserve"> percent</w:t>
      </w:r>
      <w:r w:rsidRPr="002C7677">
        <w:rPr>
          <w:rFonts w:eastAsia="TheSans-OT3Light" w:cs="TheSans-OT3Light"/>
          <w:color w:val="231F20"/>
        </w:rPr>
        <w:t xml:space="preserve"> live in residential care. Other older people</w:t>
      </w:r>
      <w:r>
        <w:rPr>
          <w:rFonts w:eastAsia="TheSans-OT3Light" w:cs="TheSans-OT3Light"/>
          <w:color w:val="231F20"/>
        </w:rPr>
        <w:t xml:space="preserve"> have informal</w:t>
      </w:r>
      <w:r w:rsidRPr="002C7677">
        <w:rPr>
          <w:rFonts w:eastAsia="TheSans-OT3Light" w:cs="TheSans-OT3Light"/>
          <w:color w:val="231F20"/>
        </w:rPr>
        <w:t xml:space="preserve"> sup</w:t>
      </w:r>
      <w:r>
        <w:rPr>
          <w:rFonts w:eastAsia="TheSans-OT3Light" w:cs="TheSans-OT3Light"/>
          <w:color w:val="231F20"/>
        </w:rPr>
        <w:t xml:space="preserve">port from family, whānau and friends, or pay for </w:t>
      </w:r>
      <w:r w:rsidRPr="002C7677">
        <w:rPr>
          <w:rFonts w:eastAsia="TheSans-OT3Light" w:cs="TheSans-OT3Light"/>
          <w:color w:val="231F20"/>
        </w:rPr>
        <w:t>support services privately.</w:t>
      </w:r>
    </w:p>
    <w:p w14:paraId="3E135B7D" w14:textId="77777777" w:rsidR="0098023F" w:rsidRPr="002C7677" w:rsidRDefault="0098023F" w:rsidP="0098023F">
      <w:pPr>
        <w:rPr>
          <w:rFonts w:eastAsia="TheSans-OT3Light" w:cs="TheSans-OT3Light"/>
          <w:color w:val="231F20"/>
        </w:rPr>
      </w:pPr>
    </w:p>
    <w:p w14:paraId="07A98CBA" w14:textId="77777777" w:rsidR="00F71B75" w:rsidRDefault="00F71B75" w:rsidP="0098023F">
      <w:pPr>
        <w:rPr>
          <w:rFonts w:eastAsia="TheSans-OT3Light"/>
        </w:rPr>
      </w:pPr>
      <w:r w:rsidRPr="002C7677">
        <w:rPr>
          <w:rFonts w:eastAsia="TheSans-OT3Light"/>
        </w:rPr>
        <w:t xml:space="preserve">Older people, </w:t>
      </w:r>
      <w:r>
        <w:rPr>
          <w:rFonts w:eastAsia="TheSans-OT3Light"/>
        </w:rPr>
        <w:t>including</w:t>
      </w:r>
      <w:r w:rsidRPr="002C7677">
        <w:rPr>
          <w:rFonts w:eastAsia="TheSans-OT3Light"/>
        </w:rPr>
        <w:t xml:space="preserve"> those with considerable disabili</w:t>
      </w:r>
      <w:r>
        <w:rPr>
          <w:rFonts w:eastAsia="TheSans-OT3Light"/>
        </w:rPr>
        <w:t xml:space="preserve">ty, generally prefer to live at </w:t>
      </w:r>
      <w:r w:rsidRPr="002C7677">
        <w:rPr>
          <w:rFonts w:eastAsia="TheSans-OT3Light"/>
        </w:rPr>
        <w:t>home</w:t>
      </w:r>
      <w:r>
        <w:rPr>
          <w:rFonts w:eastAsia="TheSans-OT3Light"/>
        </w:rPr>
        <w:t xml:space="preserve"> </w:t>
      </w:r>
      <w:r w:rsidRPr="002C7677">
        <w:rPr>
          <w:rFonts w:eastAsia="TheSans-OT3Light"/>
        </w:rPr>
        <w:t>r</w:t>
      </w:r>
      <w:r>
        <w:rPr>
          <w:rFonts w:eastAsia="TheSans-OT3Light"/>
        </w:rPr>
        <w:t>ather than in residential care. By s</w:t>
      </w:r>
      <w:r w:rsidRPr="002C7677">
        <w:rPr>
          <w:rFonts w:eastAsia="TheSans-OT3Light"/>
        </w:rPr>
        <w:t>taying at home</w:t>
      </w:r>
      <w:r>
        <w:rPr>
          <w:rFonts w:eastAsia="TheSans-OT3Light"/>
        </w:rPr>
        <w:t>,</w:t>
      </w:r>
      <w:r w:rsidRPr="002C7677">
        <w:rPr>
          <w:rFonts w:eastAsia="TheSans-OT3Light"/>
        </w:rPr>
        <w:t xml:space="preserve"> an older person </w:t>
      </w:r>
      <w:r>
        <w:rPr>
          <w:rFonts w:eastAsia="TheSans-OT3Light"/>
        </w:rPr>
        <w:t xml:space="preserve">can </w:t>
      </w:r>
      <w:r w:rsidRPr="002C7677">
        <w:rPr>
          <w:rFonts w:eastAsia="TheSans-OT3Light"/>
        </w:rPr>
        <w:t>maintain their soci</w:t>
      </w:r>
      <w:r>
        <w:rPr>
          <w:rFonts w:eastAsia="TheSans-OT3Light"/>
        </w:rPr>
        <w:t xml:space="preserve">al networks and continue </w:t>
      </w:r>
      <w:r w:rsidRPr="002C7677">
        <w:rPr>
          <w:rFonts w:eastAsia="TheSans-OT3Light"/>
        </w:rPr>
        <w:t>to be part of the</w:t>
      </w:r>
      <w:r>
        <w:rPr>
          <w:rFonts w:eastAsia="TheSans-OT3Light"/>
        </w:rPr>
        <w:t>ir</w:t>
      </w:r>
      <w:r w:rsidRPr="002C7677">
        <w:rPr>
          <w:rFonts w:eastAsia="TheSans-OT3Light"/>
        </w:rPr>
        <w:t xml:space="preserve"> community.</w:t>
      </w:r>
      <w:r w:rsidRPr="002C7677" w:rsidDel="005D01D9">
        <w:rPr>
          <w:rFonts w:eastAsia="TheSans-OT3Light"/>
        </w:rPr>
        <w:t xml:space="preserve"> </w:t>
      </w:r>
    </w:p>
    <w:p w14:paraId="0E886589" w14:textId="77777777" w:rsidR="0098023F" w:rsidRPr="002C7677" w:rsidRDefault="0098023F" w:rsidP="0098023F">
      <w:pPr>
        <w:rPr>
          <w:rFonts w:eastAsia="TheSans-OT3Light"/>
        </w:rPr>
      </w:pPr>
    </w:p>
    <w:p w14:paraId="21ABE175" w14:textId="77777777" w:rsidR="00F71B75" w:rsidRDefault="00F71B75" w:rsidP="0098023F">
      <w:pPr>
        <w:rPr>
          <w:rFonts w:eastAsia="TheSans-OT3Light"/>
        </w:rPr>
      </w:pPr>
      <w:r w:rsidRPr="002C7677">
        <w:rPr>
          <w:rFonts w:eastAsia="TheSans-OT3Light"/>
        </w:rPr>
        <w:t>As well as</w:t>
      </w:r>
      <w:r>
        <w:rPr>
          <w:rFonts w:eastAsia="TheSans-OT3Light"/>
        </w:rPr>
        <w:t xml:space="preserve"> having</w:t>
      </w:r>
      <w:r w:rsidRPr="002C7677">
        <w:rPr>
          <w:rFonts w:eastAsia="TheSans-OT3Light"/>
        </w:rPr>
        <w:t xml:space="preserve"> these social advantages for older pe</w:t>
      </w:r>
      <w:r>
        <w:rPr>
          <w:rFonts w:eastAsia="TheSans-OT3Light"/>
        </w:rPr>
        <w:t xml:space="preserve">ople, </w:t>
      </w:r>
      <w:r w:rsidRPr="002C7677">
        <w:rPr>
          <w:rFonts w:eastAsia="TheSans-OT3Light"/>
        </w:rPr>
        <w:t>providing support to peo</w:t>
      </w:r>
      <w:r>
        <w:rPr>
          <w:rFonts w:eastAsia="TheSans-OT3Light"/>
        </w:rPr>
        <w:t xml:space="preserve">ple who cannot receive the care </w:t>
      </w:r>
      <w:r w:rsidRPr="002C7677">
        <w:rPr>
          <w:rFonts w:eastAsia="TheSans-OT3Light"/>
        </w:rPr>
        <w:t>they need from their friends</w:t>
      </w:r>
      <w:r>
        <w:rPr>
          <w:rFonts w:eastAsia="TheSans-OT3Light"/>
        </w:rPr>
        <w:t>,</w:t>
      </w:r>
      <w:r w:rsidRPr="00592F64">
        <w:rPr>
          <w:rFonts w:eastAsia="TheSans-OT3Light"/>
        </w:rPr>
        <w:t xml:space="preserve"> </w:t>
      </w:r>
      <w:r>
        <w:rPr>
          <w:rFonts w:eastAsia="TheSans-OT3Light"/>
        </w:rPr>
        <w:t>whānau</w:t>
      </w:r>
      <w:r w:rsidRPr="002C7677">
        <w:rPr>
          <w:rFonts w:eastAsia="TheSans-OT3Light"/>
        </w:rPr>
        <w:t xml:space="preserve"> and family</w:t>
      </w:r>
      <w:r w:rsidRPr="00592F64">
        <w:rPr>
          <w:rFonts w:eastAsia="TheSans-OT3Light"/>
        </w:rPr>
        <w:t xml:space="preserve"> </w:t>
      </w:r>
      <w:r>
        <w:rPr>
          <w:rFonts w:eastAsia="TheSans-OT3Light"/>
        </w:rPr>
        <w:t xml:space="preserve">has clear financial </w:t>
      </w:r>
      <w:r w:rsidRPr="002C7677">
        <w:rPr>
          <w:rFonts w:eastAsia="TheSans-OT3Light"/>
        </w:rPr>
        <w:t>advantages for</w:t>
      </w:r>
      <w:r>
        <w:rPr>
          <w:rFonts w:eastAsia="TheSans-OT3Light"/>
        </w:rPr>
        <w:t xml:space="preserve"> the health system</w:t>
      </w:r>
      <w:r w:rsidRPr="002C7677">
        <w:rPr>
          <w:rFonts w:eastAsia="TheSans-OT3Light"/>
        </w:rPr>
        <w:t xml:space="preserve">. </w:t>
      </w:r>
      <w:r>
        <w:rPr>
          <w:rFonts w:eastAsia="TheSans-OT3Light"/>
        </w:rPr>
        <w:t>Providing an older person with e</w:t>
      </w:r>
      <w:r w:rsidRPr="002C7677">
        <w:rPr>
          <w:rFonts w:eastAsia="TheSans-OT3Light"/>
        </w:rPr>
        <w:t>ffect</w:t>
      </w:r>
      <w:r>
        <w:rPr>
          <w:rFonts w:eastAsia="TheSans-OT3Light"/>
        </w:rPr>
        <w:t xml:space="preserve">ive HCSS </w:t>
      </w:r>
      <w:r w:rsidRPr="002C7677">
        <w:rPr>
          <w:rFonts w:eastAsia="TheSans-OT3Light"/>
        </w:rPr>
        <w:t xml:space="preserve">can delay </w:t>
      </w:r>
      <w:r>
        <w:rPr>
          <w:rFonts w:eastAsia="TheSans-OT3Light"/>
        </w:rPr>
        <w:t>their</w:t>
      </w:r>
      <w:r w:rsidRPr="002C7677">
        <w:rPr>
          <w:rFonts w:eastAsia="TheSans-OT3Light"/>
        </w:rPr>
        <w:t xml:space="preserve"> admission to </w:t>
      </w:r>
      <w:r>
        <w:rPr>
          <w:rFonts w:eastAsia="TheSans-OT3Light"/>
        </w:rPr>
        <w:t>aged residential care or avoid it altogether</w:t>
      </w:r>
      <w:r w:rsidRPr="002C7677">
        <w:rPr>
          <w:rFonts w:eastAsia="TheSans-OT3Light"/>
        </w:rPr>
        <w:t xml:space="preserve">. </w:t>
      </w:r>
    </w:p>
    <w:p w14:paraId="59F5112E" w14:textId="77777777" w:rsidR="0098023F" w:rsidRDefault="0098023F" w:rsidP="0098023F">
      <w:pPr>
        <w:rPr>
          <w:rFonts w:eastAsia="TheSans-OT3Light"/>
        </w:rPr>
      </w:pPr>
    </w:p>
    <w:p w14:paraId="29A0FD16" w14:textId="77777777" w:rsidR="00F71B75" w:rsidRDefault="00F71B75" w:rsidP="0098023F">
      <w:pPr>
        <w:rPr>
          <w:rFonts w:cs="Calibri"/>
          <w:bCs/>
        </w:rPr>
      </w:pPr>
      <w:r>
        <w:rPr>
          <w:rFonts w:eastAsia="TheSans-OT3Light"/>
        </w:rPr>
        <w:t xml:space="preserve">As with all health services, HCSS need to be effective and fiscally sustainable over time. </w:t>
      </w:r>
    </w:p>
    <w:p w14:paraId="2019F3A2" w14:textId="77777777" w:rsidR="00F71B75" w:rsidRPr="007A72CF" w:rsidRDefault="00F71B75" w:rsidP="00F71B75">
      <w:pPr>
        <w:pStyle w:val="Heading2"/>
        <w:rPr>
          <w:rFonts w:eastAsia="TheSans-OT3Light"/>
          <w:szCs w:val="28"/>
        </w:rPr>
      </w:pPr>
      <w:bookmarkStart w:id="8" w:name="_Toc35415764"/>
      <w:bookmarkStart w:id="9" w:name="_Toc36129206"/>
      <w:r>
        <w:rPr>
          <w:rFonts w:eastAsia="TheSans-OT3Light"/>
        </w:rPr>
        <w:t xml:space="preserve">Overview of the </w:t>
      </w:r>
      <w:r w:rsidRPr="007A72CF">
        <w:rPr>
          <w:rFonts w:eastAsia="TheSans-OT3Light"/>
        </w:rPr>
        <w:t>National Framework for Home and Community Support Services</w:t>
      </w:r>
      <w:bookmarkEnd w:id="8"/>
      <w:bookmarkEnd w:id="9"/>
    </w:p>
    <w:p w14:paraId="1EA46200" w14:textId="4BAFFB5F" w:rsidR="00F71B75" w:rsidRDefault="00F71B75" w:rsidP="0098023F">
      <w:r>
        <w:t>While all DHBs commission services and supports to meet local population needs, they vary significantly in what HCSS they fund and how. DHBs and the Ministry of Health (the Ministry) have identified that introducing</w:t>
      </w:r>
      <w:r w:rsidRPr="0011721E">
        <w:t xml:space="preserve"> </w:t>
      </w:r>
      <w:r>
        <w:t>a National Framework is the means to guide the sector to change in the ways desired and to improve the overall quality of services experienced by older people and their families and whānau. The</w:t>
      </w:r>
      <w:r w:rsidR="00132380">
        <w:t>refore, the</w:t>
      </w:r>
      <w:r>
        <w:t xml:space="preserve"> scope of the work was defined as to:</w:t>
      </w:r>
    </w:p>
    <w:p w14:paraId="23504CCE" w14:textId="77777777" w:rsidR="0098023F" w:rsidRDefault="0098023F" w:rsidP="0098023F"/>
    <w:p w14:paraId="5A9F3428" w14:textId="77777777" w:rsidR="00F71B75" w:rsidRDefault="00F71B75" w:rsidP="00041A2E">
      <w:pPr>
        <w:ind w:left="284"/>
      </w:pPr>
      <w:r w:rsidRPr="002C7677">
        <w:t>Develop a national framewor</w:t>
      </w:r>
      <w:r w:rsidRPr="00282327">
        <w:t xml:space="preserve">k for </w:t>
      </w:r>
      <w:r w:rsidRPr="00B50CC5">
        <w:t>sustainable</w:t>
      </w:r>
      <w:r w:rsidRPr="002C7677">
        <w:t xml:space="preserve"> future models of care for</w:t>
      </w:r>
      <w:r>
        <w:t xml:space="preserve"> publicly funded</w:t>
      </w:r>
      <w:r w:rsidRPr="002C7677">
        <w:t xml:space="preserve"> home and community support services (HCSS) that support older people to live well, get well, and stay well closer to home.</w:t>
      </w:r>
    </w:p>
    <w:p w14:paraId="28A0BAA6" w14:textId="77777777" w:rsidR="0098023F" w:rsidRPr="002C7677" w:rsidRDefault="0098023F" w:rsidP="0098023F"/>
    <w:p w14:paraId="39253D29" w14:textId="77777777" w:rsidR="00F71B75" w:rsidRDefault="00F71B75" w:rsidP="0098023F">
      <w:r>
        <w:t>This</w:t>
      </w:r>
      <w:r w:rsidRPr="002C7677">
        <w:t xml:space="preserve"> </w:t>
      </w:r>
      <w:r>
        <w:t>N</w:t>
      </w:r>
      <w:r w:rsidRPr="002C7677">
        <w:t xml:space="preserve">ational </w:t>
      </w:r>
      <w:r>
        <w:t>F</w:t>
      </w:r>
      <w:r w:rsidRPr="002C7677">
        <w:t xml:space="preserve">ramework </w:t>
      </w:r>
      <w:r>
        <w:t>for Home and Community Support Services (National Framework) will guide DHBs for f</w:t>
      </w:r>
      <w:r w:rsidRPr="002C7677">
        <w:t>uture</w:t>
      </w:r>
      <w:r>
        <w:t xml:space="preserve"> </w:t>
      </w:r>
      <w:r w:rsidRPr="002C7677">
        <w:t>commissioning, develop</w:t>
      </w:r>
      <w:r>
        <w:t>ing</w:t>
      </w:r>
      <w:r w:rsidRPr="002C7677">
        <w:t>, deliver</w:t>
      </w:r>
      <w:r>
        <w:t>ing</w:t>
      </w:r>
      <w:r w:rsidRPr="002C7677">
        <w:t xml:space="preserve"> and evaluati</w:t>
      </w:r>
      <w:r>
        <w:t>ng</w:t>
      </w:r>
      <w:r w:rsidRPr="002C7677">
        <w:t xml:space="preserve"> home and community support services</w:t>
      </w:r>
      <w:r>
        <w:t xml:space="preserve"> to improve national consistency. It includes:</w:t>
      </w:r>
    </w:p>
    <w:p w14:paraId="64A812FA" w14:textId="77777777" w:rsidR="00F71B75" w:rsidRPr="0098023F" w:rsidRDefault="00F71B75" w:rsidP="003A4FB1">
      <w:pPr>
        <w:pStyle w:val="Bullet"/>
      </w:pPr>
      <w:r w:rsidRPr="0098023F">
        <w:t>a vision and principles to guide service design</w:t>
      </w:r>
    </w:p>
    <w:p w14:paraId="1EECECCB" w14:textId="296DF807" w:rsidR="00F71B75" w:rsidRPr="0098023F" w:rsidRDefault="00F71B75" w:rsidP="003A4FB1">
      <w:pPr>
        <w:pStyle w:val="Bullet"/>
      </w:pPr>
      <w:r w:rsidRPr="0098023F">
        <w:t>core (essential) components of services that could be expected anywhere in the country</w:t>
      </w:r>
    </w:p>
    <w:p w14:paraId="0244F7C6" w14:textId="77777777" w:rsidR="00F71B75" w:rsidRPr="0098023F" w:rsidRDefault="00F71B75" w:rsidP="003A4FB1">
      <w:pPr>
        <w:pStyle w:val="Bullet"/>
      </w:pPr>
      <w:r w:rsidRPr="0098023F">
        <w:t xml:space="preserve">an outcomes framework describing the outcomes sought from HCSS at individual, population and system levels. </w:t>
      </w:r>
    </w:p>
    <w:p w14:paraId="2AE21A1B" w14:textId="77777777" w:rsidR="00844BD7" w:rsidRDefault="00844BD7" w:rsidP="0098023F"/>
    <w:p w14:paraId="3F1059F9" w14:textId="77777777" w:rsidR="00F71B75" w:rsidRDefault="00F71B75" w:rsidP="0098023F">
      <w:r>
        <w:t>The National Framework covers DHB-funded services</w:t>
      </w:r>
      <w:r w:rsidRPr="00E33B94">
        <w:t xml:space="preserve"> </w:t>
      </w:r>
      <w:r>
        <w:t>for:</w:t>
      </w:r>
    </w:p>
    <w:p w14:paraId="71587FF8" w14:textId="77777777" w:rsidR="00F71B75" w:rsidRPr="0098023F" w:rsidRDefault="00F71B75" w:rsidP="003A4FB1">
      <w:pPr>
        <w:pStyle w:val="Bullet"/>
      </w:pPr>
      <w:r w:rsidRPr="0098023F">
        <w:t xml:space="preserve">people aged 65 years and over who have an assessed need in response to an interRAI assessment and meet criteria for funding </w:t>
      </w:r>
    </w:p>
    <w:p w14:paraId="6B32371D" w14:textId="77777777" w:rsidR="00F71B75" w:rsidRPr="0098023F" w:rsidRDefault="00F71B75" w:rsidP="003A4FB1">
      <w:pPr>
        <w:pStyle w:val="Bullet"/>
      </w:pPr>
      <w:r w:rsidRPr="0098023F">
        <w:lastRenderedPageBreak/>
        <w:t xml:space="preserve">people considered to be alike in age and interest – for example, Pacific peoples and Māori aged over 55 years, and others aged over 60 years, with age-related disabilities </w:t>
      </w:r>
    </w:p>
    <w:p w14:paraId="007954A4" w14:textId="77777777" w:rsidR="00F71B75" w:rsidRPr="0098023F" w:rsidRDefault="00F71B75" w:rsidP="003A4FB1">
      <w:pPr>
        <w:pStyle w:val="Bullet"/>
      </w:pPr>
      <w:r w:rsidRPr="0098023F">
        <w:t>older people receiving HCSS who require increased support following an acute health episode who have required hospitalisation</w:t>
      </w:r>
    </w:p>
    <w:p w14:paraId="49B0C9DB" w14:textId="394B5C34" w:rsidR="00F71B75" w:rsidRPr="0098023F" w:rsidRDefault="00F71B75" w:rsidP="003A4FB1">
      <w:pPr>
        <w:pStyle w:val="Bullet"/>
      </w:pPr>
      <w:r w:rsidRPr="0098023F">
        <w:t>HCSS that may continue concurrently with short-term Accident Compensation Corporation (ACC) services.</w:t>
      </w:r>
    </w:p>
    <w:p w14:paraId="1E3CABD5" w14:textId="77777777" w:rsidR="00844BD7" w:rsidRDefault="00844BD7" w:rsidP="0098023F"/>
    <w:p w14:paraId="1898BE15" w14:textId="77777777" w:rsidR="00F71B75" w:rsidRDefault="00F71B75" w:rsidP="0098023F">
      <w:r>
        <w:t>Two other initiatives are linked with</w:t>
      </w:r>
      <w:r w:rsidRPr="002C7677">
        <w:t xml:space="preserve"> developing th</w:t>
      </w:r>
      <w:r>
        <w:t>e</w:t>
      </w:r>
      <w:r w:rsidRPr="002C7677">
        <w:t xml:space="preserve"> </w:t>
      </w:r>
      <w:r>
        <w:t>N</w:t>
      </w:r>
      <w:r w:rsidRPr="002C7677">
        <w:t xml:space="preserve">ational </w:t>
      </w:r>
      <w:r>
        <w:t>F</w:t>
      </w:r>
      <w:r w:rsidRPr="002C7677">
        <w:t>ramework</w:t>
      </w:r>
      <w:r>
        <w:t>, which will help to achieve consistent service commissioning and delivery and consistent resource allocation.</w:t>
      </w:r>
    </w:p>
    <w:p w14:paraId="36C0EBD8" w14:textId="77777777" w:rsidR="0098023F" w:rsidRDefault="0098023F" w:rsidP="0098023F"/>
    <w:p w14:paraId="22248A7F" w14:textId="77777777" w:rsidR="00F71B75" w:rsidRDefault="00F71B75" w:rsidP="0098023F">
      <w:r>
        <w:t>First, a N</w:t>
      </w:r>
      <w:r w:rsidRPr="002C7677">
        <w:t xml:space="preserve">ational </w:t>
      </w:r>
      <w:r>
        <w:t>S</w:t>
      </w:r>
      <w:r w:rsidRPr="002C7677">
        <w:t xml:space="preserve">ervice </w:t>
      </w:r>
      <w:r>
        <w:t>S</w:t>
      </w:r>
      <w:r w:rsidRPr="002C7677">
        <w:t>pecification for HCS</w:t>
      </w:r>
      <w:r>
        <w:t xml:space="preserve">S. </w:t>
      </w:r>
      <w:r w:rsidRPr="002C7677">
        <w:t xml:space="preserve">This service specification will become the nationally mandated specification </w:t>
      </w:r>
      <w:r>
        <w:t xml:space="preserve">describing in detail the services and service approaches </w:t>
      </w:r>
      <w:r w:rsidRPr="002C7677">
        <w:t>required of DHBs</w:t>
      </w:r>
      <w:r>
        <w:t xml:space="preserve"> and providers. This National Service Specification will be implemented by July 2022, in line with DHB service commissioning timetables</w:t>
      </w:r>
      <w:r w:rsidRPr="002C7677">
        <w:t>.</w:t>
      </w:r>
      <w:r>
        <w:t xml:space="preserve"> This approach aims to achieve the best balance between national consistency and flexibility for DHBs in meeting the needs of their populations.</w:t>
      </w:r>
    </w:p>
    <w:p w14:paraId="6EE1F97C" w14:textId="77777777" w:rsidR="0098023F" w:rsidRDefault="0098023F" w:rsidP="0098023F"/>
    <w:p w14:paraId="6E2CF198" w14:textId="462B9B31" w:rsidR="00F71B75" w:rsidRPr="007F37C5" w:rsidRDefault="00F71B75" w:rsidP="0098023F">
      <w:r>
        <w:t>Second, a nationally consistent case-mix methodology will be developed for all DHBs to use as a way of improving</w:t>
      </w:r>
      <w:r w:rsidRPr="00963148">
        <w:t xml:space="preserve"> </w:t>
      </w:r>
      <w:r>
        <w:t xml:space="preserve">targeting resources according to need. Some DHBs are already applying case-mix methods to resource allocation or use. However, they are using different versions of the methodology, resulting in some inconsistency in resource allocation and lack of transparency across DHBs. This indicates the need for a single, nationally consistent case-mix method </w:t>
      </w:r>
      <w:r w:rsidR="00635BC8">
        <w:t xml:space="preserve">that </w:t>
      </w:r>
      <w:r>
        <w:t xml:space="preserve">will also be implemented across all DHBs by July 2022. </w:t>
      </w:r>
    </w:p>
    <w:p w14:paraId="4D3D559F" w14:textId="77777777" w:rsidR="00F71B75" w:rsidRDefault="00F71B75" w:rsidP="00F71B75">
      <w:pPr>
        <w:pStyle w:val="Heading2"/>
      </w:pPr>
      <w:bookmarkStart w:id="10" w:name="_Toc35415765"/>
      <w:bookmarkStart w:id="11" w:name="_Toc36129207"/>
      <w:r>
        <w:t>Why we need</w:t>
      </w:r>
      <w:r w:rsidRPr="002C7677">
        <w:t xml:space="preserve"> a </w:t>
      </w:r>
      <w:r>
        <w:t>N</w:t>
      </w:r>
      <w:r w:rsidRPr="002C7677">
        <w:t xml:space="preserve">ational </w:t>
      </w:r>
      <w:r>
        <w:t>F</w:t>
      </w:r>
      <w:r w:rsidRPr="002C7677">
        <w:t>ramework</w:t>
      </w:r>
      <w:bookmarkEnd w:id="10"/>
      <w:bookmarkEnd w:id="11"/>
    </w:p>
    <w:p w14:paraId="450A82E9" w14:textId="77777777" w:rsidR="00F71B75" w:rsidRDefault="00F71B75" w:rsidP="0098023F">
      <w:r>
        <w:t>National and international developments in HCSS models focus on:</w:t>
      </w:r>
    </w:p>
    <w:p w14:paraId="3F4D0FCB" w14:textId="77777777" w:rsidR="00F71B75" w:rsidRPr="009F380F" w:rsidRDefault="00F71B75" w:rsidP="003A4FB1">
      <w:pPr>
        <w:pStyle w:val="Bullet"/>
      </w:pPr>
      <w:r w:rsidRPr="009F380F">
        <w:t>improving national consistency by better integrating services</w:t>
      </w:r>
    </w:p>
    <w:p w14:paraId="0A63AED9" w14:textId="77777777" w:rsidR="00F71B75" w:rsidRPr="009F380F" w:rsidRDefault="00F71B75" w:rsidP="003A4FB1">
      <w:pPr>
        <w:pStyle w:val="Bullet"/>
      </w:pPr>
      <w:r w:rsidRPr="009F380F">
        <w:t>improving the capability of the workforce to support more complex needs as the population ages and becomes more ethnically diverse</w:t>
      </w:r>
    </w:p>
    <w:p w14:paraId="2D3774FA" w14:textId="77777777" w:rsidR="00F71B75" w:rsidRPr="009F380F" w:rsidRDefault="00F71B75" w:rsidP="003A4FB1">
      <w:pPr>
        <w:pStyle w:val="Bullet"/>
      </w:pPr>
      <w:r w:rsidRPr="009F380F">
        <w:t>using new models of care – especially integrated and restorative approaches –</w:t>
      </w:r>
      <w:r w:rsidRPr="009F380F" w:rsidDel="00E671BA">
        <w:t xml:space="preserve"> </w:t>
      </w:r>
      <w:r w:rsidRPr="009F380F">
        <w:t>to increase participation and self-determination of older people and their whānau, families and carers</w:t>
      </w:r>
    </w:p>
    <w:p w14:paraId="438F72DC" w14:textId="77777777" w:rsidR="00F71B75" w:rsidRPr="009F380F" w:rsidRDefault="00F71B75" w:rsidP="003A4FB1">
      <w:pPr>
        <w:pStyle w:val="Bullet"/>
      </w:pPr>
      <w:r w:rsidRPr="009F380F">
        <w:t>supporting older people to self-manage in their own homes</w:t>
      </w:r>
    </w:p>
    <w:p w14:paraId="71364C2B" w14:textId="77777777" w:rsidR="00F71B75" w:rsidRPr="009F380F" w:rsidRDefault="00F71B75" w:rsidP="003A4FB1">
      <w:pPr>
        <w:pStyle w:val="Bullet"/>
      </w:pPr>
      <w:r w:rsidRPr="009F380F">
        <w:t>using new and emerging technologies to improve efficiencies in coordination of care, monitoring and communications</w:t>
      </w:r>
    </w:p>
    <w:p w14:paraId="4B14FD30" w14:textId="77777777" w:rsidR="00F71B75" w:rsidRPr="009F380F" w:rsidRDefault="00F71B75" w:rsidP="003A4FB1">
      <w:pPr>
        <w:pStyle w:val="Bullet"/>
      </w:pPr>
      <w:r w:rsidRPr="009F380F">
        <w:t>responding to new opportunities and new demands facing the HCSS workforce and providers</w:t>
      </w:r>
    </w:p>
    <w:p w14:paraId="7F42061B" w14:textId="77777777" w:rsidR="00F71B75" w:rsidRPr="009F380F" w:rsidRDefault="00F71B75" w:rsidP="003A4FB1">
      <w:pPr>
        <w:pStyle w:val="Bullet"/>
      </w:pPr>
      <w:r w:rsidRPr="009F380F">
        <w:t>making transformational change to ensure a robust future market for HCSS providers.</w:t>
      </w:r>
    </w:p>
    <w:p w14:paraId="22F13AB0" w14:textId="77777777" w:rsidR="0098023F" w:rsidRDefault="0098023F" w:rsidP="0098023F"/>
    <w:p w14:paraId="1B65359A" w14:textId="77777777" w:rsidR="00F71B75" w:rsidRDefault="00F71B75" w:rsidP="0098023F">
      <w:r>
        <w:t>Below we look at each of these developments in more detail.</w:t>
      </w:r>
    </w:p>
    <w:p w14:paraId="14C60940" w14:textId="77777777" w:rsidR="00F71B75" w:rsidRPr="009F380F" w:rsidRDefault="00F71B75" w:rsidP="009F380F">
      <w:pPr>
        <w:pStyle w:val="Heading3"/>
      </w:pPr>
      <w:bookmarkStart w:id="12" w:name="_Toc35415766"/>
      <w:r w:rsidRPr="009F380F">
        <w:lastRenderedPageBreak/>
        <w:t>Addressing inconsistency of services across the country</w:t>
      </w:r>
      <w:bookmarkEnd w:id="12"/>
    </w:p>
    <w:p w14:paraId="0C5D877D" w14:textId="5D8FBAB7" w:rsidR="00F71B75" w:rsidRDefault="00F71B75" w:rsidP="009F380F">
      <w:r>
        <w:t>Over the last 10 years, DHBs have been</w:t>
      </w:r>
      <w:r w:rsidRPr="00576D96">
        <w:t xml:space="preserve"> chang</w:t>
      </w:r>
      <w:r>
        <w:t>ing</w:t>
      </w:r>
      <w:r w:rsidRPr="00576D96">
        <w:t xml:space="preserve"> the </w:t>
      </w:r>
      <w:r>
        <w:t xml:space="preserve">way they </w:t>
      </w:r>
      <w:r w:rsidRPr="00576D96">
        <w:t>provi</w:t>
      </w:r>
      <w:r>
        <w:t>de</w:t>
      </w:r>
      <w:r w:rsidRPr="00576D96">
        <w:t xml:space="preserve"> HCSS</w:t>
      </w:r>
      <w:r>
        <w:t xml:space="preserve"> to give a greater </w:t>
      </w:r>
      <w:r w:rsidRPr="00576D96">
        <w:t xml:space="preserve">emphasis </w:t>
      </w:r>
      <w:r>
        <w:t xml:space="preserve">on flexibility and integration. Many DHBs are now using a case-mix model, with strong restorative or enabling models of care. Innovative models and frameworks such as the Calderdale Framework have also begun to influence models of HCSS in New Zealand. </w:t>
      </w:r>
      <w:r w:rsidR="00635BC8">
        <w:t>However, t</w:t>
      </w:r>
      <w:r>
        <w:t>hese innovations are not consistent nationally, as DHBs differ in their case-mix approaches, restorative approaches and requirements of HCSS providers. They also do not follow a nationally consistent approach in assessing</w:t>
      </w:r>
      <w:r w:rsidRPr="005D344E">
        <w:t xml:space="preserve"> </w:t>
      </w:r>
      <w:r>
        <w:t>the:</w:t>
      </w:r>
    </w:p>
    <w:p w14:paraId="7B237277" w14:textId="77777777" w:rsidR="00F71B75" w:rsidRDefault="00F71B75" w:rsidP="009F380F">
      <w:pPr>
        <w:pStyle w:val="Bullet"/>
      </w:pPr>
      <w:r>
        <w:t>quality of the services</w:t>
      </w:r>
    </w:p>
    <w:p w14:paraId="19EB37F1" w14:textId="77777777" w:rsidR="00F71B75" w:rsidRDefault="00F71B75" w:rsidP="003A4FB1">
      <w:pPr>
        <w:pStyle w:val="Bullet"/>
      </w:pPr>
      <w:r>
        <w:t>impact of those services on the outcomes of older people</w:t>
      </w:r>
    </w:p>
    <w:p w14:paraId="6FCDE400" w14:textId="77777777" w:rsidR="00F71B75" w:rsidRDefault="00F71B75" w:rsidP="003A4FB1">
      <w:pPr>
        <w:pStyle w:val="Bullet"/>
      </w:pPr>
      <w:r>
        <w:t xml:space="preserve">satisfaction of older people and their families and whānau with those services. </w:t>
      </w:r>
    </w:p>
    <w:p w14:paraId="48B0D0D5" w14:textId="77777777" w:rsidR="00F71B75" w:rsidRPr="003E4DE1" w:rsidRDefault="00F71B75" w:rsidP="00F71B75">
      <w:pPr>
        <w:pStyle w:val="Heading3"/>
      </w:pPr>
      <w:bookmarkStart w:id="13" w:name="_Toc35415767"/>
      <w:r>
        <w:t>Responding to the more complex needs of an a</w:t>
      </w:r>
      <w:r w:rsidRPr="003E4DE1">
        <w:t>geing</w:t>
      </w:r>
      <w:r>
        <w:t xml:space="preserve"> and more diverse</w:t>
      </w:r>
      <w:r w:rsidRPr="003E4DE1">
        <w:t xml:space="preserve"> population</w:t>
      </w:r>
      <w:bookmarkEnd w:id="13"/>
    </w:p>
    <w:p w14:paraId="42484688" w14:textId="77777777" w:rsidR="00F71B75" w:rsidRDefault="00F71B75" w:rsidP="009F380F">
      <w:r w:rsidRPr="002C7677">
        <w:t>New Zealand’s population is ageing</w:t>
      </w:r>
      <w:r>
        <w:t>:</w:t>
      </w:r>
      <w:r w:rsidRPr="002C7677">
        <w:t xml:space="preserve"> the number of older people </w:t>
      </w:r>
      <w:r>
        <w:t xml:space="preserve">will increase substantially </w:t>
      </w:r>
      <w:r w:rsidRPr="002C7677">
        <w:t>over the next decade.</w:t>
      </w:r>
      <w:r>
        <w:t xml:space="preserve"> </w:t>
      </w:r>
      <w:r w:rsidRPr="002C7677">
        <w:t>This older population, and our communities, will also become more ethnically diverse. The Māori population aged 65</w:t>
      </w:r>
      <w:r>
        <w:t xml:space="preserve"> years</w:t>
      </w:r>
      <w:r w:rsidRPr="002C7677">
        <w:t xml:space="preserve"> and older is pro</w:t>
      </w:r>
      <w:r>
        <w:t>jected to increase by 79 percent</w:t>
      </w:r>
      <w:r w:rsidRPr="002C7677">
        <w:t xml:space="preserve"> </w:t>
      </w:r>
      <w:r>
        <w:t>from 2016</w:t>
      </w:r>
      <w:r w:rsidRPr="002C7677">
        <w:t xml:space="preserve"> to 2026. The older Pacific population is expected to increase by 63</w:t>
      </w:r>
      <w:r>
        <w:t xml:space="preserve"> percent</w:t>
      </w:r>
      <w:r w:rsidRPr="002C7677">
        <w:t xml:space="preserve"> and the older Asian population by 125</w:t>
      </w:r>
      <w:r>
        <w:t xml:space="preserve"> percent</w:t>
      </w:r>
      <w:r w:rsidRPr="002C7677">
        <w:t xml:space="preserve"> in this same period.</w:t>
      </w:r>
    </w:p>
    <w:p w14:paraId="69C6B05C" w14:textId="77777777" w:rsidR="009F380F" w:rsidRDefault="009F380F" w:rsidP="009F380F"/>
    <w:p w14:paraId="0668BB47" w14:textId="6DFAF7C9" w:rsidR="00F71B75" w:rsidRDefault="00F71B75" w:rsidP="009F380F">
      <w:r>
        <w:t>As the older population grows, particularly among Māori, the need for care will increase substantially. The New Zealand cohort Life and Living in Advanced Age Study (</w:t>
      </w:r>
      <w:proofErr w:type="spellStart"/>
      <w:r>
        <w:t>LiLACS</w:t>
      </w:r>
      <w:proofErr w:type="spellEnd"/>
      <w:r>
        <w:t xml:space="preserve">) estimates that the number of people needing care more than once a day may increase by more than 200 percent for Māori and by approximately 75 percent for non-Māori from 2016 to 2026. </w:t>
      </w:r>
    </w:p>
    <w:p w14:paraId="7AE53DF3" w14:textId="77777777" w:rsidR="009F380F" w:rsidRPr="00EA1C98" w:rsidRDefault="009F380F" w:rsidP="009F380F"/>
    <w:p w14:paraId="47868518" w14:textId="77777777" w:rsidR="00F71B75" w:rsidRPr="00EA1C98" w:rsidRDefault="00F71B75" w:rsidP="009F380F">
      <w:r>
        <w:t>Because p</w:t>
      </w:r>
      <w:r w:rsidRPr="00EA1C98">
        <w:t>eople are also living longer</w:t>
      </w:r>
      <w:r>
        <w:t>,</w:t>
      </w:r>
      <w:r w:rsidRPr="00EA1C98">
        <w:t xml:space="preserve"> more people </w:t>
      </w:r>
      <w:r>
        <w:t>have</w:t>
      </w:r>
      <w:r w:rsidRPr="00EA1C98">
        <w:t xml:space="preserve"> care and support needs arising from a mix of physical and mental health conditions, including</w:t>
      </w:r>
      <w:r w:rsidRPr="0076134E">
        <w:t xml:space="preserve"> </w:t>
      </w:r>
      <w:r w:rsidRPr="00EA1C98">
        <w:t>frailty and</w:t>
      </w:r>
      <w:r w:rsidRPr="0076134E">
        <w:t xml:space="preserve"> </w:t>
      </w:r>
      <w:r w:rsidRPr="00EA1C98">
        <w:t xml:space="preserve">dementia in old age. </w:t>
      </w:r>
      <w:r>
        <w:t>Enhancing t</w:t>
      </w:r>
      <w:r w:rsidRPr="00EA1C98">
        <w:t>he ability of older people to age well and support</w:t>
      </w:r>
      <w:r>
        <w:t>ing them</w:t>
      </w:r>
      <w:r w:rsidRPr="00EA1C98">
        <w:t xml:space="preserve"> to live well with long-term conditions</w:t>
      </w:r>
      <w:r>
        <w:t xml:space="preserve"> – no matter how</w:t>
      </w:r>
      <w:r w:rsidRPr="00EA1C98">
        <w:t xml:space="preserve"> complex</w:t>
      </w:r>
      <w:r>
        <w:t xml:space="preserve"> those conditions are –</w:t>
      </w:r>
      <w:r w:rsidRPr="00EA1C98">
        <w:t xml:space="preserve"> is critical to enabl</w:t>
      </w:r>
      <w:r>
        <w:t>ing</w:t>
      </w:r>
      <w:r w:rsidRPr="00EA1C98">
        <w:t xml:space="preserve"> older people to continue</w:t>
      </w:r>
      <w:r>
        <w:t xml:space="preserve"> to</w:t>
      </w:r>
      <w:r w:rsidRPr="00EA1C98">
        <w:t xml:space="preserve"> participat</w:t>
      </w:r>
      <w:r>
        <w:t>e socially</w:t>
      </w:r>
      <w:r w:rsidRPr="00EA1C98">
        <w:t xml:space="preserve"> and feel valued.</w:t>
      </w:r>
    </w:p>
    <w:p w14:paraId="0EACC044" w14:textId="77777777" w:rsidR="00F71B75" w:rsidRPr="003E4DE1" w:rsidRDefault="00F71B75" w:rsidP="00F71B75">
      <w:pPr>
        <w:pStyle w:val="Heading3"/>
      </w:pPr>
      <w:bookmarkStart w:id="14" w:name="_Toc35415768"/>
      <w:r w:rsidRPr="003E4DE1">
        <w:t>Changing models of care</w:t>
      </w:r>
      <w:bookmarkEnd w:id="14"/>
    </w:p>
    <w:p w14:paraId="14589C50" w14:textId="77777777" w:rsidR="00F71B75" w:rsidRDefault="00F71B75" w:rsidP="009F380F">
      <w:r w:rsidRPr="002C7677">
        <w:t xml:space="preserve">The health system </w:t>
      </w:r>
      <w:r>
        <w:t>has adapted</w:t>
      </w:r>
      <w:r w:rsidRPr="002C7677">
        <w:t xml:space="preserve"> over the last</w:t>
      </w:r>
      <w:r>
        <w:t xml:space="preserve"> 10 </w:t>
      </w:r>
      <w:r w:rsidRPr="006927E2">
        <w:t>years</w:t>
      </w:r>
      <w:r>
        <w:t xml:space="preserve"> in significant ways. With changing models of care, services have:</w:t>
      </w:r>
    </w:p>
    <w:p w14:paraId="267177F7" w14:textId="77777777" w:rsidR="00F71B75" w:rsidRPr="009F380F" w:rsidRDefault="00F71B75" w:rsidP="003A4FB1">
      <w:pPr>
        <w:pStyle w:val="Bullet"/>
      </w:pPr>
      <w:r w:rsidRPr="009F380F">
        <w:t>delivered more care in the community, with stronger relationships across services</w:t>
      </w:r>
    </w:p>
    <w:p w14:paraId="6A13FC78" w14:textId="77777777" w:rsidR="00F71B75" w:rsidRPr="009F380F" w:rsidRDefault="00F71B75" w:rsidP="003A4FB1">
      <w:pPr>
        <w:pStyle w:val="Bullet"/>
      </w:pPr>
      <w:r w:rsidRPr="009F380F">
        <w:t>developed real or virtual interdisciplinary teams working together around the care of patients</w:t>
      </w:r>
    </w:p>
    <w:p w14:paraId="1BC97B36" w14:textId="77777777" w:rsidR="00F71B75" w:rsidRPr="009F380F" w:rsidRDefault="00F71B75" w:rsidP="003A4FB1">
      <w:pPr>
        <w:pStyle w:val="Bullet"/>
      </w:pPr>
      <w:r w:rsidRPr="009F380F">
        <w:t>involved people in taking a more active role in assessment and care planning.</w:t>
      </w:r>
    </w:p>
    <w:p w14:paraId="1B888483" w14:textId="77777777" w:rsidR="009F380F" w:rsidRDefault="009F380F" w:rsidP="00F71B75">
      <w:pPr>
        <w:spacing w:after="120"/>
        <w:rPr>
          <w:rFonts w:cstheme="minorHAnsi"/>
        </w:rPr>
      </w:pPr>
    </w:p>
    <w:p w14:paraId="5F504A6A" w14:textId="77777777" w:rsidR="009F380F" w:rsidRDefault="00F71B75" w:rsidP="009F380F">
      <w:r>
        <w:lastRenderedPageBreak/>
        <w:t>In recent years, the New Zealand health system has focused</w:t>
      </w:r>
      <w:r w:rsidRPr="002C7677">
        <w:t xml:space="preserve"> strong</w:t>
      </w:r>
      <w:r>
        <w:t>ly</w:t>
      </w:r>
      <w:r w:rsidRPr="002C7677">
        <w:t xml:space="preserve"> on</w:t>
      </w:r>
      <w:r>
        <w:t xml:space="preserve"> ensuring</w:t>
      </w:r>
      <w:r w:rsidRPr="002C7677">
        <w:t xml:space="preserve"> that people can remain ind</w:t>
      </w:r>
      <w:r>
        <w:t>e</w:t>
      </w:r>
      <w:r w:rsidRPr="002C7677">
        <w:t>pe</w:t>
      </w:r>
      <w:r>
        <w:t>nden</w:t>
      </w:r>
      <w:r w:rsidRPr="002C7677">
        <w:t xml:space="preserve">t for as long as </w:t>
      </w:r>
      <w:r w:rsidRPr="006927E2">
        <w:t>possible</w:t>
      </w:r>
      <w:r>
        <w:t>,</w:t>
      </w:r>
      <w:r w:rsidRPr="002C7677">
        <w:t xml:space="preserve"> living within their own communities</w:t>
      </w:r>
      <w:r>
        <w:t xml:space="preserve">. Measures to achieve this outcome include increasing use of re-ablement models (supporting people to regain their independence after illness or injury), early supported discharge, hospital avoidance, </w:t>
      </w:r>
      <w:r w:rsidRPr="002C7677">
        <w:t>integration</w:t>
      </w:r>
      <w:r>
        <w:t xml:space="preserve"> and</w:t>
      </w:r>
      <w:r w:rsidRPr="002C7677">
        <w:t xml:space="preserve"> </w:t>
      </w:r>
      <w:r w:rsidRPr="006927E2">
        <w:t>sh</w:t>
      </w:r>
      <w:r>
        <w:t>i</w:t>
      </w:r>
      <w:r w:rsidRPr="006927E2">
        <w:t>fting</w:t>
      </w:r>
      <w:r w:rsidRPr="002C7677">
        <w:t xml:space="preserve"> care closer to home. </w:t>
      </w:r>
    </w:p>
    <w:p w14:paraId="2643A086" w14:textId="77777777" w:rsidR="00F71B75" w:rsidRDefault="00F71B75" w:rsidP="009F380F">
      <w:r>
        <w:t xml:space="preserve"> </w:t>
      </w:r>
    </w:p>
    <w:p w14:paraId="0B71EA42" w14:textId="77777777" w:rsidR="00F71B75" w:rsidRDefault="00F71B75" w:rsidP="009F380F">
      <w:r>
        <w:t xml:space="preserve">HCSS also have a key role to play in greater integration with primary and community teams to support older people, particularly people with complex health and wellbeing needs. </w:t>
      </w:r>
    </w:p>
    <w:p w14:paraId="2C349495" w14:textId="77777777" w:rsidR="009F380F" w:rsidRDefault="009F380F" w:rsidP="009F380F"/>
    <w:p w14:paraId="7834F137" w14:textId="77777777" w:rsidR="00F71B75" w:rsidRDefault="00F71B75" w:rsidP="009F380F">
      <w:r>
        <w:t>This new approach requires responsive, agile and collaborative services delivered by a well-trained and stable workforce to meet the changing and growing needs of older people. HCSS need to be flexible, responsive and of high quality to support these changing models of care.</w:t>
      </w:r>
    </w:p>
    <w:p w14:paraId="2216CA10" w14:textId="77777777" w:rsidR="00F71B75" w:rsidRPr="003E4DE1" w:rsidRDefault="00F71B75" w:rsidP="00F71B75">
      <w:pPr>
        <w:pStyle w:val="Heading3"/>
      </w:pPr>
      <w:bookmarkStart w:id="15" w:name="_Toc35415769"/>
      <w:r w:rsidRPr="003E4DE1">
        <w:t>Self-</w:t>
      </w:r>
      <w:r>
        <w:t>m</w:t>
      </w:r>
      <w:r w:rsidRPr="003E4DE1">
        <w:t>anagement</w:t>
      </w:r>
      <w:bookmarkEnd w:id="15"/>
    </w:p>
    <w:p w14:paraId="5F527DAF" w14:textId="77777777" w:rsidR="00F71B75" w:rsidRDefault="00F71B75" w:rsidP="009F380F">
      <w:pPr>
        <w:rPr>
          <w:lang w:val="en-GB" w:eastAsia="en-NZ"/>
        </w:rPr>
      </w:pPr>
      <w:r>
        <w:rPr>
          <w:lang w:val="en-GB" w:eastAsia="en-NZ"/>
        </w:rPr>
        <w:t>A s</w:t>
      </w:r>
      <w:r w:rsidRPr="00CD1AB2">
        <w:rPr>
          <w:lang w:val="en-GB" w:eastAsia="en-NZ"/>
        </w:rPr>
        <w:t>ustainab</w:t>
      </w:r>
      <w:r>
        <w:rPr>
          <w:lang w:val="en-GB" w:eastAsia="en-NZ"/>
        </w:rPr>
        <w:t>le</w:t>
      </w:r>
      <w:r w:rsidRPr="00CD1AB2">
        <w:rPr>
          <w:lang w:val="en-GB" w:eastAsia="en-NZ"/>
        </w:rPr>
        <w:t xml:space="preserve"> health system </w:t>
      </w:r>
      <w:r>
        <w:rPr>
          <w:lang w:val="en-GB" w:eastAsia="en-NZ"/>
        </w:rPr>
        <w:t>needs to:</w:t>
      </w:r>
    </w:p>
    <w:p w14:paraId="7AAC936A" w14:textId="77777777" w:rsidR="00F71B75" w:rsidRPr="00A31E8E" w:rsidRDefault="00F71B75" w:rsidP="003A4FB1">
      <w:pPr>
        <w:pStyle w:val="Bullet"/>
        <w:rPr>
          <w:lang w:val="en-GB"/>
        </w:rPr>
      </w:pPr>
      <w:r w:rsidRPr="00A31E8E">
        <w:rPr>
          <w:lang w:val="en-GB"/>
        </w:rPr>
        <w:t>support people to take a lead in managing their</w:t>
      </w:r>
      <w:r>
        <w:rPr>
          <w:lang w:val="en-GB"/>
        </w:rPr>
        <w:t xml:space="preserve"> own</w:t>
      </w:r>
      <w:r w:rsidRPr="00A31E8E">
        <w:rPr>
          <w:lang w:val="en-GB"/>
        </w:rPr>
        <w:t xml:space="preserve"> health</w:t>
      </w:r>
    </w:p>
    <w:p w14:paraId="49A0387A" w14:textId="77777777" w:rsidR="00F71B75" w:rsidRPr="00031F9A" w:rsidRDefault="00F71B75" w:rsidP="003A4FB1">
      <w:pPr>
        <w:pStyle w:val="Bullet"/>
        <w:rPr>
          <w:lang w:val="en-GB"/>
        </w:rPr>
      </w:pPr>
      <w:r w:rsidRPr="00CD1CE0">
        <w:rPr>
          <w:lang w:val="en-GB"/>
        </w:rPr>
        <w:t>enable more integrated care</w:t>
      </w:r>
      <w:r w:rsidRPr="002E143B">
        <w:rPr>
          <w:lang w:val="en-GB"/>
        </w:rPr>
        <w:t xml:space="preserve"> </w:t>
      </w:r>
      <w:r>
        <w:rPr>
          <w:lang w:val="en-GB"/>
        </w:rPr>
        <w:t>for</w:t>
      </w:r>
      <w:r w:rsidRPr="002E143B">
        <w:rPr>
          <w:lang w:val="en-GB"/>
        </w:rPr>
        <w:t xml:space="preserve"> </w:t>
      </w:r>
      <w:r>
        <w:rPr>
          <w:lang w:val="en-GB"/>
        </w:rPr>
        <w:t>people</w:t>
      </w:r>
      <w:r w:rsidRPr="002E143B">
        <w:rPr>
          <w:lang w:val="en-GB"/>
        </w:rPr>
        <w:t xml:space="preserve"> </w:t>
      </w:r>
      <w:r>
        <w:rPr>
          <w:lang w:val="en-GB"/>
        </w:rPr>
        <w:t xml:space="preserve">who </w:t>
      </w:r>
      <w:r w:rsidRPr="002E143B">
        <w:rPr>
          <w:lang w:val="en-GB"/>
        </w:rPr>
        <w:t>have complex needs</w:t>
      </w:r>
    </w:p>
    <w:p w14:paraId="22A37A9C" w14:textId="77777777" w:rsidR="00F71B75" w:rsidRPr="00A31E8E" w:rsidRDefault="00F71B75" w:rsidP="003A4FB1">
      <w:pPr>
        <w:pStyle w:val="Bullet"/>
        <w:rPr>
          <w:lang w:val="en-GB"/>
        </w:rPr>
      </w:pPr>
      <w:r w:rsidRPr="00A31E8E">
        <w:rPr>
          <w:lang w:val="en-GB"/>
        </w:rPr>
        <w:t xml:space="preserve">expand the range of care provided in communities. </w:t>
      </w:r>
    </w:p>
    <w:p w14:paraId="74A387CA" w14:textId="77777777" w:rsidR="009F380F" w:rsidRDefault="009F380F" w:rsidP="009F380F">
      <w:pPr>
        <w:rPr>
          <w:lang w:val="en-GB" w:eastAsia="en-NZ"/>
        </w:rPr>
      </w:pPr>
    </w:p>
    <w:p w14:paraId="409D3769" w14:textId="77777777" w:rsidR="00F71B75" w:rsidRDefault="00F71B75" w:rsidP="009F380F">
      <w:pPr>
        <w:rPr>
          <w:lang w:val="en-GB" w:eastAsia="en-NZ"/>
        </w:rPr>
      </w:pPr>
      <w:r>
        <w:rPr>
          <w:lang w:val="en-GB" w:eastAsia="en-NZ"/>
        </w:rPr>
        <w:t xml:space="preserve">HCSS, alongside many other providers of health services, have an important role in supporting this move to greater self-management. </w:t>
      </w:r>
    </w:p>
    <w:p w14:paraId="6A6387B1" w14:textId="77777777" w:rsidR="00F71B75" w:rsidRPr="00806C5C" w:rsidRDefault="00F71B75" w:rsidP="00F71B75">
      <w:pPr>
        <w:pStyle w:val="Heading3"/>
        <w:rPr>
          <w:lang w:val="en-GB" w:eastAsia="en-NZ"/>
        </w:rPr>
      </w:pPr>
      <w:bookmarkStart w:id="16" w:name="_Toc35415770"/>
      <w:r w:rsidRPr="00806C5C">
        <w:rPr>
          <w:lang w:val="en-GB" w:eastAsia="en-NZ"/>
        </w:rPr>
        <w:t>Technology</w:t>
      </w:r>
      <w:bookmarkEnd w:id="16"/>
    </w:p>
    <w:p w14:paraId="07597542" w14:textId="77777777" w:rsidR="00F71B75" w:rsidRDefault="00F71B75" w:rsidP="009F380F">
      <w:pPr>
        <w:rPr>
          <w:lang w:val="en-GB" w:eastAsia="en-NZ"/>
        </w:rPr>
      </w:pPr>
      <w:r w:rsidRPr="00CD1AB2">
        <w:rPr>
          <w:lang w:val="en-GB" w:eastAsia="en-NZ"/>
        </w:rPr>
        <w:t>Digital technology has created the platform to support these changes</w:t>
      </w:r>
      <w:r>
        <w:rPr>
          <w:lang w:val="en-GB" w:eastAsia="en-NZ"/>
        </w:rPr>
        <w:t>. It</w:t>
      </w:r>
      <w:r w:rsidRPr="00CD1AB2">
        <w:rPr>
          <w:lang w:val="en-GB" w:eastAsia="en-NZ"/>
        </w:rPr>
        <w:t xml:space="preserve"> has the capacity to place people</w:t>
      </w:r>
      <w:r>
        <w:rPr>
          <w:lang w:val="en-GB" w:eastAsia="en-NZ"/>
        </w:rPr>
        <w:t>,</w:t>
      </w:r>
      <w:r w:rsidRPr="00CD1AB2">
        <w:rPr>
          <w:lang w:val="en-GB" w:eastAsia="en-NZ"/>
        </w:rPr>
        <w:t xml:space="preserve"> their families </w:t>
      </w:r>
      <w:r>
        <w:rPr>
          <w:lang w:val="en-GB" w:eastAsia="en-NZ"/>
        </w:rPr>
        <w:t xml:space="preserve">and whānau </w:t>
      </w:r>
      <w:r w:rsidRPr="00CD1AB2">
        <w:rPr>
          <w:lang w:val="en-GB" w:eastAsia="en-NZ"/>
        </w:rPr>
        <w:t>at the centre of the care by</w:t>
      </w:r>
      <w:r>
        <w:rPr>
          <w:lang w:val="en-GB" w:eastAsia="en-NZ"/>
        </w:rPr>
        <w:t>:</w:t>
      </w:r>
      <w:r w:rsidRPr="00CD1AB2">
        <w:rPr>
          <w:lang w:val="en-GB" w:eastAsia="en-NZ"/>
        </w:rPr>
        <w:t xml:space="preserve"> </w:t>
      </w:r>
    </w:p>
    <w:p w14:paraId="0DF4244B" w14:textId="77777777" w:rsidR="00F71B75" w:rsidRPr="009F380F" w:rsidRDefault="00F71B75" w:rsidP="003A4FB1">
      <w:pPr>
        <w:pStyle w:val="Bullet"/>
      </w:pPr>
      <w:r w:rsidRPr="009F380F">
        <w:t>supporting people to manage more of their health needs at home through self-monitoring and access to professional advice using remote diagnostics</w:t>
      </w:r>
    </w:p>
    <w:p w14:paraId="6A211760" w14:textId="77777777" w:rsidR="00F71B75" w:rsidRPr="009F380F" w:rsidRDefault="00F71B75" w:rsidP="003A4FB1">
      <w:pPr>
        <w:pStyle w:val="Bullet"/>
      </w:pPr>
      <w:r w:rsidRPr="009F380F">
        <w:t>undertaking shared care planning that also supports the ability of older people, health care professionals, support workers and social service providers to share accurate and reliable information with each other.</w:t>
      </w:r>
    </w:p>
    <w:p w14:paraId="128ABEAE" w14:textId="77777777" w:rsidR="009F380F" w:rsidRDefault="009F380F" w:rsidP="009F380F">
      <w:pPr>
        <w:rPr>
          <w:lang w:eastAsia="en-NZ"/>
        </w:rPr>
      </w:pPr>
    </w:p>
    <w:p w14:paraId="6FC1D5E6" w14:textId="77777777" w:rsidR="00F71B75" w:rsidRPr="0045190C" w:rsidRDefault="00F71B75" w:rsidP="009F380F">
      <w:pPr>
        <w:rPr>
          <w:lang w:eastAsia="en-NZ"/>
        </w:rPr>
      </w:pPr>
      <w:r>
        <w:rPr>
          <w:lang w:eastAsia="en-NZ"/>
        </w:rPr>
        <w:t>Technology developments in the broader health system will influence the speed at which the HCSS sector can take up supporting technology. Where technology is available to help older people, then the sector should take advantage of these opportunities.</w:t>
      </w:r>
    </w:p>
    <w:p w14:paraId="7A37DDB3" w14:textId="77777777" w:rsidR="00F71B75" w:rsidRPr="0001032C" w:rsidRDefault="00F71B75" w:rsidP="00F71B75">
      <w:pPr>
        <w:pStyle w:val="Heading3"/>
      </w:pPr>
      <w:bookmarkStart w:id="17" w:name="_Toc35415771"/>
      <w:r w:rsidRPr="0001032C">
        <w:t>A changing workforce</w:t>
      </w:r>
      <w:bookmarkEnd w:id="17"/>
    </w:p>
    <w:p w14:paraId="4C4113B0" w14:textId="77777777" w:rsidR="00F71B75" w:rsidRDefault="00F71B75" w:rsidP="009F380F">
      <w:r w:rsidRPr="002A721D">
        <w:rPr>
          <w:lang w:val="en-GB" w:eastAsia="en-NZ"/>
        </w:rPr>
        <w:t xml:space="preserve">The health system cannot </w:t>
      </w:r>
      <w:r>
        <w:rPr>
          <w:lang w:val="en-GB" w:eastAsia="en-NZ"/>
        </w:rPr>
        <w:t xml:space="preserve">implement system change, nor operate effectively, </w:t>
      </w:r>
      <w:r w:rsidRPr="002A721D">
        <w:rPr>
          <w:lang w:val="en-GB" w:eastAsia="en-NZ"/>
        </w:rPr>
        <w:t xml:space="preserve">without </w:t>
      </w:r>
      <w:r>
        <w:rPr>
          <w:lang w:val="en-GB" w:eastAsia="en-NZ"/>
        </w:rPr>
        <w:t xml:space="preserve">a responsive and well-trained </w:t>
      </w:r>
      <w:r w:rsidRPr="002A721D">
        <w:rPr>
          <w:lang w:val="en-GB" w:eastAsia="en-NZ"/>
        </w:rPr>
        <w:t xml:space="preserve">health workforce. </w:t>
      </w:r>
      <w:r>
        <w:t>The in-</w:t>
      </w:r>
      <w:r w:rsidRPr="00576D96">
        <w:t>between travel and pay equity settlements</w:t>
      </w:r>
      <w:r>
        <w:rPr>
          <w:lang w:val="en-GB" w:eastAsia="en-NZ"/>
        </w:rPr>
        <w:t xml:space="preserve"> support opportunities for new</w:t>
      </w:r>
      <w:r w:rsidRPr="002A721D">
        <w:rPr>
          <w:lang w:val="en-GB" w:eastAsia="en-NZ"/>
        </w:rPr>
        <w:t xml:space="preserve"> models of care. </w:t>
      </w:r>
      <w:r>
        <w:t xml:space="preserve">The improvements in carer conditions are expected to reduce staff turnover and increase skills in the care and support workforce. </w:t>
      </w:r>
    </w:p>
    <w:p w14:paraId="6277FE88" w14:textId="77777777" w:rsidR="00F71B75" w:rsidRPr="002A721D" w:rsidRDefault="00F71B75" w:rsidP="009F380F">
      <w:pPr>
        <w:rPr>
          <w:lang w:val="en-GB" w:eastAsia="en-NZ"/>
        </w:rPr>
      </w:pPr>
      <w:r>
        <w:lastRenderedPageBreak/>
        <w:t>Improving models of care will create new opportunities for, as well as new demands on, the HCSS workforce and providers. Examples are the opportunities and demands to</w:t>
      </w:r>
      <w:r>
        <w:rPr>
          <w:lang w:val="en-GB" w:eastAsia="en-NZ"/>
        </w:rPr>
        <w:t xml:space="preserve">: </w:t>
      </w:r>
    </w:p>
    <w:p w14:paraId="306C9387" w14:textId="77777777" w:rsidR="00F71B75" w:rsidRPr="009F380F" w:rsidRDefault="00F71B75" w:rsidP="003A4FB1">
      <w:pPr>
        <w:pStyle w:val="Bullet"/>
      </w:pPr>
      <w:r w:rsidRPr="009F380F">
        <w:t>invest in and use technology to work more productively and engage more proactively with older people, so that the right thing to do is the easiest thing to do. Technology, along with good support to use it, can rapidly change workforce behaviour, including by encouraging staff to participate in interdisciplinary teams, share information and use the technological tools consistently</w:t>
      </w:r>
    </w:p>
    <w:p w14:paraId="50648001" w14:textId="77777777" w:rsidR="00F71B75" w:rsidRPr="009F380F" w:rsidRDefault="00F71B75" w:rsidP="003A4FB1">
      <w:pPr>
        <w:pStyle w:val="Bullet"/>
      </w:pPr>
      <w:r w:rsidRPr="009F380F">
        <w:t>create interdisciplinary team models that foster new ways of working and enable the workforce to adapt and take innovative approaches to services within communities</w:t>
      </w:r>
    </w:p>
    <w:p w14:paraId="3A8F77A9" w14:textId="77777777" w:rsidR="00F71B75" w:rsidRPr="009F380F" w:rsidRDefault="00F71B75" w:rsidP="003A4FB1">
      <w:pPr>
        <w:pStyle w:val="Bullet"/>
      </w:pPr>
      <w:r w:rsidRPr="009F380F">
        <w:t>support the workforce to achieve a work–life balance so that they can stay healthy, and invest in the education and training they will need to work differently</w:t>
      </w:r>
    </w:p>
    <w:p w14:paraId="2CEE6B4F" w14:textId="77777777" w:rsidR="00F71B75" w:rsidRPr="009F380F" w:rsidRDefault="00F71B75" w:rsidP="003A4FB1">
      <w:pPr>
        <w:pStyle w:val="Bullet"/>
      </w:pPr>
      <w:r w:rsidRPr="009F380F">
        <w:t>ensure the workforce reflects the population it is serving and increasingly focus on the strategies already in place to attract more Māori and Pacific peoples to health roles</w:t>
      </w:r>
    </w:p>
    <w:p w14:paraId="5197722A" w14:textId="77777777" w:rsidR="00F71B75" w:rsidRPr="009F380F" w:rsidRDefault="00F71B75" w:rsidP="003A4FB1">
      <w:pPr>
        <w:pStyle w:val="Bullet"/>
      </w:pPr>
      <w:r w:rsidRPr="009F380F">
        <w:t>enable health professionals and kaiāwhina to work to the full extent of their scope, including by expanding opportunities for care and support workers to contribute more to care planning and monitoring.</w:t>
      </w:r>
    </w:p>
    <w:p w14:paraId="3A03A580" w14:textId="77777777" w:rsidR="00F71B75" w:rsidRPr="0045190C" w:rsidRDefault="00F71B75" w:rsidP="00F71B75">
      <w:pPr>
        <w:pStyle w:val="Heading3"/>
      </w:pPr>
      <w:bookmarkStart w:id="18" w:name="_Toc35415772"/>
      <w:r>
        <w:t>The</w:t>
      </w:r>
      <w:r w:rsidRPr="0045190C">
        <w:t xml:space="preserve"> HCSS market</w:t>
      </w:r>
      <w:bookmarkEnd w:id="18"/>
    </w:p>
    <w:p w14:paraId="38F0FD16" w14:textId="4903C158" w:rsidR="00F71B75" w:rsidRDefault="00F71B75" w:rsidP="009F380F">
      <w:r w:rsidRPr="00F3702F">
        <w:rPr>
          <w:rFonts w:cstheme="minorHAnsi"/>
        </w:rPr>
        <w:t xml:space="preserve">Nationally, approximately </w:t>
      </w:r>
      <w:r w:rsidRPr="000F4B20">
        <w:rPr>
          <w:rFonts w:cstheme="minorHAnsi"/>
        </w:rPr>
        <w:t>75</w:t>
      </w:r>
      <w:r w:rsidRPr="00F3702F">
        <w:rPr>
          <w:rFonts w:cstheme="minorHAnsi"/>
        </w:rPr>
        <w:t xml:space="preserve"> providers of HCSS </w:t>
      </w:r>
      <w:r>
        <w:rPr>
          <w:rFonts w:cstheme="minorHAnsi"/>
        </w:rPr>
        <w:t xml:space="preserve">are </w:t>
      </w:r>
      <w:r w:rsidRPr="00F3702F">
        <w:rPr>
          <w:rFonts w:cstheme="minorHAnsi"/>
        </w:rPr>
        <w:t>contracting to DHB</w:t>
      </w:r>
      <w:r>
        <w:rPr>
          <w:rFonts w:cstheme="minorHAnsi"/>
        </w:rPr>
        <w:t xml:space="preserve">s, ACC </w:t>
      </w:r>
      <w:r w:rsidRPr="00FD0D59">
        <w:t xml:space="preserve">and </w:t>
      </w:r>
      <w:r>
        <w:t>disability support services</w:t>
      </w:r>
      <w:r w:rsidRPr="00FD0D59">
        <w:t>. The</w:t>
      </w:r>
      <w:r>
        <w:t xml:space="preserve"> variety of providers includes </w:t>
      </w:r>
      <w:r w:rsidRPr="00FD0D59">
        <w:t>large</w:t>
      </w:r>
      <w:r>
        <w:t xml:space="preserve">, </w:t>
      </w:r>
      <w:r w:rsidRPr="00FD0D59">
        <w:t>medium</w:t>
      </w:r>
      <w:r>
        <w:t>-sized and small</w:t>
      </w:r>
      <w:r w:rsidRPr="00FD0D59">
        <w:t xml:space="preserve"> private</w:t>
      </w:r>
      <w:r>
        <w:t xml:space="preserve"> providers, iwi-based providers </w:t>
      </w:r>
      <w:r w:rsidRPr="00FD0D59">
        <w:t>and charitable</w:t>
      </w:r>
      <w:r>
        <w:t xml:space="preserve"> providers; </w:t>
      </w:r>
      <w:r w:rsidRPr="00FD0D59">
        <w:t xml:space="preserve">some of </w:t>
      </w:r>
      <w:r>
        <w:t>these providers</w:t>
      </w:r>
      <w:r w:rsidRPr="00FD0D59">
        <w:t xml:space="preserve"> have contracts with </w:t>
      </w:r>
      <w:r>
        <w:t>several</w:t>
      </w:r>
      <w:r w:rsidRPr="00FD0D59">
        <w:t xml:space="preserve"> DHB</w:t>
      </w:r>
      <w:r>
        <w:t xml:space="preserve">s. </w:t>
      </w:r>
    </w:p>
    <w:p w14:paraId="301D1A72" w14:textId="77777777" w:rsidR="003A4FB1" w:rsidRDefault="003A4FB1" w:rsidP="009F380F"/>
    <w:p w14:paraId="102A09D0" w14:textId="77777777" w:rsidR="00F71B75" w:rsidRDefault="00F71B75" w:rsidP="009F380F">
      <w:r>
        <w:t xml:space="preserve">The provider market has consolidated in recent years and continues to do so in order to remain viable as the health and disability system has sought better-value services that are more responsive to the more complex needs of the older population. Some DHBs have also implemented re-ablement models, supporting more flexibility in how services are provided to better respond to changing needs. </w:t>
      </w:r>
    </w:p>
    <w:p w14:paraId="37C73BB7" w14:textId="77777777" w:rsidR="009F380F" w:rsidRDefault="009F380F" w:rsidP="009F380F"/>
    <w:p w14:paraId="714ABC6F" w14:textId="77777777" w:rsidR="00F71B75" w:rsidRDefault="00F71B75" w:rsidP="009F380F">
      <w:r>
        <w:t xml:space="preserve">Pay equity, guaranteed hours and in-between travel settlements have had impacts on providers. One result has been to further consolidate the market, as HCSS providers seek to strengthen the </w:t>
      </w:r>
      <w:r w:rsidRPr="00F3702F">
        <w:t>core business systems required to implement these requirements.</w:t>
      </w:r>
    </w:p>
    <w:p w14:paraId="5B2BF02C" w14:textId="77777777" w:rsidR="009F380F" w:rsidRDefault="009F380F" w:rsidP="009F380F"/>
    <w:p w14:paraId="3FA9BFF2" w14:textId="77777777" w:rsidR="00F71B75" w:rsidRDefault="00F71B75" w:rsidP="009F380F">
      <w:r>
        <w:t xml:space="preserve">In some cases, the in-between travel and pay equity settlements have made the provision of HCSS more complex. This National Framework for future development of HCSS provides guidance on some of the changes needed to realise the benefits of the settlements, such as increased investment in the workforce. </w:t>
      </w:r>
    </w:p>
    <w:p w14:paraId="6E357955" w14:textId="77777777" w:rsidR="009F380F" w:rsidRPr="00F3702F" w:rsidRDefault="009F380F" w:rsidP="009F380F"/>
    <w:p w14:paraId="147CAA97" w14:textId="77777777" w:rsidR="00F71B75" w:rsidRDefault="00F71B75" w:rsidP="009F380F">
      <w:pPr>
        <w:rPr>
          <w:rFonts w:cstheme="minorHAnsi"/>
        </w:rPr>
      </w:pPr>
      <w:r>
        <w:rPr>
          <w:rFonts w:cstheme="minorHAnsi"/>
        </w:rPr>
        <w:t>As noted in the DGRG’s report, a ‘burning platform for change’ supports models of care and growing demand:</w:t>
      </w:r>
    </w:p>
    <w:p w14:paraId="0DA92E50" w14:textId="77777777" w:rsidR="009F380F" w:rsidRDefault="009F380F" w:rsidP="009F380F">
      <w:pPr>
        <w:rPr>
          <w:rFonts w:cstheme="minorHAnsi"/>
        </w:rPr>
      </w:pPr>
    </w:p>
    <w:p w14:paraId="2E62632B" w14:textId="77777777" w:rsidR="00F71B75" w:rsidRPr="002C7677" w:rsidRDefault="00F71B75" w:rsidP="00041A2E">
      <w:pPr>
        <w:ind w:left="284"/>
      </w:pPr>
      <w:r w:rsidRPr="00FA7580">
        <w:t>there is a view that the HCSS sector is at risk of becoming unsustainable within the next decade (Deloitte 2015),</w:t>
      </w:r>
      <w:r w:rsidRPr="00FA7580">
        <w:rPr>
          <w:rStyle w:val="FootnoteReference"/>
        </w:rPr>
        <w:t xml:space="preserve"> </w:t>
      </w:r>
      <w:r w:rsidRPr="00FA7580">
        <w:t xml:space="preserve">and there is a lack of confidence that HCSS are effective, </w:t>
      </w:r>
      <w:r w:rsidRPr="00FA7580">
        <w:lastRenderedPageBreak/>
        <w:t>efficient or capable of meeting the expected future increase in demand (Office of the Auditor-General 2014)</w:t>
      </w:r>
      <w:r>
        <w:t>.</w:t>
      </w:r>
      <w:r w:rsidRPr="00FA7580">
        <w:rPr>
          <w:rStyle w:val="FootnoteReference"/>
        </w:rPr>
        <w:footnoteReference w:id="4"/>
      </w:r>
    </w:p>
    <w:p w14:paraId="0F8333A1" w14:textId="77777777" w:rsidR="009F380F" w:rsidRDefault="009F380F" w:rsidP="009F380F"/>
    <w:p w14:paraId="37605425" w14:textId="77777777" w:rsidR="00F71B75" w:rsidRDefault="00F71B75" w:rsidP="009F380F">
      <w:r>
        <w:t>From our engagement across the sector, we identified the following factors as central to delivering high-quality HCSS and underpinning a robust future market for HCSS:</w:t>
      </w:r>
    </w:p>
    <w:p w14:paraId="0588F32D" w14:textId="77777777" w:rsidR="00F71B75" w:rsidRPr="009F380F" w:rsidRDefault="00F71B75" w:rsidP="009F380F">
      <w:pPr>
        <w:pStyle w:val="Bullet"/>
      </w:pPr>
      <w:r w:rsidRPr="009F380F">
        <w:t>being financially sustainable</w:t>
      </w:r>
    </w:p>
    <w:p w14:paraId="71E5AFC1" w14:textId="77777777" w:rsidR="00F71B75" w:rsidRPr="009F380F" w:rsidRDefault="00F71B75" w:rsidP="009F380F">
      <w:pPr>
        <w:pStyle w:val="Bullet"/>
      </w:pPr>
      <w:r w:rsidRPr="009F380F">
        <w:t>being innovative and flexible</w:t>
      </w:r>
    </w:p>
    <w:p w14:paraId="139477FA" w14:textId="77777777" w:rsidR="00F71B75" w:rsidRPr="009F380F" w:rsidRDefault="00F71B75" w:rsidP="009F380F">
      <w:pPr>
        <w:pStyle w:val="Bullet"/>
      </w:pPr>
      <w:r w:rsidRPr="009F380F">
        <w:t>meeting the needs of individuals and populations in the ways they want</w:t>
      </w:r>
    </w:p>
    <w:p w14:paraId="41CB64D9" w14:textId="77777777" w:rsidR="00F71B75" w:rsidRPr="009F380F" w:rsidRDefault="00F71B75" w:rsidP="009F380F">
      <w:pPr>
        <w:pStyle w:val="Bullet"/>
      </w:pPr>
      <w:r w:rsidRPr="009F380F">
        <w:t>recognising and providing for different levels of complexity and acuity</w:t>
      </w:r>
    </w:p>
    <w:p w14:paraId="32E8A70F" w14:textId="77777777" w:rsidR="00F71B75" w:rsidRPr="009F380F" w:rsidRDefault="00F71B75" w:rsidP="009F380F">
      <w:pPr>
        <w:pStyle w:val="Bullet"/>
      </w:pPr>
      <w:r w:rsidRPr="009F380F">
        <w:t>measuring effectiveness</w:t>
      </w:r>
    </w:p>
    <w:p w14:paraId="225DB634" w14:textId="77777777" w:rsidR="00F71B75" w:rsidRPr="009F380F" w:rsidRDefault="00F71B75" w:rsidP="009F380F">
      <w:pPr>
        <w:pStyle w:val="Bullet"/>
      </w:pPr>
      <w:r w:rsidRPr="009F380F">
        <w:t>showing evidence of continuous improvement strategies</w:t>
      </w:r>
    </w:p>
    <w:p w14:paraId="0023B4DF" w14:textId="77777777" w:rsidR="00F71B75" w:rsidRPr="009F380F" w:rsidRDefault="00F71B75" w:rsidP="009F380F">
      <w:pPr>
        <w:pStyle w:val="Bullet"/>
      </w:pPr>
      <w:r w:rsidRPr="009F380F">
        <w:t>giving providers as much funding certainty as possible</w:t>
      </w:r>
    </w:p>
    <w:p w14:paraId="74DE8987" w14:textId="77777777" w:rsidR="00F71B75" w:rsidRPr="009F380F" w:rsidRDefault="00F71B75" w:rsidP="009F380F">
      <w:pPr>
        <w:pStyle w:val="Bullet"/>
      </w:pPr>
      <w:r w:rsidRPr="009F380F">
        <w:t>having the mechanisms to integrate with other services</w:t>
      </w:r>
    </w:p>
    <w:p w14:paraId="184EFAEE" w14:textId="77777777" w:rsidR="00F71B75" w:rsidRPr="009F380F" w:rsidRDefault="00F71B75" w:rsidP="009F380F">
      <w:pPr>
        <w:pStyle w:val="Bullet"/>
      </w:pPr>
      <w:r w:rsidRPr="009F380F">
        <w:t xml:space="preserve">supporting workforce stability and sustainability. </w:t>
      </w:r>
    </w:p>
    <w:p w14:paraId="28FD3A21" w14:textId="77777777" w:rsidR="009F380F" w:rsidRDefault="009F380F" w:rsidP="009F380F"/>
    <w:p w14:paraId="15ABCA46" w14:textId="77777777" w:rsidR="00F71B75" w:rsidRDefault="00F71B75" w:rsidP="009F380F">
      <w:pPr>
        <w:rPr>
          <w:rFonts w:cstheme="minorHAnsi"/>
        </w:rPr>
      </w:pPr>
      <w:r>
        <w:t xml:space="preserve">The National Framework aims to bring these areas for improvement into the national context and provide further guidance on how to undertake more transformative changes. </w:t>
      </w:r>
    </w:p>
    <w:p w14:paraId="7A7BA170" w14:textId="77777777" w:rsidR="00F71B75" w:rsidRPr="003E4DE1" w:rsidRDefault="00F71B75" w:rsidP="00F71B75">
      <w:pPr>
        <w:pStyle w:val="Heading2"/>
      </w:pPr>
      <w:bookmarkStart w:id="19" w:name="_Toc35415773"/>
      <w:bookmarkStart w:id="20" w:name="_Toc36129208"/>
      <w:r w:rsidRPr="003E4DE1">
        <w:t xml:space="preserve">How </w:t>
      </w:r>
      <w:r>
        <w:t>we developed</w:t>
      </w:r>
      <w:r w:rsidRPr="003E4DE1">
        <w:t xml:space="preserve"> the National Framework</w:t>
      </w:r>
      <w:bookmarkEnd w:id="19"/>
      <w:bookmarkEnd w:id="20"/>
    </w:p>
    <w:p w14:paraId="73ED46DC" w14:textId="77777777" w:rsidR="00F71B75" w:rsidRDefault="00F71B75" w:rsidP="009F380F">
      <w:r>
        <w:t>In developing this</w:t>
      </w:r>
      <w:r w:rsidRPr="00576D96">
        <w:t xml:space="preserve"> National Framework</w:t>
      </w:r>
      <w:r>
        <w:t xml:space="preserve">, we drew on information from the latest literature, and recent local and international experiences of changes in these services. We also engaged with key stakeholders in the HCSS sector, which </w:t>
      </w:r>
      <w:r w:rsidRPr="00576D96">
        <w:t>includ</w:t>
      </w:r>
      <w:r>
        <w:t>ed engaging with</w:t>
      </w:r>
      <w:r w:rsidRPr="00576D96">
        <w:t xml:space="preserve"> older people and their</w:t>
      </w:r>
      <w:r>
        <w:t xml:space="preserve"> families and</w:t>
      </w:r>
      <w:r w:rsidRPr="00576D96">
        <w:t xml:space="preserve"> whānau</w:t>
      </w:r>
      <w:r>
        <w:t>.</w:t>
      </w:r>
    </w:p>
    <w:p w14:paraId="70C46BD1" w14:textId="77777777" w:rsidR="009F380F" w:rsidRDefault="009F380F" w:rsidP="009F380F"/>
    <w:p w14:paraId="3A69218B" w14:textId="77777777" w:rsidR="00F71B75" w:rsidRDefault="00F71B75" w:rsidP="009F380F">
      <w:r>
        <w:t>In June 2017, clinicians, providers, unions, funders and other stakeholders took part in a national workshop. This workshop helped to build relationships across the sector, build a common understanding of the concerns in the sector and shape the future direction of HCSS work.</w:t>
      </w:r>
    </w:p>
    <w:p w14:paraId="6E38ABA2" w14:textId="77777777" w:rsidR="009F380F" w:rsidRDefault="009F380F" w:rsidP="009F380F"/>
    <w:p w14:paraId="0F1D5366" w14:textId="77777777" w:rsidR="00F71B75" w:rsidRDefault="00F71B75" w:rsidP="009F380F">
      <w:r>
        <w:t xml:space="preserve">Regional workshops were held in early to mid-2018, along with two further workshops to ensure that Māori and Pacific voices were heard. Contributions to this National Framework also came from discussions with clinical and community representative bodies. We tested the vision and principles of a proposed national framework and asked for stakeholders’ thoughts about core components of good HCSS. Input from the workshops was rich and varied. </w:t>
      </w:r>
    </w:p>
    <w:p w14:paraId="7315391B" w14:textId="77777777" w:rsidR="009F380F" w:rsidRDefault="009F380F" w:rsidP="009F380F"/>
    <w:p w14:paraId="103CC4D6" w14:textId="77777777" w:rsidR="00F71B75" w:rsidRDefault="00F71B75" w:rsidP="009F380F">
      <w:r>
        <w:t xml:space="preserve">Section four summarises the key themes from the consultation. </w:t>
      </w:r>
    </w:p>
    <w:p w14:paraId="0657FB52" w14:textId="00571E66" w:rsidR="00F71B75" w:rsidRPr="003E4DE1" w:rsidRDefault="00F71B75" w:rsidP="00F71B75">
      <w:pPr>
        <w:pStyle w:val="Heading2"/>
      </w:pPr>
      <w:bookmarkStart w:id="21" w:name="_Toc35415774"/>
      <w:bookmarkStart w:id="22" w:name="_Toc36129209"/>
      <w:r w:rsidRPr="003E4DE1">
        <w:lastRenderedPageBreak/>
        <w:t xml:space="preserve">How </w:t>
      </w:r>
      <w:r>
        <w:t xml:space="preserve">we </w:t>
      </w:r>
      <w:r w:rsidRPr="003E4DE1">
        <w:t xml:space="preserve">will </w:t>
      </w:r>
      <w:r>
        <w:t xml:space="preserve">implement the </w:t>
      </w:r>
      <w:r w:rsidRPr="003E4DE1">
        <w:t>National Framework</w:t>
      </w:r>
      <w:bookmarkEnd w:id="21"/>
      <w:bookmarkEnd w:id="22"/>
    </w:p>
    <w:p w14:paraId="78512764" w14:textId="77777777" w:rsidR="00F71B75" w:rsidRDefault="00F71B75" w:rsidP="009F380F">
      <w:r>
        <w:t xml:space="preserve">Supporting the National Framework, a National Service Specification sets out the strategic direction and objectives, along with the care, quality and monitoring requirements that all DHBs are expected to meet by 2022 (see Table 1). </w:t>
      </w:r>
      <w:r w:rsidRPr="003108A7">
        <w:t xml:space="preserve">The </w:t>
      </w:r>
      <w:r>
        <w:t>N</w:t>
      </w:r>
      <w:r w:rsidRPr="003108A7">
        <w:t xml:space="preserve">ational </w:t>
      </w:r>
      <w:r>
        <w:t>F</w:t>
      </w:r>
      <w:r w:rsidRPr="003108A7">
        <w:t xml:space="preserve">ramework will be embedded into DHBs’ Nationwide Service Framework, specifically the Operating Policy Framework and </w:t>
      </w:r>
      <w:r>
        <w:t>Service Coverage Schedule.</w:t>
      </w:r>
    </w:p>
    <w:p w14:paraId="5C6126C8" w14:textId="081D3B3C" w:rsidR="00F71B75" w:rsidRPr="009F380F" w:rsidRDefault="009F380F" w:rsidP="00F056BB">
      <w:pPr>
        <w:pStyle w:val="Caption"/>
        <w:spacing w:after="120"/>
      </w:pPr>
      <w:r w:rsidRPr="009F380F">
        <w:t xml:space="preserve">Table </w:t>
      </w:r>
      <w:r w:rsidR="005F0AE6">
        <w:fldChar w:fldCharType="begin"/>
      </w:r>
      <w:r w:rsidR="005F0AE6">
        <w:instrText xml:space="preserve"> SEQ Table \* ARABIC </w:instrText>
      </w:r>
      <w:r w:rsidR="005F0AE6">
        <w:fldChar w:fldCharType="separate"/>
      </w:r>
      <w:r w:rsidR="005F0AE6">
        <w:rPr>
          <w:noProof/>
        </w:rPr>
        <w:t>1</w:t>
      </w:r>
      <w:r w:rsidR="005F0AE6">
        <w:rPr>
          <w:noProof/>
        </w:rPr>
        <w:fldChar w:fldCharType="end"/>
      </w:r>
      <w:r w:rsidRPr="009F380F">
        <w:t xml:space="preserve">: </w:t>
      </w:r>
      <w:r w:rsidR="00F71B75" w:rsidRPr="009F380F">
        <w:t>Systems to implement the national framework</w:t>
      </w:r>
    </w:p>
    <w:tbl>
      <w:tblPr>
        <w:tblStyle w:val="TableGrid"/>
        <w:tblW w:w="836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6413"/>
      </w:tblGrid>
      <w:tr w:rsidR="00F71B75" w:rsidRPr="003108A7" w14:paraId="4D58891E" w14:textId="77777777" w:rsidTr="00F056BB">
        <w:trPr>
          <w:tblHeader/>
        </w:trPr>
        <w:tc>
          <w:tcPr>
            <w:tcW w:w="1951" w:type="dxa"/>
            <w:tcBorders>
              <w:top w:val="nil"/>
              <w:bottom w:val="nil"/>
              <w:right w:val="nil"/>
            </w:tcBorders>
            <w:shd w:val="clear" w:color="auto" w:fill="D9D9D9" w:themeFill="background1" w:themeFillShade="D9"/>
          </w:tcPr>
          <w:p w14:paraId="16199F73" w14:textId="77777777" w:rsidR="00F71B75" w:rsidRPr="003108A7" w:rsidRDefault="00F71B75" w:rsidP="00F056BB">
            <w:pPr>
              <w:pStyle w:val="Table"/>
            </w:pPr>
            <w:r w:rsidRPr="003108A7">
              <w:t>System</w:t>
            </w:r>
          </w:p>
        </w:tc>
        <w:tc>
          <w:tcPr>
            <w:tcW w:w="6413" w:type="dxa"/>
            <w:tcBorders>
              <w:top w:val="nil"/>
              <w:left w:val="nil"/>
              <w:bottom w:val="nil"/>
            </w:tcBorders>
            <w:shd w:val="clear" w:color="auto" w:fill="D9D9D9" w:themeFill="background1" w:themeFillShade="D9"/>
          </w:tcPr>
          <w:p w14:paraId="7006BB9E" w14:textId="77777777" w:rsidR="00F71B75" w:rsidRPr="003108A7" w:rsidRDefault="00F71B75" w:rsidP="00F056BB">
            <w:pPr>
              <w:pStyle w:val="Table"/>
            </w:pPr>
            <w:r w:rsidRPr="003108A7">
              <w:t>Detail</w:t>
            </w:r>
          </w:p>
        </w:tc>
      </w:tr>
      <w:tr w:rsidR="00F71B75" w:rsidRPr="003108A7" w14:paraId="72F38FC7" w14:textId="77777777" w:rsidTr="00F056BB">
        <w:trPr>
          <w:trHeight w:val="449"/>
        </w:trPr>
        <w:tc>
          <w:tcPr>
            <w:tcW w:w="1951" w:type="dxa"/>
            <w:tcBorders>
              <w:top w:val="nil"/>
            </w:tcBorders>
          </w:tcPr>
          <w:p w14:paraId="58913351" w14:textId="77777777" w:rsidR="00F71B75" w:rsidRPr="003108A7" w:rsidRDefault="00F71B75" w:rsidP="00F056BB">
            <w:pPr>
              <w:pStyle w:val="TableText"/>
            </w:pPr>
            <w:r w:rsidRPr="003108A7">
              <w:t xml:space="preserve">National </w:t>
            </w:r>
            <w:r>
              <w:t>r</w:t>
            </w:r>
            <w:r w:rsidRPr="003108A7">
              <w:t>equirements</w:t>
            </w:r>
          </w:p>
        </w:tc>
        <w:tc>
          <w:tcPr>
            <w:tcW w:w="6413" w:type="dxa"/>
            <w:tcBorders>
              <w:top w:val="nil"/>
            </w:tcBorders>
          </w:tcPr>
          <w:p w14:paraId="556A8816" w14:textId="77777777" w:rsidR="00F71B75" w:rsidRPr="003108A7" w:rsidRDefault="00F71B75" w:rsidP="00F056BB">
            <w:pPr>
              <w:pStyle w:val="TableText"/>
            </w:pPr>
            <w:r w:rsidRPr="003108A7">
              <w:t>Outlined in Service Coverage Schedule</w:t>
            </w:r>
            <w:r>
              <w:t>.</w:t>
            </w:r>
            <w:r w:rsidRPr="003108A7">
              <w:t xml:space="preserve"> </w:t>
            </w:r>
          </w:p>
        </w:tc>
      </w:tr>
      <w:tr w:rsidR="00F71B75" w:rsidRPr="003108A7" w14:paraId="140C8E09" w14:textId="77777777" w:rsidTr="00F056BB">
        <w:tc>
          <w:tcPr>
            <w:tcW w:w="1951" w:type="dxa"/>
          </w:tcPr>
          <w:p w14:paraId="04DFB2B1" w14:textId="77777777" w:rsidR="00F71B75" w:rsidRPr="003108A7" w:rsidRDefault="00F71B75" w:rsidP="00F056BB">
            <w:pPr>
              <w:pStyle w:val="TableText"/>
            </w:pPr>
            <w:r w:rsidRPr="003108A7">
              <w:t>Contractual</w:t>
            </w:r>
          </w:p>
        </w:tc>
        <w:tc>
          <w:tcPr>
            <w:tcW w:w="6413" w:type="dxa"/>
          </w:tcPr>
          <w:p w14:paraId="14D6EB46" w14:textId="77777777" w:rsidR="00F71B75" w:rsidRPr="003108A7" w:rsidRDefault="00F71B75" w:rsidP="00F056BB">
            <w:pPr>
              <w:pStyle w:val="TableText"/>
            </w:pPr>
            <w:r w:rsidRPr="003108A7">
              <w:t xml:space="preserve">Each DHB develops own contract/s.  </w:t>
            </w:r>
          </w:p>
        </w:tc>
      </w:tr>
      <w:tr w:rsidR="00F71B75" w:rsidRPr="003108A7" w14:paraId="349D7610" w14:textId="77777777" w:rsidTr="00F056BB">
        <w:tc>
          <w:tcPr>
            <w:tcW w:w="1951" w:type="dxa"/>
          </w:tcPr>
          <w:p w14:paraId="40B1AC30" w14:textId="77777777" w:rsidR="00F71B75" w:rsidRPr="003108A7" w:rsidRDefault="00F71B75" w:rsidP="00F056BB">
            <w:pPr>
              <w:pStyle w:val="TableText"/>
            </w:pPr>
            <w:r w:rsidRPr="003108A7">
              <w:t xml:space="preserve">Service </w:t>
            </w:r>
            <w:r>
              <w:t>s</w:t>
            </w:r>
            <w:r w:rsidRPr="003108A7">
              <w:t>pecifications</w:t>
            </w:r>
          </w:p>
        </w:tc>
        <w:tc>
          <w:tcPr>
            <w:tcW w:w="6413" w:type="dxa"/>
          </w:tcPr>
          <w:p w14:paraId="7B277AC3" w14:textId="77777777" w:rsidR="00F71B75" w:rsidRPr="003108A7" w:rsidRDefault="00F71B75" w:rsidP="00F056BB">
            <w:pPr>
              <w:pStyle w:val="TableText"/>
            </w:pPr>
            <w:r w:rsidRPr="003108A7">
              <w:t>National Services Framework Library holds</w:t>
            </w:r>
            <w:r w:rsidRPr="003108A7">
              <w:rPr>
                <w:rFonts w:cs="Arial"/>
                <w:color w:val="000000"/>
              </w:rPr>
              <w:t xml:space="preserve"> </w:t>
            </w:r>
            <w:r>
              <w:rPr>
                <w:rFonts w:cs="Arial"/>
                <w:color w:val="000000"/>
              </w:rPr>
              <w:t xml:space="preserve">the </w:t>
            </w:r>
            <w:r w:rsidRPr="003108A7">
              <w:rPr>
                <w:rFonts w:cs="Arial"/>
                <w:color w:val="000000"/>
              </w:rPr>
              <w:t xml:space="preserve">Tier One Community </w:t>
            </w:r>
            <w:r w:rsidRPr="003108A7">
              <w:t>Health, Transitional and Support Services service specification</w:t>
            </w:r>
            <w:r>
              <w:t xml:space="preserve"> and the Tier Two National Service Specification for Home and Community Support Services.</w:t>
            </w:r>
          </w:p>
        </w:tc>
      </w:tr>
      <w:tr w:rsidR="00F71B75" w:rsidRPr="003108A7" w14:paraId="62C13BEE" w14:textId="77777777" w:rsidTr="00F056BB">
        <w:tc>
          <w:tcPr>
            <w:tcW w:w="1951" w:type="dxa"/>
          </w:tcPr>
          <w:p w14:paraId="17C71AF5" w14:textId="77777777" w:rsidR="00F71B75" w:rsidRPr="003108A7" w:rsidRDefault="00F71B75" w:rsidP="00F056BB">
            <w:pPr>
              <w:pStyle w:val="TableText"/>
            </w:pPr>
            <w:r w:rsidRPr="003108A7">
              <w:t>Regulatory</w:t>
            </w:r>
          </w:p>
        </w:tc>
        <w:tc>
          <w:tcPr>
            <w:tcW w:w="6413" w:type="dxa"/>
          </w:tcPr>
          <w:p w14:paraId="4C61E5FF" w14:textId="77777777" w:rsidR="00F71B75" w:rsidRPr="003108A7" w:rsidRDefault="00F71B75" w:rsidP="00F056BB">
            <w:pPr>
              <w:pStyle w:val="TableText"/>
            </w:pPr>
            <w:r w:rsidRPr="003108A7">
              <w:t>No legislative regulatory framework or requirements</w:t>
            </w:r>
            <w:r>
              <w:t>.</w:t>
            </w:r>
            <w:r w:rsidRPr="003108A7">
              <w:t xml:space="preserve"> </w:t>
            </w:r>
          </w:p>
        </w:tc>
      </w:tr>
      <w:tr w:rsidR="00F71B75" w:rsidRPr="003108A7" w14:paraId="7A99A3FA" w14:textId="77777777" w:rsidTr="00F056BB">
        <w:tc>
          <w:tcPr>
            <w:tcW w:w="1951" w:type="dxa"/>
          </w:tcPr>
          <w:p w14:paraId="2A250090" w14:textId="77777777" w:rsidR="00F71B75" w:rsidRPr="003108A7" w:rsidRDefault="00F71B75" w:rsidP="00F056BB">
            <w:pPr>
              <w:pStyle w:val="TableText"/>
            </w:pPr>
            <w:r w:rsidRPr="003108A7">
              <w:t>Standards</w:t>
            </w:r>
          </w:p>
        </w:tc>
        <w:tc>
          <w:tcPr>
            <w:tcW w:w="6413" w:type="dxa"/>
          </w:tcPr>
          <w:p w14:paraId="68936BC0" w14:textId="77777777" w:rsidR="00F71B75" w:rsidRPr="003108A7" w:rsidRDefault="00F71B75" w:rsidP="00F056BB">
            <w:pPr>
              <w:pStyle w:val="TableText"/>
            </w:pPr>
            <w:r w:rsidRPr="003108A7">
              <w:t>Home and Community Support Sector Standard NZS8158</w:t>
            </w:r>
            <w:r>
              <w:t>:</w:t>
            </w:r>
            <w:r w:rsidRPr="003108A7">
              <w:t>2012</w:t>
            </w:r>
            <w:r>
              <w:t xml:space="preserve">. </w:t>
            </w:r>
            <w:r w:rsidRPr="003108A7">
              <w:t>DHBs have agreed to include a requirement for audit against these in HCSS contracts. Audit reports are available to funders through HealthC</w:t>
            </w:r>
            <w:r>
              <w:t>ERT</w:t>
            </w:r>
            <w:r w:rsidRPr="003108A7">
              <w:t xml:space="preserve">.  </w:t>
            </w:r>
          </w:p>
        </w:tc>
      </w:tr>
      <w:tr w:rsidR="00F71B75" w:rsidRPr="003108A7" w14:paraId="7E4AE1AC" w14:textId="77777777" w:rsidTr="00F056BB">
        <w:tc>
          <w:tcPr>
            <w:tcW w:w="1951" w:type="dxa"/>
          </w:tcPr>
          <w:p w14:paraId="733497FE" w14:textId="77777777" w:rsidR="00F71B75" w:rsidRPr="003108A7" w:rsidRDefault="00F71B75" w:rsidP="00F056BB">
            <w:pPr>
              <w:pStyle w:val="TableText"/>
            </w:pPr>
            <w:r w:rsidRPr="003108A7">
              <w:t>Access to services</w:t>
            </w:r>
          </w:p>
        </w:tc>
        <w:tc>
          <w:tcPr>
            <w:tcW w:w="6413" w:type="dxa"/>
          </w:tcPr>
          <w:p w14:paraId="43B7D3F3" w14:textId="77777777" w:rsidR="00F71B75" w:rsidRPr="003108A7" w:rsidRDefault="00F71B75" w:rsidP="00F056BB">
            <w:pPr>
              <w:pStyle w:val="TableText"/>
            </w:pPr>
            <w:r>
              <w:t>A</w:t>
            </w:r>
            <w:r w:rsidRPr="003108A7">
              <w:t xml:space="preserve"> needs assess</w:t>
            </w:r>
            <w:r>
              <w:t xml:space="preserve">ment </w:t>
            </w:r>
            <w:r w:rsidRPr="003108A7">
              <w:t xml:space="preserve">using </w:t>
            </w:r>
            <w:r>
              <w:t xml:space="preserve">an </w:t>
            </w:r>
            <w:r w:rsidRPr="003108A7">
              <w:t>interRAI</w:t>
            </w:r>
            <w:r>
              <w:t xml:space="preserve"> assessment.</w:t>
            </w:r>
          </w:p>
        </w:tc>
      </w:tr>
      <w:tr w:rsidR="00F71B75" w:rsidRPr="003108A7" w14:paraId="5A8BCAB6" w14:textId="77777777" w:rsidTr="00F056BB">
        <w:tc>
          <w:tcPr>
            <w:tcW w:w="1951" w:type="dxa"/>
          </w:tcPr>
          <w:p w14:paraId="19C07FDE" w14:textId="77777777" w:rsidR="00F71B75" w:rsidRPr="003108A7" w:rsidRDefault="00F71B75" w:rsidP="00F056BB">
            <w:pPr>
              <w:pStyle w:val="TableText"/>
            </w:pPr>
            <w:r w:rsidRPr="003108A7">
              <w:t>E</w:t>
            </w:r>
            <w:r>
              <w:t>ligibility</w:t>
            </w:r>
          </w:p>
        </w:tc>
        <w:tc>
          <w:tcPr>
            <w:tcW w:w="6413" w:type="dxa"/>
          </w:tcPr>
          <w:p w14:paraId="08F62F35" w14:textId="77777777" w:rsidR="00F71B75" w:rsidRPr="003108A7" w:rsidRDefault="00F71B75" w:rsidP="00F056BB">
            <w:pPr>
              <w:pStyle w:val="TableText"/>
            </w:pPr>
            <w:r w:rsidRPr="003108A7">
              <w:t xml:space="preserve">Must have </w:t>
            </w:r>
            <w:r>
              <w:t xml:space="preserve">needs for HCSS </w:t>
            </w:r>
            <w:r w:rsidRPr="003108A7">
              <w:t xml:space="preserve">identified </w:t>
            </w:r>
            <w:r>
              <w:t>through an interRAI needs assessment</w:t>
            </w:r>
            <w:r w:rsidRPr="003108A7">
              <w:t xml:space="preserve">:  </w:t>
            </w:r>
          </w:p>
          <w:p w14:paraId="677DC9A3" w14:textId="77777777" w:rsidR="00F71B75" w:rsidRPr="003108A7" w:rsidRDefault="00F71B75" w:rsidP="00F056BB">
            <w:pPr>
              <w:pStyle w:val="TableBullet"/>
            </w:pPr>
            <w:r w:rsidRPr="003108A7">
              <w:t xml:space="preserve">Personal care – services </w:t>
            </w:r>
            <w:r>
              <w:t>have no charge to the client.</w:t>
            </w:r>
          </w:p>
          <w:p w14:paraId="5FAD53B2" w14:textId="77777777" w:rsidR="00F71B75" w:rsidRDefault="00F71B75" w:rsidP="00F056BB">
            <w:pPr>
              <w:pStyle w:val="TableBullet"/>
            </w:pPr>
            <w:r w:rsidRPr="003108A7">
              <w:t xml:space="preserve">Household management – services </w:t>
            </w:r>
            <w:r>
              <w:t>that have no charge</w:t>
            </w:r>
            <w:r w:rsidRPr="003108A7">
              <w:t xml:space="preserve"> to Community Services Card (CSC) holders. </w:t>
            </w:r>
            <w:r>
              <w:t>People who do not have a</w:t>
            </w:r>
            <w:r w:rsidRPr="003108A7">
              <w:t xml:space="preserve"> CSC may be required to contribute.  </w:t>
            </w:r>
          </w:p>
          <w:p w14:paraId="1770B992" w14:textId="77777777" w:rsidR="00F71B75" w:rsidRPr="003108A7" w:rsidRDefault="00F71B75" w:rsidP="00F056BB">
            <w:pPr>
              <w:pStyle w:val="TableText"/>
            </w:pPr>
            <w:r>
              <w:t>May include support, clinical and coordination services on a DHB-by-DHB basis.</w:t>
            </w:r>
          </w:p>
        </w:tc>
      </w:tr>
    </w:tbl>
    <w:p w14:paraId="3FEC9C8E" w14:textId="77777777" w:rsidR="00F71B75" w:rsidRPr="003E4DE1" w:rsidRDefault="00F71B75" w:rsidP="00F71B75">
      <w:pPr>
        <w:pStyle w:val="Heading2"/>
      </w:pPr>
      <w:bookmarkStart w:id="23" w:name="_Toc35415775"/>
      <w:bookmarkStart w:id="24" w:name="_Toc36129210"/>
      <w:r w:rsidRPr="003E4DE1">
        <w:t xml:space="preserve">When </w:t>
      </w:r>
      <w:r>
        <w:t xml:space="preserve">we </w:t>
      </w:r>
      <w:r w:rsidRPr="003E4DE1">
        <w:t>will</w:t>
      </w:r>
      <w:r>
        <w:t xml:space="preserve"> implement</w:t>
      </w:r>
      <w:r w:rsidRPr="003E4DE1">
        <w:t xml:space="preserve"> the National Framework</w:t>
      </w:r>
      <w:bookmarkEnd w:id="23"/>
      <w:bookmarkEnd w:id="24"/>
    </w:p>
    <w:p w14:paraId="733ED7C3" w14:textId="77777777" w:rsidR="00F71B75" w:rsidRDefault="00F71B75" w:rsidP="009F380F">
      <w:r>
        <w:t xml:space="preserve">When we introduce the National Framework will depend on when DHBs’ and providers’ contracts come up for renewal. Some districts will be able to begin implementing changes more quickly as contracts with their HCSS providers come up for renewal; others will have to wait longer for contracting rounds to come up.  </w:t>
      </w:r>
    </w:p>
    <w:p w14:paraId="4CE84E6C" w14:textId="77777777" w:rsidR="009F380F" w:rsidRDefault="009F380F" w:rsidP="009F380F"/>
    <w:p w14:paraId="0715655F" w14:textId="77777777" w:rsidR="00F71B75" w:rsidRPr="00E23784" w:rsidRDefault="00F71B75" w:rsidP="009F380F">
      <w:r>
        <w:t xml:space="preserve">For DHBs that are already delivering the core components, shifting to this framework will be relatively easy. For others, moving from a fee-for-service model to a case-mix model may be more costly and will require slower implementation. </w:t>
      </w:r>
      <w:r w:rsidRPr="000321DF">
        <w:t xml:space="preserve">The National Framework sets the direction, but how it is implemented will be up to DHBs, as guided through the </w:t>
      </w:r>
      <w:r w:rsidRPr="000321DF">
        <w:lastRenderedPageBreak/>
        <w:t xml:space="preserve">National Service Specification. </w:t>
      </w:r>
      <w:r>
        <w:t>The pace of i</w:t>
      </w:r>
      <w:r w:rsidRPr="007B3C0E">
        <w:t>mplementation will vary depending on</w:t>
      </w:r>
      <w:r w:rsidRPr="00F64AB7">
        <w:t xml:space="preserve"> </w:t>
      </w:r>
      <w:r>
        <w:t>what</w:t>
      </w:r>
      <w:r w:rsidRPr="00106EC0">
        <w:t xml:space="preserve"> </w:t>
      </w:r>
      <w:r>
        <w:t>DHBs need to address locally</w:t>
      </w:r>
      <w:r w:rsidRPr="00106EC0">
        <w:t xml:space="preserve"> and </w:t>
      </w:r>
      <w:r>
        <w:t>what needs and supports</w:t>
      </w:r>
      <w:r w:rsidRPr="00106EC0">
        <w:t xml:space="preserve"> the wider system addresses. Other components of this framework </w:t>
      </w:r>
      <w:r>
        <w:t xml:space="preserve">rely </w:t>
      </w:r>
      <w:r w:rsidRPr="00106EC0">
        <w:t xml:space="preserve">on broader </w:t>
      </w:r>
      <w:r>
        <w:t xml:space="preserve">needs to be addressed across </w:t>
      </w:r>
      <w:r w:rsidRPr="00106EC0">
        <w:t>DHBs</w:t>
      </w:r>
      <w:r>
        <w:t>,</w:t>
      </w:r>
      <w:r w:rsidRPr="00106EC0">
        <w:t xml:space="preserve"> such as the </w:t>
      </w:r>
      <w:r>
        <w:t xml:space="preserve">need to </w:t>
      </w:r>
      <w:r w:rsidRPr="00106EC0">
        <w:t xml:space="preserve">establish shared care platforms across the country. </w:t>
      </w:r>
    </w:p>
    <w:p w14:paraId="5ADEA2B6" w14:textId="77777777" w:rsidR="00F71B75" w:rsidRDefault="00F71B75" w:rsidP="00F71B75">
      <w:pPr>
        <w:rPr>
          <w:rFonts w:cstheme="minorHAnsi"/>
        </w:rPr>
      </w:pPr>
      <w:r>
        <w:rPr>
          <w:rFonts w:cstheme="minorHAnsi"/>
        </w:rPr>
        <w:br w:type="page"/>
      </w:r>
    </w:p>
    <w:p w14:paraId="2A14F89C" w14:textId="77777777" w:rsidR="00F71B75" w:rsidRDefault="00F71B75" w:rsidP="00F71B75">
      <w:pPr>
        <w:pStyle w:val="Heading1"/>
      </w:pPr>
      <w:bookmarkStart w:id="25" w:name="_Toc35415776"/>
      <w:bookmarkStart w:id="26" w:name="_Toc36129211"/>
      <w:r w:rsidRPr="003E4DE1">
        <w:lastRenderedPageBreak/>
        <w:t xml:space="preserve">Section </w:t>
      </w:r>
      <w:r>
        <w:t>t</w:t>
      </w:r>
      <w:r w:rsidRPr="003E4DE1">
        <w:t xml:space="preserve">wo: Vision and </w:t>
      </w:r>
      <w:r>
        <w:t>k</w:t>
      </w:r>
      <w:r w:rsidRPr="003E4DE1">
        <w:t xml:space="preserve">ey </w:t>
      </w:r>
      <w:r>
        <w:t>p</w:t>
      </w:r>
      <w:r w:rsidRPr="003E4DE1">
        <w:t>rinciples of the National Framework</w:t>
      </w:r>
      <w:bookmarkEnd w:id="25"/>
      <w:bookmarkEnd w:id="26"/>
    </w:p>
    <w:p w14:paraId="01924002" w14:textId="77777777" w:rsidR="00F71B75" w:rsidRPr="009F380F" w:rsidRDefault="00F71B75" w:rsidP="009F380F">
      <w:pPr>
        <w:pStyle w:val="Heading2"/>
      </w:pPr>
      <w:bookmarkStart w:id="27" w:name="_Toc35415777"/>
      <w:bookmarkStart w:id="28" w:name="_Toc36129212"/>
      <w:r w:rsidRPr="009F380F">
        <w:t>Vision for home and community support services</w:t>
      </w:r>
      <w:bookmarkEnd w:id="27"/>
      <w:bookmarkEnd w:id="28"/>
    </w:p>
    <w:p w14:paraId="62AE3D34" w14:textId="77777777" w:rsidR="00F71B75" w:rsidRPr="009F380F" w:rsidRDefault="00F71B75" w:rsidP="009F380F">
      <w:pPr>
        <w:rPr>
          <w:b/>
        </w:rPr>
      </w:pPr>
      <w:r w:rsidRPr="009F380F">
        <w:rPr>
          <w:b/>
        </w:rPr>
        <w:t>High-quality services that flexibly meet the needs of individuals, are person-, family- and whānau-focused and culturally appropriate, are sustainable over time, and are delivered by a competent, skilled, well-trained workforce.</w:t>
      </w:r>
    </w:p>
    <w:p w14:paraId="516EE1BC" w14:textId="77777777" w:rsidR="009F380F" w:rsidRDefault="009F380F" w:rsidP="009F380F">
      <w:pPr>
        <w:rPr>
          <w:rFonts w:cstheme="minorHAnsi"/>
        </w:rPr>
      </w:pPr>
    </w:p>
    <w:p w14:paraId="25D6D98B" w14:textId="77777777" w:rsidR="00F71B75" w:rsidRDefault="00F71B75" w:rsidP="009F380F">
      <w:pPr>
        <w:rPr>
          <w:rFonts w:cstheme="minorHAnsi"/>
        </w:rPr>
      </w:pPr>
      <w:r w:rsidRPr="00375104">
        <w:rPr>
          <w:rFonts w:cstheme="minorHAnsi"/>
        </w:rPr>
        <w:t>HCSS</w:t>
      </w:r>
      <w:r>
        <w:rPr>
          <w:rFonts w:cstheme="minorHAnsi"/>
        </w:rPr>
        <w:t xml:space="preserve"> should </w:t>
      </w:r>
      <w:r w:rsidRPr="00375104">
        <w:rPr>
          <w:rFonts w:cstheme="minorHAnsi"/>
        </w:rPr>
        <w:t xml:space="preserve">focus on understanding the individual needs of each </w:t>
      </w:r>
      <w:r>
        <w:rPr>
          <w:rFonts w:cstheme="minorHAnsi"/>
        </w:rPr>
        <w:t>older person and their family and whānau,</w:t>
      </w:r>
      <w:r w:rsidRPr="00375104">
        <w:rPr>
          <w:rFonts w:cstheme="minorHAnsi"/>
        </w:rPr>
        <w:t xml:space="preserve"> and </w:t>
      </w:r>
      <w:r>
        <w:rPr>
          <w:rFonts w:cstheme="minorHAnsi"/>
        </w:rPr>
        <w:t xml:space="preserve">on </w:t>
      </w:r>
      <w:r w:rsidRPr="00375104">
        <w:rPr>
          <w:rFonts w:cstheme="minorHAnsi"/>
        </w:rPr>
        <w:t>goals</w:t>
      </w:r>
      <w:r w:rsidRPr="00BE076D">
        <w:rPr>
          <w:rFonts w:cstheme="minorHAnsi"/>
        </w:rPr>
        <w:t xml:space="preserve"> </w:t>
      </w:r>
      <w:r w:rsidRPr="00375104">
        <w:rPr>
          <w:rFonts w:cstheme="minorHAnsi"/>
        </w:rPr>
        <w:t>centred</w:t>
      </w:r>
      <w:r>
        <w:rPr>
          <w:rFonts w:cstheme="minorHAnsi"/>
        </w:rPr>
        <w:t xml:space="preserve"> on the </w:t>
      </w:r>
      <w:r w:rsidRPr="00375104">
        <w:rPr>
          <w:rFonts w:cstheme="minorHAnsi"/>
        </w:rPr>
        <w:t>person</w:t>
      </w:r>
      <w:r>
        <w:rPr>
          <w:rFonts w:cstheme="minorHAnsi"/>
        </w:rPr>
        <w:t>,</w:t>
      </w:r>
      <w:r w:rsidRPr="00375104">
        <w:rPr>
          <w:rFonts w:cstheme="minorHAnsi"/>
        </w:rPr>
        <w:t xml:space="preserve"> </w:t>
      </w:r>
      <w:r>
        <w:rPr>
          <w:rFonts w:cstheme="minorHAnsi"/>
        </w:rPr>
        <w:t xml:space="preserve">with the </w:t>
      </w:r>
      <w:r w:rsidRPr="00375104">
        <w:rPr>
          <w:rFonts w:cstheme="minorHAnsi"/>
        </w:rPr>
        <w:t>aim</w:t>
      </w:r>
      <w:r>
        <w:rPr>
          <w:rFonts w:cstheme="minorHAnsi"/>
        </w:rPr>
        <w:t xml:space="preserve"> of</w:t>
      </w:r>
      <w:r w:rsidRPr="00375104">
        <w:rPr>
          <w:rFonts w:cstheme="minorHAnsi"/>
        </w:rPr>
        <w:t xml:space="preserve"> maximi</w:t>
      </w:r>
      <w:r>
        <w:rPr>
          <w:rFonts w:cstheme="minorHAnsi"/>
        </w:rPr>
        <w:t>s</w:t>
      </w:r>
      <w:r w:rsidRPr="00375104">
        <w:rPr>
          <w:rFonts w:cstheme="minorHAnsi"/>
        </w:rPr>
        <w:t xml:space="preserve">ing and maintaining </w:t>
      </w:r>
      <w:r>
        <w:rPr>
          <w:rFonts w:cstheme="minorHAnsi"/>
        </w:rPr>
        <w:t xml:space="preserve">the older person’s </w:t>
      </w:r>
      <w:r w:rsidRPr="00375104">
        <w:rPr>
          <w:rFonts w:cstheme="minorHAnsi"/>
        </w:rPr>
        <w:t xml:space="preserve">independence for as long as possible. The </w:t>
      </w:r>
      <w:r>
        <w:rPr>
          <w:rFonts w:cstheme="minorHAnsi"/>
        </w:rPr>
        <w:t>older person must be</w:t>
      </w:r>
      <w:r w:rsidRPr="00375104">
        <w:rPr>
          <w:rFonts w:cstheme="minorHAnsi"/>
        </w:rPr>
        <w:t xml:space="preserve"> an active participant in planning their care, setting their own goals and </w:t>
      </w:r>
      <w:r>
        <w:rPr>
          <w:rFonts w:cstheme="minorHAnsi"/>
        </w:rPr>
        <w:t>identifying</w:t>
      </w:r>
      <w:r w:rsidRPr="00375104">
        <w:rPr>
          <w:rFonts w:cstheme="minorHAnsi"/>
        </w:rPr>
        <w:t xml:space="preserve"> a range of possible services that could support them. </w:t>
      </w:r>
      <w:r>
        <w:rPr>
          <w:rFonts w:cstheme="minorHAnsi"/>
        </w:rPr>
        <w:t>HCSS must be</w:t>
      </w:r>
      <w:r w:rsidRPr="00375104">
        <w:rPr>
          <w:rFonts w:cstheme="minorHAnsi"/>
        </w:rPr>
        <w:t xml:space="preserve"> </w:t>
      </w:r>
      <w:r w:rsidRPr="001A0EC4">
        <w:rPr>
          <w:rFonts w:cstheme="minorHAnsi"/>
        </w:rPr>
        <w:t>flexible,</w:t>
      </w:r>
      <w:r w:rsidRPr="00375104">
        <w:rPr>
          <w:rFonts w:cstheme="minorHAnsi"/>
        </w:rPr>
        <w:t xml:space="preserve"> allowing the </w:t>
      </w:r>
      <w:r>
        <w:rPr>
          <w:rFonts w:cstheme="minorHAnsi"/>
        </w:rPr>
        <w:t>support worker</w:t>
      </w:r>
      <w:r w:rsidRPr="00375104">
        <w:rPr>
          <w:rFonts w:cstheme="minorHAnsi"/>
        </w:rPr>
        <w:t xml:space="preserve"> to respond to </w:t>
      </w:r>
      <w:r>
        <w:rPr>
          <w:rFonts w:cstheme="minorHAnsi"/>
        </w:rPr>
        <w:t xml:space="preserve">the </w:t>
      </w:r>
      <w:r w:rsidRPr="00375104">
        <w:rPr>
          <w:rFonts w:cstheme="minorHAnsi"/>
        </w:rPr>
        <w:t xml:space="preserve">client’s individual needs as these needs change. </w:t>
      </w:r>
    </w:p>
    <w:p w14:paraId="3E6460B8" w14:textId="77777777" w:rsidR="009F380F" w:rsidRPr="00375104" w:rsidRDefault="009F380F" w:rsidP="009F380F">
      <w:pPr>
        <w:rPr>
          <w:rFonts w:cstheme="minorHAnsi"/>
        </w:rPr>
      </w:pPr>
    </w:p>
    <w:p w14:paraId="2BDF47AA" w14:textId="77777777" w:rsidR="00F71B75" w:rsidRDefault="00F71B75" w:rsidP="009F380F">
      <w:pPr>
        <w:rPr>
          <w:rFonts w:cstheme="minorHAnsi"/>
        </w:rPr>
      </w:pPr>
      <w:r>
        <w:rPr>
          <w:rFonts w:cstheme="minorHAnsi"/>
        </w:rPr>
        <w:t xml:space="preserve">The enabling approach underlying the National Framework aims to </w:t>
      </w:r>
      <w:r w:rsidRPr="00375104">
        <w:rPr>
          <w:rFonts w:cstheme="minorHAnsi"/>
        </w:rPr>
        <w:t>ensur</w:t>
      </w:r>
      <w:r>
        <w:rPr>
          <w:rFonts w:cstheme="minorHAnsi"/>
        </w:rPr>
        <w:t>e that</w:t>
      </w:r>
      <w:r w:rsidRPr="00375104">
        <w:rPr>
          <w:rFonts w:cstheme="minorHAnsi"/>
        </w:rPr>
        <w:t xml:space="preserve"> a comprehensive</w:t>
      </w:r>
      <w:r>
        <w:rPr>
          <w:rFonts w:cstheme="minorHAnsi"/>
        </w:rPr>
        <w:t xml:space="preserve"> and flexible</w:t>
      </w:r>
      <w:r w:rsidRPr="00375104">
        <w:rPr>
          <w:rFonts w:cstheme="minorHAnsi"/>
        </w:rPr>
        <w:t xml:space="preserve"> range of services</w:t>
      </w:r>
      <w:r>
        <w:rPr>
          <w:rFonts w:cstheme="minorHAnsi"/>
        </w:rPr>
        <w:t xml:space="preserve"> is available </w:t>
      </w:r>
      <w:r w:rsidRPr="00375104">
        <w:rPr>
          <w:rFonts w:cstheme="minorHAnsi"/>
        </w:rPr>
        <w:t>for older pe</w:t>
      </w:r>
      <w:r>
        <w:rPr>
          <w:rFonts w:cstheme="minorHAnsi"/>
        </w:rPr>
        <w:t>ople.</w:t>
      </w:r>
      <w:r w:rsidRPr="00BE076D">
        <w:rPr>
          <w:rFonts w:cstheme="minorHAnsi"/>
        </w:rPr>
        <w:t xml:space="preserve"> </w:t>
      </w:r>
      <w:r w:rsidRPr="00375104">
        <w:rPr>
          <w:rFonts w:cstheme="minorHAnsi"/>
        </w:rPr>
        <w:t xml:space="preserve">Appropriately skilled organisations and </w:t>
      </w:r>
      <w:r>
        <w:rPr>
          <w:rFonts w:cstheme="minorHAnsi"/>
        </w:rPr>
        <w:t>support worker</w:t>
      </w:r>
      <w:r w:rsidRPr="00375104">
        <w:rPr>
          <w:rFonts w:cstheme="minorHAnsi"/>
        </w:rPr>
        <w:t>s</w:t>
      </w:r>
      <w:r>
        <w:rPr>
          <w:rFonts w:cstheme="minorHAnsi"/>
        </w:rPr>
        <w:t xml:space="preserve"> will support and </w:t>
      </w:r>
      <w:r w:rsidRPr="00375104">
        <w:rPr>
          <w:rFonts w:cstheme="minorHAnsi"/>
        </w:rPr>
        <w:t>deliver</w:t>
      </w:r>
      <w:r w:rsidRPr="00BE076D">
        <w:rPr>
          <w:rFonts w:cstheme="minorHAnsi"/>
        </w:rPr>
        <w:t xml:space="preserve"> </w:t>
      </w:r>
      <w:r>
        <w:rPr>
          <w:rFonts w:cstheme="minorHAnsi"/>
        </w:rPr>
        <w:t xml:space="preserve">those </w:t>
      </w:r>
      <w:r w:rsidRPr="00375104">
        <w:rPr>
          <w:rFonts w:cstheme="minorHAnsi"/>
        </w:rPr>
        <w:t>service</w:t>
      </w:r>
      <w:r>
        <w:rPr>
          <w:rFonts w:cstheme="minorHAnsi"/>
        </w:rPr>
        <w:t>s</w:t>
      </w:r>
      <w:r w:rsidRPr="00375104">
        <w:rPr>
          <w:rFonts w:cstheme="minorHAnsi"/>
        </w:rPr>
        <w:t xml:space="preserve">. The </w:t>
      </w:r>
      <w:r>
        <w:rPr>
          <w:rFonts w:cstheme="minorHAnsi"/>
        </w:rPr>
        <w:t xml:space="preserve">future </w:t>
      </w:r>
      <w:r w:rsidRPr="00375104">
        <w:rPr>
          <w:rFonts w:cstheme="minorHAnsi"/>
        </w:rPr>
        <w:t xml:space="preserve">approach </w:t>
      </w:r>
      <w:r>
        <w:rPr>
          <w:rFonts w:cstheme="minorHAnsi"/>
        </w:rPr>
        <w:t xml:space="preserve">to HCSS </w:t>
      </w:r>
      <w:r w:rsidRPr="00375104">
        <w:rPr>
          <w:rFonts w:cstheme="minorHAnsi"/>
        </w:rPr>
        <w:t xml:space="preserve">is expected to be proactive to </w:t>
      </w:r>
      <w:r>
        <w:rPr>
          <w:rFonts w:cstheme="minorHAnsi"/>
        </w:rPr>
        <w:t xml:space="preserve">focus on regaining or </w:t>
      </w:r>
      <w:r w:rsidRPr="00375104">
        <w:rPr>
          <w:rFonts w:cstheme="minorHAnsi"/>
        </w:rPr>
        <w:t>maintain</w:t>
      </w:r>
      <w:r>
        <w:rPr>
          <w:rFonts w:cstheme="minorHAnsi"/>
        </w:rPr>
        <w:t>ing</w:t>
      </w:r>
      <w:r w:rsidRPr="00375104">
        <w:rPr>
          <w:rFonts w:cstheme="minorHAnsi"/>
        </w:rPr>
        <w:t xml:space="preserve"> function</w:t>
      </w:r>
      <w:r>
        <w:rPr>
          <w:rFonts w:cstheme="minorHAnsi"/>
        </w:rPr>
        <w:t>,</w:t>
      </w:r>
      <w:r w:rsidRPr="00375104">
        <w:rPr>
          <w:rFonts w:cstheme="minorHAnsi"/>
        </w:rPr>
        <w:t xml:space="preserve"> prevent</w:t>
      </w:r>
      <w:r>
        <w:rPr>
          <w:rFonts w:cstheme="minorHAnsi"/>
        </w:rPr>
        <w:t>ing</w:t>
      </w:r>
      <w:r w:rsidRPr="00375104">
        <w:rPr>
          <w:rFonts w:cstheme="minorHAnsi"/>
        </w:rPr>
        <w:t xml:space="preserve"> </w:t>
      </w:r>
      <w:r>
        <w:rPr>
          <w:rFonts w:cstheme="minorHAnsi"/>
        </w:rPr>
        <w:t>or slowing down a decline in mental and physical function</w:t>
      </w:r>
      <w:r w:rsidRPr="00375104">
        <w:rPr>
          <w:rFonts w:cstheme="minorHAnsi"/>
        </w:rPr>
        <w:t xml:space="preserve"> </w:t>
      </w:r>
      <w:r>
        <w:rPr>
          <w:rFonts w:cstheme="minorHAnsi"/>
        </w:rPr>
        <w:t xml:space="preserve">in older people </w:t>
      </w:r>
      <w:r w:rsidRPr="00375104">
        <w:rPr>
          <w:rFonts w:cstheme="minorHAnsi"/>
        </w:rPr>
        <w:t xml:space="preserve">and </w:t>
      </w:r>
      <w:r>
        <w:rPr>
          <w:rFonts w:cstheme="minorHAnsi"/>
        </w:rPr>
        <w:t xml:space="preserve">supporting </w:t>
      </w:r>
      <w:r w:rsidRPr="00375104">
        <w:rPr>
          <w:rFonts w:cstheme="minorHAnsi"/>
        </w:rPr>
        <w:t xml:space="preserve">their </w:t>
      </w:r>
      <w:r>
        <w:rPr>
          <w:rFonts w:cstheme="minorHAnsi"/>
        </w:rPr>
        <w:t xml:space="preserve">family, whānau and </w:t>
      </w:r>
      <w:r w:rsidRPr="00375104">
        <w:rPr>
          <w:rFonts w:cstheme="minorHAnsi"/>
        </w:rPr>
        <w:t xml:space="preserve">caregivers. If </w:t>
      </w:r>
      <w:r>
        <w:rPr>
          <w:rFonts w:cstheme="minorHAnsi"/>
        </w:rPr>
        <w:t xml:space="preserve">an older person </w:t>
      </w:r>
      <w:r w:rsidRPr="00375104">
        <w:rPr>
          <w:rFonts w:cstheme="minorHAnsi"/>
        </w:rPr>
        <w:t>enter</w:t>
      </w:r>
      <w:r>
        <w:rPr>
          <w:rFonts w:cstheme="minorHAnsi"/>
        </w:rPr>
        <w:t>s</w:t>
      </w:r>
      <w:r w:rsidRPr="00375104">
        <w:rPr>
          <w:rFonts w:cstheme="minorHAnsi"/>
        </w:rPr>
        <w:t xml:space="preserve"> a life stage where palliative care is necessary</w:t>
      </w:r>
      <w:r>
        <w:rPr>
          <w:rFonts w:cstheme="minorHAnsi"/>
        </w:rPr>
        <w:t>,</w:t>
      </w:r>
      <w:r w:rsidRPr="00375104">
        <w:rPr>
          <w:rFonts w:cstheme="minorHAnsi"/>
        </w:rPr>
        <w:t xml:space="preserve"> the service delivery will adjust to </w:t>
      </w:r>
      <w:r>
        <w:rPr>
          <w:rFonts w:cstheme="minorHAnsi"/>
        </w:rPr>
        <w:t>meet palliative support needs.</w:t>
      </w:r>
    </w:p>
    <w:p w14:paraId="2FCD0FEA" w14:textId="77777777" w:rsidR="009F380F" w:rsidRDefault="009F380F" w:rsidP="009F380F">
      <w:pPr>
        <w:rPr>
          <w:rFonts w:cstheme="minorHAnsi"/>
        </w:rPr>
      </w:pPr>
    </w:p>
    <w:p w14:paraId="68E83E99" w14:textId="5000DD25" w:rsidR="009F380F" w:rsidRDefault="00F71B75" w:rsidP="009F380F">
      <w:pPr>
        <w:rPr>
          <w:rFonts w:cstheme="minorHAnsi"/>
        </w:rPr>
      </w:pPr>
      <w:r>
        <w:rPr>
          <w:rFonts w:cstheme="minorHAnsi"/>
        </w:rPr>
        <w:t xml:space="preserve">Integrated HCSS are core to improving outcomes for older people. HCSS should be part of the wider primary and community care team, participating in interdisciplinary teams, particularly where older people have complex health and social needs, and involving their families and whānau. HCSS </w:t>
      </w:r>
      <w:r w:rsidR="006733C2">
        <w:rPr>
          <w:rFonts w:cstheme="minorHAnsi"/>
        </w:rPr>
        <w:t xml:space="preserve">will </w:t>
      </w:r>
      <w:r>
        <w:rPr>
          <w:rFonts w:cstheme="minorHAnsi"/>
        </w:rPr>
        <w:t>ideally inform</w:t>
      </w:r>
      <w:r w:rsidRPr="00455B71">
        <w:rPr>
          <w:rFonts w:cstheme="minorHAnsi"/>
        </w:rPr>
        <w:t xml:space="preserve"> </w:t>
      </w:r>
      <w:r>
        <w:rPr>
          <w:rFonts w:cstheme="minorHAnsi"/>
        </w:rPr>
        <w:t>care plans for the older person through shared care platforms.</w:t>
      </w:r>
    </w:p>
    <w:p w14:paraId="30B6756F" w14:textId="77777777" w:rsidR="00F71B75" w:rsidRDefault="00F71B75" w:rsidP="009F380F">
      <w:pPr>
        <w:rPr>
          <w:rFonts w:cstheme="minorHAnsi"/>
        </w:rPr>
      </w:pPr>
      <w:r>
        <w:rPr>
          <w:rFonts w:cstheme="minorHAnsi"/>
        </w:rPr>
        <w:t xml:space="preserve"> </w:t>
      </w:r>
    </w:p>
    <w:p w14:paraId="62C3F4D8" w14:textId="77777777" w:rsidR="00F71B75" w:rsidRPr="00F0440D" w:rsidRDefault="00F71B75" w:rsidP="009F380F">
      <w:pPr>
        <w:rPr>
          <w:rFonts w:cstheme="minorHAnsi"/>
        </w:rPr>
      </w:pPr>
      <w:r>
        <w:rPr>
          <w:rFonts w:cstheme="minorHAnsi"/>
        </w:rPr>
        <w:t>HCSS sit in complex environments and it is important that HCSS are well linked to the communities they work in</w:t>
      </w:r>
      <w:r w:rsidRPr="00745D1C">
        <w:rPr>
          <w:rFonts w:cstheme="minorHAnsi"/>
        </w:rPr>
        <w:t>. DHBs are increasingly arranging their services with a greater focus on integrating service with the broader community.</w:t>
      </w:r>
    </w:p>
    <w:p w14:paraId="1294F44A" w14:textId="77777777" w:rsidR="00F71B75" w:rsidRDefault="00F71B75" w:rsidP="00F71B75">
      <w:pPr>
        <w:rPr>
          <w:rFonts w:cstheme="minorHAnsi"/>
          <w:b/>
          <w:color w:val="244061" w:themeColor="accent1" w:themeShade="80"/>
          <w:sz w:val="36"/>
          <w:szCs w:val="36"/>
        </w:rPr>
      </w:pPr>
      <w:r>
        <w:rPr>
          <w:rFonts w:cstheme="minorHAnsi"/>
          <w:b/>
          <w:color w:val="244061" w:themeColor="accent1" w:themeShade="80"/>
          <w:sz w:val="36"/>
          <w:szCs w:val="36"/>
        </w:rPr>
        <w:br w:type="page"/>
      </w:r>
    </w:p>
    <w:p w14:paraId="776C6AFC" w14:textId="77777777" w:rsidR="00F71B75" w:rsidRDefault="00F71B75" w:rsidP="00F71B75">
      <w:pPr>
        <w:pStyle w:val="Heading2"/>
      </w:pPr>
      <w:bookmarkStart w:id="29" w:name="_Toc35415778"/>
      <w:bookmarkStart w:id="30" w:name="_Toc36129213"/>
      <w:r w:rsidRPr="003E4DE1">
        <w:lastRenderedPageBreak/>
        <w:t>Key principles of the National Framework</w:t>
      </w:r>
      <w:bookmarkEnd w:id="29"/>
      <w:bookmarkEnd w:id="30"/>
      <w:r w:rsidRPr="003E4DE1">
        <w:t xml:space="preserve"> </w:t>
      </w:r>
    </w:p>
    <w:tbl>
      <w:tblPr>
        <w:tblStyle w:val="TableGrid"/>
        <w:tblW w:w="8653" w:type="dxa"/>
        <w:tblInd w:w="-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53"/>
      </w:tblGrid>
      <w:tr w:rsidR="00F71B75" w14:paraId="7A57D0EA" w14:textId="77777777" w:rsidTr="00F056BB">
        <w:trPr>
          <w:trHeight w:val="12564"/>
        </w:trPr>
        <w:tc>
          <w:tcPr>
            <w:tcW w:w="8653" w:type="dxa"/>
            <w:shd w:val="clear" w:color="auto" w:fill="DBE5F1" w:themeFill="accent1" w:themeFillTint="33"/>
          </w:tcPr>
          <w:p w14:paraId="155136EB" w14:textId="77777777" w:rsidR="00F71B75" w:rsidRDefault="00F71B75" w:rsidP="0079199A">
            <w:pPr>
              <w:pStyle w:val="ListParagraph"/>
              <w:numPr>
                <w:ilvl w:val="0"/>
                <w:numId w:val="44"/>
              </w:numPr>
              <w:spacing w:before="80" w:after="80"/>
              <w:ind w:left="340"/>
              <w:jc w:val="both"/>
              <w:rPr>
                <w:rFonts w:cstheme="minorHAnsi"/>
                <w:b/>
                <w:color w:val="244061" w:themeColor="accent1" w:themeShade="80"/>
                <w:sz w:val="28"/>
                <w:szCs w:val="28"/>
              </w:rPr>
            </w:pPr>
            <w:r w:rsidRPr="003575B8">
              <w:rPr>
                <w:rFonts w:cstheme="minorHAnsi"/>
                <w:b/>
                <w:color w:val="244061" w:themeColor="accent1" w:themeShade="80"/>
                <w:sz w:val="28"/>
                <w:szCs w:val="28"/>
              </w:rPr>
              <w:t>Person</w:t>
            </w:r>
            <w:r>
              <w:rPr>
                <w:rFonts w:cstheme="minorHAnsi"/>
                <w:b/>
                <w:color w:val="244061" w:themeColor="accent1" w:themeShade="80"/>
                <w:sz w:val="28"/>
                <w:szCs w:val="28"/>
              </w:rPr>
              <w:t>-directed</w:t>
            </w:r>
          </w:p>
          <w:p w14:paraId="67B4821A" w14:textId="77777777" w:rsidR="00F71B75" w:rsidRPr="003575B8" w:rsidRDefault="00F71B75" w:rsidP="0079199A">
            <w:pPr>
              <w:ind w:left="326"/>
            </w:pPr>
            <w:r w:rsidRPr="003575B8">
              <w:t xml:space="preserve">The older person is actively involved in assessment and care planning to identify their strengths, values and life goals, and the support needed to overcome any barriers </w:t>
            </w:r>
            <w:r>
              <w:t>to achieving those goals</w:t>
            </w:r>
            <w:r w:rsidRPr="003575B8">
              <w:t xml:space="preserve">. This will be achieved through consistent, comprehensive and timely assessment and individualised care planning.  </w:t>
            </w:r>
          </w:p>
          <w:p w14:paraId="12F00A25" w14:textId="77777777" w:rsidR="00F71B75" w:rsidRDefault="00F71B75" w:rsidP="0079199A">
            <w:pPr>
              <w:pStyle w:val="ListParagraph"/>
              <w:numPr>
                <w:ilvl w:val="0"/>
                <w:numId w:val="44"/>
              </w:numPr>
              <w:spacing w:before="80" w:after="80"/>
              <w:ind w:left="340"/>
              <w:jc w:val="both"/>
              <w:rPr>
                <w:rFonts w:cstheme="minorHAnsi"/>
                <w:b/>
                <w:color w:val="244061" w:themeColor="accent1" w:themeShade="80"/>
                <w:sz w:val="28"/>
                <w:szCs w:val="28"/>
              </w:rPr>
            </w:pPr>
            <w:r>
              <w:rPr>
                <w:rFonts w:cstheme="minorHAnsi"/>
                <w:b/>
                <w:color w:val="244061" w:themeColor="accent1" w:themeShade="80"/>
                <w:sz w:val="28"/>
                <w:szCs w:val="28"/>
              </w:rPr>
              <w:t>Connected</w:t>
            </w:r>
          </w:p>
          <w:p w14:paraId="1DC1FA18" w14:textId="77777777" w:rsidR="00F71B75" w:rsidRDefault="00F71B75" w:rsidP="0079199A">
            <w:pPr>
              <w:ind w:left="326"/>
            </w:pPr>
            <w:r w:rsidRPr="009F380F">
              <w:t>The older person and their family and whānau have a seamless pathway through connected services</w:t>
            </w:r>
            <w:r>
              <w:t>, with HCSS working as part of a multidisciplinary team involving primary and community support. Care plans, where possible, are available on shared care platforms, and older people can see and engage with their own health information.</w:t>
            </w:r>
          </w:p>
          <w:p w14:paraId="35A43D97" w14:textId="77777777" w:rsidR="00F71B75" w:rsidRDefault="00F71B75" w:rsidP="0079199A">
            <w:pPr>
              <w:pStyle w:val="ListParagraph"/>
              <w:numPr>
                <w:ilvl w:val="0"/>
                <w:numId w:val="44"/>
              </w:numPr>
              <w:spacing w:before="80" w:after="80"/>
              <w:ind w:left="340"/>
              <w:jc w:val="both"/>
              <w:rPr>
                <w:rFonts w:cstheme="minorHAnsi"/>
                <w:b/>
                <w:color w:val="244061" w:themeColor="accent1" w:themeShade="80"/>
                <w:sz w:val="28"/>
                <w:szCs w:val="28"/>
              </w:rPr>
            </w:pPr>
            <w:r>
              <w:rPr>
                <w:rFonts w:cstheme="minorHAnsi"/>
                <w:b/>
                <w:color w:val="244061" w:themeColor="accent1" w:themeShade="80"/>
                <w:sz w:val="28"/>
                <w:szCs w:val="28"/>
              </w:rPr>
              <w:t>High quality and safe</w:t>
            </w:r>
          </w:p>
          <w:p w14:paraId="78DB9FA5" w14:textId="77777777" w:rsidR="00F71B75" w:rsidRPr="009F380F" w:rsidRDefault="00F71B75" w:rsidP="0079199A">
            <w:pPr>
              <w:ind w:left="326"/>
            </w:pPr>
            <w:r w:rsidRPr="009F380F">
              <w:t>The older person and their family and whānau have confidence in the services they receive, are guided through their care plans, and experience few cancellations and disruptions to their schedule. Services maintain continuous quality improvement and assurance. A well-trained, culturally competent workforce delivers the services, with the workforce skill mix matched to the complexity of the older person’s assessed needs.</w:t>
            </w:r>
          </w:p>
          <w:p w14:paraId="1C887C52" w14:textId="77777777" w:rsidR="00F71B75" w:rsidRDefault="00F71B75" w:rsidP="0079199A">
            <w:pPr>
              <w:pStyle w:val="ListParagraph"/>
              <w:numPr>
                <w:ilvl w:val="0"/>
                <w:numId w:val="44"/>
              </w:numPr>
              <w:spacing w:before="80" w:after="80"/>
              <w:ind w:left="340"/>
              <w:jc w:val="both"/>
              <w:rPr>
                <w:rFonts w:cstheme="minorHAnsi"/>
                <w:b/>
                <w:color w:val="244061" w:themeColor="accent1" w:themeShade="80"/>
                <w:sz w:val="28"/>
                <w:szCs w:val="28"/>
              </w:rPr>
            </w:pPr>
            <w:r>
              <w:rPr>
                <w:rFonts w:cstheme="minorHAnsi"/>
                <w:b/>
                <w:color w:val="244061" w:themeColor="accent1" w:themeShade="80"/>
                <w:sz w:val="28"/>
                <w:szCs w:val="28"/>
              </w:rPr>
              <w:t>Flexible</w:t>
            </w:r>
          </w:p>
          <w:p w14:paraId="3B162789" w14:textId="77777777" w:rsidR="00F71B75" w:rsidRPr="009F380F" w:rsidRDefault="00F71B75" w:rsidP="0079199A">
            <w:pPr>
              <w:ind w:left="326"/>
            </w:pPr>
            <w:r w:rsidRPr="009F380F">
              <w:t xml:space="preserve">HCSS respond to the changing needs of the older person and their family and whānau in a </w:t>
            </w:r>
            <w:r>
              <w:t>timely</w:t>
            </w:r>
            <w:r w:rsidRPr="00A038E4">
              <w:t xml:space="preserve"> </w:t>
            </w:r>
            <w:r>
              <w:t>way. They put additional supports in place promptly to support the older person to avoid the need to go to hospital and allow for early supported discharge of people receiving HCSS.</w:t>
            </w:r>
          </w:p>
          <w:p w14:paraId="5BF79320" w14:textId="77777777" w:rsidR="00F71B75" w:rsidRDefault="00F71B75" w:rsidP="0079199A">
            <w:pPr>
              <w:pStyle w:val="ListParagraph"/>
              <w:numPr>
                <w:ilvl w:val="0"/>
                <w:numId w:val="44"/>
              </w:numPr>
              <w:spacing w:before="80" w:after="80"/>
              <w:ind w:left="340"/>
              <w:jc w:val="both"/>
              <w:rPr>
                <w:rFonts w:cstheme="minorHAnsi"/>
                <w:b/>
                <w:color w:val="244061" w:themeColor="accent1" w:themeShade="80"/>
                <w:sz w:val="28"/>
                <w:szCs w:val="28"/>
              </w:rPr>
            </w:pPr>
            <w:r>
              <w:rPr>
                <w:rFonts w:cstheme="minorHAnsi"/>
                <w:b/>
                <w:color w:val="244061" w:themeColor="accent1" w:themeShade="80"/>
                <w:sz w:val="28"/>
                <w:szCs w:val="28"/>
              </w:rPr>
              <w:t>Equitable</w:t>
            </w:r>
          </w:p>
          <w:p w14:paraId="43D42318" w14:textId="77777777" w:rsidR="00F71B75" w:rsidRPr="009F380F" w:rsidRDefault="00F71B75" w:rsidP="0079199A">
            <w:pPr>
              <w:ind w:left="326"/>
            </w:pPr>
            <w:r w:rsidRPr="009F380F">
              <w:t>Older people and their families and whānau have equity of access to services. Services and supports are accessible, culturally appropriate, flexible, integrated and family-centred. They are responsive to diverse needs such as those of the lesbian, gay, transsexual, queer and intersex (LGBTQI) community.</w:t>
            </w:r>
          </w:p>
          <w:p w14:paraId="3C531BD9" w14:textId="77777777" w:rsidR="00F71B75" w:rsidRDefault="00F71B75" w:rsidP="0079199A">
            <w:pPr>
              <w:pStyle w:val="ListParagraph"/>
              <w:numPr>
                <w:ilvl w:val="0"/>
                <w:numId w:val="44"/>
              </w:numPr>
              <w:spacing w:before="80" w:after="80"/>
              <w:ind w:left="340"/>
              <w:jc w:val="both"/>
              <w:rPr>
                <w:rFonts w:cstheme="minorHAnsi"/>
                <w:b/>
                <w:color w:val="244061" w:themeColor="accent1" w:themeShade="80"/>
                <w:sz w:val="28"/>
                <w:szCs w:val="28"/>
              </w:rPr>
            </w:pPr>
            <w:r>
              <w:rPr>
                <w:rFonts w:cstheme="minorHAnsi"/>
                <w:b/>
                <w:color w:val="244061" w:themeColor="accent1" w:themeShade="80"/>
                <w:sz w:val="28"/>
                <w:szCs w:val="28"/>
              </w:rPr>
              <w:t>Responsive to Māori</w:t>
            </w:r>
          </w:p>
          <w:p w14:paraId="5B601C49" w14:textId="77777777" w:rsidR="00F71B75" w:rsidRPr="009F380F" w:rsidRDefault="00F71B75" w:rsidP="0079199A">
            <w:pPr>
              <w:ind w:left="326"/>
            </w:pPr>
            <w:r w:rsidRPr="009F380F">
              <w:t>Māori health aspirations are understood and realised, and services explicitly act to improve Māori health outcomes and address inequities. Older Māori and their whānau, hapū and iwi are supported to improve their own health and wellbeing.</w:t>
            </w:r>
          </w:p>
          <w:p w14:paraId="112A0F2A" w14:textId="77777777" w:rsidR="00F71B75" w:rsidRDefault="00F71B75" w:rsidP="0079199A">
            <w:pPr>
              <w:pStyle w:val="ListParagraph"/>
              <w:numPr>
                <w:ilvl w:val="0"/>
                <w:numId w:val="44"/>
              </w:numPr>
              <w:spacing w:before="80" w:after="80"/>
              <w:ind w:left="340"/>
              <w:jc w:val="both"/>
              <w:rPr>
                <w:rFonts w:cstheme="minorHAnsi"/>
                <w:b/>
                <w:color w:val="244061" w:themeColor="accent1" w:themeShade="80"/>
                <w:sz w:val="28"/>
                <w:szCs w:val="28"/>
              </w:rPr>
            </w:pPr>
            <w:r>
              <w:rPr>
                <w:rFonts w:cstheme="minorHAnsi"/>
                <w:b/>
                <w:color w:val="244061" w:themeColor="accent1" w:themeShade="80"/>
                <w:sz w:val="28"/>
                <w:szCs w:val="28"/>
              </w:rPr>
              <w:t>Cost effective and sustainable</w:t>
            </w:r>
          </w:p>
          <w:p w14:paraId="15946E4A" w14:textId="77777777" w:rsidR="00F71B75" w:rsidRPr="003575B8" w:rsidRDefault="00F71B75" w:rsidP="0079199A">
            <w:pPr>
              <w:ind w:left="326"/>
            </w:pPr>
            <w:r w:rsidRPr="00370E75">
              <w:t>S</w:t>
            </w:r>
            <w:r>
              <w:t>ervices</w:t>
            </w:r>
            <w:r w:rsidRPr="00370E75">
              <w:t xml:space="preserve"> are </w:t>
            </w:r>
            <w:r>
              <w:t xml:space="preserve">financially </w:t>
            </w:r>
            <w:r w:rsidRPr="00370E75">
              <w:t>sustainable</w:t>
            </w:r>
            <w:r>
              <w:t xml:space="preserve">. </w:t>
            </w:r>
            <w:r w:rsidRPr="00370E75">
              <w:t>Resources</w:t>
            </w:r>
            <w:r>
              <w:t>, including the workforce,</w:t>
            </w:r>
            <w:r w:rsidRPr="00370E75">
              <w:t xml:space="preserve"> are used in the most cost</w:t>
            </w:r>
            <w:r>
              <w:t>-</w:t>
            </w:r>
            <w:r w:rsidRPr="00370E75">
              <w:t>effective way within the parameters of the other principles</w:t>
            </w:r>
            <w:r>
              <w:t>.</w:t>
            </w:r>
          </w:p>
        </w:tc>
      </w:tr>
    </w:tbl>
    <w:p w14:paraId="312BEB05" w14:textId="77777777" w:rsidR="00F71B75" w:rsidRDefault="00F71B75" w:rsidP="0079199A">
      <w:r>
        <w:lastRenderedPageBreak/>
        <w:t xml:space="preserve">The vision and key principles </w:t>
      </w:r>
      <w:r w:rsidRPr="006D5F15">
        <w:t xml:space="preserve">outlined </w:t>
      </w:r>
      <w:r>
        <w:t>above</w:t>
      </w:r>
      <w:r w:rsidRPr="006D5F15">
        <w:t xml:space="preserve"> are built on the foundation of He Korowai Oranga – the Māori Health Strategy. </w:t>
      </w:r>
    </w:p>
    <w:p w14:paraId="7CE3FA13" w14:textId="77777777" w:rsidR="009F380F" w:rsidRPr="006D5F15" w:rsidRDefault="009F380F" w:rsidP="0079199A"/>
    <w:p w14:paraId="50FDB43F" w14:textId="77777777" w:rsidR="00F71B75" w:rsidRDefault="00F71B75" w:rsidP="0079199A">
      <w:r w:rsidRPr="006D5F15">
        <w:t>He Korowai Oranga has an overall aim for Pae Ora to achieve wellbeing. Pae Ora inc</w:t>
      </w:r>
      <w:r>
        <w:t>lud</w:t>
      </w:r>
      <w:r w:rsidRPr="006D5F15">
        <w:t xml:space="preserve">es three interconnected elements: </w:t>
      </w:r>
      <w:r>
        <w:t>W</w:t>
      </w:r>
      <w:r w:rsidRPr="006D5F15">
        <w:t xml:space="preserve">hānau </w:t>
      </w:r>
      <w:r>
        <w:t>O</w:t>
      </w:r>
      <w:r w:rsidRPr="006D5F15">
        <w:t xml:space="preserve">ra (healthy families), Mauri Ora (healthy individuals) and Wai Ora (healthy environments). </w:t>
      </w:r>
    </w:p>
    <w:p w14:paraId="2FF8ACC7" w14:textId="77777777" w:rsidR="009F380F" w:rsidRPr="006D5F15" w:rsidRDefault="009F380F" w:rsidP="0079199A"/>
    <w:p w14:paraId="72092A9A" w14:textId="77777777" w:rsidR="00F71B75" w:rsidRPr="006D5F15" w:rsidRDefault="00F71B75" w:rsidP="0079199A">
      <w:r w:rsidRPr="006D5F15">
        <w:t xml:space="preserve">He Korowai Oranga recognises the special relationship between the Crown and Māori through the Treaty of Waitangi </w:t>
      </w:r>
      <w:r>
        <w:t>–</w:t>
      </w:r>
      <w:r w:rsidRPr="006D5F15">
        <w:t xml:space="preserve"> te Tiriti o Waitangi. In particular,</w:t>
      </w:r>
      <w:r>
        <w:t xml:space="preserve"> it recognises</w:t>
      </w:r>
      <w:r w:rsidRPr="006D5F15">
        <w:t xml:space="preserve"> that services and supports are aligned with te Tiriti o Waitangi to enable participation at all levels; partnership in deliver</w:t>
      </w:r>
      <w:r>
        <w:t>ing</w:t>
      </w:r>
      <w:r w:rsidRPr="006D5F15">
        <w:t xml:space="preserve"> support</w:t>
      </w:r>
      <w:r>
        <w:t>;</w:t>
      </w:r>
      <w:r w:rsidRPr="006D5F15">
        <w:t xml:space="preserve"> and protection and improvement of Māori wellbeing. Th</w:t>
      </w:r>
      <w:r>
        <w:t>ese outcomes</w:t>
      </w:r>
      <w:r w:rsidRPr="006D5F15">
        <w:t xml:space="preserve"> can be achieved through understanding each other’s aspirations and:</w:t>
      </w:r>
    </w:p>
    <w:p w14:paraId="64B44DC1" w14:textId="77777777" w:rsidR="00F71B75" w:rsidRPr="0079199A" w:rsidRDefault="00F71B75" w:rsidP="0079199A">
      <w:pPr>
        <w:pStyle w:val="Bullet"/>
      </w:pPr>
      <w:r w:rsidRPr="0079199A">
        <w:t>recognising the health needs and aspirations of Māori, as individuals and as part of a whānau, hapū or iwi, to improve Māori health outcomes</w:t>
      </w:r>
    </w:p>
    <w:p w14:paraId="7417D008" w14:textId="77777777" w:rsidR="00F71B75" w:rsidRPr="0079199A" w:rsidRDefault="00F71B75" w:rsidP="0079199A">
      <w:pPr>
        <w:pStyle w:val="Bullet"/>
      </w:pPr>
      <w:r w:rsidRPr="0079199A">
        <w:t>enabling whānau, hapū, iwi and Māori to exercise control over their own health and wellbeing (rangatiratanga and mana motuhake).</w:t>
      </w:r>
    </w:p>
    <w:p w14:paraId="5094CAD3" w14:textId="77777777" w:rsidR="009F380F" w:rsidRDefault="009F380F" w:rsidP="0079199A"/>
    <w:p w14:paraId="7735EDAC" w14:textId="77777777" w:rsidR="00F71B75" w:rsidRDefault="00F71B75" w:rsidP="0079199A">
      <w:r w:rsidRPr="00370E75">
        <w:t>The</w:t>
      </w:r>
      <w:r>
        <w:t>se</w:t>
      </w:r>
      <w:r w:rsidRPr="00370E75">
        <w:t xml:space="preserve"> </w:t>
      </w:r>
      <w:r>
        <w:t>key element</w:t>
      </w:r>
      <w:r w:rsidRPr="00370E75">
        <w:t>s were developed f</w:t>
      </w:r>
      <w:r>
        <w:t>ollowing feedback and workshops with stakeholders from across the older people sector. We will seek to</w:t>
      </w:r>
      <w:r w:rsidRPr="00A038E4">
        <w:t xml:space="preserve"> measure</w:t>
      </w:r>
      <w:r>
        <w:t xml:space="preserve"> each of these elements. </w:t>
      </w:r>
    </w:p>
    <w:p w14:paraId="6AEBC456" w14:textId="77777777" w:rsidR="00F71B75" w:rsidRDefault="00F71B75" w:rsidP="00F71B75">
      <w:pPr>
        <w:spacing w:after="120"/>
      </w:pPr>
      <w:r>
        <w:br w:type="page"/>
      </w:r>
    </w:p>
    <w:p w14:paraId="71D803F6" w14:textId="77777777" w:rsidR="00F71B75" w:rsidRDefault="00F71B75" w:rsidP="0079199A">
      <w:pPr>
        <w:pStyle w:val="Heading1"/>
        <w:spacing w:after="240"/>
      </w:pPr>
      <w:bookmarkStart w:id="31" w:name="_Toc35415779"/>
      <w:bookmarkStart w:id="32" w:name="_Toc36129214"/>
      <w:r w:rsidRPr="003E4DE1">
        <w:lastRenderedPageBreak/>
        <w:t xml:space="preserve">Section </w:t>
      </w:r>
      <w:r>
        <w:t>three</w:t>
      </w:r>
      <w:r w:rsidRPr="003E4DE1">
        <w:t xml:space="preserve">: </w:t>
      </w:r>
      <w:r>
        <w:t>Co</w:t>
      </w:r>
      <w:r w:rsidRPr="003E4DE1">
        <w:t xml:space="preserve">re </w:t>
      </w:r>
      <w:r>
        <w:t>c</w:t>
      </w:r>
      <w:r w:rsidRPr="003E4DE1">
        <w:t xml:space="preserve">omponents of </w:t>
      </w:r>
      <w:r>
        <w:t>national H</w:t>
      </w:r>
      <w:r w:rsidRPr="003E4DE1">
        <w:t xml:space="preserve">ome and </w:t>
      </w:r>
      <w:r>
        <w:t>C</w:t>
      </w:r>
      <w:r w:rsidRPr="003E4DE1">
        <w:t xml:space="preserve">ommunity </w:t>
      </w:r>
      <w:r>
        <w:t>S</w:t>
      </w:r>
      <w:r w:rsidRPr="003E4DE1">
        <w:t xml:space="preserve">upport </w:t>
      </w:r>
      <w:r>
        <w:t>S</w:t>
      </w:r>
      <w:r w:rsidRPr="003E4DE1">
        <w:t>ervices</w:t>
      </w:r>
      <w:bookmarkEnd w:id="31"/>
      <w:bookmarkEnd w:id="32"/>
    </w:p>
    <w:p w14:paraId="071CE3CA" w14:textId="77777777" w:rsidR="00F71B75" w:rsidRDefault="00F71B75" w:rsidP="0079199A">
      <w:r w:rsidRPr="00F3702F">
        <w:t xml:space="preserve">This section outlines the core components of what </w:t>
      </w:r>
      <w:r>
        <w:t xml:space="preserve">older people </w:t>
      </w:r>
      <w:r w:rsidRPr="00F3702F">
        <w:t xml:space="preserve">and their </w:t>
      </w:r>
      <w:r>
        <w:t xml:space="preserve">families and </w:t>
      </w:r>
      <w:r w:rsidRPr="00F3702F">
        <w:t>wh</w:t>
      </w:r>
      <w:r>
        <w:t>ā</w:t>
      </w:r>
      <w:r w:rsidRPr="00F3702F">
        <w:t>nau can expect from HCSS</w:t>
      </w:r>
      <w:r>
        <w:t xml:space="preserve"> </w:t>
      </w:r>
      <w:r w:rsidRPr="00F3702F">
        <w:t xml:space="preserve">nationally. </w:t>
      </w:r>
      <w:r>
        <w:t xml:space="preserve"> </w:t>
      </w:r>
    </w:p>
    <w:p w14:paraId="7A5B73C0" w14:textId="77777777" w:rsidR="0079199A" w:rsidRDefault="0079199A" w:rsidP="0079199A"/>
    <w:p w14:paraId="217495DF" w14:textId="370FA2FE" w:rsidR="00F71B75" w:rsidRDefault="00F71B75" w:rsidP="0079199A">
      <w:r w:rsidRPr="00DA1F21">
        <w:t xml:space="preserve">The </w:t>
      </w:r>
      <w:r>
        <w:t>core components of HCSS will</w:t>
      </w:r>
      <w:r w:rsidRPr="00DA1F21">
        <w:t xml:space="preserve"> incorporate an enabling model of care in which </w:t>
      </w:r>
      <w:r w:rsidRPr="00F1281B">
        <w:t>older people are supported to maintain independence, to care for themselves, to be connected with family and wh</w:t>
      </w:r>
      <w:r>
        <w:t>ā</w:t>
      </w:r>
      <w:r w:rsidRPr="00F1281B">
        <w:t>nau and to participate in their communities for as long as possible. The enabling approach requires registered health professionals</w:t>
      </w:r>
      <w:r>
        <w:t xml:space="preserve"> – including nursing, allied health and social </w:t>
      </w:r>
      <w:r w:rsidRPr="00E13A0D">
        <w:t>workers</w:t>
      </w:r>
      <w:r>
        <w:t xml:space="preserve"> – to coordinate HCSS</w:t>
      </w:r>
      <w:r w:rsidRPr="00E13A0D">
        <w:t xml:space="preserve"> in consultation with the older person.</w:t>
      </w:r>
      <w:r>
        <w:t xml:space="preserve">  </w:t>
      </w:r>
    </w:p>
    <w:p w14:paraId="6DECBA25" w14:textId="77777777" w:rsidR="006733C2" w:rsidRDefault="006733C2" w:rsidP="0079199A"/>
    <w:p w14:paraId="10A64F13" w14:textId="77777777" w:rsidR="00F71B75" w:rsidRDefault="00F71B75" w:rsidP="0079199A">
      <w:r w:rsidRPr="00A038E4">
        <w:t xml:space="preserve">HCSS focus on understanding the individual needs of </w:t>
      </w:r>
      <w:r>
        <w:t>older people, within the context of their family and whānau,</w:t>
      </w:r>
      <w:r w:rsidRPr="00A038E4">
        <w:t xml:space="preserve"> and setting goals </w:t>
      </w:r>
      <w:r>
        <w:t>that</w:t>
      </w:r>
      <w:r w:rsidRPr="00A038E4">
        <w:t xml:space="preserve"> are aimed at maximi</w:t>
      </w:r>
      <w:r>
        <w:t>s</w:t>
      </w:r>
      <w:r w:rsidRPr="00A038E4">
        <w:t xml:space="preserve">ing and maintaining </w:t>
      </w:r>
      <w:r>
        <w:t xml:space="preserve">their </w:t>
      </w:r>
      <w:r w:rsidRPr="00A038E4">
        <w:t xml:space="preserve">independence for as long as possible. The </w:t>
      </w:r>
      <w:r>
        <w:t xml:space="preserve">older person </w:t>
      </w:r>
      <w:r w:rsidRPr="00A038E4">
        <w:t xml:space="preserve">is an active participant in planning their care, setting their own goals and </w:t>
      </w:r>
      <w:r>
        <w:t>identifying</w:t>
      </w:r>
      <w:r w:rsidRPr="00A038E4">
        <w:t xml:space="preserve"> a range of possible services that could support them. Services are </w:t>
      </w:r>
      <w:r w:rsidRPr="007171DF">
        <w:t>flexible</w:t>
      </w:r>
      <w:r w:rsidRPr="00EC31D0">
        <w:t xml:space="preserve">, within the scope of support </w:t>
      </w:r>
      <w:r w:rsidRPr="00F1281B">
        <w:t>packages</w:t>
      </w:r>
      <w:r>
        <w:t>,</w:t>
      </w:r>
      <w:r w:rsidRPr="007171DF">
        <w:t xml:space="preserve"> </w:t>
      </w:r>
      <w:r w:rsidRPr="00EC31D0">
        <w:t>allowing</w:t>
      </w:r>
      <w:r w:rsidRPr="00A038E4">
        <w:t xml:space="preserve"> the support worker</w:t>
      </w:r>
      <w:r>
        <w:t xml:space="preserve"> and carers</w:t>
      </w:r>
      <w:r w:rsidRPr="00A038E4">
        <w:t xml:space="preserve"> to respond to </w:t>
      </w:r>
      <w:r>
        <w:t xml:space="preserve">the person’s </w:t>
      </w:r>
      <w:r w:rsidRPr="00A038E4">
        <w:t>individual needs</w:t>
      </w:r>
      <w:r>
        <w:t xml:space="preserve"> and to review them </w:t>
      </w:r>
      <w:r w:rsidRPr="00A038E4">
        <w:t>as needs change.</w:t>
      </w:r>
    </w:p>
    <w:p w14:paraId="5734552E" w14:textId="77777777" w:rsidR="0079199A" w:rsidRPr="00A038E4" w:rsidRDefault="0079199A" w:rsidP="0079199A"/>
    <w:p w14:paraId="0DB4B848" w14:textId="77777777" w:rsidR="00F71B75" w:rsidRDefault="00F71B75" w:rsidP="0079199A">
      <w:r w:rsidRPr="00A038E4">
        <w:t>HCSS are not intended to replace natural support</w:t>
      </w:r>
      <w:r>
        <w:t xml:space="preserve"> </w:t>
      </w:r>
      <w:r w:rsidRPr="00A038E4">
        <w:t>s</w:t>
      </w:r>
      <w:r>
        <w:t>ystems</w:t>
      </w:r>
      <w:r w:rsidRPr="00A038E4">
        <w:t>. There is an expectation that support is planned and provided within the context of natural supports</w:t>
      </w:r>
      <w:r>
        <w:t>,</w:t>
      </w:r>
      <w:r w:rsidRPr="00A038E4">
        <w:t xml:space="preserve"> including family</w:t>
      </w:r>
      <w:r>
        <w:t xml:space="preserve"> and </w:t>
      </w:r>
      <w:r w:rsidRPr="00A038E4">
        <w:t>wh</w:t>
      </w:r>
      <w:r>
        <w:t>ā</w:t>
      </w:r>
      <w:r w:rsidRPr="00A038E4">
        <w:t>nau and other available community supports</w:t>
      </w:r>
      <w:r>
        <w:t>, such as</w:t>
      </w:r>
      <w:r w:rsidRPr="00A038E4">
        <w:t xml:space="preserve"> volunteer services, and that these are integrated in a flexible and responsive way.</w:t>
      </w:r>
      <w:r>
        <w:t xml:space="preserve">  </w:t>
      </w:r>
    </w:p>
    <w:p w14:paraId="690E4B37" w14:textId="77777777" w:rsidR="0079199A" w:rsidRDefault="0079199A" w:rsidP="0079199A"/>
    <w:p w14:paraId="64686B7F" w14:textId="77777777" w:rsidR="00F71B75" w:rsidRDefault="00F71B75" w:rsidP="0079199A">
      <w:r w:rsidRPr="00A038E4">
        <w:t xml:space="preserve">Part of ensuring </w:t>
      </w:r>
      <w:r>
        <w:t xml:space="preserve">that a </w:t>
      </w:r>
      <w:r w:rsidRPr="00A038E4">
        <w:t xml:space="preserve">range of </w:t>
      </w:r>
      <w:r>
        <w:t xml:space="preserve">responsive </w:t>
      </w:r>
      <w:r w:rsidRPr="00A038E4">
        <w:t>services</w:t>
      </w:r>
      <w:r>
        <w:t xml:space="preserve"> is available</w:t>
      </w:r>
      <w:r w:rsidRPr="00A038E4">
        <w:t xml:space="preserve"> for older pe</w:t>
      </w:r>
      <w:r>
        <w:t>ople</w:t>
      </w:r>
      <w:r w:rsidRPr="00A038E4">
        <w:t xml:space="preserve"> </w:t>
      </w:r>
      <w:r>
        <w:t>involves using</w:t>
      </w:r>
      <w:r w:rsidRPr="00A038E4">
        <w:t xml:space="preserve"> a</w:t>
      </w:r>
      <w:r>
        <w:t xml:space="preserve">n enabling HCSS model. </w:t>
      </w:r>
      <w:r w:rsidRPr="00A038E4">
        <w:t xml:space="preserve">The service approach is expected to be proactive </w:t>
      </w:r>
      <w:r>
        <w:t xml:space="preserve">in order </w:t>
      </w:r>
      <w:r w:rsidRPr="00A038E4">
        <w:t xml:space="preserve">to maintain function </w:t>
      </w:r>
      <w:r>
        <w:t>and,</w:t>
      </w:r>
      <w:r w:rsidRPr="00A038E4">
        <w:t xml:space="preserve"> </w:t>
      </w:r>
      <w:r>
        <w:t xml:space="preserve">where possible, </w:t>
      </w:r>
      <w:r w:rsidRPr="00A038E4">
        <w:t xml:space="preserve">prevent </w:t>
      </w:r>
      <w:r>
        <w:t>a decline in function and coping mechanisms</w:t>
      </w:r>
      <w:r w:rsidRPr="00A038E4">
        <w:t xml:space="preserve"> in both </w:t>
      </w:r>
      <w:r>
        <w:t>older people and</w:t>
      </w:r>
      <w:r w:rsidRPr="00A038E4">
        <w:t xml:space="preserve"> their </w:t>
      </w:r>
      <w:r>
        <w:t xml:space="preserve">family, whānau and </w:t>
      </w:r>
      <w:r w:rsidRPr="00A038E4">
        <w:t xml:space="preserve">caregivers. If </w:t>
      </w:r>
      <w:r>
        <w:t xml:space="preserve">older people </w:t>
      </w:r>
      <w:r w:rsidRPr="00A038E4">
        <w:t>enter a life stage where palliative care is necessary</w:t>
      </w:r>
      <w:r>
        <w:t>,</w:t>
      </w:r>
      <w:r w:rsidRPr="00A038E4">
        <w:t xml:space="preserve"> the service delivery will adjust to reflect </w:t>
      </w:r>
      <w:r>
        <w:t xml:space="preserve">the </w:t>
      </w:r>
      <w:r w:rsidRPr="00A038E4">
        <w:t>palliative support needs</w:t>
      </w:r>
      <w:r w:rsidRPr="00FD2DB9">
        <w:t xml:space="preserve"> </w:t>
      </w:r>
      <w:r>
        <w:t>of the individual</w:t>
      </w:r>
      <w:r w:rsidRPr="00A038E4">
        <w:t xml:space="preserve">. </w:t>
      </w:r>
      <w:r>
        <w:t>The intent of this model is</w:t>
      </w:r>
      <w:r w:rsidRPr="00111642">
        <w:t xml:space="preserve"> to ensure the service provided is delivered by appropriately skilled organisations and support workers.</w:t>
      </w:r>
    </w:p>
    <w:p w14:paraId="14F0E445" w14:textId="77777777" w:rsidR="0079199A" w:rsidRDefault="0079199A" w:rsidP="0079199A"/>
    <w:p w14:paraId="7871EB94" w14:textId="77777777" w:rsidR="00F71B75" w:rsidRPr="00F1281B" w:rsidRDefault="00F71B75" w:rsidP="0079199A">
      <w:r>
        <w:t>HCSS may include:</w:t>
      </w:r>
    </w:p>
    <w:p w14:paraId="456775AA" w14:textId="77777777" w:rsidR="00F71B75" w:rsidRPr="0079199A" w:rsidRDefault="00F71B75" w:rsidP="0079199A">
      <w:pPr>
        <w:pStyle w:val="Bullet"/>
      </w:pPr>
      <w:r w:rsidRPr="0079199A">
        <w:t>non-complex assessment and reassessment</w:t>
      </w:r>
    </w:p>
    <w:p w14:paraId="2D19DFFD" w14:textId="77777777" w:rsidR="00F71B75" w:rsidRPr="0079199A" w:rsidRDefault="00F71B75" w:rsidP="0079199A">
      <w:pPr>
        <w:pStyle w:val="Bullet"/>
      </w:pPr>
      <w:r w:rsidRPr="0079199A">
        <w:t xml:space="preserve">service (support) planning </w:t>
      </w:r>
    </w:p>
    <w:p w14:paraId="54B2AF98" w14:textId="77777777" w:rsidR="00F71B75" w:rsidRPr="0079199A" w:rsidRDefault="00F71B75" w:rsidP="0079199A">
      <w:pPr>
        <w:pStyle w:val="Bullet"/>
      </w:pPr>
      <w:r w:rsidRPr="0079199A">
        <w:t xml:space="preserve">coordination of support workers to deliver the support plan. </w:t>
      </w:r>
    </w:p>
    <w:p w14:paraId="66074D62" w14:textId="77777777" w:rsidR="00F71B75" w:rsidRDefault="00F71B75" w:rsidP="0079199A">
      <w:r>
        <w:lastRenderedPageBreak/>
        <w:t xml:space="preserve">The core components of how HCSS should be provided will be nationally monitored so that we can consistently measure our progress towards realising these. As discussed in Section one, a National Service Specification for HCSS will set out details of services to be commissioned from HCSS providers and will be implemented by July 2022 as DHBs enter new contracting rounds. </w:t>
      </w:r>
    </w:p>
    <w:p w14:paraId="41308969" w14:textId="77777777" w:rsidR="00F71B75" w:rsidRDefault="00F71B75" w:rsidP="00F71B75">
      <w:pPr>
        <w:pStyle w:val="Heading2"/>
      </w:pPr>
      <w:bookmarkStart w:id="33" w:name="_Toc35415780"/>
      <w:bookmarkStart w:id="34" w:name="_Toc36129215"/>
      <w:r>
        <w:t>Nine core components</w:t>
      </w:r>
      <w:bookmarkEnd w:id="33"/>
      <w:bookmarkEnd w:id="34"/>
    </w:p>
    <w:p w14:paraId="7E144EB1" w14:textId="77777777" w:rsidR="00F71B75" w:rsidRPr="003E4DE1" w:rsidRDefault="00F71B75" w:rsidP="00F71B75">
      <w:pPr>
        <w:pStyle w:val="Heading3"/>
      </w:pPr>
      <w:bookmarkStart w:id="35" w:name="_Toc35415781"/>
      <w:r>
        <w:t xml:space="preserve">1. </w:t>
      </w:r>
      <w:r w:rsidRPr="003E4DE1">
        <w:t>Nationally consistent assessments</w:t>
      </w:r>
      <w:bookmarkEnd w:id="35"/>
      <w:r w:rsidRPr="003E4DE1">
        <w:t xml:space="preserve"> </w:t>
      </w:r>
    </w:p>
    <w:p w14:paraId="6C1BDC6D" w14:textId="77777777" w:rsidR="00F71B75" w:rsidRDefault="00F71B75" w:rsidP="0079199A">
      <w:r w:rsidRPr="00745D1C">
        <w:t>The interRAI suite of tools provide comprehensive and consistent assessment of older people receiving support in the community.</w:t>
      </w:r>
      <w:r w:rsidRPr="00D80FDC">
        <w:t xml:space="preserve"> Older people are assessed by trained health professionals using the </w:t>
      </w:r>
      <w:r>
        <w:t>appropriate</w:t>
      </w:r>
      <w:r w:rsidRPr="00D80FDC">
        <w:t xml:space="preserve"> assessment tool.  </w:t>
      </w:r>
    </w:p>
    <w:p w14:paraId="03E432D1" w14:textId="77777777" w:rsidR="0079199A" w:rsidRDefault="0079199A" w:rsidP="0079199A"/>
    <w:p w14:paraId="647E4115" w14:textId="77777777" w:rsidR="00F71B75" w:rsidRDefault="00F71B75" w:rsidP="0079199A">
      <w:r>
        <w:t>Assessment involves s</w:t>
      </w:r>
      <w:r w:rsidRPr="00D135C3">
        <w:t xml:space="preserve">tratification to </w:t>
      </w:r>
      <w:r>
        <w:t>work out a person’s</w:t>
      </w:r>
      <w:r w:rsidRPr="00D135C3">
        <w:t xml:space="preserve"> </w:t>
      </w:r>
      <w:r>
        <w:t>level of acuity and allocate appropriate resources, using tools such as case-mix methods and interRAI data.</w:t>
      </w:r>
      <w:r w:rsidRPr="00D135C3">
        <w:t xml:space="preserve"> </w:t>
      </w:r>
      <w:r>
        <w:t xml:space="preserve">HCSS clients’ </w:t>
      </w:r>
      <w:r w:rsidRPr="00A24CC3">
        <w:t xml:space="preserve">acuity is matched to </w:t>
      </w:r>
      <w:r>
        <w:t xml:space="preserve">the ability and capability of the </w:t>
      </w:r>
      <w:r w:rsidRPr="00A24CC3">
        <w:t xml:space="preserve">case </w:t>
      </w:r>
      <w:r>
        <w:t>worker. The health professionals use a nationally consistent case-mix method to allocate resources according to client need.</w:t>
      </w:r>
    </w:p>
    <w:p w14:paraId="5A93B591" w14:textId="77777777" w:rsidR="00F71B75" w:rsidRPr="00A40B54" w:rsidRDefault="00F71B75" w:rsidP="00F71B75">
      <w:pPr>
        <w:pStyle w:val="Heading3"/>
      </w:pPr>
      <w:bookmarkStart w:id="36" w:name="_Toc35415782"/>
      <w:r>
        <w:t xml:space="preserve">2. </w:t>
      </w:r>
      <w:r w:rsidRPr="00A40B54">
        <w:t>Support planning</w:t>
      </w:r>
      <w:bookmarkEnd w:id="36"/>
    </w:p>
    <w:p w14:paraId="6FA96DF0" w14:textId="77777777" w:rsidR="00F71B75" w:rsidRDefault="00F71B75" w:rsidP="0079199A">
      <w:r w:rsidRPr="00D80FDC">
        <w:t xml:space="preserve">Support plans are developed </w:t>
      </w:r>
      <w:r>
        <w:t>considering</w:t>
      </w:r>
      <w:r w:rsidRPr="00D80FDC">
        <w:t xml:space="preserve"> the goals and aspirations of the older person. Goals focus </w:t>
      </w:r>
      <w:r>
        <w:t>on</w:t>
      </w:r>
      <w:r w:rsidRPr="00D80FDC">
        <w:t xml:space="preserve"> achieving </w:t>
      </w:r>
      <w:r>
        <w:t xml:space="preserve">maximum </w:t>
      </w:r>
      <w:r w:rsidRPr="00D80FDC">
        <w:t>independence</w:t>
      </w:r>
      <w:r>
        <w:t xml:space="preserve"> and normalised socialisation. </w:t>
      </w:r>
      <w:r w:rsidRPr="00D80FDC">
        <w:t xml:space="preserve">Support plans document how </w:t>
      </w:r>
      <w:r>
        <w:t xml:space="preserve">to reach </w:t>
      </w:r>
      <w:r w:rsidRPr="00D80FDC">
        <w:t xml:space="preserve">goals and </w:t>
      </w:r>
      <w:r>
        <w:t>how to measure their achievement</w:t>
      </w:r>
      <w:r w:rsidRPr="00D80FDC">
        <w:t>.</w:t>
      </w:r>
      <w:r>
        <w:t xml:space="preserve"> Equipment is supplied in a timely manner.</w:t>
      </w:r>
    </w:p>
    <w:p w14:paraId="51EB9077" w14:textId="77777777" w:rsidR="00F71B75" w:rsidRPr="003E4DE1" w:rsidRDefault="00F71B75" w:rsidP="00F71B75">
      <w:pPr>
        <w:pStyle w:val="Heading3"/>
      </w:pPr>
      <w:bookmarkStart w:id="37" w:name="_Toc35415783"/>
      <w:r>
        <w:t xml:space="preserve">3. </w:t>
      </w:r>
      <w:r w:rsidRPr="003E4DE1">
        <w:t>Enabling focus</w:t>
      </w:r>
      <w:bookmarkEnd w:id="37"/>
    </w:p>
    <w:p w14:paraId="5511FDDF" w14:textId="77777777" w:rsidR="00F71B75" w:rsidRPr="002C7677" w:rsidRDefault="00F71B75" w:rsidP="0079199A">
      <w:r>
        <w:t xml:space="preserve">Support plans will focus on enabling the older person, aiming to enhance their functionality wherever possible. </w:t>
      </w:r>
      <w:r w:rsidRPr="00D80FDC">
        <w:t>Older people are encouraged to participate in Functional Activities of Daily Living (ADL)</w:t>
      </w:r>
      <w:r>
        <w:t xml:space="preserve"> and</w:t>
      </w:r>
      <w:r w:rsidRPr="00D80FDC">
        <w:t xml:space="preserve"> exercise </w:t>
      </w:r>
      <w:r>
        <w:t>through</w:t>
      </w:r>
      <w:r w:rsidRPr="00D80FDC">
        <w:t xml:space="preserve"> everyday activities. This</w:t>
      </w:r>
      <w:r>
        <w:t xml:space="preserve"> outcome</w:t>
      </w:r>
      <w:r w:rsidRPr="00D80FDC">
        <w:t xml:space="preserve"> is achieved by </w:t>
      </w:r>
      <w:r>
        <w:t>giving</w:t>
      </w:r>
      <w:r w:rsidRPr="00D80FDC">
        <w:t xml:space="preserve"> support workers </w:t>
      </w:r>
      <w:r>
        <w:t xml:space="preserve">the </w:t>
      </w:r>
      <w:r w:rsidRPr="00D80FDC">
        <w:t>train</w:t>
      </w:r>
      <w:r>
        <w:t>ing</w:t>
      </w:r>
      <w:r w:rsidRPr="00D80FDC">
        <w:t xml:space="preserve"> and supervis</w:t>
      </w:r>
      <w:r>
        <w:t>ion they need</w:t>
      </w:r>
      <w:r w:rsidRPr="00D80FDC">
        <w:t xml:space="preserve"> to encourage </w:t>
      </w:r>
      <w:r>
        <w:t>the older person</w:t>
      </w:r>
      <w:r w:rsidRPr="00B15CDE">
        <w:t xml:space="preserve"> </w:t>
      </w:r>
      <w:r>
        <w:t xml:space="preserve">to </w:t>
      </w:r>
      <w:r w:rsidRPr="00D80FDC">
        <w:t>participat</w:t>
      </w:r>
      <w:r>
        <w:t>e</w:t>
      </w:r>
      <w:r w:rsidRPr="00D80FDC">
        <w:t xml:space="preserve"> in household ac</w:t>
      </w:r>
      <w:r>
        <w:t>tivities and exercise programmes.</w:t>
      </w:r>
    </w:p>
    <w:p w14:paraId="2E452948" w14:textId="77777777" w:rsidR="00F71B75" w:rsidRPr="003E4DE1" w:rsidRDefault="00F71B75" w:rsidP="00F71B75">
      <w:pPr>
        <w:pStyle w:val="Heading3"/>
      </w:pPr>
      <w:bookmarkStart w:id="38" w:name="_Toc35415784"/>
      <w:r>
        <w:t xml:space="preserve">4. </w:t>
      </w:r>
      <w:r w:rsidRPr="003E4DE1">
        <w:t>Integrated</w:t>
      </w:r>
      <w:bookmarkEnd w:id="38"/>
    </w:p>
    <w:p w14:paraId="2E4D7DC2" w14:textId="77777777" w:rsidR="00F71B75" w:rsidRPr="00C0559E" w:rsidRDefault="00F71B75" w:rsidP="0079199A">
      <w:r w:rsidRPr="00576D96">
        <w:t>Care is delivered in a coordinated and connected w</w:t>
      </w:r>
      <w:r>
        <w:t xml:space="preserve">ay with a team-based approach. </w:t>
      </w:r>
      <w:r w:rsidRPr="00576D96">
        <w:t>Teams include</w:t>
      </w:r>
      <w:r>
        <w:t xml:space="preserve"> the person,</w:t>
      </w:r>
      <w:r w:rsidRPr="00576D96">
        <w:t xml:space="preserve"> family and whānau, informal networks, home and community support teams, </w:t>
      </w:r>
      <w:r>
        <w:t xml:space="preserve">primary health care, allied health, district nursing, non-governmental organisations, </w:t>
      </w:r>
      <w:r w:rsidRPr="00576D96">
        <w:t xml:space="preserve">the wider health </w:t>
      </w:r>
      <w:r>
        <w:t>inter</w:t>
      </w:r>
      <w:r w:rsidRPr="00576D96">
        <w:t>disciplinary team and the broader intersectoral team (</w:t>
      </w:r>
      <w:r>
        <w:t>such as</w:t>
      </w:r>
      <w:r w:rsidRPr="00576D96">
        <w:t xml:space="preserve"> Work and Income,</w:t>
      </w:r>
      <w:r>
        <w:t xml:space="preserve"> and</w:t>
      </w:r>
      <w:r w:rsidRPr="00576D96">
        <w:t xml:space="preserve"> housing</w:t>
      </w:r>
      <w:r>
        <w:t>).</w:t>
      </w:r>
    </w:p>
    <w:p w14:paraId="6DDE43B4" w14:textId="77777777" w:rsidR="00F71B75" w:rsidRPr="003E4DE1" w:rsidRDefault="00F71B75" w:rsidP="00F71B75">
      <w:pPr>
        <w:pStyle w:val="Heading3"/>
      </w:pPr>
      <w:bookmarkStart w:id="39" w:name="_Toc35415785"/>
      <w:r>
        <w:lastRenderedPageBreak/>
        <w:t xml:space="preserve">5. </w:t>
      </w:r>
      <w:r w:rsidRPr="003E4DE1">
        <w:t xml:space="preserve">Competent </w:t>
      </w:r>
      <w:r>
        <w:t xml:space="preserve">and supported </w:t>
      </w:r>
      <w:r w:rsidRPr="003E4DE1">
        <w:t>workforce</w:t>
      </w:r>
      <w:bookmarkEnd w:id="39"/>
      <w:r w:rsidRPr="003E4DE1">
        <w:t xml:space="preserve"> </w:t>
      </w:r>
    </w:p>
    <w:p w14:paraId="02D8547E" w14:textId="3124CB34" w:rsidR="00F71B75" w:rsidRDefault="00F71B75" w:rsidP="00F71B75">
      <w:r w:rsidRPr="00D80FDC">
        <w:t>Support workers receive Career Force Level 2 training as a minimum</w:t>
      </w:r>
      <w:r>
        <w:t>. T</w:t>
      </w:r>
      <w:r w:rsidRPr="00D80FDC">
        <w:t xml:space="preserve">he workforce is </w:t>
      </w:r>
      <w:r>
        <w:t xml:space="preserve">further </w:t>
      </w:r>
      <w:r w:rsidRPr="00D80FDC">
        <w:t>trained for the capability required to provide services that consistently meet the needs</w:t>
      </w:r>
      <w:r w:rsidR="00533D73">
        <w:t xml:space="preserve"> and</w:t>
      </w:r>
      <w:r w:rsidRPr="00D80FDC">
        <w:t xml:space="preserve"> mix of</w:t>
      </w:r>
      <w:r>
        <w:t xml:space="preserve"> people receiving HCSS</w:t>
      </w:r>
      <w:r w:rsidRPr="00D80FDC">
        <w:t xml:space="preserve">. This training will enable the support worker to identify an older person’s functional decline </w:t>
      </w:r>
      <w:r>
        <w:t>if and when</w:t>
      </w:r>
      <w:r w:rsidRPr="00D80FDC">
        <w:t xml:space="preserve"> it happens and communicate</w:t>
      </w:r>
      <w:r>
        <w:t xml:space="preserve"> this</w:t>
      </w:r>
      <w:r w:rsidRPr="00D80FDC">
        <w:t xml:space="preserve"> to </w:t>
      </w:r>
      <w:r>
        <w:t>relevant</w:t>
      </w:r>
      <w:r w:rsidRPr="00D80FDC">
        <w:t xml:space="preserve"> health professionals.</w:t>
      </w:r>
      <w:r>
        <w:t xml:space="preserve"> </w:t>
      </w:r>
    </w:p>
    <w:p w14:paraId="402E223E" w14:textId="77777777" w:rsidR="0079199A" w:rsidRDefault="0079199A" w:rsidP="00F71B75"/>
    <w:p w14:paraId="44E46E68" w14:textId="77777777" w:rsidR="00F71B75" w:rsidRDefault="00F71B75" w:rsidP="00F71B75">
      <w:r>
        <w:t>Employers support training opportunities for their workforce, to ensure the HCSS team has competent, qualified clinical staff</w:t>
      </w:r>
      <w:r w:rsidRPr="00481977">
        <w:t xml:space="preserve"> </w:t>
      </w:r>
      <w:r>
        <w:t xml:space="preserve">enabled to work to the full extent of their scope. They will support robust care planning, provide clinical oversight and optimise the functional ability of the older person. The workforce is responsive to the needs of Māori, Pacific peoples and minority groups, including LGBTQI. </w:t>
      </w:r>
    </w:p>
    <w:p w14:paraId="0A6C5A03" w14:textId="77777777" w:rsidR="0079199A" w:rsidRDefault="0079199A" w:rsidP="00F71B75"/>
    <w:p w14:paraId="79C5CA7A" w14:textId="77777777" w:rsidR="00F71B75" w:rsidRPr="00D80FDC" w:rsidRDefault="00F71B75" w:rsidP="00F71B75">
      <w:r>
        <w:t xml:space="preserve">Employers meet all employment and training commitments to care and support workers established by the in-between travel and pay equity settlement agreements.  </w:t>
      </w:r>
    </w:p>
    <w:p w14:paraId="33F59CA9" w14:textId="77777777" w:rsidR="00F71B75" w:rsidRPr="003E4DE1" w:rsidRDefault="00F71B75" w:rsidP="0079199A">
      <w:pPr>
        <w:pStyle w:val="Heading3"/>
        <w:spacing w:before="280"/>
      </w:pPr>
      <w:bookmarkStart w:id="40" w:name="_Toc35415786"/>
      <w:r>
        <w:t xml:space="preserve">6. </w:t>
      </w:r>
      <w:r w:rsidRPr="003E4DE1">
        <w:t>Clinical oversight</w:t>
      </w:r>
      <w:bookmarkEnd w:id="40"/>
    </w:p>
    <w:p w14:paraId="7087E06D" w14:textId="77777777" w:rsidR="00F71B75" w:rsidRPr="002C7677" w:rsidRDefault="00F71B75" w:rsidP="00F71B75">
      <w:r w:rsidRPr="00D80FDC">
        <w:t xml:space="preserve">Registered health professionals are </w:t>
      </w:r>
      <w:r>
        <w:t xml:space="preserve">part of the team and are </w:t>
      </w:r>
      <w:r w:rsidRPr="00D80FDC">
        <w:t xml:space="preserve">able to provide </w:t>
      </w:r>
      <w:r>
        <w:t>assessments and oversight to the HCSS team</w:t>
      </w:r>
      <w:r w:rsidRPr="00D80FDC">
        <w:t>. Roles and duties may include: delegati</w:t>
      </w:r>
      <w:r>
        <w:t>ng</w:t>
      </w:r>
      <w:r w:rsidRPr="00D80FDC">
        <w:t xml:space="preserve"> and supervis</w:t>
      </w:r>
      <w:r>
        <w:t>ing</w:t>
      </w:r>
      <w:r w:rsidRPr="00D80FDC">
        <w:t xml:space="preserve"> non-regulated staff; </w:t>
      </w:r>
      <w:r>
        <w:t xml:space="preserve">conducting </w:t>
      </w:r>
      <w:r w:rsidRPr="00D80FDC">
        <w:t>comprehensive assessment</w:t>
      </w:r>
      <w:r>
        <w:t>s</w:t>
      </w:r>
      <w:r w:rsidRPr="00D80FDC">
        <w:t>, writing and reviewing support plans,</w:t>
      </w:r>
      <w:r>
        <w:t xml:space="preserve"> and managing</w:t>
      </w:r>
      <w:r w:rsidRPr="00D80FDC">
        <w:t xml:space="preserve"> </w:t>
      </w:r>
      <w:r>
        <w:t xml:space="preserve">care </w:t>
      </w:r>
      <w:r w:rsidRPr="00D80FDC">
        <w:t xml:space="preserve">support; </w:t>
      </w:r>
      <w:r>
        <w:t xml:space="preserve">analysing </w:t>
      </w:r>
      <w:r w:rsidRPr="00D80FDC">
        <w:t xml:space="preserve">goal activity; and </w:t>
      </w:r>
      <w:r>
        <w:t>helping to</w:t>
      </w:r>
      <w:r w:rsidRPr="00D80FDC">
        <w:t xml:space="preserve"> integrat</w:t>
      </w:r>
      <w:r>
        <w:t>e</w:t>
      </w:r>
      <w:r w:rsidRPr="00D80FDC">
        <w:t xml:space="preserve"> services across primary</w:t>
      </w:r>
      <w:r>
        <w:t>,</w:t>
      </w:r>
      <w:r w:rsidRPr="00D80FDC">
        <w:t xml:space="preserve"> secondary </w:t>
      </w:r>
      <w:r>
        <w:t xml:space="preserve">and community </w:t>
      </w:r>
      <w:r w:rsidRPr="00D80FDC">
        <w:t>care.</w:t>
      </w:r>
    </w:p>
    <w:p w14:paraId="27B9980E" w14:textId="77777777" w:rsidR="00F71B75" w:rsidRPr="003E4DE1" w:rsidRDefault="00F71B75" w:rsidP="0079199A">
      <w:pPr>
        <w:pStyle w:val="Heading3"/>
        <w:spacing w:before="280"/>
      </w:pPr>
      <w:bookmarkStart w:id="41" w:name="_Toc35415787"/>
      <w:r>
        <w:t>7. Optimum</w:t>
      </w:r>
      <w:r w:rsidRPr="003E4DE1">
        <w:t xml:space="preserve"> use of natural supports</w:t>
      </w:r>
      <w:bookmarkEnd w:id="41"/>
    </w:p>
    <w:p w14:paraId="160B1EA4" w14:textId="77777777" w:rsidR="00F71B75" w:rsidRDefault="00F71B75" w:rsidP="00F71B75">
      <w:r w:rsidRPr="002C7677">
        <w:t xml:space="preserve">HCSS </w:t>
      </w:r>
      <w:r>
        <w:t>provide</w:t>
      </w:r>
      <w:r w:rsidRPr="002C7677">
        <w:t xml:space="preserve"> </w:t>
      </w:r>
      <w:r>
        <w:t>one</w:t>
      </w:r>
      <w:r w:rsidRPr="002C7677">
        <w:t xml:space="preserve"> component of support, </w:t>
      </w:r>
      <w:r>
        <w:t>alongside</w:t>
      </w:r>
      <w:r w:rsidRPr="002C7677">
        <w:t xml:space="preserve"> a range of natural supports for an </w:t>
      </w:r>
      <w:r>
        <w:t>older person and their family and whānau.</w:t>
      </w:r>
      <w:r w:rsidRPr="002C7677">
        <w:t xml:space="preserve"> The public health system works within a capped envelope, and HCSS </w:t>
      </w:r>
      <w:r>
        <w:t>make</w:t>
      </w:r>
      <w:r w:rsidRPr="002C7677">
        <w:t xml:space="preserve"> </w:t>
      </w:r>
      <w:r>
        <w:t>one</w:t>
      </w:r>
      <w:r w:rsidRPr="002C7677">
        <w:t xml:space="preserve"> contribution to a packag</w:t>
      </w:r>
      <w:r>
        <w:t xml:space="preserve">e of care for an older person. </w:t>
      </w:r>
      <w:r w:rsidRPr="002C7677">
        <w:t>Family,</w:t>
      </w:r>
      <w:r>
        <w:t xml:space="preserve"> whānau,</w:t>
      </w:r>
      <w:r w:rsidRPr="002C7677">
        <w:t xml:space="preserve"> friends and communities</w:t>
      </w:r>
      <w:r>
        <w:t>,</w:t>
      </w:r>
      <w:r w:rsidRPr="002C7677">
        <w:t xml:space="preserve"> where possible</w:t>
      </w:r>
      <w:r>
        <w:t>,</w:t>
      </w:r>
      <w:r w:rsidRPr="002C7677">
        <w:t xml:space="preserve"> are a part of the care plan, alongside HCSS. </w:t>
      </w:r>
      <w:r>
        <w:t>Optimising the role of natural supports may also involve training and supporting family and whānau to fulfil this role.</w:t>
      </w:r>
    </w:p>
    <w:p w14:paraId="43A32CFB" w14:textId="77777777" w:rsidR="00F71B75" w:rsidRPr="003E4DE1" w:rsidRDefault="00F71B75" w:rsidP="0079199A">
      <w:pPr>
        <w:pStyle w:val="Heading3"/>
        <w:spacing w:before="280"/>
      </w:pPr>
      <w:bookmarkStart w:id="42" w:name="_Toc35415788"/>
      <w:r>
        <w:t xml:space="preserve">8. </w:t>
      </w:r>
      <w:r w:rsidRPr="003E4DE1">
        <w:t>Culturally competent</w:t>
      </w:r>
      <w:bookmarkEnd w:id="42"/>
    </w:p>
    <w:p w14:paraId="660163E3" w14:textId="77777777" w:rsidR="00F71B75" w:rsidRDefault="00F71B75" w:rsidP="00F71B75">
      <w:r>
        <w:t>S</w:t>
      </w:r>
      <w:r w:rsidRPr="00576D96">
        <w:t>taff with training in cultural competence</w:t>
      </w:r>
      <w:r w:rsidRPr="00EF751A">
        <w:t xml:space="preserve"> </w:t>
      </w:r>
      <w:r w:rsidRPr="00576D96">
        <w:t>provide</w:t>
      </w:r>
      <w:r w:rsidRPr="00EF751A">
        <w:t xml:space="preserve"> </w:t>
      </w:r>
      <w:r w:rsidRPr="00576D96">
        <w:t>support. Support is respectful and enhanc</w:t>
      </w:r>
      <w:r>
        <w:t>es</w:t>
      </w:r>
      <w:r w:rsidRPr="00576D96">
        <w:t xml:space="preserve"> dignity and mana. Programmes are targeted to particular groups</w:t>
      </w:r>
      <w:r>
        <w:t>, such as</w:t>
      </w:r>
      <w:r w:rsidRPr="00576D96">
        <w:t xml:space="preserve"> Māori, Pacific</w:t>
      </w:r>
      <w:r>
        <w:t xml:space="preserve"> peoples and</w:t>
      </w:r>
      <w:r w:rsidRPr="00576D96">
        <w:t xml:space="preserve"> migrants.</w:t>
      </w:r>
      <w:r w:rsidRPr="009E1A93">
        <w:t xml:space="preserve"> </w:t>
      </w:r>
      <w:r w:rsidRPr="00576D96">
        <w:t xml:space="preserve">Family and whānau are trained to </w:t>
      </w:r>
      <w:r>
        <w:t>provide care</w:t>
      </w:r>
      <w:r w:rsidRPr="00576D96">
        <w:t xml:space="preserve"> where </w:t>
      </w:r>
      <w:r>
        <w:t xml:space="preserve">needed and </w:t>
      </w:r>
      <w:r w:rsidRPr="00576D96">
        <w:t>appropriate</w:t>
      </w:r>
      <w:r>
        <w:t>. Where an older person would prefer carers from their own cultural background, this will be supported as much as possible.</w:t>
      </w:r>
    </w:p>
    <w:p w14:paraId="5E61D8F9" w14:textId="77777777" w:rsidR="00F71B75" w:rsidRPr="003E4DE1" w:rsidRDefault="00F71B75" w:rsidP="0079199A">
      <w:pPr>
        <w:pStyle w:val="Heading3"/>
        <w:spacing w:before="280"/>
      </w:pPr>
      <w:bookmarkStart w:id="43" w:name="_Toc35415789"/>
      <w:r>
        <w:t xml:space="preserve">9. </w:t>
      </w:r>
      <w:r w:rsidRPr="003E4DE1">
        <w:t>Performance focused</w:t>
      </w:r>
      <w:bookmarkEnd w:id="43"/>
    </w:p>
    <w:p w14:paraId="6ACDBCAB" w14:textId="5CA67385" w:rsidR="00F71B75" w:rsidRPr="00881327" w:rsidRDefault="00F71B75" w:rsidP="00F71B75">
      <w:r>
        <w:t>HCSS collect d</w:t>
      </w:r>
      <w:r w:rsidRPr="002C7677">
        <w:t xml:space="preserve">ata in a comprehensive and consistent </w:t>
      </w:r>
      <w:r w:rsidR="00215D21" w:rsidRPr="002C7677">
        <w:t>wa</w:t>
      </w:r>
      <w:r w:rsidR="00215D21">
        <w:t>y</w:t>
      </w:r>
      <w:r w:rsidR="00215D21" w:rsidRPr="002C7677">
        <w:t xml:space="preserve"> and</w:t>
      </w:r>
      <w:r w:rsidRPr="002C7677">
        <w:t xml:space="preserve"> use</w:t>
      </w:r>
      <w:r>
        <w:t xml:space="preserve"> it</w:t>
      </w:r>
      <w:r w:rsidRPr="002C7677">
        <w:t xml:space="preserve"> to measure and improve services. </w:t>
      </w:r>
      <w:r w:rsidRPr="006E0847">
        <w:t xml:space="preserve">Access to national shared data </w:t>
      </w:r>
      <w:r>
        <w:t xml:space="preserve">is available, </w:t>
      </w:r>
      <w:r w:rsidRPr="006E0847">
        <w:t>where possible</w:t>
      </w:r>
      <w:r>
        <w:t>,</w:t>
      </w:r>
      <w:r w:rsidRPr="006E0847">
        <w:t xml:space="preserve"> to inform quality impr</w:t>
      </w:r>
      <w:r>
        <w:t>ovements and benchmarking – for example, through</w:t>
      </w:r>
      <w:r w:rsidRPr="006E0847">
        <w:t xml:space="preserve"> </w:t>
      </w:r>
      <w:r>
        <w:t>s</w:t>
      </w:r>
      <w:r w:rsidRPr="006E0847">
        <w:t>h</w:t>
      </w:r>
      <w:r>
        <w:t>ared access to interRAI records. Ethnicity data is collected where possible and used to improve outcomes for M</w:t>
      </w:r>
      <w:r>
        <w:rPr>
          <w:rFonts w:cstheme="minorHAnsi"/>
        </w:rPr>
        <w:t>ā</w:t>
      </w:r>
      <w:r>
        <w:t xml:space="preserve">ori, Pacific and Asian populations. </w:t>
      </w:r>
    </w:p>
    <w:p w14:paraId="71CBE1C1" w14:textId="77777777" w:rsidR="00F71B75" w:rsidRPr="00103511" w:rsidRDefault="00F71B75" w:rsidP="0079199A">
      <w:pPr>
        <w:pStyle w:val="Heading1"/>
      </w:pPr>
      <w:bookmarkStart w:id="44" w:name="_Toc35415790"/>
      <w:bookmarkStart w:id="45" w:name="_Toc36129216"/>
      <w:r>
        <w:lastRenderedPageBreak/>
        <w:t>Section four</w:t>
      </w:r>
      <w:r w:rsidRPr="00103511">
        <w:t xml:space="preserve">: Consultation with older people and the </w:t>
      </w:r>
      <w:r>
        <w:t>h</w:t>
      </w:r>
      <w:r w:rsidRPr="00103511">
        <w:t xml:space="preserve">ome and </w:t>
      </w:r>
      <w:r>
        <w:t>c</w:t>
      </w:r>
      <w:r w:rsidRPr="00103511">
        <w:t xml:space="preserve">ommunity </w:t>
      </w:r>
      <w:r>
        <w:t>s</w:t>
      </w:r>
      <w:r w:rsidRPr="00103511">
        <w:t xml:space="preserve">upport </w:t>
      </w:r>
      <w:r>
        <w:t>s</w:t>
      </w:r>
      <w:r w:rsidRPr="00103511">
        <w:t>ector</w:t>
      </w:r>
      <w:bookmarkEnd w:id="44"/>
      <w:bookmarkEnd w:id="45"/>
    </w:p>
    <w:p w14:paraId="35A0B036" w14:textId="77777777" w:rsidR="00F71B75" w:rsidRDefault="00F71B75" w:rsidP="0079199A">
      <w:r>
        <w:t>In developing this National Framework, we undertook consultation with the aim of gaining the views and input of older people, their families and whānau and the wider HCSS sector on the future provision of HCSS.</w:t>
      </w:r>
    </w:p>
    <w:p w14:paraId="7094CE46" w14:textId="77777777" w:rsidR="0079199A" w:rsidRDefault="0079199A" w:rsidP="0079199A"/>
    <w:p w14:paraId="17BA3849" w14:textId="01E2DA1C" w:rsidR="00F71B75" w:rsidRDefault="00F71B75" w:rsidP="0079199A">
      <w:r w:rsidRPr="0095415F">
        <w:t>In June 2017, Price</w:t>
      </w:r>
      <w:r w:rsidR="005F6906">
        <w:t>w</w:t>
      </w:r>
      <w:r w:rsidRPr="0095415F">
        <w:t>aterhouseCooper</w:t>
      </w:r>
      <w:r w:rsidR="005F6906">
        <w:t>s</w:t>
      </w:r>
      <w:r>
        <w:t xml:space="preserve"> (PwC), on behalf of the Ministry,</w:t>
      </w:r>
      <w:r w:rsidRPr="0095415F">
        <w:t xml:space="preserve"> held a workshop for clinicians, providers, unions, funders and other stakeholders. </w:t>
      </w:r>
      <w:r>
        <w:t>The workshop helped to build relationships across the sector, build a common understanding of the concerns in the sector and shape the</w:t>
      </w:r>
      <w:r w:rsidRPr="00B162A4">
        <w:t xml:space="preserve"> </w:t>
      </w:r>
      <w:r>
        <w:t>work of future HCSS.</w:t>
      </w:r>
    </w:p>
    <w:p w14:paraId="5E0E0EE0" w14:textId="77777777" w:rsidR="0079199A" w:rsidRDefault="0079199A" w:rsidP="0079199A"/>
    <w:p w14:paraId="5C5D96B8" w14:textId="77777777" w:rsidR="00F71B75" w:rsidRDefault="00F71B75" w:rsidP="0079199A">
      <w:r>
        <w:t>As part of a ‘ground up’ approach i</w:t>
      </w:r>
      <w:r w:rsidRPr="0095415F">
        <w:t>n March and April 2018, the Ministry and DHBs held a series of workshops around the country in five different locations</w:t>
      </w:r>
      <w:r>
        <w:t xml:space="preserve"> (</w:t>
      </w:r>
      <w:r w:rsidRPr="0095415F">
        <w:t>Auckland, Hamilton, Wellington, Christchurch and Palmerston North</w:t>
      </w:r>
      <w:r>
        <w:t>).</w:t>
      </w:r>
      <w:r w:rsidRPr="0095415F">
        <w:t xml:space="preserve">  </w:t>
      </w:r>
    </w:p>
    <w:p w14:paraId="0D6BE78A" w14:textId="77777777" w:rsidR="0079199A" w:rsidRPr="0095415F" w:rsidRDefault="0079199A" w:rsidP="0079199A"/>
    <w:p w14:paraId="7F9E52AD" w14:textId="77777777" w:rsidR="00F71B75" w:rsidRDefault="00F71B75" w:rsidP="0079199A">
      <w:r>
        <w:t>T</w:t>
      </w:r>
      <w:r w:rsidRPr="0095415F">
        <w:t xml:space="preserve">wo </w:t>
      </w:r>
      <w:r>
        <w:t xml:space="preserve">further </w:t>
      </w:r>
      <w:r w:rsidRPr="0095415F">
        <w:t xml:space="preserve">workshops were held </w:t>
      </w:r>
      <w:r>
        <w:t>in May 2018 to ensure that Mā</w:t>
      </w:r>
      <w:r w:rsidRPr="0095415F">
        <w:t xml:space="preserve">ori and Pacific voices were </w:t>
      </w:r>
      <w:r>
        <w:t xml:space="preserve">adequately </w:t>
      </w:r>
      <w:r w:rsidRPr="0095415F">
        <w:t>heard</w:t>
      </w:r>
      <w:r>
        <w:t xml:space="preserve">. First, a hui </w:t>
      </w:r>
      <w:r w:rsidRPr="0095415F">
        <w:t>in Hamilton at the Rauawa</w:t>
      </w:r>
      <w:r>
        <w:t>a</w:t>
      </w:r>
      <w:r w:rsidRPr="0095415F">
        <w:t>wa</w:t>
      </w:r>
      <w:r>
        <w:t xml:space="preserve"> Kaumātua Charitable</w:t>
      </w:r>
      <w:r w:rsidRPr="0095415F">
        <w:t xml:space="preserve"> Trust</w:t>
      </w:r>
      <w:r>
        <w:t xml:space="preserve"> had</w:t>
      </w:r>
      <w:r w:rsidRPr="0095415F">
        <w:t xml:space="preserve"> more than 20 </w:t>
      </w:r>
      <w:r>
        <w:t xml:space="preserve">participants, including </w:t>
      </w:r>
      <w:r w:rsidRPr="0095415F">
        <w:t xml:space="preserve">representatives of several local iwi, </w:t>
      </w:r>
      <w:r>
        <w:t>k</w:t>
      </w:r>
      <w:r w:rsidRPr="0095415F">
        <w:t>aum</w:t>
      </w:r>
      <w:r>
        <w:t>ā</w:t>
      </w:r>
      <w:r w:rsidRPr="0095415F">
        <w:t>tua</w:t>
      </w:r>
      <w:r>
        <w:t>, DHB representatives and providers. Second, a</w:t>
      </w:r>
      <w:r w:rsidRPr="0095415F">
        <w:t xml:space="preserve"> Pacific fono</w:t>
      </w:r>
      <w:r>
        <w:t xml:space="preserve"> </w:t>
      </w:r>
      <w:r w:rsidRPr="0095415F">
        <w:t>at Counties Manukau DHB</w:t>
      </w:r>
      <w:r>
        <w:t xml:space="preserve"> drew approximately</w:t>
      </w:r>
      <w:r w:rsidRPr="0095415F">
        <w:t xml:space="preserve"> 30 representatives from local Pacific providers, </w:t>
      </w:r>
      <w:r>
        <w:t>older people</w:t>
      </w:r>
      <w:r w:rsidRPr="0095415F">
        <w:t>, practice nurses and DHB representatives who work with Pacific peoples.</w:t>
      </w:r>
    </w:p>
    <w:p w14:paraId="77D6A3DE" w14:textId="77777777" w:rsidR="0079199A" w:rsidRPr="0095415F" w:rsidRDefault="0079199A" w:rsidP="0079199A"/>
    <w:p w14:paraId="00596095" w14:textId="77777777" w:rsidR="00F71B75" w:rsidRPr="0095415F" w:rsidRDefault="00F71B75" w:rsidP="0079199A">
      <w:r>
        <w:t>The development of the National Framework also drew on feedback and information gathered from extensive consultation around the country for the Healthy Ageing Strategy.</w:t>
      </w:r>
    </w:p>
    <w:p w14:paraId="7FDADB03" w14:textId="77777777" w:rsidR="00F71B75" w:rsidRPr="0079199A" w:rsidRDefault="00F71B75" w:rsidP="0079199A">
      <w:pPr>
        <w:pStyle w:val="Heading2"/>
      </w:pPr>
      <w:bookmarkStart w:id="46" w:name="_Toc35415791"/>
      <w:bookmarkStart w:id="47" w:name="_Toc36129217"/>
      <w:r w:rsidRPr="0079199A">
        <w:t>Format of the 2018 workshops</w:t>
      </w:r>
      <w:bookmarkEnd w:id="46"/>
      <w:bookmarkEnd w:id="47"/>
    </w:p>
    <w:p w14:paraId="0A110CB6" w14:textId="77777777" w:rsidR="00F71B75" w:rsidRDefault="00F71B75" w:rsidP="0079199A">
      <w:r>
        <w:t>T</w:t>
      </w:r>
      <w:r w:rsidRPr="0095415F">
        <w:t>he workshops</w:t>
      </w:r>
      <w:r w:rsidRPr="00AE3253">
        <w:t xml:space="preserve"> </w:t>
      </w:r>
      <w:r w:rsidRPr="0095415F">
        <w:t>outlined the background and approach to th</w:t>
      </w:r>
      <w:r>
        <w:t>e</w:t>
      </w:r>
      <w:r w:rsidRPr="0095415F">
        <w:t xml:space="preserve"> work </w:t>
      </w:r>
      <w:r>
        <w:t xml:space="preserve">on future HCSS </w:t>
      </w:r>
      <w:r w:rsidRPr="0095415F">
        <w:t xml:space="preserve">and </w:t>
      </w:r>
      <w:r>
        <w:t xml:space="preserve">provided </w:t>
      </w:r>
      <w:r w:rsidRPr="0095415F">
        <w:t>a set of draft principles for discussion</w:t>
      </w:r>
      <w:r>
        <w:t>.</w:t>
      </w:r>
      <w:r w:rsidRPr="0095415F">
        <w:t xml:space="preserve"> The aim was to test </w:t>
      </w:r>
      <w:r>
        <w:t xml:space="preserve">whether </w:t>
      </w:r>
      <w:r w:rsidRPr="0095415F">
        <w:t>the principles were what the</w:t>
      </w:r>
      <w:r>
        <w:t xml:space="preserve"> participants </w:t>
      </w:r>
      <w:r w:rsidRPr="0095415F">
        <w:t xml:space="preserve">wanted </w:t>
      </w:r>
      <w:r>
        <w:t>future HCSS to follow, as well as to establish what they thought were core components of HCSS</w:t>
      </w:r>
      <w:r w:rsidRPr="0095415F">
        <w:t>.</w:t>
      </w:r>
    </w:p>
    <w:p w14:paraId="4B216554" w14:textId="77777777" w:rsidR="0079199A" w:rsidRDefault="0079199A" w:rsidP="0079199A"/>
    <w:p w14:paraId="5B391EBB" w14:textId="77777777" w:rsidR="0079199A" w:rsidRPr="0095415F" w:rsidRDefault="0079199A" w:rsidP="0079199A"/>
    <w:p w14:paraId="395CD642" w14:textId="77777777" w:rsidR="00F71B75" w:rsidRPr="0095415F" w:rsidRDefault="00F71B75" w:rsidP="0079199A">
      <w:r>
        <w:lastRenderedPageBreak/>
        <w:t>To this end, the workshop asked participants f</w:t>
      </w:r>
      <w:r w:rsidRPr="0095415F">
        <w:t>our key questions</w:t>
      </w:r>
      <w:r>
        <w:t>.</w:t>
      </w:r>
      <w:r w:rsidRPr="0095415F">
        <w:t xml:space="preserve"> </w:t>
      </w:r>
    </w:p>
    <w:p w14:paraId="39947227" w14:textId="76D61266" w:rsidR="00F71B75" w:rsidRPr="0079199A" w:rsidRDefault="00F71B75" w:rsidP="00041A2E">
      <w:pPr>
        <w:pStyle w:val="Bullet"/>
        <w:numPr>
          <w:ilvl w:val="0"/>
          <w:numId w:val="49"/>
        </w:numPr>
      </w:pPr>
      <w:r w:rsidRPr="0079199A">
        <w:t>How do I get into the system? (identification and referral)</w:t>
      </w:r>
    </w:p>
    <w:p w14:paraId="0EEC0349" w14:textId="08CDAD1D" w:rsidR="00F71B75" w:rsidRPr="0079199A" w:rsidRDefault="00F71B75" w:rsidP="00041A2E">
      <w:pPr>
        <w:pStyle w:val="Bullet"/>
        <w:numPr>
          <w:ilvl w:val="0"/>
          <w:numId w:val="49"/>
        </w:numPr>
      </w:pPr>
      <w:r w:rsidRPr="0079199A">
        <w:t>How do my needs get assessed and plans made? (stratification, assessment and planning)</w:t>
      </w:r>
    </w:p>
    <w:p w14:paraId="0F46B514" w14:textId="77777777" w:rsidR="00F71B75" w:rsidRPr="0079199A" w:rsidRDefault="00F71B75" w:rsidP="00041A2E">
      <w:pPr>
        <w:pStyle w:val="Bullet"/>
        <w:numPr>
          <w:ilvl w:val="0"/>
          <w:numId w:val="49"/>
        </w:numPr>
      </w:pPr>
      <w:r w:rsidRPr="0079199A">
        <w:t>What are my options for getting support? (service delivery)</w:t>
      </w:r>
    </w:p>
    <w:p w14:paraId="269D8487" w14:textId="77777777" w:rsidR="00F71B75" w:rsidRPr="0079199A" w:rsidRDefault="00F71B75" w:rsidP="00041A2E">
      <w:pPr>
        <w:pStyle w:val="Bullet"/>
        <w:numPr>
          <w:ilvl w:val="0"/>
          <w:numId w:val="49"/>
        </w:numPr>
      </w:pPr>
      <w:r w:rsidRPr="0079199A">
        <w:t>What if my needs change? (review, exit and changing levels of need)</w:t>
      </w:r>
    </w:p>
    <w:p w14:paraId="03F1F4BB" w14:textId="77777777" w:rsidR="0079199A" w:rsidRDefault="0079199A" w:rsidP="0079199A"/>
    <w:p w14:paraId="74465A8F" w14:textId="77777777" w:rsidR="00F71B75" w:rsidRDefault="00F71B75" w:rsidP="0079199A">
      <w:r w:rsidRPr="00717339">
        <w:t xml:space="preserve">To answer these questions and to </w:t>
      </w:r>
      <w:r>
        <w:t>encourage</w:t>
      </w:r>
      <w:r w:rsidRPr="00717339">
        <w:t xml:space="preserve"> discussion, </w:t>
      </w:r>
      <w:r>
        <w:t>each workshop</w:t>
      </w:r>
      <w:r w:rsidRPr="00EA1207">
        <w:t xml:space="preserve"> </w:t>
      </w:r>
      <w:r>
        <w:t xml:space="preserve">prompted </w:t>
      </w:r>
      <w:r w:rsidRPr="00717339">
        <w:t xml:space="preserve">participants </w:t>
      </w:r>
      <w:r>
        <w:t xml:space="preserve">to </w:t>
      </w:r>
      <w:r w:rsidRPr="0095415F">
        <w:t>identify</w:t>
      </w:r>
      <w:r>
        <w:t>:</w:t>
      </w:r>
    </w:p>
    <w:p w14:paraId="4A0D1BBB" w14:textId="77777777" w:rsidR="00F71B75" w:rsidRPr="0079199A" w:rsidRDefault="00F71B75" w:rsidP="0079199A">
      <w:pPr>
        <w:pStyle w:val="Bullet"/>
      </w:pPr>
      <w:r w:rsidRPr="0079199A">
        <w:t>core components of future, high-quality HCSS and how these link to the principles</w:t>
      </w:r>
    </w:p>
    <w:p w14:paraId="73EDB178" w14:textId="77777777" w:rsidR="00F71B75" w:rsidRPr="0079199A" w:rsidRDefault="00F71B75" w:rsidP="0079199A">
      <w:pPr>
        <w:pStyle w:val="Bullet"/>
      </w:pPr>
      <w:r w:rsidRPr="0079199A">
        <w:t>the systems and processes that need to change to achieve high-quality HCSS</w:t>
      </w:r>
    </w:p>
    <w:p w14:paraId="00BE2EF3" w14:textId="77777777" w:rsidR="00F71B75" w:rsidRPr="0079199A" w:rsidRDefault="00F71B75" w:rsidP="0079199A">
      <w:pPr>
        <w:pStyle w:val="Bullet"/>
      </w:pPr>
      <w:r w:rsidRPr="0079199A">
        <w:t>their priorities for change</w:t>
      </w:r>
    </w:p>
    <w:p w14:paraId="1B1BD88D" w14:textId="77777777" w:rsidR="00F71B75" w:rsidRPr="0079199A" w:rsidRDefault="00F71B75" w:rsidP="0079199A">
      <w:pPr>
        <w:pStyle w:val="Bullet"/>
      </w:pPr>
      <w:r w:rsidRPr="0079199A">
        <w:t>what innovation is needed</w:t>
      </w:r>
    </w:p>
    <w:p w14:paraId="164F5C83" w14:textId="77777777" w:rsidR="00F71B75" w:rsidRPr="0079199A" w:rsidRDefault="00F71B75" w:rsidP="0079199A">
      <w:pPr>
        <w:pStyle w:val="Bullet"/>
      </w:pPr>
      <w:r w:rsidRPr="0079199A">
        <w:t>their most radical ideas for change in the sector.</w:t>
      </w:r>
    </w:p>
    <w:p w14:paraId="7D9CD0E9" w14:textId="77777777" w:rsidR="0079199A" w:rsidRDefault="0079199A" w:rsidP="00F71B75">
      <w:pPr>
        <w:autoSpaceDE w:val="0"/>
        <w:autoSpaceDN w:val="0"/>
        <w:adjustRightInd w:val="0"/>
        <w:spacing w:after="120"/>
        <w:rPr>
          <w:rFonts w:ascii="Calibri" w:hAnsi="Calibri" w:cs="Calibri"/>
          <w:bCs/>
          <w:color w:val="000000"/>
        </w:rPr>
      </w:pPr>
    </w:p>
    <w:p w14:paraId="04076F80" w14:textId="77777777" w:rsidR="00F71B75" w:rsidRDefault="00F71B75" w:rsidP="0079199A">
      <w:r w:rsidRPr="0095415F">
        <w:t>Input from the</w:t>
      </w:r>
      <w:r>
        <w:t xml:space="preserve"> workshops</w:t>
      </w:r>
      <w:r w:rsidRPr="0095415F">
        <w:t xml:space="preserve"> was rich and varied</w:t>
      </w:r>
      <w:r>
        <w:t>. The m</w:t>
      </w:r>
      <w:r w:rsidRPr="0095415F">
        <w:t>any ideas</w:t>
      </w:r>
      <w:r>
        <w:t xml:space="preserve"> from these </w:t>
      </w:r>
      <w:r w:rsidRPr="0095415F">
        <w:t>were recorded</w:t>
      </w:r>
      <w:r>
        <w:t xml:space="preserve">, </w:t>
      </w:r>
      <w:r w:rsidRPr="0095415F">
        <w:t>summarised</w:t>
      </w:r>
      <w:r>
        <w:t xml:space="preserve"> and sent back to participants. </w:t>
      </w:r>
    </w:p>
    <w:p w14:paraId="2C4D2C23" w14:textId="77777777" w:rsidR="00F71B75" w:rsidRPr="006A2672" w:rsidRDefault="00F71B75" w:rsidP="00F71B75">
      <w:pPr>
        <w:pStyle w:val="Heading2"/>
      </w:pPr>
      <w:bookmarkStart w:id="48" w:name="_Toc35415792"/>
      <w:bookmarkStart w:id="49" w:name="_Toc36129218"/>
      <w:r w:rsidRPr="00947BE5">
        <w:t>Results of consultation</w:t>
      </w:r>
      <w:bookmarkEnd w:id="48"/>
      <w:bookmarkEnd w:id="49"/>
    </w:p>
    <w:p w14:paraId="27A2FBC1" w14:textId="77777777" w:rsidR="00F71B75" w:rsidRPr="001D23FE" w:rsidRDefault="00F71B75" w:rsidP="0079199A">
      <w:r>
        <w:t>D</w:t>
      </w:r>
      <w:r w:rsidRPr="001D23FE">
        <w:t>ur</w:t>
      </w:r>
      <w:r>
        <w:t xml:space="preserve">ing the development of the </w:t>
      </w:r>
      <w:r w:rsidRPr="001D23FE">
        <w:t>Health</w:t>
      </w:r>
      <w:r>
        <w:t>y Ageing Strategy, older people</w:t>
      </w:r>
      <w:r w:rsidRPr="001D23FE">
        <w:t xml:space="preserve"> identified opportunities to improve home support. Th</w:t>
      </w:r>
      <w:r>
        <w:t>ese</w:t>
      </w:r>
      <w:r w:rsidRPr="001D23FE">
        <w:t xml:space="preserve"> included </w:t>
      </w:r>
      <w:r>
        <w:t xml:space="preserve">the opportunity </w:t>
      </w:r>
      <w:r w:rsidRPr="001D23FE">
        <w:t>to:</w:t>
      </w:r>
    </w:p>
    <w:p w14:paraId="32A0E811" w14:textId="77777777" w:rsidR="00F71B75" w:rsidRPr="0079199A" w:rsidRDefault="00F71B75" w:rsidP="0079199A">
      <w:pPr>
        <w:pStyle w:val="Bullet"/>
      </w:pPr>
      <w:r w:rsidRPr="0079199A">
        <w:t>increase choice and control for older people (eg, around choice of carers)</w:t>
      </w:r>
    </w:p>
    <w:p w14:paraId="61F39C8E" w14:textId="77777777" w:rsidR="00F71B75" w:rsidRPr="0079199A" w:rsidRDefault="00F71B75" w:rsidP="0079199A">
      <w:pPr>
        <w:pStyle w:val="Bullet"/>
      </w:pPr>
      <w:r w:rsidRPr="0079199A">
        <w:t>include family and whānau in assessment, planning and delivery</w:t>
      </w:r>
    </w:p>
    <w:p w14:paraId="59C9DF42" w14:textId="77777777" w:rsidR="00F71B75" w:rsidRPr="0079199A" w:rsidRDefault="00F71B75" w:rsidP="0079199A">
      <w:pPr>
        <w:pStyle w:val="Bullet"/>
      </w:pPr>
      <w:r w:rsidRPr="0079199A">
        <w:t xml:space="preserve">expand the range of supports offered and improve flexibility around changing needs </w:t>
      </w:r>
    </w:p>
    <w:p w14:paraId="3086C17E" w14:textId="77777777" w:rsidR="00F71B75" w:rsidRPr="0079199A" w:rsidRDefault="00F71B75" w:rsidP="0079199A">
      <w:pPr>
        <w:pStyle w:val="Bullet"/>
      </w:pPr>
      <w:r w:rsidRPr="0079199A">
        <w:t>improve coordination or integration of services (eg, to reduce the number of assessments needed)</w:t>
      </w:r>
    </w:p>
    <w:p w14:paraId="3CB9C26F" w14:textId="77777777" w:rsidR="00F71B75" w:rsidRPr="0079199A" w:rsidRDefault="00F71B75" w:rsidP="0079199A">
      <w:pPr>
        <w:pStyle w:val="Bullet"/>
      </w:pPr>
      <w:r w:rsidRPr="0079199A">
        <w:t xml:space="preserve">simplify the process of raising concerns or complaints about care. </w:t>
      </w:r>
    </w:p>
    <w:p w14:paraId="3D64F6FD" w14:textId="77777777" w:rsidR="0079199A" w:rsidRDefault="0079199A" w:rsidP="00F71B75">
      <w:pPr>
        <w:spacing w:after="60"/>
        <w:rPr>
          <w:b/>
        </w:rPr>
      </w:pPr>
    </w:p>
    <w:p w14:paraId="65641981" w14:textId="77777777" w:rsidR="00F71B75" w:rsidRDefault="00F71B75" w:rsidP="0079199A">
      <w:r w:rsidRPr="00B87F13">
        <w:rPr>
          <w:b/>
        </w:rPr>
        <w:t>Sector representatives</w:t>
      </w:r>
      <w:r w:rsidRPr="001D23FE">
        <w:rPr>
          <w:i/>
        </w:rPr>
        <w:t xml:space="preserve"> </w:t>
      </w:r>
      <w:r w:rsidRPr="001D23FE">
        <w:t xml:space="preserve">(including </w:t>
      </w:r>
      <w:r>
        <w:t>providers, non-governmental organisations, and iwi and fono providers</w:t>
      </w:r>
      <w:r w:rsidRPr="001D23FE">
        <w:t xml:space="preserve">) </w:t>
      </w:r>
      <w:r>
        <w:t>identified</w:t>
      </w:r>
      <w:r w:rsidRPr="001D23FE">
        <w:t xml:space="preserve"> the</w:t>
      </w:r>
      <w:r>
        <w:t xml:space="preserve"> above</w:t>
      </w:r>
      <w:r w:rsidRPr="001D23FE">
        <w:t xml:space="preserve"> issues in the work</w:t>
      </w:r>
      <w:r>
        <w:t xml:space="preserve">shops as well. They also gave </w:t>
      </w:r>
      <w:r w:rsidRPr="001D23FE">
        <w:t xml:space="preserve">feedback </w:t>
      </w:r>
      <w:r>
        <w:t>about</w:t>
      </w:r>
      <w:r w:rsidRPr="001D23FE">
        <w:t xml:space="preserve"> the need for older people and their</w:t>
      </w:r>
      <w:r>
        <w:t xml:space="preserve"> families and</w:t>
      </w:r>
      <w:r w:rsidRPr="001D23FE">
        <w:t xml:space="preserve"> whānau to:</w:t>
      </w:r>
    </w:p>
    <w:p w14:paraId="4C3362A6" w14:textId="77777777" w:rsidR="00F71B75" w:rsidRPr="0079199A" w:rsidRDefault="00F71B75" w:rsidP="0079199A">
      <w:pPr>
        <w:pStyle w:val="Bullet"/>
      </w:pPr>
      <w:r w:rsidRPr="0079199A">
        <w:t>have their support needs identified in a timely and flexible way</w:t>
      </w:r>
    </w:p>
    <w:p w14:paraId="6A5C4CA6" w14:textId="77777777" w:rsidR="00F71B75" w:rsidRPr="0079199A" w:rsidRDefault="00F71B75" w:rsidP="0079199A">
      <w:pPr>
        <w:pStyle w:val="Bullet"/>
      </w:pPr>
      <w:r w:rsidRPr="0079199A">
        <w:t>have support within, and connect to, their communities</w:t>
      </w:r>
    </w:p>
    <w:p w14:paraId="71F56E0B" w14:textId="77777777" w:rsidR="00F71B75" w:rsidRPr="0079199A" w:rsidRDefault="00F71B75" w:rsidP="0079199A">
      <w:pPr>
        <w:pStyle w:val="Bullet"/>
      </w:pPr>
      <w:r w:rsidRPr="0079199A">
        <w:t>access a range of appropriate resources and information so they can make informed choices</w:t>
      </w:r>
    </w:p>
    <w:p w14:paraId="6F8B91DB" w14:textId="77777777" w:rsidR="00F71B75" w:rsidRPr="0079199A" w:rsidRDefault="00F71B75" w:rsidP="0079199A">
      <w:pPr>
        <w:pStyle w:val="Bullet"/>
      </w:pPr>
      <w:r w:rsidRPr="0079199A">
        <w:t>be supported and empowered to manage their own health care (self-management)</w:t>
      </w:r>
    </w:p>
    <w:p w14:paraId="5867741F" w14:textId="77777777" w:rsidR="00F71B75" w:rsidRPr="0079199A" w:rsidRDefault="00F71B75" w:rsidP="0079199A">
      <w:pPr>
        <w:pStyle w:val="Bullet"/>
      </w:pPr>
      <w:r w:rsidRPr="0079199A">
        <w:t>participate in assessment and planning processes and settings that are culturally appropriate</w:t>
      </w:r>
    </w:p>
    <w:p w14:paraId="13DEA2F4" w14:textId="77777777" w:rsidR="00F71B75" w:rsidRPr="0079199A" w:rsidRDefault="00F71B75" w:rsidP="0079199A">
      <w:pPr>
        <w:pStyle w:val="Bullet"/>
      </w:pPr>
      <w:r w:rsidRPr="0079199A">
        <w:t>have plans that are developed flexibly and that provide choice and control</w:t>
      </w:r>
    </w:p>
    <w:p w14:paraId="5F1E2E60" w14:textId="77777777" w:rsidR="00F71B75" w:rsidRPr="0079199A" w:rsidRDefault="00F71B75" w:rsidP="0079199A">
      <w:pPr>
        <w:pStyle w:val="Bullet"/>
      </w:pPr>
      <w:r w:rsidRPr="0079199A">
        <w:lastRenderedPageBreak/>
        <w:t>have support from integrated services that have strong alliances across different sectors</w:t>
      </w:r>
    </w:p>
    <w:p w14:paraId="23E5FA82" w14:textId="77777777" w:rsidR="00F71B75" w:rsidRPr="0079199A" w:rsidRDefault="00F71B75" w:rsidP="0079199A">
      <w:pPr>
        <w:pStyle w:val="Bullet"/>
      </w:pPr>
      <w:r w:rsidRPr="0079199A">
        <w:t>know who to speak to if their needs change, know how to speak to them, and feel supported to give feedback about how to improve their care</w:t>
      </w:r>
    </w:p>
    <w:p w14:paraId="48C81AB4" w14:textId="77777777" w:rsidR="00F71B75" w:rsidRPr="0079199A" w:rsidRDefault="00F71B75" w:rsidP="0079199A">
      <w:pPr>
        <w:pStyle w:val="Bullet"/>
      </w:pPr>
      <w:r w:rsidRPr="0079199A">
        <w:t>have smooth processes for temporarily or permanently leaving services.</w:t>
      </w:r>
    </w:p>
    <w:p w14:paraId="3FB53E30" w14:textId="77777777" w:rsidR="0079199A" w:rsidRDefault="0079199A" w:rsidP="00F71B75">
      <w:pPr>
        <w:spacing w:after="120"/>
        <w:rPr>
          <w:b/>
        </w:rPr>
      </w:pPr>
    </w:p>
    <w:p w14:paraId="271F8644" w14:textId="77777777" w:rsidR="00F71B75" w:rsidRPr="003108A7" w:rsidRDefault="00F71B75" w:rsidP="00F71B75">
      <w:pPr>
        <w:spacing w:after="120"/>
        <w:rPr>
          <w:sz w:val="20"/>
        </w:rPr>
      </w:pPr>
      <w:r w:rsidRPr="00B87F13">
        <w:rPr>
          <w:b/>
        </w:rPr>
        <w:t>DHBs</w:t>
      </w:r>
      <w:r w:rsidRPr="001D23FE">
        <w:rPr>
          <w:b/>
          <w:i/>
        </w:rPr>
        <w:t xml:space="preserve"> </w:t>
      </w:r>
      <w:r>
        <w:t>see that</w:t>
      </w:r>
      <w:r w:rsidRPr="00160EAE">
        <w:t xml:space="preserve"> future improvements to HCSS should be financially and clinically sustainable</w:t>
      </w:r>
      <w:r>
        <w:t xml:space="preserve"> in a </w:t>
      </w:r>
      <w:r w:rsidRPr="00160EAE">
        <w:t>system</w:t>
      </w:r>
      <w:r>
        <w:t xml:space="preserve"> that is </w:t>
      </w:r>
      <w:r w:rsidRPr="00160EAE">
        <w:t>integrated</w:t>
      </w:r>
      <w:r>
        <w:t xml:space="preserve"> (horizontally and vertically)</w:t>
      </w:r>
      <w:r w:rsidRPr="00160EAE">
        <w:t>, with the aim of improv</w:t>
      </w:r>
      <w:r>
        <w:t>ing</w:t>
      </w:r>
      <w:r w:rsidRPr="00160EAE">
        <w:t xml:space="preserve"> efficiency and ultimately</w:t>
      </w:r>
      <w:r>
        <w:t xml:space="preserve"> achieving</w:t>
      </w:r>
      <w:r w:rsidRPr="00160EAE">
        <w:t xml:space="preserve"> better outcomes for older people. DHBs also gave examples of </w:t>
      </w:r>
      <w:r>
        <w:t>what they have already achieved through</w:t>
      </w:r>
      <w:r w:rsidRPr="00160EAE">
        <w:t xml:space="preserve"> exi</w:t>
      </w:r>
      <w:r>
        <w:t>sting models, service changes and improvements in HCSS</w:t>
      </w:r>
      <w:r w:rsidRPr="00160EAE">
        <w:t xml:space="preserve">. </w:t>
      </w:r>
      <w:r>
        <w:t>They</w:t>
      </w:r>
      <w:r w:rsidRPr="00160EAE">
        <w:t xml:space="preserve"> expect</w:t>
      </w:r>
      <w:r>
        <w:t xml:space="preserve"> p</w:t>
      </w:r>
      <w:r w:rsidRPr="00160EAE">
        <w:t xml:space="preserve">roviders </w:t>
      </w:r>
      <w:r>
        <w:t xml:space="preserve">to </w:t>
      </w:r>
      <w:r w:rsidRPr="00160EAE">
        <w:t>embrace new ways of working and take</w:t>
      </w:r>
      <w:r>
        <w:t xml:space="preserve"> </w:t>
      </w:r>
      <w:r w:rsidRPr="00160EAE">
        <w:t>up new technologies</w:t>
      </w:r>
      <w:r w:rsidRPr="00D14050">
        <w:t>.</w:t>
      </w:r>
    </w:p>
    <w:p w14:paraId="7F6E9579" w14:textId="77777777" w:rsidR="00F71B75" w:rsidRDefault="00F71B75" w:rsidP="00F71B75">
      <w:pPr>
        <w:spacing w:after="120"/>
      </w:pPr>
      <w:r>
        <w:t>DHBs recognised that growing numbers of older people have more</w:t>
      </w:r>
      <w:r w:rsidRPr="0012776B">
        <w:t xml:space="preserve"> complex</w:t>
      </w:r>
      <w:r>
        <w:t xml:space="preserve"> needs and higher acuity. They also asked for:</w:t>
      </w:r>
    </w:p>
    <w:p w14:paraId="50693AB1" w14:textId="77777777" w:rsidR="00F71B75" w:rsidRPr="0079199A" w:rsidRDefault="00F71B75" w:rsidP="0079199A">
      <w:pPr>
        <w:pStyle w:val="Bullet"/>
      </w:pPr>
      <w:r w:rsidRPr="0079199A">
        <w:t>health services accessed by older people to be more integrated, such as between hospital, pharmacy and primary care services</w:t>
      </w:r>
    </w:p>
    <w:p w14:paraId="6FFD7C54" w14:textId="77777777" w:rsidR="00F71B75" w:rsidRPr="0079199A" w:rsidRDefault="00F71B75" w:rsidP="0079199A">
      <w:pPr>
        <w:pStyle w:val="Bullet"/>
      </w:pPr>
      <w:r w:rsidRPr="0079199A">
        <w:t xml:space="preserve">updated service delivery approaches </w:t>
      </w:r>
    </w:p>
    <w:p w14:paraId="6A978F29" w14:textId="77777777" w:rsidR="00F71B75" w:rsidRPr="0079199A" w:rsidRDefault="00F71B75" w:rsidP="0079199A">
      <w:pPr>
        <w:pStyle w:val="Bullet"/>
      </w:pPr>
      <w:r w:rsidRPr="0079199A">
        <w:t xml:space="preserve">clear communication to older people about support available – including time limits on that support as appropriate  </w:t>
      </w:r>
    </w:p>
    <w:p w14:paraId="535C006B" w14:textId="331CD87B" w:rsidR="00F71B75" w:rsidRPr="0079199A" w:rsidRDefault="00F71B75" w:rsidP="0079199A">
      <w:pPr>
        <w:pStyle w:val="Bullet"/>
      </w:pPr>
      <w:r w:rsidRPr="0079199A">
        <w:t>consistency in the number and frequency of assessments and reassessments, along with consistency in the eligibility for, allocation of</w:t>
      </w:r>
      <w:r w:rsidR="00F366EB">
        <w:t>,</w:t>
      </w:r>
      <w:r w:rsidRPr="0079199A">
        <w:t xml:space="preserve"> and type of services available across DHBs</w:t>
      </w:r>
    </w:p>
    <w:p w14:paraId="0B88F1A0" w14:textId="77777777" w:rsidR="00F71B75" w:rsidRPr="0079199A" w:rsidRDefault="00F71B75" w:rsidP="0079199A">
      <w:pPr>
        <w:pStyle w:val="Bullet"/>
      </w:pPr>
      <w:r w:rsidRPr="0079199A">
        <w:t>flexibility and a restorative approach (where appropriate)</w:t>
      </w:r>
    </w:p>
    <w:p w14:paraId="1FAA380E" w14:textId="74A9B222" w:rsidR="00F71B75" w:rsidRPr="0079199A" w:rsidRDefault="00F71B75" w:rsidP="0079199A">
      <w:pPr>
        <w:pStyle w:val="Bullet"/>
      </w:pPr>
      <w:r w:rsidRPr="0079199A">
        <w:t>working across funding streams within DHBs, for example, between short-term and long-term HCSS, and between funders</w:t>
      </w:r>
      <w:r w:rsidR="00F366EB">
        <w:t>,</w:t>
      </w:r>
      <w:r w:rsidRPr="0079199A">
        <w:t xml:space="preserve"> ACC and disability support services).</w:t>
      </w:r>
    </w:p>
    <w:p w14:paraId="60353C03" w14:textId="77777777" w:rsidR="0079199A" w:rsidRDefault="0079199A" w:rsidP="0079199A">
      <w:pPr>
        <w:rPr>
          <w:b/>
        </w:rPr>
      </w:pPr>
    </w:p>
    <w:p w14:paraId="754C3181" w14:textId="77777777" w:rsidR="00F71B75" w:rsidRDefault="00F71B75" w:rsidP="0079199A">
      <w:r w:rsidRPr="00B87F13">
        <w:rPr>
          <w:b/>
        </w:rPr>
        <w:t>HCSS providers</w:t>
      </w:r>
      <w:r w:rsidRPr="001D23FE">
        <w:t xml:space="preserve"> w</w:t>
      </w:r>
      <w:r>
        <w:t>ould like</w:t>
      </w:r>
      <w:r w:rsidRPr="001D23FE">
        <w:t xml:space="preserve"> </w:t>
      </w:r>
      <w:r>
        <w:t>to see consistency in</w:t>
      </w:r>
      <w:r w:rsidRPr="001D23FE">
        <w:t xml:space="preserve"> contracting and pricing approaches, continuity of contractual arrangements and commercial relationships to give greater business sustainability. </w:t>
      </w:r>
    </w:p>
    <w:p w14:paraId="071409B8" w14:textId="77777777" w:rsidR="0079199A" w:rsidRPr="001D23FE" w:rsidRDefault="0079199A" w:rsidP="0079199A"/>
    <w:p w14:paraId="26C58208" w14:textId="77777777" w:rsidR="00F71B75" w:rsidRDefault="00F71B75" w:rsidP="0079199A">
      <w:r>
        <w:t>Providers would also like</w:t>
      </w:r>
      <w:r w:rsidRPr="001D23FE">
        <w:t xml:space="preserve"> future approaches to HCSS to balance older people’s desire for flexibility with </w:t>
      </w:r>
      <w:r>
        <w:t>providers’</w:t>
      </w:r>
      <w:r w:rsidRPr="001D23FE">
        <w:t xml:space="preserve"> obligations in </w:t>
      </w:r>
      <w:r>
        <w:t>terms of</w:t>
      </w:r>
      <w:r w:rsidRPr="001D23FE">
        <w:t xml:space="preserve"> guaranteed hours</w:t>
      </w:r>
      <w:r>
        <w:t xml:space="preserve"> and </w:t>
      </w:r>
      <w:r w:rsidRPr="001D23FE">
        <w:t>sufficient funding to invest in staff and service development</w:t>
      </w:r>
      <w:r>
        <w:t>.</w:t>
      </w:r>
      <w:r w:rsidRPr="001D23FE">
        <w:t xml:space="preserve"> </w:t>
      </w:r>
    </w:p>
    <w:p w14:paraId="021A2A80" w14:textId="77777777" w:rsidR="0079199A" w:rsidRPr="001D23FE" w:rsidRDefault="0079199A" w:rsidP="0079199A"/>
    <w:p w14:paraId="40DD2FD1" w14:textId="77777777" w:rsidR="00F71B75" w:rsidRDefault="00F71B75" w:rsidP="0079199A">
      <w:r w:rsidRPr="00B87F13">
        <w:rPr>
          <w:b/>
        </w:rPr>
        <w:t>Care workers</w:t>
      </w:r>
      <w:r>
        <w:rPr>
          <w:b/>
        </w:rPr>
        <w:t xml:space="preserve"> and </w:t>
      </w:r>
      <w:r w:rsidRPr="00B87F13">
        <w:rPr>
          <w:b/>
        </w:rPr>
        <w:t>unions</w:t>
      </w:r>
      <w:r w:rsidRPr="002E0020">
        <w:t xml:space="preserve"> </w:t>
      </w:r>
      <w:r w:rsidRPr="001D23FE">
        <w:t xml:space="preserve">want </w:t>
      </w:r>
      <w:r>
        <w:t xml:space="preserve">to be a valued </w:t>
      </w:r>
      <w:r w:rsidRPr="001D23FE">
        <w:t xml:space="preserve">part of </w:t>
      </w:r>
      <w:r>
        <w:t xml:space="preserve">the health care support </w:t>
      </w:r>
      <w:r w:rsidRPr="001D23FE">
        <w:t>team</w:t>
      </w:r>
      <w:r>
        <w:t>. They would like</w:t>
      </w:r>
      <w:r w:rsidRPr="001D23FE">
        <w:t xml:space="preserve"> to have</w:t>
      </w:r>
      <w:r>
        <w:t xml:space="preserve"> access to</w:t>
      </w:r>
      <w:r w:rsidRPr="001D23FE">
        <w:t xml:space="preserve"> </w:t>
      </w:r>
      <w:r>
        <w:t>appropriate</w:t>
      </w:r>
      <w:r w:rsidRPr="001D23FE">
        <w:t xml:space="preserve"> training</w:t>
      </w:r>
      <w:r>
        <w:t xml:space="preserve"> and skills development,</w:t>
      </w:r>
      <w:r w:rsidRPr="001D23FE">
        <w:t xml:space="preserve"> a </w:t>
      </w:r>
      <w:r>
        <w:t xml:space="preserve">clear </w:t>
      </w:r>
      <w:r w:rsidRPr="001D23FE">
        <w:t>career path, appropriate</w:t>
      </w:r>
      <w:r>
        <w:t xml:space="preserve"> and supportive </w:t>
      </w:r>
      <w:r w:rsidRPr="001D23FE">
        <w:t xml:space="preserve">supervision and safe rosters. </w:t>
      </w:r>
    </w:p>
    <w:p w14:paraId="00802B11" w14:textId="4E0ED297" w:rsidR="00F71B75" w:rsidRPr="001D23FE" w:rsidRDefault="00F71B75" w:rsidP="00F71B75">
      <w:pPr>
        <w:pStyle w:val="Heading2"/>
      </w:pPr>
      <w:bookmarkStart w:id="50" w:name="_Toc35415793"/>
      <w:bookmarkStart w:id="51" w:name="_Toc36129219"/>
      <w:r>
        <w:lastRenderedPageBreak/>
        <w:t xml:space="preserve">Hearing </w:t>
      </w:r>
      <w:r w:rsidRPr="001D23FE">
        <w:t xml:space="preserve">Māori and </w:t>
      </w:r>
      <w:r>
        <w:t>Pacific</w:t>
      </w:r>
      <w:r w:rsidRPr="001D23FE">
        <w:t xml:space="preserve"> voices through targeted workshops</w:t>
      </w:r>
      <w:bookmarkEnd w:id="50"/>
      <w:bookmarkEnd w:id="51"/>
      <w:r w:rsidRPr="001D23FE">
        <w:t xml:space="preserve"> </w:t>
      </w:r>
    </w:p>
    <w:p w14:paraId="5000CFE4" w14:textId="77777777" w:rsidR="00F71B75" w:rsidRDefault="00F71B75" w:rsidP="00041A2E">
      <w:pPr>
        <w:keepNext/>
      </w:pPr>
      <w:r>
        <w:t xml:space="preserve">Some </w:t>
      </w:r>
      <w:r w:rsidRPr="001D23FE">
        <w:t xml:space="preserve">key </w:t>
      </w:r>
      <w:r>
        <w:t>points</w:t>
      </w:r>
      <w:r w:rsidRPr="001D23FE">
        <w:t xml:space="preserve"> Māori </w:t>
      </w:r>
      <w:r>
        <w:t>participants</w:t>
      </w:r>
      <w:r w:rsidRPr="003004E5">
        <w:t xml:space="preserve"> </w:t>
      </w:r>
      <w:r>
        <w:t xml:space="preserve">raised </w:t>
      </w:r>
      <w:r w:rsidRPr="001D23FE">
        <w:t>were the</w:t>
      </w:r>
      <w:r>
        <w:t xml:space="preserve"> need to</w:t>
      </w:r>
      <w:r w:rsidRPr="001D23FE">
        <w:t>:</w:t>
      </w:r>
    </w:p>
    <w:p w14:paraId="4A3437D1" w14:textId="77777777" w:rsidR="00F71B75" w:rsidRPr="0079199A" w:rsidRDefault="00F71B75" w:rsidP="0079199A">
      <w:pPr>
        <w:pStyle w:val="Bullet"/>
      </w:pPr>
      <w:r w:rsidRPr="0079199A">
        <w:t>acknowledge the unique relationship that Māori have with the Crown through the Treaty of Waitangi</w:t>
      </w:r>
    </w:p>
    <w:p w14:paraId="504E37FF" w14:textId="77777777" w:rsidR="00F71B75" w:rsidRPr="0079199A" w:rsidRDefault="00F71B75" w:rsidP="0079199A">
      <w:pPr>
        <w:pStyle w:val="Bullet"/>
      </w:pPr>
      <w:r w:rsidRPr="0079199A">
        <w:t>link HCSS with Whānau Ora and the wider community</w:t>
      </w:r>
    </w:p>
    <w:p w14:paraId="63C72121" w14:textId="77777777" w:rsidR="00F71B75" w:rsidRPr="0079199A" w:rsidRDefault="00F71B75" w:rsidP="0079199A">
      <w:pPr>
        <w:pStyle w:val="Bullet"/>
      </w:pPr>
      <w:r w:rsidRPr="0079199A">
        <w:t>increase support for whānau to care for their own</w:t>
      </w:r>
    </w:p>
    <w:p w14:paraId="694ED39D" w14:textId="77777777" w:rsidR="00F71B75" w:rsidRPr="0079199A" w:rsidRDefault="00F71B75" w:rsidP="0079199A">
      <w:pPr>
        <w:pStyle w:val="Bullet"/>
      </w:pPr>
      <w:r w:rsidRPr="0079199A">
        <w:t>use navigators to support people to access available services.</w:t>
      </w:r>
    </w:p>
    <w:p w14:paraId="10192C11" w14:textId="77777777" w:rsidR="0079199A" w:rsidRDefault="0079199A" w:rsidP="0079199A"/>
    <w:p w14:paraId="30BC4F95" w14:textId="77777777" w:rsidR="00F71B75" w:rsidRPr="001D23FE" w:rsidRDefault="00F71B75" w:rsidP="0079199A">
      <w:r>
        <w:t xml:space="preserve">Some of the </w:t>
      </w:r>
      <w:r w:rsidRPr="001D23FE">
        <w:t xml:space="preserve">key </w:t>
      </w:r>
      <w:r>
        <w:t>points Pacific participants</w:t>
      </w:r>
      <w:r w:rsidRPr="001D23FE">
        <w:t xml:space="preserve"> </w:t>
      </w:r>
      <w:r>
        <w:t xml:space="preserve">raised </w:t>
      </w:r>
      <w:r w:rsidRPr="001D23FE">
        <w:t xml:space="preserve">were </w:t>
      </w:r>
      <w:r>
        <w:t>the need to</w:t>
      </w:r>
      <w:r w:rsidRPr="001D23FE">
        <w:t>:</w:t>
      </w:r>
    </w:p>
    <w:p w14:paraId="4345E4F0" w14:textId="77777777" w:rsidR="00F71B75" w:rsidRPr="0079199A" w:rsidRDefault="00F71B75" w:rsidP="0079199A">
      <w:pPr>
        <w:pStyle w:val="Bullet"/>
      </w:pPr>
      <w:r w:rsidRPr="0079199A">
        <w:t>support families adequately in a family-centred way</w:t>
      </w:r>
    </w:p>
    <w:p w14:paraId="6B6CB4E9" w14:textId="3A1D2014" w:rsidR="00F71B75" w:rsidRPr="0079199A" w:rsidRDefault="00F71B75" w:rsidP="0079199A">
      <w:pPr>
        <w:pStyle w:val="Bullet"/>
      </w:pPr>
      <w:r w:rsidRPr="0079199A">
        <w:t>use a variety of communication methods to inform older Pacific peoples about what services are available</w:t>
      </w:r>
    </w:p>
    <w:p w14:paraId="446533CC" w14:textId="77777777" w:rsidR="00F71B75" w:rsidRPr="0079199A" w:rsidRDefault="00F71B75" w:rsidP="0079199A">
      <w:pPr>
        <w:pStyle w:val="Bullet"/>
      </w:pPr>
      <w:r w:rsidRPr="0079199A">
        <w:t>assess the needs of older Pacific peoples in flexible ways, including through self-assessments and by training other health professionals (eg, fono nurses and practice nurses) to carry out interRAI assessments</w:t>
      </w:r>
    </w:p>
    <w:p w14:paraId="7980FB56" w14:textId="77777777" w:rsidR="00F71B75" w:rsidRPr="0079199A" w:rsidRDefault="00F71B75" w:rsidP="0079199A">
      <w:pPr>
        <w:pStyle w:val="Bullet"/>
      </w:pPr>
      <w:r w:rsidRPr="0079199A">
        <w:t xml:space="preserve">provide timely assessments so older Pacific peoples are not waiting weeks for an assessment </w:t>
      </w:r>
    </w:p>
    <w:p w14:paraId="64371776" w14:textId="77777777" w:rsidR="00F71B75" w:rsidRPr="0079199A" w:rsidRDefault="00F71B75" w:rsidP="0079199A">
      <w:pPr>
        <w:pStyle w:val="Bullet"/>
      </w:pPr>
      <w:r w:rsidRPr="0079199A">
        <w:t>make translators available and use them when needed.</w:t>
      </w:r>
    </w:p>
    <w:p w14:paraId="308C0892" w14:textId="77777777" w:rsidR="00F71B75" w:rsidRDefault="00F71B75" w:rsidP="00F71B75">
      <w:r>
        <w:br w:type="page"/>
      </w:r>
    </w:p>
    <w:p w14:paraId="0731A8CD" w14:textId="77777777" w:rsidR="00F71B75" w:rsidRPr="003E4DE1" w:rsidRDefault="00F71B75" w:rsidP="00F71B75">
      <w:pPr>
        <w:pStyle w:val="Heading1"/>
      </w:pPr>
      <w:bookmarkStart w:id="52" w:name="_Toc35415794"/>
      <w:bookmarkStart w:id="53" w:name="_Toc36129220"/>
      <w:r>
        <w:lastRenderedPageBreak/>
        <w:t>Appendix A</w:t>
      </w:r>
      <w:r w:rsidRPr="003E4DE1">
        <w:t xml:space="preserve">: </w:t>
      </w:r>
      <w:r>
        <w:t>Continuous improvement – o</w:t>
      </w:r>
      <w:r w:rsidRPr="003E4DE1">
        <w:t xml:space="preserve">utcome </w:t>
      </w:r>
      <w:r>
        <w:t>m</w:t>
      </w:r>
      <w:r w:rsidRPr="003E4DE1">
        <w:t xml:space="preserve">easures and </w:t>
      </w:r>
      <w:r>
        <w:t>a</w:t>
      </w:r>
      <w:r w:rsidRPr="003E4DE1">
        <w:t>ccountability</w:t>
      </w:r>
      <w:bookmarkEnd w:id="52"/>
      <w:bookmarkEnd w:id="53"/>
    </w:p>
    <w:p w14:paraId="17257932" w14:textId="77777777" w:rsidR="00F71B75" w:rsidRPr="0079199A" w:rsidRDefault="00F71B75" w:rsidP="0079199A">
      <w:pPr>
        <w:rPr>
          <w:b/>
        </w:rPr>
      </w:pPr>
      <w:r w:rsidRPr="0079199A">
        <w:rPr>
          <w:b/>
        </w:rPr>
        <w:t>Note: These outcome measures and indicators are operative drafts to be refined and tested through the 2019/20 financial year. We include them here to demonstrate their current status and broad direction.</w:t>
      </w:r>
    </w:p>
    <w:p w14:paraId="13A739E6" w14:textId="77777777" w:rsidR="0079199A" w:rsidRPr="00B87F13" w:rsidRDefault="0079199A" w:rsidP="0079199A"/>
    <w:p w14:paraId="1164F204" w14:textId="0D8CD609" w:rsidR="00F71B75" w:rsidRDefault="00F71B75" w:rsidP="0079199A">
      <w:r w:rsidRPr="00D70A71">
        <w:t>A</w:t>
      </w:r>
      <w:r>
        <w:t>t a high level, HCSS aim to improve the quality of life, for all categories of people (equity aim) using resources in a manner that is value for money – that is, to achieve the ‘triple aims’. Figure 2 sets out th</w:t>
      </w:r>
      <w:r w:rsidR="00C536FC">
        <w:t>e</w:t>
      </w:r>
      <w:r>
        <w:t xml:space="preserve"> way the Health Quality &amp; Safety Commission (2011) describes the triple aims.</w:t>
      </w:r>
    </w:p>
    <w:p w14:paraId="68A5458A" w14:textId="3296F7F4" w:rsidR="00F71B75" w:rsidRDefault="0079199A" w:rsidP="00F71B75">
      <w:pPr>
        <w:pStyle w:val="Caption"/>
      </w:pPr>
      <w:r>
        <w:t xml:space="preserve">Figure </w:t>
      </w:r>
      <w:r w:rsidR="005F0AE6">
        <w:fldChar w:fldCharType="begin"/>
      </w:r>
      <w:r w:rsidR="005F0AE6">
        <w:instrText xml:space="preserve"> SEQ Figure \* ARABIC </w:instrText>
      </w:r>
      <w:r w:rsidR="005F0AE6">
        <w:fldChar w:fldCharType="separate"/>
      </w:r>
      <w:r w:rsidR="005F0AE6">
        <w:rPr>
          <w:noProof/>
        </w:rPr>
        <w:t>2</w:t>
      </w:r>
      <w:r w:rsidR="005F0AE6">
        <w:rPr>
          <w:noProof/>
        </w:rPr>
        <w:fldChar w:fldCharType="end"/>
      </w:r>
      <w:r>
        <w:t xml:space="preserve">: </w:t>
      </w:r>
      <w:r w:rsidR="00F71B75">
        <w:t>The triple aims</w:t>
      </w:r>
    </w:p>
    <w:p w14:paraId="2769A0EB" w14:textId="77777777" w:rsidR="00F71B75" w:rsidRPr="007E5B50" w:rsidRDefault="00F71B75" w:rsidP="00F71B75"/>
    <w:p w14:paraId="1A4F0C6C" w14:textId="3FDB9A6B" w:rsidR="00F71B75" w:rsidRDefault="00F71B75" w:rsidP="00041A2E">
      <w:pPr>
        <w:spacing w:after="120"/>
        <w:jc w:val="center"/>
      </w:pPr>
      <w:r w:rsidRPr="00031F9A">
        <w:rPr>
          <w:noProof/>
          <w:lang w:eastAsia="en-NZ"/>
        </w:rPr>
        <w:drawing>
          <wp:inline distT="0" distB="0" distL="0" distR="0" wp14:anchorId="618C1CA3" wp14:editId="1FEF58CE">
            <wp:extent cx="3752850" cy="3171825"/>
            <wp:effectExtent l="0" t="0" r="0" b="9525"/>
            <wp:docPr id="4" name="Picture 4" descr="Quality Improvement pyramid:&#10;Individual: Improved quality, safety and experience of care&#10;Population: Improved health and equity for all populations&#10;System: Best value for public health system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icolso\Pictures\triple aim HQS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3171825"/>
                    </a:xfrm>
                    <a:prstGeom prst="rect">
                      <a:avLst/>
                    </a:prstGeom>
                    <a:noFill/>
                    <a:ln>
                      <a:noFill/>
                    </a:ln>
                  </pic:spPr>
                </pic:pic>
              </a:graphicData>
            </a:graphic>
          </wp:inline>
        </w:drawing>
      </w:r>
    </w:p>
    <w:p w14:paraId="659C55C9" w14:textId="77777777" w:rsidR="00F71B75" w:rsidRDefault="00F71B75" w:rsidP="0079199A">
      <w:r>
        <w:t>To improve quality of life for older people needing help at home, services:</w:t>
      </w:r>
    </w:p>
    <w:p w14:paraId="3993F5F5" w14:textId="77777777" w:rsidR="00F71B75" w:rsidRPr="0079199A" w:rsidRDefault="00F71B75" w:rsidP="0079199A">
      <w:pPr>
        <w:pStyle w:val="Bullet"/>
      </w:pPr>
      <w:r w:rsidRPr="0079199A">
        <w:t>restore and maintain function</w:t>
      </w:r>
    </w:p>
    <w:p w14:paraId="7C4F8E18" w14:textId="77777777" w:rsidR="00F71B75" w:rsidRPr="0079199A" w:rsidRDefault="00F71B75" w:rsidP="0079199A">
      <w:pPr>
        <w:pStyle w:val="Bullet"/>
      </w:pPr>
      <w:r w:rsidRPr="0079199A">
        <w:t>support activities of daily living</w:t>
      </w:r>
    </w:p>
    <w:p w14:paraId="130B239C" w14:textId="77777777" w:rsidR="00F71B75" w:rsidRPr="0079199A" w:rsidRDefault="00F71B75" w:rsidP="0079199A">
      <w:pPr>
        <w:pStyle w:val="Bullet"/>
      </w:pPr>
      <w:r w:rsidRPr="0079199A">
        <w:t>meet the needs and preferences of the older person in a timely way</w:t>
      </w:r>
    </w:p>
    <w:p w14:paraId="2D61D8F0" w14:textId="77777777" w:rsidR="00F71B75" w:rsidRPr="0079199A" w:rsidRDefault="00F71B75" w:rsidP="0079199A">
      <w:pPr>
        <w:pStyle w:val="Bullet"/>
      </w:pPr>
      <w:r w:rsidRPr="0079199A">
        <w:t xml:space="preserve">maintain independence and respect </w:t>
      </w:r>
    </w:p>
    <w:p w14:paraId="1DCC2AAF" w14:textId="77777777" w:rsidR="00F71B75" w:rsidRPr="0079199A" w:rsidRDefault="00F71B75" w:rsidP="0079199A">
      <w:pPr>
        <w:pStyle w:val="Bullet"/>
      </w:pPr>
      <w:r w:rsidRPr="0079199A">
        <w:lastRenderedPageBreak/>
        <w:t>provide safety – that is, avoid injury to the older person, their caregiver and staff</w:t>
      </w:r>
    </w:p>
    <w:p w14:paraId="3C8E3798" w14:textId="77777777" w:rsidR="00F71B75" w:rsidRPr="0079199A" w:rsidRDefault="00F71B75" w:rsidP="0079199A">
      <w:pPr>
        <w:pStyle w:val="Bullet"/>
      </w:pPr>
      <w:r w:rsidRPr="0079199A">
        <w:t>coordinate with other services</w:t>
      </w:r>
    </w:p>
    <w:p w14:paraId="36F788A7" w14:textId="77777777" w:rsidR="00F71B75" w:rsidRPr="0079199A" w:rsidRDefault="00F71B75" w:rsidP="0079199A">
      <w:pPr>
        <w:pStyle w:val="Bullet"/>
      </w:pPr>
      <w:r w:rsidRPr="0079199A">
        <w:t xml:space="preserve">continue to involve older people’s families and whānau. </w:t>
      </w:r>
    </w:p>
    <w:p w14:paraId="51423E9E" w14:textId="77777777" w:rsidR="0079199A" w:rsidRDefault="0079199A" w:rsidP="00041A2E"/>
    <w:p w14:paraId="756905F7" w14:textId="77777777" w:rsidR="00F71B75" w:rsidRDefault="00F71B75" w:rsidP="0079199A">
      <w:r w:rsidRPr="00D70A71">
        <w:t xml:space="preserve">Measuring how well </w:t>
      </w:r>
      <w:r>
        <w:t xml:space="preserve">services meet </w:t>
      </w:r>
      <w:r w:rsidRPr="00D70A71">
        <w:t>these high</w:t>
      </w:r>
      <w:r>
        <w:t>-</w:t>
      </w:r>
      <w:r w:rsidRPr="00D70A71">
        <w:t xml:space="preserve">level outcomes is challenging, particularly </w:t>
      </w:r>
      <w:r>
        <w:t>because</w:t>
      </w:r>
      <w:r w:rsidRPr="00D70A71">
        <w:t xml:space="preserve"> the cost </w:t>
      </w:r>
      <w:r>
        <w:t>involved</w:t>
      </w:r>
      <w:r w:rsidRPr="00D70A71">
        <w:t xml:space="preserve"> could </w:t>
      </w:r>
      <w:r>
        <w:t>otherwise go to those services.</w:t>
      </w:r>
      <w:r w:rsidRPr="00D70A71">
        <w:t xml:space="preserve"> DHBs can use measures to indicate the progress of the health of their older population compared </w:t>
      </w:r>
      <w:r>
        <w:t>with</w:t>
      </w:r>
      <w:r w:rsidRPr="00D70A71">
        <w:t xml:space="preserve"> previous periods</w:t>
      </w:r>
      <w:r>
        <w:t xml:space="preserve"> and also to monitor the quality of services funded via HCSS. </w:t>
      </w:r>
    </w:p>
    <w:p w14:paraId="5916DB60" w14:textId="77777777" w:rsidR="0079199A" w:rsidRDefault="0079199A" w:rsidP="0079199A"/>
    <w:p w14:paraId="5CEADB73" w14:textId="77777777" w:rsidR="00F71B75" w:rsidRPr="00D70A71" w:rsidRDefault="00F71B75" w:rsidP="0079199A">
      <w:r>
        <w:t>The following are key measures that a national standards framework should include. Appendix B sets out more specific measures.</w:t>
      </w:r>
    </w:p>
    <w:p w14:paraId="38F1A1FF" w14:textId="77777777" w:rsidR="00F71B75" w:rsidRPr="003E4DE1" w:rsidRDefault="00F71B75" w:rsidP="0079199A">
      <w:pPr>
        <w:pStyle w:val="Heading2"/>
      </w:pPr>
      <w:bookmarkStart w:id="54" w:name="_Toc35415795"/>
      <w:bookmarkStart w:id="55" w:name="_Toc36129221"/>
      <w:r w:rsidRPr="003E4DE1">
        <w:t xml:space="preserve">Home </w:t>
      </w:r>
      <w:r>
        <w:t>s</w:t>
      </w:r>
      <w:r w:rsidRPr="003E4DE1">
        <w:t>upport</w:t>
      </w:r>
      <w:bookmarkEnd w:id="54"/>
      <w:bookmarkEnd w:id="55"/>
    </w:p>
    <w:p w14:paraId="28E07799" w14:textId="77777777" w:rsidR="00F71B75" w:rsidRPr="00E13A0D" w:rsidRDefault="00F71B75" w:rsidP="0079199A">
      <w:pPr>
        <w:pStyle w:val="Heading3"/>
      </w:pPr>
      <w:r w:rsidRPr="00E13A0D">
        <w:t>interRAI prevalence indicators</w:t>
      </w:r>
    </w:p>
    <w:p w14:paraId="4658F8C1" w14:textId="77777777" w:rsidR="00F71B75" w:rsidRDefault="00F71B75" w:rsidP="0079199A">
      <w:r w:rsidRPr="00E13A0D">
        <w:t xml:space="preserve">To measure specific outcomes for HCSS, interRAI assessments are an excellent source of data. </w:t>
      </w:r>
      <w:r>
        <w:t xml:space="preserve">At present, DHBs differ widely in their proportion of older people receiving HCSS with interRAI </w:t>
      </w:r>
      <w:r w:rsidRPr="007746E0">
        <w:rPr>
          <w:i/>
        </w:rPr>
        <w:t>home care</w:t>
      </w:r>
      <w:r>
        <w:t xml:space="preserve"> or </w:t>
      </w:r>
      <w:r w:rsidRPr="007746E0">
        <w:rPr>
          <w:i/>
        </w:rPr>
        <w:t>contact</w:t>
      </w:r>
      <w:r>
        <w:t xml:space="preserve"> assessments and the frequency of their reassessments. </w:t>
      </w:r>
    </w:p>
    <w:p w14:paraId="5E4BEB96" w14:textId="6694439A" w:rsidR="00F71B75" w:rsidRPr="00D70A71" w:rsidRDefault="00F71B75" w:rsidP="0079199A">
      <w:r>
        <w:t>For this reason, these indicators are useful for measuring trends over time within a DHB</w:t>
      </w:r>
      <w:r w:rsidR="00C536FC">
        <w:t>,</w:t>
      </w:r>
      <w:r>
        <w:t xml:space="preserve"> but comparisons between DHBs should only be used with considerable caution.</w:t>
      </w:r>
    </w:p>
    <w:p w14:paraId="2199D3C7" w14:textId="77777777" w:rsidR="00F71B75" w:rsidRPr="004C22F1" w:rsidRDefault="00F71B75" w:rsidP="00F056BB">
      <w:pPr>
        <w:pStyle w:val="Heading3"/>
      </w:pPr>
      <w:r w:rsidRPr="004C22F1">
        <w:t>Timeliness</w:t>
      </w:r>
    </w:p>
    <w:p w14:paraId="255E3D8E" w14:textId="77777777" w:rsidR="00F71B75" w:rsidRDefault="00F71B75" w:rsidP="00F056BB">
      <w:r w:rsidRPr="00D70A71">
        <w:t>Timeliness of assessments and service is an important aspect of meeting an older person’s</w:t>
      </w:r>
      <w:r>
        <w:t xml:space="preserve"> need and is easy to measure. </w:t>
      </w:r>
      <w:r w:rsidRPr="00D70A71">
        <w:t xml:space="preserve">Time between </w:t>
      </w:r>
      <w:r>
        <w:t xml:space="preserve">referral and assessment, and between </w:t>
      </w:r>
      <w:r w:rsidRPr="00D70A71">
        <w:t xml:space="preserve">assessment and </w:t>
      </w:r>
      <w:r>
        <w:t xml:space="preserve">a person receiving the </w:t>
      </w:r>
      <w:r w:rsidRPr="00D70A71">
        <w:t xml:space="preserve">first </w:t>
      </w:r>
      <w:r>
        <w:t>HCSS,</w:t>
      </w:r>
      <w:r w:rsidRPr="00D70A71">
        <w:t xml:space="preserve"> is </w:t>
      </w:r>
      <w:r>
        <w:t>critical</w:t>
      </w:r>
      <w:r w:rsidRPr="00D70A71">
        <w:t xml:space="preserve">, </w:t>
      </w:r>
      <w:r>
        <w:t xml:space="preserve">as is understanding the level of missed and late carers. </w:t>
      </w:r>
    </w:p>
    <w:p w14:paraId="2B6C3645" w14:textId="77777777" w:rsidR="00F71B75" w:rsidRPr="00E642DF" w:rsidRDefault="00F71B75" w:rsidP="00F056BB">
      <w:pPr>
        <w:pStyle w:val="Heading2"/>
      </w:pPr>
      <w:bookmarkStart w:id="56" w:name="_Toc35415796"/>
      <w:bookmarkStart w:id="57" w:name="_Toc36129222"/>
      <w:r w:rsidRPr="00E642DF">
        <w:t>Other factors</w:t>
      </w:r>
      <w:bookmarkEnd w:id="56"/>
      <w:bookmarkEnd w:id="57"/>
    </w:p>
    <w:p w14:paraId="716ACC0E" w14:textId="77777777" w:rsidR="00F71B75" w:rsidRDefault="00F71B75" w:rsidP="00F056BB">
      <w:r>
        <w:t>A</w:t>
      </w:r>
      <w:r w:rsidRPr="00D70A71">
        <w:t xml:space="preserve"> number of measures are not indicators of outcomes but </w:t>
      </w:r>
      <w:r>
        <w:t>provide</w:t>
      </w:r>
      <w:r w:rsidRPr="00D70A71">
        <w:t xml:space="preserve"> helpful </w:t>
      </w:r>
      <w:r>
        <w:t xml:space="preserve">information </w:t>
      </w:r>
      <w:r w:rsidRPr="00D70A71">
        <w:t>to interpret outcome indica</w:t>
      </w:r>
      <w:r>
        <w:t>tors over time or between DHBs.</w:t>
      </w:r>
      <w:r w:rsidRPr="00D70A71">
        <w:t xml:space="preserve"> Important</w:t>
      </w:r>
      <w:r>
        <w:t xml:space="preserve"> measures</w:t>
      </w:r>
      <w:r w:rsidRPr="00D70A71">
        <w:t xml:space="preserve"> in this </w:t>
      </w:r>
      <w:r>
        <w:t>area</w:t>
      </w:r>
      <w:r w:rsidRPr="00D70A71">
        <w:t xml:space="preserve"> are the frequency of reassessments, percent</w:t>
      </w:r>
      <w:r>
        <w:t xml:space="preserve">age </w:t>
      </w:r>
      <w:r w:rsidRPr="00D70A71">
        <w:t xml:space="preserve">of contact assessments </w:t>
      </w:r>
      <w:r>
        <w:t xml:space="preserve">compared with </w:t>
      </w:r>
      <w:r w:rsidRPr="00D70A71">
        <w:t>home care assessments and the percent</w:t>
      </w:r>
      <w:r>
        <w:t>age</w:t>
      </w:r>
      <w:r w:rsidRPr="00D70A71">
        <w:t xml:space="preserve"> of </w:t>
      </w:r>
      <w:r>
        <w:t>hospital</w:t>
      </w:r>
      <w:r w:rsidRPr="00D70A71">
        <w:t xml:space="preserve"> asse</w:t>
      </w:r>
      <w:r>
        <w:t>ssments.</w:t>
      </w:r>
      <w:r w:rsidRPr="00D70A71">
        <w:t xml:space="preserve"> Complaints received, </w:t>
      </w:r>
      <w:r>
        <w:t>number of emergency department</w:t>
      </w:r>
      <w:r w:rsidRPr="00D70A71">
        <w:t xml:space="preserve"> visits, qualification</w:t>
      </w:r>
      <w:r>
        <w:t xml:space="preserve"> levels </w:t>
      </w:r>
      <w:r w:rsidRPr="00D70A71">
        <w:t>of workers, and missed visits may</w:t>
      </w:r>
      <w:r>
        <w:t xml:space="preserve"> also</w:t>
      </w:r>
      <w:r w:rsidRPr="00D70A71">
        <w:t xml:space="preserve"> give some indication of outcomes. </w:t>
      </w:r>
    </w:p>
    <w:p w14:paraId="292330DF" w14:textId="77777777" w:rsidR="00F71B75" w:rsidRDefault="00F71B75" w:rsidP="00F71B75">
      <w:pPr>
        <w:rPr>
          <w:b/>
        </w:rPr>
      </w:pPr>
      <w:r>
        <w:rPr>
          <w:b/>
        </w:rPr>
        <w:br w:type="page"/>
      </w:r>
    </w:p>
    <w:p w14:paraId="4616912F" w14:textId="77777777" w:rsidR="00F71B75" w:rsidRDefault="00F71B75" w:rsidP="00F71B75">
      <w:pPr>
        <w:pStyle w:val="Heading1"/>
      </w:pPr>
      <w:bookmarkStart w:id="58" w:name="_Toc35415797"/>
      <w:bookmarkStart w:id="59" w:name="_Toc36129223"/>
      <w:r w:rsidRPr="00103511">
        <w:lastRenderedPageBreak/>
        <w:t>Appendix B: List of outcome measures and indicators to monitor HCSS</w:t>
      </w:r>
      <w:bookmarkEnd w:id="58"/>
      <w:bookmarkEnd w:id="59"/>
    </w:p>
    <w:p w14:paraId="6ACC9E6D" w14:textId="5DD675DA" w:rsidR="00F71B75" w:rsidRDefault="00F71B75" w:rsidP="00041A2E">
      <w:pPr>
        <w:rPr>
          <w:b/>
        </w:rPr>
      </w:pPr>
      <w:r w:rsidRPr="00251776">
        <w:rPr>
          <w:b/>
        </w:rPr>
        <w:t>Note: The</w:t>
      </w:r>
      <w:r>
        <w:rPr>
          <w:b/>
        </w:rPr>
        <w:t>se</w:t>
      </w:r>
      <w:r w:rsidRPr="00251776">
        <w:rPr>
          <w:b/>
        </w:rPr>
        <w:t xml:space="preserve"> outcome measures and indicators </w:t>
      </w:r>
      <w:r>
        <w:rPr>
          <w:b/>
        </w:rPr>
        <w:t xml:space="preserve">not confirmed </w:t>
      </w:r>
      <w:r w:rsidRPr="00251776">
        <w:rPr>
          <w:b/>
        </w:rPr>
        <w:t xml:space="preserve">are </w:t>
      </w:r>
      <w:r>
        <w:rPr>
          <w:b/>
        </w:rPr>
        <w:t>to be</w:t>
      </w:r>
      <w:r w:rsidRPr="00251776">
        <w:rPr>
          <w:b/>
        </w:rPr>
        <w:t xml:space="preserve"> </w:t>
      </w:r>
      <w:r>
        <w:rPr>
          <w:b/>
        </w:rPr>
        <w:t xml:space="preserve">developed and </w:t>
      </w:r>
      <w:r w:rsidRPr="00251776">
        <w:rPr>
          <w:b/>
        </w:rPr>
        <w:t>refine</w:t>
      </w:r>
      <w:r>
        <w:rPr>
          <w:b/>
        </w:rPr>
        <w:t>d</w:t>
      </w:r>
      <w:r w:rsidRPr="00251776">
        <w:rPr>
          <w:b/>
        </w:rPr>
        <w:t xml:space="preserve"> through</w:t>
      </w:r>
      <w:r>
        <w:rPr>
          <w:b/>
        </w:rPr>
        <w:t>out</w:t>
      </w:r>
      <w:r w:rsidRPr="00251776">
        <w:rPr>
          <w:b/>
        </w:rPr>
        <w:t xml:space="preserve"> the 20</w:t>
      </w:r>
      <w:r w:rsidR="00F67609">
        <w:rPr>
          <w:b/>
        </w:rPr>
        <w:t>20/21</w:t>
      </w:r>
      <w:r w:rsidRPr="00251776">
        <w:rPr>
          <w:b/>
        </w:rPr>
        <w:t xml:space="preserve"> financial year. </w:t>
      </w:r>
    </w:p>
    <w:p w14:paraId="46E69A15" w14:textId="77777777" w:rsidR="00F71B75" w:rsidRPr="00443FF9" w:rsidRDefault="00F71B75" w:rsidP="00041A2E"/>
    <w:tbl>
      <w:tblPr>
        <w:tblStyle w:val="TableGrid"/>
        <w:tblW w:w="836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3691"/>
        <w:gridCol w:w="1417"/>
        <w:gridCol w:w="993"/>
      </w:tblGrid>
      <w:tr w:rsidR="00F056BB" w:rsidRPr="00F056BB" w14:paraId="68179942" w14:textId="77777777" w:rsidTr="00867D56">
        <w:trPr>
          <w:tblHeader/>
        </w:trPr>
        <w:tc>
          <w:tcPr>
            <w:tcW w:w="2263" w:type="dxa"/>
            <w:tcBorders>
              <w:top w:val="nil"/>
              <w:bottom w:val="nil"/>
              <w:right w:val="nil"/>
            </w:tcBorders>
            <w:shd w:val="clear" w:color="auto" w:fill="D9D9D9" w:themeFill="background1" w:themeFillShade="D9"/>
          </w:tcPr>
          <w:p w14:paraId="17B1F36B" w14:textId="77777777" w:rsidR="00F71B75" w:rsidRPr="00F056BB" w:rsidRDefault="00F71B75" w:rsidP="00F056BB">
            <w:pPr>
              <w:pStyle w:val="Table"/>
              <w:rPr>
                <w:rFonts w:eastAsiaTheme="majorEastAsia"/>
              </w:rPr>
            </w:pPr>
            <w:bookmarkStart w:id="60" w:name="_Toc35415798"/>
            <w:r w:rsidRPr="00F056BB">
              <w:rPr>
                <w:rFonts w:eastAsiaTheme="majorEastAsia"/>
              </w:rPr>
              <w:t>Indicator</w:t>
            </w:r>
            <w:bookmarkEnd w:id="60"/>
          </w:p>
        </w:tc>
        <w:tc>
          <w:tcPr>
            <w:tcW w:w="3691" w:type="dxa"/>
            <w:tcBorders>
              <w:top w:val="nil"/>
              <w:left w:val="nil"/>
              <w:bottom w:val="nil"/>
              <w:right w:val="nil"/>
            </w:tcBorders>
            <w:shd w:val="clear" w:color="auto" w:fill="D9D9D9" w:themeFill="background1" w:themeFillShade="D9"/>
          </w:tcPr>
          <w:p w14:paraId="20D416E8" w14:textId="77777777" w:rsidR="00F71B75" w:rsidRPr="00F056BB" w:rsidRDefault="00F71B75" w:rsidP="00F056BB">
            <w:pPr>
              <w:pStyle w:val="Table"/>
              <w:rPr>
                <w:rFonts w:eastAsiaTheme="majorEastAsia"/>
              </w:rPr>
            </w:pPr>
            <w:bookmarkStart w:id="61" w:name="_Toc35415799"/>
            <w:r w:rsidRPr="00F056BB">
              <w:rPr>
                <w:rFonts w:eastAsiaTheme="majorEastAsia"/>
              </w:rPr>
              <w:t>Outcome indicator specification</w:t>
            </w:r>
            <w:bookmarkEnd w:id="61"/>
          </w:p>
        </w:tc>
        <w:tc>
          <w:tcPr>
            <w:tcW w:w="1417" w:type="dxa"/>
            <w:tcBorders>
              <w:top w:val="nil"/>
              <w:left w:val="nil"/>
              <w:bottom w:val="nil"/>
              <w:right w:val="nil"/>
            </w:tcBorders>
            <w:shd w:val="clear" w:color="auto" w:fill="D9D9D9" w:themeFill="background1" w:themeFillShade="D9"/>
          </w:tcPr>
          <w:p w14:paraId="037F7D41" w14:textId="77777777" w:rsidR="00F71B75" w:rsidRPr="00F056BB" w:rsidRDefault="00F71B75" w:rsidP="00F056BB">
            <w:pPr>
              <w:pStyle w:val="Table"/>
            </w:pPr>
            <w:r w:rsidRPr="00F056BB">
              <w:t>By</w:t>
            </w:r>
          </w:p>
        </w:tc>
        <w:tc>
          <w:tcPr>
            <w:tcW w:w="993" w:type="dxa"/>
            <w:tcBorders>
              <w:top w:val="nil"/>
              <w:left w:val="nil"/>
              <w:bottom w:val="nil"/>
            </w:tcBorders>
            <w:shd w:val="clear" w:color="auto" w:fill="D9D9D9" w:themeFill="background1" w:themeFillShade="D9"/>
          </w:tcPr>
          <w:p w14:paraId="4CF4D837" w14:textId="77777777" w:rsidR="00F71B75" w:rsidRPr="00F056BB" w:rsidRDefault="00F71B75" w:rsidP="00F056BB">
            <w:pPr>
              <w:pStyle w:val="Table"/>
            </w:pPr>
            <w:r w:rsidRPr="00F056BB">
              <w:t>Source</w:t>
            </w:r>
          </w:p>
        </w:tc>
      </w:tr>
      <w:tr w:rsidR="00F71B75" w:rsidRPr="00F056BB" w14:paraId="2C21AA86" w14:textId="77777777" w:rsidTr="00867D56">
        <w:tc>
          <w:tcPr>
            <w:tcW w:w="2263" w:type="dxa"/>
            <w:tcBorders>
              <w:top w:val="nil"/>
            </w:tcBorders>
          </w:tcPr>
          <w:p w14:paraId="6C5F6CAA" w14:textId="77777777" w:rsidR="00F71B75" w:rsidRPr="00F056BB" w:rsidRDefault="00F71B75" w:rsidP="00F056BB">
            <w:pPr>
              <w:pStyle w:val="TableText"/>
              <w:rPr>
                <w:rFonts w:cs="Segoe UI"/>
                <w:szCs w:val="18"/>
              </w:rPr>
            </w:pPr>
            <w:r w:rsidRPr="00F056BB">
              <w:rPr>
                <w:rFonts w:cs="Segoe UI"/>
                <w:szCs w:val="18"/>
              </w:rPr>
              <w:t>Aged residential care (ARC) bed days</w:t>
            </w:r>
          </w:p>
        </w:tc>
        <w:tc>
          <w:tcPr>
            <w:tcW w:w="3691" w:type="dxa"/>
            <w:tcBorders>
              <w:top w:val="nil"/>
            </w:tcBorders>
          </w:tcPr>
          <w:p w14:paraId="23D8A0FB" w14:textId="77777777" w:rsidR="00F71B75" w:rsidRPr="00F056BB" w:rsidRDefault="00F71B75" w:rsidP="00F056BB">
            <w:pPr>
              <w:pStyle w:val="TableText"/>
              <w:rPr>
                <w:rFonts w:cs="Segoe UI"/>
                <w:szCs w:val="18"/>
              </w:rPr>
            </w:pPr>
            <w:r w:rsidRPr="00F056BB">
              <w:rPr>
                <w:rFonts w:cs="Segoe UI"/>
                <w:szCs w:val="18"/>
              </w:rPr>
              <w:t>ARC bed days per population by DHB of domicile with estimated maximum contribution of older people in rest home category added, age standardised</w:t>
            </w:r>
          </w:p>
        </w:tc>
        <w:tc>
          <w:tcPr>
            <w:tcW w:w="1417" w:type="dxa"/>
            <w:tcBorders>
              <w:top w:val="nil"/>
            </w:tcBorders>
          </w:tcPr>
          <w:p w14:paraId="48A49453" w14:textId="77777777" w:rsidR="00F71B75" w:rsidRPr="00F056BB" w:rsidRDefault="00F71B75" w:rsidP="00F056BB">
            <w:pPr>
              <w:pStyle w:val="TableText"/>
              <w:rPr>
                <w:rFonts w:cs="Segoe UI"/>
                <w:szCs w:val="18"/>
              </w:rPr>
            </w:pPr>
            <w:r w:rsidRPr="00F056BB">
              <w:rPr>
                <w:rFonts w:cs="Segoe UI"/>
                <w:szCs w:val="18"/>
              </w:rPr>
              <w:t>DHB</w:t>
            </w:r>
          </w:p>
        </w:tc>
        <w:tc>
          <w:tcPr>
            <w:tcW w:w="993" w:type="dxa"/>
            <w:tcBorders>
              <w:top w:val="nil"/>
            </w:tcBorders>
          </w:tcPr>
          <w:p w14:paraId="6CDB1781" w14:textId="77777777" w:rsidR="00F71B75" w:rsidRPr="00F056BB" w:rsidRDefault="00F71B75" w:rsidP="00F056BB">
            <w:pPr>
              <w:pStyle w:val="TableText"/>
              <w:rPr>
                <w:rFonts w:cs="Segoe UI"/>
                <w:szCs w:val="18"/>
              </w:rPr>
            </w:pPr>
            <w:r w:rsidRPr="00F056BB">
              <w:rPr>
                <w:rFonts w:cs="Segoe UI"/>
                <w:szCs w:val="18"/>
              </w:rPr>
              <w:t>CCPS</w:t>
            </w:r>
          </w:p>
        </w:tc>
      </w:tr>
      <w:tr w:rsidR="00F71B75" w:rsidRPr="00F056BB" w14:paraId="0B77F10A" w14:textId="77777777" w:rsidTr="00867D56">
        <w:tc>
          <w:tcPr>
            <w:tcW w:w="2263" w:type="dxa"/>
            <w:shd w:val="clear" w:color="auto" w:fill="auto"/>
          </w:tcPr>
          <w:p w14:paraId="2297977F" w14:textId="77777777" w:rsidR="00F71B75" w:rsidRPr="00F056BB" w:rsidRDefault="00F71B75" w:rsidP="00F056BB">
            <w:pPr>
              <w:pStyle w:val="TableText"/>
              <w:rPr>
                <w:rFonts w:cs="Segoe UI"/>
                <w:szCs w:val="18"/>
              </w:rPr>
            </w:pPr>
            <w:r w:rsidRPr="00F056BB">
              <w:rPr>
                <w:rFonts w:cs="Segoe UI"/>
                <w:szCs w:val="18"/>
              </w:rPr>
              <w:t xml:space="preserve">Weight loss  </w:t>
            </w:r>
          </w:p>
        </w:tc>
        <w:tc>
          <w:tcPr>
            <w:tcW w:w="3691" w:type="dxa"/>
          </w:tcPr>
          <w:p w14:paraId="2C9B9B2F" w14:textId="77777777" w:rsidR="00F71B75" w:rsidRPr="00F056BB" w:rsidRDefault="00F71B75" w:rsidP="00F056BB">
            <w:pPr>
              <w:pStyle w:val="TableText"/>
              <w:rPr>
                <w:rFonts w:cs="Segoe UI"/>
                <w:szCs w:val="18"/>
              </w:rPr>
            </w:pPr>
            <w:r w:rsidRPr="00F056BB">
              <w:rPr>
                <w:rFonts w:cs="Segoe UI"/>
                <w:szCs w:val="18"/>
              </w:rPr>
              <w:t>Older people with unintended weight loss</w:t>
            </w:r>
          </w:p>
        </w:tc>
        <w:tc>
          <w:tcPr>
            <w:tcW w:w="1417" w:type="dxa"/>
          </w:tcPr>
          <w:p w14:paraId="689D2ED1" w14:textId="77777777" w:rsidR="00F71B75" w:rsidRPr="00F056BB" w:rsidRDefault="00F71B75" w:rsidP="00F056BB">
            <w:pPr>
              <w:pStyle w:val="TableText"/>
              <w:rPr>
                <w:rFonts w:cs="Segoe UI"/>
                <w:szCs w:val="18"/>
              </w:rPr>
            </w:pPr>
            <w:r w:rsidRPr="00F056BB">
              <w:rPr>
                <w:rFonts w:cs="Segoe UI"/>
                <w:szCs w:val="18"/>
              </w:rPr>
              <w:t>DHB, ethnicity</w:t>
            </w:r>
          </w:p>
        </w:tc>
        <w:tc>
          <w:tcPr>
            <w:tcW w:w="993" w:type="dxa"/>
          </w:tcPr>
          <w:p w14:paraId="7119F279"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77518E32" w14:textId="77777777" w:rsidTr="00867D56">
        <w:tc>
          <w:tcPr>
            <w:tcW w:w="2263" w:type="dxa"/>
            <w:shd w:val="clear" w:color="auto" w:fill="auto"/>
          </w:tcPr>
          <w:p w14:paraId="1366C176" w14:textId="77777777" w:rsidR="00F71B75" w:rsidRPr="00F056BB" w:rsidRDefault="00F71B75" w:rsidP="00F056BB">
            <w:pPr>
              <w:pStyle w:val="TableText"/>
              <w:rPr>
                <w:rFonts w:cs="Segoe UI"/>
                <w:szCs w:val="18"/>
              </w:rPr>
            </w:pPr>
            <w:r w:rsidRPr="00F056BB">
              <w:rPr>
                <w:rFonts w:cs="Segoe UI"/>
                <w:szCs w:val="18"/>
              </w:rPr>
              <w:t xml:space="preserve">Falls  </w:t>
            </w:r>
          </w:p>
        </w:tc>
        <w:tc>
          <w:tcPr>
            <w:tcW w:w="3691" w:type="dxa"/>
          </w:tcPr>
          <w:p w14:paraId="68188184" w14:textId="77777777" w:rsidR="00F71B75" w:rsidRPr="00F056BB" w:rsidRDefault="00F71B75" w:rsidP="00F056BB">
            <w:pPr>
              <w:pStyle w:val="TableText"/>
              <w:rPr>
                <w:rFonts w:cs="Segoe UI"/>
                <w:szCs w:val="18"/>
              </w:rPr>
            </w:pPr>
            <w:r w:rsidRPr="00F056BB">
              <w:rPr>
                <w:rFonts w:cs="Segoe UI"/>
                <w:szCs w:val="18"/>
              </w:rPr>
              <w:t>Number of older people who record a fall on follow-up assessment</w:t>
            </w:r>
          </w:p>
        </w:tc>
        <w:tc>
          <w:tcPr>
            <w:tcW w:w="1417" w:type="dxa"/>
          </w:tcPr>
          <w:p w14:paraId="0F2D80E5" w14:textId="77777777" w:rsidR="00F71B75" w:rsidRPr="00F056BB" w:rsidRDefault="00F71B75" w:rsidP="00F056BB">
            <w:pPr>
              <w:pStyle w:val="TableText"/>
              <w:rPr>
                <w:rFonts w:cs="Segoe UI"/>
                <w:szCs w:val="18"/>
              </w:rPr>
            </w:pPr>
            <w:r w:rsidRPr="00F056BB">
              <w:rPr>
                <w:rFonts w:cs="Segoe UI"/>
                <w:szCs w:val="18"/>
              </w:rPr>
              <w:t>DHB, ethnicity</w:t>
            </w:r>
          </w:p>
        </w:tc>
        <w:tc>
          <w:tcPr>
            <w:tcW w:w="993" w:type="dxa"/>
          </w:tcPr>
          <w:p w14:paraId="5FB67FCC"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410322FB" w14:textId="77777777" w:rsidTr="00867D56">
        <w:tc>
          <w:tcPr>
            <w:tcW w:w="2263" w:type="dxa"/>
            <w:shd w:val="clear" w:color="auto" w:fill="auto"/>
          </w:tcPr>
          <w:p w14:paraId="0EC9133F" w14:textId="77777777" w:rsidR="00F71B75" w:rsidRPr="00F056BB" w:rsidRDefault="00F71B75" w:rsidP="00F056BB">
            <w:pPr>
              <w:pStyle w:val="TableText"/>
              <w:rPr>
                <w:rFonts w:cs="Segoe UI"/>
                <w:szCs w:val="18"/>
              </w:rPr>
            </w:pPr>
            <w:r w:rsidRPr="00F056BB">
              <w:rPr>
                <w:rFonts w:cs="Segoe UI"/>
                <w:szCs w:val="18"/>
              </w:rPr>
              <w:t xml:space="preserve">Social isolation with distress  </w:t>
            </w:r>
          </w:p>
        </w:tc>
        <w:tc>
          <w:tcPr>
            <w:tcW w:w="3691" w:type="dxa"/>
          </w:tcPr>
          <w:p w14:paraId="52F40DC2" w14:textId="77777777" w:rsidR="00F71B75" w:rsidRPr="00F056BB" w:rsidRDefault="00F71B75" w:rsidP="00F056BB">
            <w:pPr>
              <w:pStyle w:val="TableText"/>
              <w:rPr>
                <w:rFonts w:cs="Segoe UI"/>
                <w:szCs w:val="18"/>
              </w:rPr>
            </w:pPr>
            <w:r w:rsidRPr="00F056BB">
              <w:rPr>
                <w:rFonts w:cs="Segoe UI"/>
                <w:szCs w:val="18"/>
              </w:rPr>
              <w:t>Older people who are alone for long periods or always and also report feeling lonely, or older people who are distressed by declining social activity</w:t>
            </w:r>
          </w:p>
        </w:tc>
        <w:tc>
          <w:tcPr>
            <w:tcW w:w="1417" w:type="dxa"/>
          </w:tcPr>
          <w:p w14:paraId="77C0BC51" w14:textId="77777777" w:rsidR="00F71B75" w:rsidRPr="00F056BB" w:rsidRDefault="00F71B75" w:rsidP="00F056BB">
            <w:pPr>
              <w:pStyle w:val="TableText"/>
              <w:rPr>
                <w:rFonts w:cs="Segoe UI"/>
                <w:szCs w:val="18"/>
              </w:rPr>
            </w:pPr>
            <w:r w:rsidRPr="00F056BB">
              <w:rPr>
                <w:rFonts w:cs="Segoe UI"/>
                <w:szCs w:val="18"/>
              </w:rPr>
              <w:t>DHB, ethnicity</w:t>
            </w:r>
          </w:p>
        </w:tc>
        <w:tc>
          <w:tcPr>
            <w:tcW w:w="993" w:type="dxa"/>
          </w:tcPr>
          <w:p w14:paraId="38055E65"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0D745E6E" w14:textId="77777777" w:rsidTr="00867D56">
        <w:tc>
          <w:tcPr>
            <w:tcW w:w="2263" w:type="dxa"/>
            <w:shd w:val="clear" w:color="auto" w:fill="auto"/>
          </w:tcPr>
          <w:p w14:paraId="3061CC4E" w14:textId="77777777" w:rsidR="00F71B75" w:rsidRPr="00F056BB" w:rsidRDefault="00F71B75" w:rsidP="00F056BB">
            <w:pPr>
              <w:pStyle w:val="TableText"/>
              <w:rPr>
                <w:rFonts w:cs="Segoe UI"/>
                <w:szCs w:val="18"/>
              </w:rPr>
            </w:pPr>
            <w:r w:rsidRPr="00F056BB">
              <w:rPr>
                <w:rFonts w:cs="Segoe UI"/>
                <w:szCs w:val="18"/>
              </w:rPr>
              <w:t xml:space="preserve">Disruptive/intense daily pain  </w:t>
            </w:r>
          </w:p>
        </w:tc>
        <w:tc>
          <w:tcPr>
            <w:tcW w:w="3691" w:type="dxa"/>
          </w:tcPr>
          <w:p w14:paraId="32E78D00" w14:textId="495E7740" w:rsidR="00F71B75" w:rsidRPr="00F056BB" w:rsidRDefault="00F71B75" w:rsidP="00F056BB">
            <w:pPr>
              <w:pStyle w:val="TableText"/>
              <w:rPr>
                <w:rFonts w:cs="Segoe UI"/>
                <w:szCs w:val="18"/>
              </w:rPr>
            </w:pPr>
            <w:r w:rsidRPr="00F056BB">
              <w:rPr>
                <w:rFonts w:cs="Segoe UI"/>
                <w:szCs w:val="18"/>
              </w:rPr>
              <w:t>Older people having daily pain and intense pain</w:t>
            </w:r>
            <w:r w:rsidR="00C536FC">
              <w:rPr>
                <w:rFonts w:cs="Segoe UI"/>
                <w:szCs w:val="18"/>
              </w:rPr>
              <w:t>,</w:t>
            </w:r>
            <w:r w:rsidRPr="00F056BB">
              <w:rPr>
                <w:rFonts w:cs="Segoe UI"/>
                <w:szCs w:val="18"/>
              </w:rPr>
              <w:t xml:space="preserve"> or pain disrupts activities  </w:t>
            </w:r>
          </w:p>
        </w:tc>
        <w:tc>
          <w:tcPr>
            <w:tcW w:w="1417" w:type="dxa"/>
          </w:tcPr>
          <w:p w14:paraId="78190978" w14:textId="77777777" w:rsidR="00F71B75" w:rsidRPr="00F056BB" w:rsidRDefault="00F71B75" w:rsidP="00F056BB">
            <w:pPr>
              <w:pStyle w:val="TableText"/>
              <w:rPr>
                <w:rFonts w:cs="Segoe UI"/>
                <w:szCs w:val="18"/>
              </w:rPr>
            </w:pPr>
            <w:r w:rsidRPr="00F056BB">
              <w:rPr>
                <w:rFonts w:cs="Segoe UI"/>
                <w:szCs w:val="18"/>
              </w:rPr>
              <w:t>DHB, ethnicity</w:t>
            </w:r>
          </w:p>
        </w:tc>
        <w:tc>
          <w:tcPr>
            <w:tcW w:w="993" w:type="dxa"/>
          </w:tcPr>
          <w:p w14:paraId="738D43F1"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73AEBD14" w14:textId="77777777" w:rsidTr="00867D56">
        <w:tc>
          <w:tcPr>
            <w:tcW w:w="2263" w:type="dxa"/>
            <w:shd w:val="clear" w:color="auto" w:fill="auto"/>
          </w:tcPr>
          <w:p w14:paraId="44574866" w14:textId="77777777" w:rsidR="00F71B75" w:rsidRPr="00F056BB" w:rsidRDefault="00F71B75" w:rsidP="00F056BB">
            <w:pPr>
              <w:pStyle w:val="TableText"/>
              <w:rPr>
                <w:rFonts w:cs="Segoe UI"/>
                <w:szCs w:val="18"/>
              </w:rPr>
            </w:pPr>
            <w:r w:rsidRPr="00F056BB">
              <w:rPr>
                <w:rFonts w:cs="Segoe UI"/>
                <w:szCs w:val="18"/>
              </w:rPr>
              <w:t xml:space="preserve">Inadequate pain control    </w:t>
            </w:r>
          </w:p>
        </w:tc>
        <w:tc>
          <w:tcPr>
            <w:tcW w:w="3691" w:type="dxa"/>
          </w:tcPr>
          <w:p w14:paraId="638151DC" w14:textId="77777777" w:rsidR="00F71B75" w:rsidRPr="00F056BB" w:rsidRDefault="00F71B75" w:rsidP="00F056BB">
            <w:pPr>
              <w:pStyle w:val="TableText"/>
              <w:rPr>
                <w:rFonts w:cs="Segoe UI"/>
                <w:szCs w:val="18"/>
              </w:rPr>
            </w:pPr>
            <w:r w:rsidRPr="00F056BB">
              <w:rPr>
                <w:rFonts w:cs="Segoe UI"/>
                <w:szCs w:val="18"/>
              </w:rPr>
              <w:t>Older people who have pain and are receiving inadequate pain control</w:t>
            </w:r>
          </w:p>
        </w:tc>
        <w:tc>
          <w:tcPr>
            <w:tcW w:w="1417" w:type="dxa"/>
          </w:tcPr>
          <w:p w14:paraId="732E58D5" w14:textId="77777777" w:rsidR="00F71B75" w:rsidRPr="00F056BB" w:rsidRDefault="00F71B75" w:rsidP="00F056BB">
            <w:pPr>
              <w:pStyle w:val="TableText"/>
              <w:rPr>
                <w:rFonts w:cs="Segoe UI"/>
                <w:szCs w:val="18"/>
              </w:rPr>
            </w:pPr>
            <w:r w:rsidRPr="00F056BB">
              <w:rPr>
                <w:rFonts w:cs="Segoe UI"/>
                <w:szCs w:val="18"/>
              </w:rPr>
              <w:t>DHB, ethnicity</w:t>
            </w:r>
          </w:p>
        </w:tc>
        <w:tc>
          <w:tcPr>
            <w:tcW w:w="993" w:type="dxa"/>
          </w:tcPr>
          <w:p w14:paraId="5412E381"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4F4DB7DC" w14:textId="77777777" w:rsidTr="00867D56">
        <w:tc>
          <w:tcPr>
            <w:tcW w:w="2263" w:type="dxa"/>
            <w:shd w:val="clear" w:color="auto" w:fill="auto"/>
          </w:tcPr>
          <w:p w14:paraId="119893B7" w14:textId="77777777" w:rsidR="00F71B75" w:rsidRPr="00F056BB" w:rsidRDefault="00F71B75" w:rsidP="00F056BB">
            <w:pPr>
              <w:pStyle w:val="TableText"/>
              <w:rPr>
                <w:rFonts w:cs="Segoe UI"/>
                <w:szCs w:val="18"/>
              </w:rPr>
            </w:pPr>
            <w:r w:rsidRPr="00F056BB">
              <w:rPr>
                <w:rFonts w:cs="Segoe UI"/>
                <w:szCs w:val="18"/>
              </w:rPr>
              <w:t xml:space="preserve">Any injuries  </w:t>
            </w:r>
          </w:p>
        </w:tc>
        <w:tc>
          <w:tcPr>
            <w:tcW w:w="3691" w:type="dxa"/>
          </w:tcPr>
          <w:p w14:paraId="2567993E" w14:textId="77777777" w:rsidR="00F71B75" w:rsidRPr="00F056BB" w:rsidRDefault="00F71B75" w:rsidP="00F056BB">
            <w:pPr>
              <w:pStyle w:val="TableText"/>
              <w:rPr>
                <w:rFonts w:cs="Segoe UI"/>
                <w:szCs w:val="18"/>
              </w:rPr>
            </w:pPr>
            <w:r w:rsidRPr="00F056BB">
              <w:rPr>
                <w:rFonts w:cs="Segoe UI"/>
                <w:szCs w:val="18"/>
              </w:rPr>
              <w:t>Older people with fractures or unexplained injuries</w:t>
            </w:r>
          </w:p>
        </w:tc>
        <w:tc>
          <w:tcPr>
            <w:tcW w:w="1417" w:type="dxa"/>
          </w:tcPr>
          <w:p w14:paraId="126E9720" w14:textId="77777777" w:rsidR="00F71B75" w:rsidRPr="00F056BB" w:rsidRDefault="00F71B75" w:rsidP="00F056BB">
            <w:pPr>
              <w:pStyle w:val="TableText"/>
              <w:rPr>
                <w:rFonts w:cs="Segoe UI"/>
                <w:szCs w:val="18"/>
              </w:rPr>
            </w:pPr>
            <w:r w:rsidRPr="00F056BB">
              <w:rPr>
                <w:rFonts w:cs="Segoe UI"/>
                <w:szCs w:val="18"/>
              </w:rPr>
              <w:t>DHB, ethnicity</w:t>
            </w:r>
          </w:p>
        </w:tc>
        <w:tc>
          <w:tcPr>
            <w:tcW w:w="993" w:type="dxa"/>
          </w:tcPr>
          <w:p w14:paraId="37A8518F"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794D16D3" w14:textId="77777777" w:rsidTr="00867D56">
        <w:tc>
          <w:tcPr>
            <w:tcW w:w="2263" w:type="dxa"/>
            <w:shd w:val="clear" w:color="auto" w:fill="auto"/>
          </w:tcPr>
          <w:p w14:paraId="739355C0" w14:textId="77777777" w:rsidR="00F71B75" w:rsidRPr="00F056BB" w:rsidRDefault="00F71B75" w:rsidP="00F056BB">
            <w:pPr>
              <w:pStyle w:val="TableText"/>
              <w:rPr>
                <w:rFonts w:cs="Segoe UI"/>
                <w:szCs w:val="18"/>
              </w:rPr>
            </w:pPr>
            <w:r w:rsidRPr="00F056BB">
              <w:rPr>
                <w:rFonts w:cs="Segoe UI"/>
                <w:szCs w:val="18"/>
              </w:rPr>
              <w:t xml:space="preserve">No flu vaccination  </w:t>
            </w:r>
          </w:p>
        </w:tc>
        <w:tc>
          <w:tcPr>
            <w:tcW w:w="3691" w:type="dxa"/>
          </w:tcPr>
          <w:p w14:paraId="764D96FD" w14:textId="77777777" w:rsidR="00F71B75" w:rsidRPr="00F056BB" w:rsidRDefault="00F71B75" w:rsidP="00F056BB">
            <w:pPr>
              <w:pStyle w:val="TableText"/>
              <w:rPr>
                <w:rFonts w:cs="Segoe UI"/>
                <w:szCs w:val="18"/>
              </w:rPr>
            </w:pPr>
            <w:r w:rsidRPr="00F056BB">
              <w:rPr>
                <w:rFonts w:cs="Segoe UI"/>
                <w:szCs w:val="18"/>
              </w:rPr>
              <w:t>Older people who have not received influenza vaccination within the last two years</w:t>
            </w:r>
          </w:p>
        </w:tc>
        <w:tc>
          <w:tcPr>
            <w:tcW w:w="1417" w:type="dxa"/>
          </w:tcPr>
          <w:p w14:paraId="19A66C03" w14:textId="77777777" w:rsidR="00F71B75" w:rsidRPr="00F056BB" w:rsidRDefault="00F71B75" w:rsidP="00F056BB">
            <w:pPr>
              <w:pStyle w:val="TableText"/>
              <w:rPr>
                <w:rFonts w:cs="Segoe UI"/>
                <w:szCs w:val="18"/>
              </w:rPr>
            </w:pPr>
            <w:r w:rsidRPr="00F056BB">
              <w:rPr>
                <w:rFonts w:cs="Segoe UI"/>
                <w:szCs w:val="18"/>
              </w:rPr>
              <w:t>DHB, ethnicity</w:t>
            </w:r>
          </w:p>
        </w:tc>
        <w:tc>
          <w:tcPr>
            <w:tcW w:w="993" w:type="dxa"/>
          </w:tcPr>
          <w:p w14:paraId="208A6B8F"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3FC7DB25" w14:textId="77777777" w:rsidTr="00867D56">
        <w:tc>
          <w:tcPr>
            <w:tcW w:w="2263" w:type="dxa"/>
            <w:tcBorders>
              <w:bottom w:val="single" w:sz="4" w:space="0" w:color="A6A6A6" w:themeColor="background1" w:themeShade="A6"/>
            </w:tcBorders>
            <w:shd w:val="clear" w:color="auto" w:fill="auto"/>
          </w:tcPr>
          <w:p w14:paraId="1D71A09A" w14:textId="636E25DA" w:rsidR="00F71B75" w:rsidRPr="00F056BB" w:rsidRDefault="00F71B75" w:rsidP="00F056BB">
            <w:pPr>
              <w:pStyle w:val="TableText"/>
              <w:rPr>
                <w:rFonts w:cs="Segoe UI"/>
                <w:szCs w:val="18"/>
              </w:rPr>
            </w:pPr>
            <w:r w:rsidRPr="00F056BB">
              <w:rPr>
                <w:rFonts w:cs="Segoe UI"/>
                <w:szCs w:val="18"/>
              </w:rPr>
              <w:t xml:space="preserve">Hospitalisation </w:t>
            </w:r>
          </w:p>
        </w:tc>
        <w:tc>
          <w:tcPr>
            <w:tcW w:w="3691" w:type="dxa"/>
            <w:tcBorders>
              <w:bottom w:val="single" w:sz="4" w:space="0" w:color="A6A6A6" w:themeColor="background1" w:themeShade="A6"/>
            </w:tcBorders>
          </w:tcPr>
          <w:p w14:paraId="2B2B08D7" w14:textId="77777777" w:rsidR="00F71B75" w:rsidRPr="00F056BB" w:rsidRDefault="00F71B75" w:rsidP="00F056BB">
            <w:pPr>
              <w:pStyle w:val="TableText"/>
              <w:rPr>
                <w:rFonts w:cs="Segoe UI"/>
                <w:szCs w:val="18"/>
              </w:rPr>
            </w:pPr>
            <w:r w:rsidRPr="00F056BB">
              <w:rPr>
                <w:rFonts w:cs="Segoe UI"/>
                <w:szCs w:val="18"/>
              </w:rPr>
              <w:t>Older people who have been hospitalised, have visited a hospital emergency department, or have received emergent care since last assessment</w:t>
            </w:r>
          </w:p>
        </w:tc>
        <w:tc>
          <w:tcPr>
            <w:tcW w:w="1417" w:type="dxa"/>
            <w:tcBorders>
              <w:bottom w:val="single" w:sz="4" w:space="0" w:color="A6A6A6" w:themeColor="background1" w:themeShade="A6"/>
            </w:tcBorders>
          </w:tcPr>
          <w:p w14:paraId="2CFEF23A" w14:textId="77777777" w:rsidR="00F71B75" w:rsidRPr="00F056BB" w:rsidRDefault="00F71B75" w:rsidP="00F056BB">
            <w:pPr>
              <w:pStyle w:val="TableText"/>
              <w:rPr>
                <w:rFonts w:cs="Segoe UI"/>
                <w:szCs w:val="18"/>
              </w:rPr>
            </w:pPr>
            <w:r w:rsidRPr="00F056BB">
              <w:rPr>
                <w:rFonts w:cs="Segoe UI"/>
                <w:szCs w:val="18"/>
              </w:rPr>
              <w:t>DHB, ethnicity</w:t>
            </w:r>
          </w:p>
        </w:tc>
        <w:tc>
          <w:tcPr>
            <w:tcW w:w="993" w:type="dxa"/>
            <w:tcBorders>
              <w:bottom w:val="single" w:sz="4" w:space="0" w:color="A6A6A6" w:themeColor="background1" w:themeShade="A6"/>
            </w:tcBorders>
          </w:tcPr>
          <w:p w14:paraId="4B9F77E8"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41ADC954" w14:textId="77777777" w:rsidTr="00867D56">
        <w:tc>
          <w:tcPr>
            <w:tcW w:w="2263" w:type="dxa"/>
            <w:tcBorders>
              <w:top w:val="single" w:sz="4" w:space="0" w:color="A6A6A6" w:themeColor="background1" w:themeShade="A6"/>
              <w:bottom w:val="single" w:sz="4" w:space="0" w:color="A6A6A6" w:themeColor="background1" w:themeShade="A6"/>
            </w:tcBorders>
            <w:shd w:val="clear" w:color="auto" w:fill="auto"/>
          </w:tcPr>
          <w:p w14:paraId="712EE870" w14:textId="77777777" w:rsidR="00F71B75" w:rsidRPr="00F056BB" w:rsidRDefault="00F71B75" w:rsidP="00F056BB">
            <w:pPr>
              <w:pStyle w:val="TableText"/>
              <w:rPr>
                <w:rFonts w:cs="Segoe UI"/>
                <w:szCs w:val="18"/>
              </w:rPr>
            </w:pPr>
            <w:r w:rsidRPr="00F056BB">
              <w:rPr>
                <w:rFonts w:cs="Segoe UI"/>
                <w:szCs w:val="18"/>
              </w:rPr>
              <w:t>Caregiver distress</w:t>
            </w:r>
          </w:p>
        </w:tc>
        <w:tc>
          <w:tcPr>
            <w:tcW w:w="3691" w:type="dxa"/>
            <w:tcBorders>
              <w:top w:val="single" w:sz="4" w:space="0" w:color="A6A6A6" w:themeColor="background1" w:themeShade="A6"/>
              <w:bottom w:val="single" w:sz="4" w:space="0" w:color="A6A6A6" w:themeColor="background1" w:themeShade="A6"/>
            </w:tcBorders>
          </w:tcPr>
          <w:p w14:paraId="2F981443" w14:textId="77777777" w:rsidR="00F71B75" w:rsidRPr="00F056BB" w:rsidRDefault="00F71B75" w:rsidP="00F056BB">
            <w:pPr>
              <w:pStyle w:val="TableText"/>
              <w:rPr>
                <w:rFonts w:cs="Segoe UI"/>
                <w:szCs w:val="18"/>
              </w:rPr>
            </w:pPr>
            <w:r w:rsidRPr="00F056BB">
              <w:rPr>
                <w:rFonts w:cs="Segoe UI"/>
                <w:szCs w:val="18"/>
              </w:rPr>
              <w:t>To be confirmed</w:t>
            </w:r>
          </w:p>
        </w:tc>
        <w:tc>
          <w:tcPr>
            <w:tcW w:w="1417" w:type="dxa"/>
            <w:tcBorders>
              <w:top w:val="single" w:sz="4" w:space="0" w:color="A6A6A6" w:themeColor="background1" w:themeShade="A6"/>
              <w:bottom w:val="single" w:sz="4" w:space="0" w:color="A6A6A6" w:themeColor="background1" w:themeShade="A6"/>
            </w:tcBorders>
          </w:tcPr>
          <w:p w14:paraId="784E26AD" w14:textId="77777777" w:rsidR="00F71B75" w:rsidRPr="00F056BB" w:rsidRDefault="00F71B75" w:rsidP="00F056BB">
            <w:pPr>
              <w:pStyle w:val="TableText"/>
              <w:rPr>
                <w:rFonts w:cs="Segoe UI"/>
                <w:szCs w:val="18"/>
              </w:rPr>
            </w:pPr>
            <w:r w:rsidRPr="00F056BB">
              <w:rPr>
                <w:rFonts w:cs="Segoe UI"/>
                <w:szCs w:val="18"/>
              </w:rPr>
              <w:t>DHB, ethnicity</w:t>
            </w:r>
          </w:p>
        </w:tc>
        <w:tc>
          <w:tcPr>
            <w:tcW w:w="993" w:type="dxa"/>
            <w:tcBorders>
              <w:top w:val="single" w:sz="4" w:space="0" w:color="A6A6A6" w:themeColor="background1" w:themeShade="A6"/>
              <w:bottom w:val="single" w:sz="4" w:space="0" w:color="A6A6A6" w:themeColor="background1" w:themeShade="A6"/>
            </w:tcBorders>
          </w:tcPr>
          <w:p w14:paraId="692EC0F8"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7F52AE9A" w14:textId="77777777" w:rsidTr="00867D56">
        <w:tc>
          <w:tcPr>
            <w:tcW w:w="2263" w:type="dxa"/>
            <w:tcBorders>
              <w:top w:val="single" w:sz="4" w:space="0" w:color="A6A6A6" w:themeColor="background1" w:themeShade="A6"/>
            </w:tcBorders>
            <w:shd w:val="clear" w:color="auto" w:fill="auto"/>
          </w:tcPr>
          <w:p w14:paraId="4311702F" w14:textId="77777777" w:rsidR="00F71B75" w:rsidRPr="00F056BB" w:rsidRDefault="00F71B75" w:rsidP="00F056BB">
            <w:pPr>
              <w:pStyle w:val="TableText"/>
              <w:rPr>
                <w:rFonts w:cs="Segoe UI"/>
                <w:szCs w:val="18"/>
              </w:rPr>
            </w:pPr>
            <w:r w:rsidRPr="00F056BB">
              <w:rPr>
                <w:rFonts w:cs="Segoe UI"/>
                <w:szCs w:val="18"/>
              </w:rPr>
              <w:lastRenderedPageBreak/>
              <w:t>Timeliness</w:t>
            </w:r>
          </w:p>
        </w:tc>
        <w:tc>
          <w:tcPr>
            <w:tcW w:w="3691" w:type="dxa"/>
            <w:tcBorders>
              <w:top w:val="single" w:sz="4" w:space="0" w:color="A6A6A6" w:themeColor="background1" w:themeShade="A6"/>
            </w:tcBorders>
          </w:tcPr>
          <w:p w14:paraId="0F099EA8" w14:textId="77777777" w:rsidR="00F71B75" w:rsidRPr="00F056BB" w:rsidRDefault="00F71B75" w:rsidP="00F056BB">
            <w:pPr>
              <w:pStyle w:val="TableText"/>
              <w:rPr>
                <w:rFonts w:cs="Segoe UI"/>
                <w:szCs w:val="18"/>
              </w:rPr>
            </w:pPr>
            <w:r w:rsidRPr="00F056BB">
              <w:rPr>
                <w:rFonts w:cs="Segoe UI"/>
                <w:szCs w:val="18"/>
              </w:rPr>
              <w:t>Percentage of notifications that do not have an interRAI assessment by the date indicated by its urgency</w:t>
            </w:r>
          </w:p>
        </w:tc>
        <w:tc>
          <w:tcPr>
            <w:tcW w:w="1417" w:type="dxa"/>
            <w:tcBorders>
              <w:top w:val="single" w:sz="4" w:space="0" w:color="A6A6A6" w:themeColor="background1" w:themeShade="A6"/>
            </w:tcBorders>
          </w:tcPr>
          <w:p w14:paraId="7F1855DD" w14:textId="77777777" w:rsidR="00F71B75" w:rsidRPr="00F056BB" w:rsidRDefault="00F71B75" w:rsidP="00F056BB">
            <w:pPr>
              <w:pStyle w:val="TableText"/>
              <w:rPr>
                <w:rFonts w:cs="Segoe UI"/>
                <w:szCs w:val="18"/>
              </w:rPr>
            </w:pPr>
            <w:r w:rsidRPr="00F056BB">
              <w:rPr>
                <w:rFonts w:cs="Segoe UI"/>
                <w:szCs w:val="18"/>
              </w:rPr>
              <w:t>DHB</w:t>
            </w:r>
          </w:p>
        </w:tc>
        <w:tc>
          <w:tcPr>
            <w:tcW w:w="993" w:type="dxa"/>
            <w:tcBorders>
              <w:top w:val="single" w:sz="4" w:space="0" w:color="A6A6A6" w:themeColor="background1" w:themeShade="A6"/>
            </w:tcBorders>
          </w:tcPr>
          <w:p w14:paraId="63A30062"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423C709E" w14:textId="77777777" w:rsidTr="00867D56">
        <w:tc>
          <w:tcPr>
            <w:tcW w:w="2263" w:type="dxa"/>
            <w:shd w:val="clear" w:color="auto" w:fill="auto"/>
          </w:tcPr>
          <w:p w14:paraId="22014594" w14:textId="77777777" w:rsidR="00F71B75" w:rsidRPr="00F056BB" w:rsidRDefault="00F71B75" w:rsidP="00F056BB">
            <w:pPr>
              <w:pStyle w:val="TableText"/>
              <w:rPr>
                <w:rFonts w:cs="Segoe UI"/>
                <w:szCs w:val="18"/>
              </w:rPr>
            </w:pPr>
            <w:r w:rsidRPr="00F056BB">
              <w:rPr>
                <w:rFonts w:cs="Segoe UI"/>
                <w:szCs w:val="18"/>
              </w:rPr>
              <w:t>Entry to residential care</w:t>
            </w:r>
          </w:p>
        </w:tc>
        <w:tc>
          <w:tcPr>
            <w:tcW w:w="3691" w:type="dxa"/>
          </w:tcPr>
          <w:p w14:paraId="25D70D84" w14:textId="77777777" w:rsidR="00F71B75" w:rsidRPr="00F056BB" w:rsidRDefault="00F71B75" w:rsidP="00F056BB">
            <w:pPr>
              <w:pStyle w:val="TableText"/>
              <w:rPr>
                <w:rFonts w:cs="Segoe UI"/>
                <w:szCs w:val="18"/>
              </w:rPr>
            </w:pPr>
            <w:r w:rsidRPr="00F056BB">
              <w:rPr>
                <w:rFonts w:cs="Segoe UI"/>
                <w:szCs w:val="18"/>
              </w:rPr>
              <w:t>Percentage of new entrants into ARC at each MAPLe and CHESS score from last home care assessment before entering ARC</w:t>
            </w:r>
          </w:p>
        </w:tc>
        <w:tc>
          <w:tcPr>
            <w:tcW w:w="1417" w:type="dxa"/>
          </w:tcPr>
          <w:p w14:paraId="462E571F" w14:textId="77777777" w:rsidR="00F71B75" w:rsidRPr="00F056BB" w:rsidRDefault="00F71B75" w:rsidP="00F056BB">
            <w:pPr>
              <w:pStyle w:val="TableText"/>
              <w:rPr>
                <w:rFonts w:cs="Segoe UI"/>
                <w:szCs w:val="18"/>
              </w:rPr>
            </w:pPr>
          </w:p>
        </w:tc>
        <w:tc>
          <w:tcPr>
            <w:tcW w:w="993" w:type="dxa"/>
          </w:tcPr>
          <w:p w14:paraId="7AD115C0"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74422BD3" w14:textId="77777777" w:rsidTr="00867D56">
        <w:tc>
          <w:tcPr>
            <w:tcW w:w="2263" w:type="dxa"/>
            <w:shd w:val="clear" w:color="auto" w:fill="auto"/>
          </w:tcPr>
          <w:p w14:paraId="23B93FA2" w14:textId="77777777" w:rsidR="00F71B75" w:rsidRPr="00F056BB" w:rsidRDefault="00F71B75" w:rsidP="00F056BB">
            <w:pPr>
              <w:pStyle w:val="TableText"/>
              <w:rPr>
                <w:rFonts w:cs="Segoe UI"/>
                <w:szCs w:val="18"/>
              </w:rPr>
            </w:pPr>
            <w:r w:rsidRPr="00F056BB">
              <w:rPr>
                <w:rFonts w:cs="Segoe UI"/>
                <w:szCs w:val="18"/>
              </w:rPr>
              <w:t>Frequency of reassessments</w:t>
            </w:r>
          </w:p>
        </w:tc>
        <w:tc>
          <w:tcPr>
            <w:tcW w:w="3691" w:type="dxa"/>
          </w:tcPr>
          <w:p w14:paraId="14CAE25A" w14:textId="77777777" w:rsidR="00F71B75" w:rsidRPr="00F056BB" w:rsidRDefault="00F71B75" w:rsidP="00F056BB">
            <w:pPr>
              <w:pStyle w:val="TableText"/>
              <w:rPr>
                <w:rFonts w:cs="Segoe UI"/>
                <w:szCs w:val="18"/>
              </w:rPr>
            </w:pPr>
            <w:r w:rsidRPr="00F056BB">
              <w:rPr>
                <w:rFonts w:cs="Segoe UI"/>
                <w:szCs w:val="18"/>
              </w:rPr>
              <w:t>Average days between assessments of all home care assessments where the older person has had a previous home care or contact assessment</w:t>
            </w:r>
          </w:p>
        </w:tc>
        <w:tc>
          <w:tcPr>
            <w:tcW w:w="1417" w:type="dxa"/>
          </w:tcPr>
          <w:p w14:paraId="465A4886" w14:textId="77777777" w:rsidR="00F71B75" w:rsidRPr="00F056BB" w:rsidRDefault="00F71B75" w:rsidP="00F056BB">
            <w:pPr>
              <w:pStyle w:val="TableText"/>
              <w:rPr>
                <w:rFonts w:cs="Segoe UI"/>
                <w:szCs w:val="18"/>
              </w:rPr>
            </w:pPr>
            <w:r w:rsidRPr="00F056BB">
              <w:rPr>
                <w:rFonts w:cs="Segoe UI"/>
                <w:szCs w:val="18"/>
              </w:rPr>
              <w:t>DHB</w:t>
            </w:r>
          </w:p>
        </w:tc>
        <w:tc>
          <w:tcPr>
            <w:tcW w:w="993" w:type="dxa"/>
          </w:tcPr>
          <w:p w14:paraId="109D0E81"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317B9B1D" w14:textId="77777777" w:rsidTr="00867D56">
        <w:tc>
          <w:tcPr>
            <w:tcW w:w="2263" w:type="dxa"/>
            <w:shd w:val="clear" w:color="auto" w:fill="auto"/>
          </w:tcPr>
          <w:p w14:paraId="29982A00" w14:textId="77777777" w:rsidR="00F71B75" w:rsidRPr="00F056BB" w:rsidRDefault="00F71B75" w:rsidP="00F056BB">
            <w:pPr>
              <w:pStyle w:val="TableText"/>
              <w:rPr>
                <w:rFonts w:cs="Segoe UI"/>
                <w:szCs w:val="18"/>
              </w:rPr>
            </w:pPr>
            <w:r w:rsidRPr="00F056BB">
              <w:rPr>
                <w:rFonts w:cs="Segoe UI"/>
                <w:szCs w:val="18"/>
              </w:rPr>
              <w:t>Percentage of contact assessments</w:t>
            </w:r>
          </w:p>
        </w:tc>
        <w:tc>
          <w:tcPr>
            <w:tcW w:w="3691" w:type="dxa"/>
          </w:tcPr>
          <w:p w14:paraId="4D900EA7" w14:textId="77777777" w:rsidR="00F71B75" w:rsidRPr="00F056BB" w:rsidRDefault="00F71B75" w:rsidP="00F056BB">
            <w:pPr>
              <w:pStyle w:val="TableText"/>
              <w:rPr>
                <w:rFonts w:cs="Segoe UI"/>
                <w:szCs w:val="18"/>
              </w:rPr>
            </w:pPr>
            <w:r w:rsidRPr="00F056BB">
              <w:rPr>
                <w:rFonts w:cs="Segoe UI"/>
                <w:szCs w:val="18"/>
              </w:rPr>
              <w:t>The percentage of assessments for people living at home that were contact assessments</w:t>
            </w:r>
          </w:p>
        </w:tc>
        <w:tc>
          <w:tcPr>
            <w:tcW w:w="1417" w:type="dxa"/>
          </w:tcPr>
          <w:p w14:paraId="2A8EEF8A" w14:textId="77777777" w:rsidR="00F71B75" w:rsidRPr="00F056BB" w:rsidRDefault="00F71B75" w:rsidP="00F056BB">
            <w:pPr>
              <w:pStyle w:val="TableText"/>
              <w:rPr>
                <w:rFonts w:cs="Segoe UI"/>
                <w:szCs w:val="18"/>
              </w:rPr>
            </w:pPr>
            <w:r w:rsidRPr="00F056BB">
              <w:rPr>
                <w:rFonts w:cs="Segoe UI"/>
                <w:szCs w:val="18"/>
              </w:rPr>
              <w:t>DHB</w:t>
            </w:r>
          </w:p>
        </w:tc>
        <w:tc>
          <w:tcPr>
            <w:tcW w:w="993" w:type="dxa"/>
          </w:tcPr>
          <w:p w14:paraId="488856ED"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20978602" w14:textId="77777777" w:rsidTr="00867D56">
        <w:tc>
          <w:tcPr>
            <w:tcW w:w="2263" w:type="dxa"/>
            <w:shd w:val="clear" w:color="auto" w:fill="auto"/>
          </w:tcPr>
          <w:p w14:paraId="6DFA7948" w14:textId="2C12488F" w:rsidR="00F71B75" w:rsidRPr="00F056BB" w:rsidRDefault="00F71B75" w:rsidP="00F056BB">
            <w:pPr>
              <w:pStyle w:val="TableText"/>
              <w:rPr>
                <w:rFonts w:cs="Segoe UI"/>
                <w:szCs w:val="18"/>
              </w:rPr>
            </w:pPr>
            <w:r w:rsidRPr="00F056BB">
              <w:rPr>
                <w:rFonts w:cs="Segoe UI"/>
                <w:szCs w:val="18"/>
              </w:rPr>
              <w:t xml:space="preserve">Assessments undertaken in hospital </w:t>
            </w:r>
          </w:p>
        </w:tc>
        <w:tc>
          <w:tcPr>
            <w:tcW w:w="3691" w:type="dxa"/>
          </w:tcPr>
          <w:p w14:paraId="3D0B9F84" w14:textId="77777777" w:rsidR="00F71B75" w:rsidRPr="00F056BB" w:rsidRDefault="00F71B75" w:rsidP="00F056BB">
            <w:pPr>
              <w:pStyle w:val="TableText"/>
              <w:rPr>
                <w:rFonts w:cs="Segoe UI"/>
                <w:szCs w:val="18"/>
              </w:rPr>
            </w:pPr>
            <w:r w:rsidRPr="00F056BB">
              <w:rPr>
                <w:rFonts w:cs="Segoe UI"/>
                <w:szCs w:val="18"/>
              </w:rPr>
              <w:t>The percentage of home care assessments undertaken in hospital</w:t>
            </w:r>
          </w:p>
        </w:tc>
        <w:tc>
          <w:tcPr>
            <w:tcW w:w="1417" w:type="dxa"/>
          </w:tcPr>
          <w:p w14:paraId="01F35536" w14:textId="77777777" w:rsidR="00F71B75" w:rsidRPr="00F056BB" w:rsidRDefault="00F71B75" w:rsidP="00F056BB">
            <w:pPr>
              <w:pStyle w:val="TableText"/>
              <w:rPr>
                <w:rFonts w:cs="Segoe UI"/>
                <w:szCs w:val="18"/>
              </w:rPr>
            </w:pPr>
            <w:r w:rsidRPr="00F056BB">
              <w:rPr>
                <w:rFonts w:cs="Segoe UI"/>
                <w:szCs w:val="18"/>
              </w:rPr>
              <w:t>DHB</w:t>
            </w:r>
          </w:p>
        </w:tc>
        <w:tc>
          <w:tcPr>
            <w:tcW w:w="993" w:type="dxa"/>
          </w:tcPr>
          <w:p w14:paraId="6F18AC51" w14:textId="77777777" w:rsidR="00F71B75" w:rsidRPr="00F056BB" w:rsidRDefault="00F71B75" w:rsidP="00F056BB">
            <w:pPr>
              <w:pStyle w:val="TableText"/>
              <w:rPr>
                <w:rFonts w:cs="Segoe UI"/>
                <w:szCs w:val="18"/>
              </w:rPr>
            </w:pPr>
            <w:r w:rsidRPr="00F056BB">
              <w:rPr>
                <w:rFonts w:cs="Segoe UI"/>
                <w:szCs w:val="18"/>
              </w:rPr>
              <w:t>interRAI</w:t>
            </w:r>
          </w:p>
        </w:tc>
      </w:tr>
      <w:tr w:rsidR="00F71B75" w:rsidRPr="00F056BB" w14:paraId="5A34B11D" w14:textId="77777777" w:rsidTr="00867D56">
        <w:tc>
          <w:tcPr>
            <w:tcW w:w="2263" w:type="dxa"/>
            <w:shd w:val="clear" w:color="auto" w:fill="auto"/>
          </w:tcPr>
          <w:p w14:paraId="6FFCB864" w14:textId="77777777" w:rsidR="00F71B75" w:rsidRPr="00F056BB" w:rsidRDefault="00F71B75" w:rsidP="00F056BB">
            <w:pPr>
              <w:pStyle w:val="TableText"/>
              <w:rPr>
                <w:rFonts w:cs="Segoe UI"/>
                <w:szCs w:val="18"/>
              </w:rPr>
            </w:pPr>
            <w:r w:rsidRPr="00F056BB">
              <w:rPr>
                <w:rFonts w:cs="Segoe UI"/>
                <w:szCs w:val="18"/>
              </w:rPr>
              <w:t>Complaints received</w:t>
            </w:r>
          </w:p>
        </w:tc>
        <w:tc>
          <w:tcPr>
            <w:tcW w:w="3691" w:type="dxa"/>
          </w:tcPr>
          <w:p w14:paraId="4D3AC0F9" w14:textId="77777777" w:rsidR="00F71B75" w:rsidRPr="00F056BB" w:rsidRDefault="00F71B75" w:rsidP="00F056BB">
            <w:pPr>
              <w:pStyle w:val="TableText"/>
              <w:rPr>
                <w:rFonts w:cs="Segoe UI"/>
                <w:szCs w:val="18"/>
              </w:rPr>
            </w:pPr>
            <w:r w:rsidRPr="00F056BB">
              <w:rPr>
                <w:rFonts w:cs="Segoe UI"/>
                <w:szCs w:val="18"/>
              </w:rPr>
              <w:t>Number of complaints about home support services received by providers or DHB as a percentage of home support older people</w:t>
            </w:r>
          </w:p>
        </w:tc>
        <w:tc>
          <w:tcPr>
            <w:tcW w:w="1417" w:type="dxa"/>
          </w:tcPr>
          <w:p w14:paraId="6209F8FB" w14:textId="77777777" w:rsidR="00F71B75" w:rsidRPr="00F056BB" w:rsidRDefault="00F71B75" w:rsidP="00F056BB">
            <w:pPr>
              <w:pStyle w:val="TableText"/>
              <w:rPr>
                <w:rFonts w:cs="Segoe UI"/>
                <w:szCs w:val="18"/>
              </w:rPr>
            </w:pPr>
            <w:r w:rsidRPr="00F056BB">
              <w:rPr>
                <w:rFonts w:cs="Segoe UI"/>
                <w:szCs w:val="18"/>
              </w:rPr>
              <w:t>DHB</w:t>
            </w:r>
          </w:p>
        </w:tc>
        <w:tc>
          <w:tcPr>
            <w:tcW w:w="993" w:type="dxa"/>
          </w:tcPr>
          <w:p w14:paraId="33A19DEF" w14:textId="77777777" w:rsidR="00F71B75" w:rsidRPr="00F056BB" w:rsidRDefault="00F71B75" w:rsidP="00F056BB">
            <w:pPr>
              <w:pStyle w:val="TableText"/>
              <w:rPr>
                <w:rFonts w:cs="Segoe UI"/>
                <w:szCs w:val="18"/>
              </w:rPr>
            </w:pPr>
            <w:r w:rsidRPr="00F056BB">
              <w:rPr>
                <w:rFonts w:cs="Segoe UI"/>
                <w:szCs w:val="18"/>
              </w:rPr>
              <w:t>DHB data</w:t>
            </w:r>
          </w:p>
        </w:tc>
      </w:tr>
      <w:tr w:rsidR="00F71B75" w:rsidRPr="00F056BB" w14:paraId="3E0E3E92" w14:textId="77777777" w:rsidTr="00867D56">
        <w:tc>
          <w:tcPr>
            <w:tcW w:w="2263" w:type="dxa"/>
            <w:shd w:val="clear" w:color="auto" w:fill="auto"/>
          </w:tcPr>
          <w:p w14:paraId="327B96D4" w14:textId="77777777" w:rsidR="00F71B75" w:rsidRPr="00F056BB" w:rsidRDefault="00F71B75" w:rsidP="00F056BB">
            <w:pPr>
              <w:pStyle w:val="TableText"/>
              <w:rPr>
                <w:rFonts w:cs="Segoe UI"/>
                <w:szCs w:val="18"/>
              </w:rPr>
            </w:pPr>
            <w:r w:rsidRPr="00F056BB">
              <w:rPr>
                <w:rFonts w:cs="Segoe UI"/>
                <w:szCs w:val="18"/>
              </w:rPr>
              <w:t>Emergency department visits</w:t>
            </w:r>
          </w:p>
        </w:tc>
        <w:tc>
          <w:tcPr>
            <w:tcW w:w="3691" w:type="dxa"/>
          </w:tcPr>
          <w:p w14:paraId="4A560F11" w14:textId="78AA996B" w:rsidR="00F71B75" w:rsidRPr="00F056BB" w:rsidRDefault="00F71B75" w:rsidP="00F056BB">
            <w:pPr>
              <w:pStyle w:val="TableText"/>
              <w:rPr>
                <w:rFonts w:cs="Segoe UI"/>
                <w:szCs w:val="18"/>
              </w:rPr>
            </w:pPr>
            <w:r w:rsidRPr="00F056BB">
              <w:rPr>
                <w:rFonts w:cs="Segoe UI"/>
                <w:szCs w:val="18"/>
              </w:rPr>
              <w:t xml:space="preserve">Emergency department visits as a percentage of </w:t>
            </w:r>
            <w:r w:rsidR="00CC4222">
              <w:rPr>
                <w:rFonts w:cs="Segoe UI"/>
                <w:szCs w:val="18"/>
              </w:rPr>
              <w:t xml:space="preserve">the number of older people receiving </w:t>
            </w:r>
            <w:r w:rsidRPr="00F056BB">
              <w:rPr>
                <w:rFonts w:cs="Segoe UI"/>
                <w:szCs w:val="18"/>
              </w:rPr>
              <w:t xml:space="preserve">home support </w:t>
            </w:r>
          </w:p>
        </w:tc>
        <w:tc>
          <w:tcPr>
            <w:tcW w:w="1417" w:type="dxa"/>
          </w:tcPr>
          <w:p w14:paraId="628CE706" w14:textId="77777777" w:rsidR="00F71B75" w:rsidRPr="00F056BB" w:rsidRDefault="00F71B75" w:rsidP="00F056BB">
            <w:pPr>
              <w:pStyle w:val="TableText"/>
              <w:rPr>
                <w:rFonts w:cs="Segoe UI"/>
                <w:szCs w:val="18"/>
              </w:rPr>
            </w:pPr>
            <w:r w:rsidRPr="00F056BB">
              <w:rPr>
                <w:rFonts w:cs="Segoe UI"/>
                <w:szCs w:val="18"/>
              </w:rPr>
              <w:t>DHB</w:t>
            </w:r>
          </w:p>
        </w:tc>
        <w:tc>
          <w:tcPr>
            <w:tcW w:w="993" w:type="dxa"/>
          </w:tcPr>
          <w:p w14:paraId="5287C7F1" w14:textId="77777777" w:rsidR="00F71B75" w:rsidRPr="00F056BB" w:rsidRDefault="00F71B75" w:rsidP="00F056BB">
            <w:pPr>
              <w:pStyle w:val="TableText"/>
              <w:rPr>
                <w:rFonts w:cs="Segoe UI"/>
                <w:szCs w:val="18"/>
              </w:rPr>
            </w:pPr>
            <w:r w:rsidRPr="00F056BB">
              <w:rPr>
                <w:rFonts w:cs="Segoe UI"/>
                <w:szCs w:val="18"/>
              </w:rPr>
              <w:t>DHB</w:t>
            </w:r>
          </w:p>
        </w:tc>
      </w:tr>
      <w:tr w:rsidR="00F71B75" w:rsidRPr="00F056BB" w14:paraId="60E9875A" w14:textId="77777777" w:rsidTr="00867D56">
        <w:tc>
          <w:tcPr>
            <w:tcW w:w="2263" w:type="dxa"/>
            <w:shd w:val="clear" w:color="auto" w:fill="auto"/>
          </w:tcPr>
          <w:p w14:paraId="43832E98" w14:textId="77777777" w:rsidR="00F71B75" w:rsidRPr="00F056BB" w:rsidRDefault="00F71B75" w:rsidP="00F056BB">
            <w:pPr>
              <w:pStyle w:val="TableText"/>
              <w:rPr>
                <w:rFonts w:cs="Segoe UI"/>
                <w:szCs w:val="18"/>
              </w:rPr>
            </w:pPr>
            <w:r w:rsidRPr="00F056BB">
              <w:rPr>
                <w:rFonts w:cs="Segoe UI"/>
                <w:szCs w:val="18"/>
              </w:rPr>
              <w:t>Qualifications of workers</w:t>
            </w:r>
          </w:p>
        </w:tc>
        <w:tc>
          <w:tcPr>
            <w:tcW w:w="3691" w:type="dxa"/>
          </w:tcPr>
          <w:p w14:paraId="1A9F68F8" w14:textId="77777777" w:rsidR="00F71B75" w:rsidRPr="00F056BB" w:rsidRDefault="00F71B75" w:rsidP="00F056BB">
            <w:pPr>
              <w:pStyle w:val="TableText"/>
              <w:rPr>
                <w:rFonts w:cs="Segoe UI"/>
                <w:szCs w:val="18"/>
              </w:rPr>
            </w:pPr>
            <w:r w:rsidRPr="00F056BB">
              <w:rPr>
                <w:rFonts w:cs="Segoe UI"/>
                <w:szCs w:val="18"/>
              </w:rPr>
              <w:t>To be confirmed</w:t>
            </w:r>
          </w:p>
        </w:tc>
        <w:tc>
          <w:tcPr>
            <w:tcW w:w="1417" w:type="dxa"/>
          </w:tcPr>
          <w:p w14:paraId="708AAD36" w14:textId="77777777" w:rsidR="00F71B75" w:rsidRPr="00F056BB" w:rsidRDefault="00F71B75" w:rsidP="00F056BB">
            <w:pPr>
              <w:pStyle w:val="TableText"/>
              <w:rPr>
                <w:rFonts w:cs="Segoe UI"/>
                <w:szCs w:val="18"/>
              </w:rPr>
            </w:pPr>
            <w:r w:rsidRPr="00F056BB">
              <w:rPr>
                <w:rFonts w:cs="Segoe UI"/>
                <w:szCs w:val="18"/>
              </w:rPr>
              <w:t>DHB</w:t>
            </w:r>
          </w:p>
        </w:tc>
        <w:tc>
          <w:tcPr>
            <w:tcW w:w="993" w:type="dxa"/>
          </w:tcPr>
          <w:p w14:paraId="1323D686" w14:textId="77777777" w:rsidR="00F71B75" w:rsidRPr="00F056BB" w:rsidRDefault="00F71B75" w:rsidP="00F056BB">
            <w:pPr>
              <w:pStyle w:val="TableText"/>
              <w:rPr>
                <w:rFonts w:cs="Segoe UI"/>
                <w:szCs w:val="18"/>
              </w:rPr>
            </w:pPr>
            <w:r w:rsidRPr="00F056BB">
              <w:rPr>
                <w:rFonts w:cs="Segoe UI"/>
                <w:szCs w:val="18"/>
              </w:rPr>
              <w:t>Provider</w:t>
            </w:r>
          </w:p>
        </w:tc>
      </w:tr>
      <w:tr w:rsidR="00F71B75" w:rsidRPr="00F056BB" w14:paraId="5FED206E" w14:textId="77777777" w:rsidTr="00867D56">
        <w:tc>
          <w:tcPr>
            <w:tcW w:w="2263" w:type="dxa"/>
            <w:shd w:val="clear" w:color="auto" w:fill="auto"/>
          </w:tcPr>
          <w:p w14:paraId="79FA7C21" w14:textId="77777777" w:rsidR="00F71B75" w:rsidRPr="00F056BB" w:rsidRDefault="00F71B75" w:rsidP="00F056BB">
            <w:pPr>
              <w:pStyle w:val="TableText"/>
              <w:rPr>
                <w:rFonts w:cs="Segoe UI"/>
                <w:szCs w:val="18"/>
              </w:rPr>
            </w:pPr>
            <w:r w:rsidRPr="00F056BB">
              <w:rPr>
                <w:rFonts w:cs="Segoe UI"/>
                <w:szCs w:val="18"/>
              </w:rPr>
              <w:t>Missed or late visits</w:t>
            </w:r>
          </w:p>
        </w:tc>
        <w:tc>
          <w:tcPr>
            <w:tcW w:w="3691" w:type="dxa"/>
          </w:tcPr>
          <w:p w14:paraId="19790889" w14:textId="77777777" w:rsidR="00F71B75" w:rsidRPr="00F056BB" w:rsidRDefault="00F71B75" w:rsidP="00F056BB">
            <w:pPr>
              <w:pStyle w:val="TableText"/>
              <w:rPr>
                <w:rFonts w:cs="Segoe UI"/>
                <w:szCs w:val="18"/>
              </w:rPr>
            </w:pPr>
            <w:r w:rsidRPr="00F056BB">
              <w:rPr>
                <w:rFonts w:cs="Segoe UI"/>
                <w:szCs w:val="18"/>
              </w:rPr>
              <w:t>To be confirmed</w:t>
            </w:r>
          </w:p>
        </w:tc>
        <w:tc>
          <w:tcPr>
            <w:tcW w:w="1417" w:type="dxa"/>
          </w:tcPr>
          <w:p w14:paraId="53491DB3" w14:textId="77777777" w:rsidR="00F71B75" w:rsidRPr="00F056BB" w:rsidRDefault="00F71B75" w:rsidP="00F056BB">
            <w:pPr>
              <w:pStyle w:val="TableText"/>
              <w:rPr>
                <w:rFonts w:cs="Segoe UI"/>
                <w:szCs w:val="18"/>
              </w:rPr>
            </w:pPr>
            <w:r w:rsidRPr="00F056BB">
              <w:rPr>
                <w:rFonts w:cs="Segoe UI"/>
                <w:szCs w:val="18"/>
              </w:rPr>
              <w:t>DHB</w:t>
            </w:r>
          </w:p>
        </w:tc>
        <w:tc>
          <w:tcPr>
            <w:tcW w:w="993" w:type="dxa"/>
          </w:tcPr>
          <w:p w14:paraId="37054321" w14:textId="77777777" w:rsidR="00F71B75" w:rsidRPr="00F056BB" w:rsidRDefault="00F71B75" w:rsidP="00F056BB">
            <w:pPr>
              <w:pStyle w:val="TableText"/>
              <w:rPr>
                <w:rFonts w:cs="Segoe UI"/>
                <w:szCs w:val="18"/>
              </w:rPr>
            </w:pPr>
            <w:r w:rsidRPr="00F056BB">
              <w:rPr>
                <w:rFonts w:cs="Segoe UI"/>
                <w:szCs w:val="18"/>
              </w:rPr>
              <w:t>Provider</w:t>
            </w:r>
          </w:p>
        </w:tc>
      </w:tr>
      <w:tr w:rsidR="00F71B75" w:rsidRPr="00F056BB" w14:paraId="44C88644" w14:textId="77777777" w:rsidTr="00867D56">
        <w:tc>
          <w:tcPr>
            <w:tcW w:w="2263" w:type="dxa"/>
            <w:shd w:val="clear" w:color="auto" w:fill="auto"/>
          </w:tcPr>
          <w:p w14:paraId="2701F4D4" w14:textId="77777777" w:rsidR="00F71B75" w:rsidRPr="00F056BB" w:rsidRDefault="00F71B75" w:rsidP="00F056BB">
            <w:pPr>
              <w:pStyle w:val="TableText"/>
              <w:rPr>
                <w:rFonts w:cs="Segoe UI"/>
                <w:szCs w:val="18"/>
              </w:rPr>
            </w:pPr>
            <w:r w:rsidRPr="00F056BB">
              <w:rPr>
                <w:rFonts w:cs="Segoe UI"/>
                <w:szCs w:val="18"/>
              </w:rPr>
              <w:t>High-cost home support</w:t>
            </w:r>
          </w:p>
        </w:tc>
        <w:tc>
          <w:tcPr>
            <w:tcW w:w="3691" w:type="dxa"/>
          </w:tcPr>
          <w:p w14:paraId="111A2CD4" w14:textId="77777777" w:rsidR="00F71B75" w:rsidRPr="00F056BB" w:rsidRDefault="00F71B75" w:rsidP="00F056BB">
            <w:pPr>
              <w:pStyle w:val="TableText"/>
              <w:rPr>
                <w:rFonts w:cs="Segoe UI"/>
                <w:szCs w:val="18"/>
              </w:rPr>
            </w:pPr>
            <w:r w:rsidRPr="00F056BB">
              <w:rPr>
                <w:rFonts w:cs="Segoe UI"/>
                <w:szCs w:val="18"/>
              </w:rPr>
              <w:t xml:space="preserve">The percentage of long-term home support for older people that costs the DHB more than the average DHB cost of the relevant aged residential care category </w:t>
            </w:r>
          </w:p>
        </w:tc>
        <w:tc>
          <w:tcPr>
            <w:tcW w:w="1417" w:type="dxa"/>
          </w:tcPr>
          <w:p w14:paraId="34368341" w14:textId="77777777" w:rsidR="00F71B75" w:rsidRPr="00F056BB" w:rsidRDefault="00F71B75" w:rsidP="00F056BB">
            <w:pPr>
              <w:pStyle w:val="TableText"/>
              <w:rPr>
                <w:rFonts w:cs="Segoe UI"/>
                <w:szCs w:val="18"/>
              </w:rPr>
            </w:pPr>
            <w:r w:rsidRPr="00F056BB">
              <w:rPr>
                <w:rFonts w:cs="Segoe UI"/>
                <w:szCs w:val="18"/>
              </w:rPr>
              <w:t>DHB</w:t>
            </w:r>
          </w:p>
        </w:tc>
        <w:tc>
          <w:tcPr>
            <w:tcW w:w="993" w:type="dxa"/>
          </w:tcPr>
          <w:p w14:paraId="2A561DF8" w14:textId="77777777" w:rsidR="00F71B75" w:rsidRPr="00F056BB" w:rsidRDefault="00F71B75" w:rsidP="00F056BB">
            <w:pPr>
              <w:pStyle w:val="TableText"/>
              <w:rPr>
                <w:rFonts w:cs="Segoe UI"/>
                <w:szCs w:val="18"/>
              </w:rPr>
            </w:pPr>
            <w:r w:rsidRPr="00F056BB">
              <w:rPr>
                <w:rFonts w:cs="Segoe UI"/>
                <w:szCs w:val="18"/>
              </w:rPr>
              <w:t>Provider</w:t>
            </w:r>
          </w:p>
        </w:tc>
      </w:tr>
      <w:tr w:rsidR="00F71B75" w:rsidRPr="00F056BB" w14:paraId="37DF2DD7" w14:textId="77777777" w:rsidTr="00867D56">
        <w:tc>
          <w:tcPr>
            <w:tcW w:w="2263" w:type="dxa"/>
            <w:shd w:val="clear" w:color="auto" w:fill="auto"/>
          </w:tcPr>
          <w:p w14:paraId="5BD3AA01" w14:textId="77777777" w:rsidR="00F71B75" w:rsidRPr="00F056BB" w:rsidRDefault="00F71B75" w:rsidP="00F056BB">
            <w:pPr>
              <w:pStyle w:val="TableText"/>
              <w:rPr>
                <w:rFonts w:cs="Segoe UI"/>
                <w:szCs w:val="18"/>
              </w:rPr>
            </w:pPr>
            <w:r w:rsidRPr="00F056BB">
              <w:rPr>
                <w:rFonts w:cs="Segoe UI"/>
                <w:szCs w:val="18"/>
              </w:rPr>
              <w:t>Complaint management</w:t>
            </w:r>
          </w:p>
        </w:tc>
        <w:tc>
          <w:tcPr>
            <w:tcW w:w="3691" w:type="dxa"/>
          </w:tcPr>
          <w:p w14:paraId="622DD741" w14:textId="77777777" w:rsidR="00F71B75" w:rsidRPr="00F056BB" w:rsidRDefault="00F71B75" w:rsidP="00F056BB">
            <w:pPr>
              <w:pStyle w:val="TableText"/>
              <w:rPr>
                <w:rFonts w:cs="Segoe UI"/>
                <w:bCs/>
                <w:szCs w:val="18"/>
                <w:lang w:eastAsia="en-NZ"/>
              </w:rPr>
            </w:pPr>
            <w:r w:rsidRPr="00F056BB">
              <w:rPr>
                <w:rFonts w:cs="Segoe UI"/>
                <w:bCs/>
                <w:szCs w:val="18"/>
                <w:lang w:eastAsia="en-NZ"/>
              </w:rPr>
              <w:t>Proactive management of complaints, including providing an update to those involved in making the complaint on its resolution</w:t>
            </w:r>
          </w:p>
          <w:p w14:paraId="13A7D23A" w14:textId="77777777" w:rsidR="00F71B75" w:rsidRPr="00F056BB" w:rsidRDefault="00F71B75" w:rsidP="00F056BB">
            <w:pPr>
              <w:pStyle w:val="TableText"/>
              <w:rPr>
                <w:rFonts w:cs="Segoe UI"/>
                <w:szCs w:val="18"/>
              </w:rPr>
            </w:pPr>
            <w:r w:rsidRPr="00F056BB">
              <w:rPr>
                <w:rFonts w:cs="Segoe UI"/>
                <w:bCs/>
                <w:szCs w:val="18"/>
                <w:lang w:eastAsia="en-NZ"/>
              </w:rPr>
              <w:t>Trends in adverse/sentinel events monitored and remedial improvement actions undertaken</w:t>
            </w:r>
          </w:p>
        </w:tc>
        <w:tc>
          <w:tcPr>
            <w:tcW w:w="1417" w:type="dxa"/>
          </w:tcPr>
          <w:p w14:paraId="2838A6FB" w14:textId="77777777" w:rsidR="00F71B75" w:rsidRPr="00F056BB" w:rsidRDefault="00F71B75" w:rsidP="00F056BB">
            <w:pPr>
              <w:pStyle w:val="TableText"/>
              <w:rPr>
                <w:rFonts w:cs="Segoe UI"/>
                <w:szCs w:val="18"/>
              </w:rPr>
            </w:pPr>
            <w:r w:rsidRPr="00F056BB">
              <w:rPr>
                <w:rFonts w:cs="Segoe UI"/>
                <w:szCs w:val="18"/>
              </w:rPr>
              <w:t>DHB</w:t>
            </w:r>
          </w:p>
        </w:tc>
        <w:tc>
          <w:tcPr>
            <w:tcW w:w="993" w:type="dxa"/>
          </w:tcPr>
          <w:p w14:paraId="206AAF98" w14:textId="77777777" w:rsidR="00F71B75" w:rsidRPr="00F056BB" w:rsidRDefault="00F71B75" w:rsidP="00F056BB">
            <w:pPr>
              <w:pStyle w:val="TableText"/>
              <w:rPr>
                <w:rFonts w:cs="Segoe UI"/>
                <w:szCs w:val="18"/>
              </w:rPr>
            </w:pPr>
            <w:r w:rsidRPr="00F056BB">
              <w:rPr>
                <w:rFonts w:cs="Segoe UI"/>
                <w:szCs w:val="18"/>
              </w:rPr>
              <w:t>Provider</w:t>
            </w:r>
          </w:p>
        </w:tc>
      </w:tr>
      <w:tr w:rsidR="00F71B75" w:rsidRPr="00F056BB" w14:paraId="0862DB1E" w14:textId="77777777" w:rsidTr="00867D56">
        <w:tc>
          <w:tcPr>
            <w:tcW w:w="2263" w:type="dxa"/>
            <w:tcBorders>
              <w:bottom w:val="single" w:sz="4" w:space="0" w:color="A6A6A6" w:themeColor="background1" w:themeShade="A6"/>
            </w:tcBorders>
            <w:shd w:val="clear" w:color="auto" w:fill="auto"/>
          </w:tcPr>
          <w:p w14:paraId="07EE5FDC" w14:textId="77777777" w:rsidR="00F71B75" w:rsidRPr="00F056BB" w:rsidRDefault="00F71B75" w:rsidP="00F056BB">
            <w:pPr>
              <w:pStyle w:val="TableText"/>
              <w:rPr>
                <w:rFonts w:cs="Segoe UI"/>
                <w:szCs w:val="18"/>
              </w:rPr>
            </w:pPr>
            <w:r w:rsidRPr="00F056BB">
              <w:rPr>
                <w:rFonts w:cs="Segoe UI"/>
                <w:szCs w:val="18"/>
              </w:rPr>
              <w:t xml:space="preserve">Assessment </w:t>
            </w:r>
          </w:p>
        </w:tc>
        <w:tc>
          <w:tcPr>
            <w:tcW w:w="3691" w:type="dxa"/>
            <w:tcBorders>
              <w:bottom w:val="single" w:sz="4" w:space="0" w:color="A6A6A6" w:themeColor="background1" w:themeShade="A6"/>
            </w:tcBorders>
          </w:tcPr>
          <w:p w14:paraId="5EE02AB9" w14:textId="77777777" w:rsidR="00F71B75" w:rsidRPr="00F056BB" w:rsidRDefault="00F71B75" w:rsidP="00F056BB">
            <w:pPr>
              <w:pStyle w:val="TableText"/>
              <w:rPr>
                <w:rFonts w:cs="Segoe UI"/>
                <w:bCs/>
                <w:szCs w:val="18"/>
              </w:rPr>
            </w:pPr>
            <w:r w:rsidRPr="00F056BB">
              <w:rPr>
                <w:rFonts w:cs="Segoe UI"/>
                <w:bCs/>
                <w:szCs w:val="18"/>
              </w:rPr>
              <w:t>Total registered nurse contact assessments</w:t>
            </w:r>
          </w:p>
          <w:p w14:paraId="58D3F710" w14:textId="77777777" w:rsidR="00F71B75" w:rsidRPr="00F056BB" w:rsidRDefault="00F71B75" w:rsidP="00F056BB">
            <w:pPr>
              <w:pStyle w:val="TableText"/>
              <w:rPr>
                <w:rFonts w:cs="Segoe UI"/>
                <w:bCs/>
                <w:szCs w:val="18"/>
              </w:rPr>
            </w:pPr>
            <w:r w:rsidRPr="00F056BB">
              <w:rPr>
                <w:rFonts w:cs="Segoe UI"/>
                <w:bCs/>
                <w:szCs w:val="18"/>
              </w:rPr>
              <w:t>Total assessments due</w:t>
            </w:r>
          </w:p>
          <w:p w14:paraId="56BA0451" w14:textId="77777777" w:rsidR="00F71B75" w:rsidRPr="00F056BB" w:rsidRDefault="00F71B75" w:rsidP="00F056BB">
            <w:pPr>
              <w:pStyle w:val="TableText"/>
              <w:rPr>
                <w:rFonts w:cs="Segoe UI"/>
                <w:bCs/>
                <w:szCs w:val="18"/>
              </w:rPr>
            </w:pPr>
            <w:r w:rsidRPr="00F056BB">
              <w:rPr>
                <w:rFonts w:cs="Segoe UI"/>
                <w:bCs/>
                <w:szCs w:val="18"/>
              </w:rPr>
              <w:t>Percentage completed of those due</w:t>
            </w:r>
          </w:p>
          <w:p w14:paraId="394479A8" w14:textId="77777777" w:rsidR="00F71B75" w:rsidRPr="00F056BB" w:rsidRDefault="00F71B75" w:rsidP="00F056BB">
            <w:pPr>
              <w:pStyle w:val="TableText"/>
              <w:rPr>
                <w:rFonts w:cs="Segoe UI"/>
                <w:bCs/>
                <w:szCs w:val="18"/>
              </w:rPr>
            </w:pPr>
            <w:r w:rsidRPr="00F056BB">
              <w:rPr>
                <w:rFonts w:cs="Segoe UI"/>
                <w:bCs/>
                <w:szCs w:val="18"/>
              </w:rPr>
              <w:t>Average wait time by risk level</w:t>
            </w:r>
          </w:p>
          <w:p w14:paraId="12FC00E5" w14:textId="77777777" w:rsidR="00F71B75" w:rsidRPr="00F056BB" w:rsidRDefault="00F71B75" w:rsidP="00F056BB">
            <w:pPr>
              <w:pStyle w:val="TableText"/>
              <w:rPr>
                <w:rFonts w:cs="Segoe UI"/>
                <w:bCs/>
                <w:szCs w:val="18"/>
              </w:rPr>
            </w:pPr>
            <w:r w:rsidRPr="00F056BB">
              <w:rPr>
                <w:rFonts w:cs="Segoe UI"/>
                <w:bCs/>
                <w:szCs w:val="18"/>
              </w:rPr>
              <w:t>Target:</w:t>
            </w:r>
          </w:p>
          <w:p w14:paraId="68BB0304" w14:textId="77777777" w:rsidR="00F71B75" w:rsidRPr="00F056BB" w:rsidRDefault="00F71B75" w:rsidP="00F056BB">
            <w:pPr>
              <w:pStyle w:val="TableText"/>
              <w:rPr>
                <w:rFonts w:cs="Segoe UI"/>
                <w:bCs/>
                <w:szCs w:val="18"/>
              </w:rPr>
            </w:pPr>
            <w:r w:rsidRPr="00F056BB">
              <w:rPr>
                <w:rFonts w:cs="Segoe UI"/>
                <w:bCs/>
                <w:szCs w:val="18"/>
              </w:rPr>
              <w:t>Low: 5 week days</w:t>
            </w:r>
          </w:p>
          <w:p w14:paraId="696FA8A3" w14:textId="77777777" w:rsidR="00F71B75" w:rsidRPr="00F056BB" w:rsidRDefault="00F71B75" w:rsidP="00F056BB">
            <w:pPr>
              <w:pStyle w:val="TableText"/>
              <w:rPr>
                <w:rFonts w:cs="Segoe UI"/>
                <w:bCs/>
                <w:szCs w:val="18"/>
              </w:rPr>
            </w:pPr>
            <w:r w:rsidRPr="00F056BB">
              <w:rPr>
                <w:rFonts w:cs="Segoe UI"/>
                <w:bCs/>
                <w:szCs w:val="18"/>
              </w:rPr>
              <w:t>Med: 2 week days</w:t>
            </w:r>
          </w:p>
          <w:p w14:paraId="7BA55C8A" w14:textId="77777777" w:rsidR="00F71B75" w:rsidRPr="00F056BB" w:rsidRDefault="00F71B75" w:rsidP="00F056BB">
            <w:pPr>
              <w:pStyle w:val="TableText"/>
              <w:rPr>
                <w:rFonts w:cs="Segoe UI"/>
                <w:bCs/>
                <w:szCs w:val="18"/>
                <w:lang w:eastAsia="en-NZ"/>
              </w:rPr>
            </w:pPr>
            <w:r w:rsidRPr="00F056BB">
              <w:rPr>
                <w:rFonts w:cs="Segoe UI"/>
                <w:bCs/>
                <w:szCs w:val="18"/>
              </w:rPr>
              <w:t>High: 1 day (Monday to Friday)</w:t>
            </w:r>
          </w:p>
        </w:tc>
        <w:tc>
          <w:tcPr>
            <w:tcW w:w="1417" w:type="dxa"/>
            <w:tcBorders>
              <w:bottom w:val="single" w:sz="4" w:space="0" w:color="A6A6A6" w:themeColor="background1" w:themeShade="A6"/>
            </w:tcBorders>
          </w:tcPr>
          <w:p w14:paraId="11DC067B" w14:textId="77777777" w:rsidR="00F71B75" w:rsidRPr="00F056BB" w:rsidRDefault="00F71B75" w:rsidP="00F056BB">
            <w:pPr>
              <w:pStyle w:val="TableText"/>
              <w:rPr>
                <w:rFonts w:cs="Segoe UI"/>
                <w:szCs w:val="18"/>
              </w:rPr>
            </w:pPr>
            <w:r w:rsidRPr="00F056BB">
              <w:rPr>
                <w:rFonts w:cs="Segoe UI"/>
                <w:szCs w:val="18"/>
              </w:rPr>
              <w:t>DHB</w:t>
            </w:r>
          </w:p>
        </w:tc>
        <w:tc>
          <w:tcPr>
            <w:tcW w:w="993" w:type="dxa"/>
            <w:tcBorders>
              <w:bottom w:val="single" w:sz="4" w:space="0" w:color="A6A6A6" w:themeColor="background1" w:themeShade="A6"/>
            </w:tcBorders>
          </w:tcPr>
          <w:p w14:paraId="40F16956" w14:textId="77777777" w:rsidR="00F71B75" w:rsidRPr="00F056BB" w:rsidRDefault="00F71B75" w:rsidP="00F056BB">
            <w:pPr>
              <w:pStyle w:val="TableText"/>
              <w:rPr>
                <w:rFonts w:cs="Segoe UI"/>
                <w:szCs w:val="18"/>
              </w:rPr>
            </w:pPr>
            <w:r w:rsidRPr="00F056BB">
              <w:rPr>
                <w:rFonts w:cs="Segoe UI"/>
                <w:szCs w:val="18"/>
              </w:rPr>
              <w:t>Provider</w:t>
            </w:r>
          </w:p>
        </w:tc>
      </w:tr>
      <w:tr w:rsidR="00F71B75" w:rsidRPr="00F056BB" w14:paraId="33EBB28F" w14:textId="77777777" w:rsidTr="00041A2E">
        <w:trPr>
          <w:cantSplit/>
        </w:trPr>
        <w:tc>
          <w:tcPr>
            <w:tcW w:w="2263" w:type="dxa"/>
            <w:tcBorders>
              <w:top w:val="single" w:sz="4" w:space="0" w:color="A6A6A6" w:themeColor="background1" w:themeShade="A6"/>
              <w:bottom w:val="single" w:sz="4" w:space="0" w:color="A6A6A6" w:themeColor="background1" w:themeShade="A6"/>
            </w:tcBorders>
            <w:shd w:val="clear" w:color="auto" w:fill="auto"/>
          </w:tcPr>
          <w:p w14:paraId="537CBD54" w14:textId="77777777" w:rsidR="00F71B75" w:rsidRPr="00F056BB" w:rsidRDefault="00F71B75" w:rsidP="00F056BB">
            <w:pPr>
              <w:pStyle w:val="TableText"/>
              <w:rPr>
                <w:rFonts w:cs="Segoe UI"/>
                <w:szCs w:val="18"/>
              </w:rPr>
            </w:pPr>
            <w:r w:rsidRPr="00F056BB">
              <w:rPr>
                <w:rFonts w:cs="Segoe UI"/>
                <w:szCs w:val="18"/>
              </w:rPr>
              <w:lastRenderedPageBreak/>
              <w:t>Review</w:t>
            </w:r>
          </w:p>
        </w:tc>
        <w:tc>
          <w:tcPr>
            <w:tcW w:w="3691" w:type="dxa"/>
            <w:tcBorders>
              <w:top w:val="single" w:sz="4" w:space="0" w:color="A6A6A6" w:themeColor="background1" w:themeShade="A6"/>
              <w:bottom w:val="single" w:sz="4" w:space="0" w:color="A6A6A6" w:themeColor="background1" w:themeShade="A6"/>
            </w:tcBorders>
          </w:tcPr>
          <w:p w14:paraId="73781887" w14:textId="77777777" w:rsidR="00F71B75" w:rsidRPr="00F056BB" w:rsidRDefault="00F71B75" w:rsidP="00F056BB">
            <w:pPr>
              <w:pStyle w:val="TableText"/>
              <w:rPr>
                <w:rFonts w:cs="Segoe UI"/>
                <w:bCs/>
                <w:szCs w:val="18"/>
              </w:rPr>
            </w:pPr>
            <w:r w:rsidRPr="00F056BB">
              <w:rPr>
                <w:rFonts w:cs="Segoe UI"/>
                <w:bCs/>
                <w:szCs w:val="18"/>
              </w:rPr>
              <w:t>Total reviews complete</w:t>
            </w:r>
          </w:p>
          <w:p w14:paraId="6151EB27" w14:textId="77777777" w:rsidR="00F71B75" w:rsidRPr="00F056BB" w:rsidRDefault="00F71B75" w:rsidP="00F056BB">
            <w:pPr>
              <w:pStyle w:val="TableText"/>
              <w:rPr>
                <w:rFonts w:cs="Segoe UI"/>
                <w:bCs/>
                <w:szCs w:val="18"/>
              </w:rPr>
            </w:pPr>
            <w:r w:rsidRPr="00F056BB">
              <w:rPr>
                <w:rFonts w:cs="Segoe UI"/>
                <w:bCs/>
                <w:szCs w:val="18"/>
              </w:rPr>
              <w:t>Total reviews due</w:t>
            </w:r>
          </w:p>
          <w:p w14:paraId="1EB7179A" w14:textId="77777777" w:rsidR="00F71B75" w:rsidRPr="00F056BB" w:rsidRDefault="00F71B75" w:rsidP="00F056BB">
            <w:pPr>
              <w:pStyle w:val="TableText"/>
              <w:rPr>
                <w:rFonts w:cs="Segoe UI"/>
                <w:bCs/>
                <w:szCs w:val="18"/>
              </w:rPr>
            </w:pPr>
            <w:r w:rsidRPr="00F056BB">
              <w:rPr>
                <w:rFonts w:cs="Segoe UI"/>
                <w:bCs/>
                <w:szCs w:val="18"/>
              </w:rPr>
              <w:t>Percentage completed of those due</w:t>
            </w:r>
          </w:p>
        </w:tc>
        <w:tc>
          <w:tcPr>
            <w:tcW w:w="1417" w:type="dxa"/>
            <w:tcBorders>
              <w:top w:val="single" w:sz="4" w:space="0" w:color="A6A6A6" w:themeColor="background1" w:themeShade="A6"/>
              <w:bottom w:val="single" w:sz="4" w:space="0" w:color="A6A6A6" w:themeColor="background1" w:themeShade="A6"/>
            </w:tcBorders>
          </w:tcPr>
          <w:p w14:paraId="71114004" w14:textId="77777777" w:rsidR="00F71B75" w:rsidRPr="00F056BB" w:rsidRDefault="00F71B75" w:rsidP="00F056BB">
            <w:pPr>
              <w:pStyle w:val="TableText"/>
              <w:rPr>
                <w:rFonts w:cs="Segoe UI"/>
                <w:bCs/>
                <w:szCs w:val="18"/>
              </w:rPr>
            </w:pPr>
            <w:r w:rsidRPr="00F056BB">
              <w:rPr>
                <w:rFonts w:cs="Segoe UI"/>
                <w:bCs/>
                <w:szCs w:val="18"/>
              </w:rPr>
              <w:t>DHB</w:t>
            </w:r>
          </w:p>
        </w:tc>
        <w:tc>
          <w:tcPr>
            <w:tcW w:w="993" w:type="dxa"/>
            <w:tcBorders>
              <w:top w:val="single" w:sz="4" w:space="0" w:color="A6A6A6" w:themeColor="background1" w:themeShade="A6"/>
              <w:bottom w:val="single" w:sz="4" w:space="0" w:color="A6A6A6" w:themeColor="background1" w:themeShade="A6"/>
            </w:tcBorders>
          </w:tcPr>
          <w:p w14:paraId="3DD1C7D3" w14:textId="77777777" w:rsidR="00F71B75" w:rsidRPr="00F056BB" w:rsidRDefault="00F71B75" w:rsidP="00F056BB">
            <w:pPr>
              <w:pStyle w:val="TableText"/>
              <w:rPr>
                <w:rFonts w:cs="Segoe UI"/>
                <w:szCs w:val="18"/>
              </w:rPr>
            </w:pPr>
            <w:r w:rsidRPr="00F056BB">
              <w:rPr>
                <w:rFonts w:cs="Segoe UI"/>
                <w:szCs w:val="18"/>
              </w:rPr>
              <w:t>Provider</w:t>
            </w:r>
          </w:p>
        </w:tc>
      </w:tr>
      <w:tr w:rsidR="00F71B75" w:rsidRPr="00F056BB" w14:paraId="5315C4C6" w14:textId="77777777" w:rsidTr="00867D56">
        <w:tc>
          <w:tcPr>
            <w:tcW w:w="2263" w:type="dxa"/>
            <w:tcBorders>
              <w:top w:val="single" w:sz="4" w:space="0" w:color="A6A6A6" w:themeColor="background1" w:themeShade="A6"/>
            </w:tcBorders>
            <w:shd w:val="clear" w:color="auto" w:fill="auto"/>
          </w:tcPr>
          <w:p w14:paraId="742DE7AC" w14:textId="77777777" w:rsidR="00F71B75" w:rsidRPr="00F056BB" w:rsidRDefault="00F71B75" w:rsidP="00F056BB">
            <w:pPr>
              <w:pStyle w:val="TableText"/>
              <w:rPr>
                <w:rFonts w:cs="Segoe UI"/>
                <w:szCs w:val="18"/>
              </w:rPr>
            </w:pPr>
            <w:r w:rsidRPr="00F056BB">
              <w:rPr>
                <w:rFonts w:cs="Segoe UI"/>
                <w:szCs w:val="18"/>
              </w:rPr>
              <w:t>Support service commencement, service responsiveness</w:t>
            </w:r>
          </w:p>
        </w:tc>
        <w:tc>
          <w:tcPr>
            <w:tcW w:w="3691" w:type="dxa"/>
            <w:tcBorders>
              <w:top w:val="single" w:sz="4" w:space="0" w:color="A6A6A6" w:themeColor="background1" w:themeShade="A6"/>
            </w:tcBorders>
          </w:tcPr>
          <w:p w14:paraId="201D9584" w14:textId="77777777" w:rsidR="00F71B75" w:rsidRPr="00F056BB" w:rsidRDefault="00F71B75" w:rsidP="00F056BB">
            <w:pPr>
              <w:pStyle w:val="TableText"/>
              <w:rPr>
                <w:rFonts w:cs="Segoe UI"/>
                <w:bCs/>
                <w:szCs w:val="18"/>
              </w:rPr>
            </w:pPr>
            <w:r w:rsidRPr="00F056BB">
              <w:rPr>
                <w:rFonts w:cs="Segoe UI"/>
                <w:bCs/>
                <w:szCs w:val="18"/>
              </w:rPr>
              <w:t>Number of new supports started</w:t>
            </w:r>
          </w:p>
          <w:p w14:paraId="29FDAF50" w14:textId="77777777" w:rsidR="00F71B75" w:rsidRPr="00F056BB" w:rsidRDefault="00F71B75" w:rsidP="00F056BB">
            <w:pPr>
              <w:pStyle w:val="TableText"/>
              <w:rPr>
                <w:rFonts w:cs="Segoe UI"/>
                <w:bCs/>
                <w:szCs w:val="18"/>
              </w:rPr>
            </w:pPr>
            <w:r w:rsidRPr="00F056BB">
              <w:rPr>
                <w:rFonts w:cs="Segoe UI"/>
                <w:bCs/>
                <w:szCs w:val="18"/>
              </w:rPr>
              <w:t>Date of referral</w:t>
            </w:r>
          </w:p>
          <w:p w14:paraId="043B590C" w14:textId="77777777" w:rsidR="00F71B75" w:rsidRPr="00F056BB" w:rsidRDefault="00F71B75" w:rsidP="00F056BB">
            <w:pPr>
              <w:pStyle w:val="TableText"/>
              <w:rPr>
                <w:rFonts w:cs="Segoe UI"/>
                <w:bCs/>
                <w:szCs w:val="18"/>
              </w:rPr>
            </w:pPr>
            <w:r w:rsidRPr="00F056BB">
              <w:rPr>
                <w:rFonts w:cs="Segoe UI"/>
                <w:bCs/>
                <w:szCs w:val="18"/>
              </w:rPr>
              <w:t>Date of first contact</w:t>
            </w:r>
          </w:p>
          <w:p w14:paraId="73D3D1AF" w14:textId="77777777" w:rsidR="00F71B75" w:rsidRPr="00F056BB" w:rsidRDefault="00F71B75" w:rsidP="00F056BB">
            <w:pPr>
              <w:pStyle w:val="TableText"/>
              <w:rPr>
                <w:rFonts w:cs="Segoe UI"/>
                <w:bCs/>
                <w:szCs w:val="18"/>
              </w:rPr>
            </w:pPr>
            <w:r w:rsidRPr="00F056BB">
              <w:rPr>
                <w:rFonts w:cs="Segoe UI"/>
                <w:bCs/>
                <w:szCs w:val="18"/>
              </w:rPr>
              <w:t>Date of service start</w:t>
            </w:r>
          </w:p>
          <w:p w14:paraId="20202CD9" w14:textId="77777777" w:rsidR="00F71B75" w:rsidRPr="00F056BB" w:rsidRDefault="00F71B75" w:rsidP="00F056BB">
            <w:pPr>
              <w:pStyle w:val="TableText"/>
              <w:rPr>
                <w:rFonts w:cs="Segoe UI"/>
                <w:bCs/>
                <w:szCs w:val="18"/>
              </w:rPr>
            </w:pPr>
            <w:r w:rsidRPr="00F056BB">
              <w:rPr>
                <w:rFonts w:cs="Segoe UI"/>
                <w:bCs/>
                <w:szCs w:val="18"/>
              </w:rPr>
              <w:t>Average wait time from referral to start by risk level</w:t>
            </w:r>
          </w:p>
          <w:p w14:paraId="0D65477E" w14:textId="77777777" w:rsidR="00F71B75" w:rsidRPr="00F056BB" w:rsidRDefault="00F71B75" w:rsidP="00F056BB">
            <w:pPr>
              <w:pStyle w:val="TableText"/>
              <w:rPr>
                <w:rFonts w:cs="Segoe UI"/>
                <w:bCs/>
                <w:szCs w:val="18"/>
              </w:rPr>
            </w:pPr>
            <w:r w:rsidRPr="00F056BB">
              <w:rPr>
                <w:rFonts w:cs="Segoe UI"/>
                <w:bCs/>
                <w:szCs w:val="18"/>
              </w:rPr>
              <w:t>Target:</w:t>
            </w:r>
          </w:p>
          <w:p w14:paraId="01746B45" w14:textId="77777777" w:rsidR="00F71B75" w:rsidRPr="00F056BB" w:rsidRDefault="00F71B75" w:rsidP="00F056BB">
            <w:pPr>
              <w:pStyle w:val="TableText"/>
              <w:rPr>
                <w:rFonts w:cs="Segoe UI"/>
                <w:bCs/>
                <w:szCs w:val="18"/>
              </w:rPr>
            </w:pPr>
            <w:r w:rsidRPr="00F056BB">
              <w:rPr>
                <w:rFonts w:cs="Segoe UI"/>
                <w:bCs/>
                <w:szCs w:val="18"/>
              </w:rPr>
              <w:t>Low: 10 week days</w:t>
            </w:r>
          </w:p>
          <w:p w14:paraId="6A43D5E9" w14:textId="77777777" w:rsidR="00F71B75" w:rsidRPr="00F056BB" w:rsidRDefault="00F71B75" w:rsidP="00F056BB">
            <w:pPr>
              <w:pStyle w:val="TableText"/>
              <w:rPr>
                <w:rFonts w:cs="Segoe UI"/>
                <w:bCs/>
                <w:szCs w:val="18"/>
              </w:rPr>
            </w:pPr>
            <w:r w:rsidRPr="00F056BB">
              <w:rPr>
                <w:rFonts w:cs="Segoe UI"/>
                <w:bCs/>
                <w:szCs w:val="18"/>
              </w:rPr>
              <w:t>Med: 7 week days</w:t>
            </w:r>
          </w:p>
          <w:p w14:paraId="47722D0D" w14:textId="77777777" w:rsidR="00F71B75" w:rsidRPr="00F056BB" w:rsidRDefault="00F71B75" w:rsidP="00F056BB">
            <w:pPr>
              <w:pStyle w:val="TableText"/>
              <w:rPr>
                <w:rFonts w:cs="Segoe UI"/>
                <w:bCs/>
                <w:szCs w:val="18"/>
              </w:rPr>
            </w:pPr>
            <w:r w:rsidRPr="00F056BB">
              <w:rPr>
                <w:rFonts w:cs="Segoe UI"/>
                <w:bCs/>
                <w:szCs w:val="18"/>
              </w:rPr>
              <w:t>High: 1 day (Monday to Friday)</w:t>
            </w:r>
          </w:p>
        </w:tc>
        <w:tc>
          <w:tcPr>
            <w:tcW w:w="1417" w:type="dxa"/>
            <w:tcBorders>
              <w:top w:val="single" w:sz="4" w:space="0" w:color="A6A6A6" w:themeColor="background1" w:themeShade="A6"/>
            </w:tcBorders>
          </w:tcPr>
          <w:p w14:paraId="02373620" w14:textId="77777777" w:rsidR="00F71B75" w:rsidRPr="00F056BB" w:rsidRDefault="00F71B75" w:rsidP="00F056BB">
            <w:pPr>
              <w:pStyle w:val="TableText"/>
              <w:rPr>
                <w:rFonts w:cs="Segoe UI"/>
                <w:bCs/>
                <w:szCs w:val="18"/>
              </w:rPr>
            </w:pPr>
            <w:r w:rsidRPr="00F056BB">
              <w:rPr>
                <w:rFonts w:cs="Segoe UI"/>
                <w:bCs/>
                <w:szCs w:val="18"/>
              </w:rPr>
              <w:t>DHB</w:t>
            </w:r>
          </w:p>
        </w:tc>
        <w:tc>
          <w:tcPr>
            <w:tcW w:w="993" w:type="dxa"/>
            <w:tcBorders>
              <w:top w:val="single" w:sz="4" w:space="0" w:color="A6A6A6" w:themeColor="background1" w:themeShade="A6"/>
            </w:tcBorders>
          </w:tcPr>
          <w:p w14:paraId="1B241A68" w14:textId="77777777" w:rsidR="00F71B75" w:rsidRPr="00F056BB" w:rsidRDefault="00F71B75" w:rsidP="00F056BB">
            <w:pPr>
              <w:pStyle w:val="TableText"/>
              <w:rPr>
                <w:rFonts w:cs="Segoe UI"/>
                <w:szCs w:val="18"/>
              </w:rPr>
            </w:pPr>
            <w:r w:rsidRPr="00F056BB">
              <w:rPr>
                <w:rFonts w:cs="Segoe UI"/>
                <w:szCs w:val="18"/>
              </w:rPr>
              <w:t>Provider</w:t>
            </w:r>
          </w:p>
        </w:tc>
      </w:tr>
    </w:tbl>
    <w:p w14:paraId="052ACB3B" w14:textId="77777777" w:rsidR="004B7CC5" w:rsidRPr="00930E2E" w:rsidRDefault="00F71B75" w:rsidP="00F056BB">
      <w:r w:rsidRPr="00F02628">
        <w:t>Note: CCPS = Clients Claims Processing System; SLM = System Level Measures</w:t>
      </w:r>
    </w:p>
    <w:sectPr w:rsidR="004B7CC5" w:rsidRPr="00930E2E" w:rsidSect="0098023F">
      <w:headerReference w:type="default" r:id="rId23"/>
      <w:footerReference w:type="default" r:id="rId24"/>
      <w:pgSz w:w="11906" w:h="16838"/>
      <w:pgMar w:top="1418" w:right="1701" w:bottom="1134" w:left="1843" w:header="709"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A63B" w14:textId="77777777" w:rsidR="009C1B00" w:rsidRDefault="009C1B00">
      <w:r>
        <w:separator/>
      </w:r>
    </w:p>
    <w:p w14:paraId="5950F2AF" w14:textId="77777777" w:rsidR="009C1B00" w:rsidRDefault="009C1B00"/>
  </w:endnote>
  <w:endnote w:type="continuationSeparator" w:id="0">
    <w:p w14:paraId="37E82B34" w14:textId="77777777" w:rsidR="009C1B00" w:rsidRDefault="009C1B00">
      <w:r>
        <w:continuationSeparator/>
      </w:r>
    </w:p>
    <w:p w14:paraId="60CE45E7" w14:textId="77777777" w:rsidR="009C1B00" w:rsidRDefault="009C1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heSans-OT3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69E1" w14:textId="6B4E809D" w:rsidR="00B5349B" w:rsidRPr="00581136" w:rsidRDefault="00B5349B" w:rsidP="005A79E5">
    <w:pPr>
      <w:pStyle w:val="Footer"/>
      <w:pBdr>
        <w:bottom w:val="single" w:sz="4" w:space="1" w:color="auto"/>
      </w:pBdr>
      <w:tabs>
        <w:tab w:val="right" w:pos="9639"/>
      </w:tabs>
      <w:rPr>
        <w:b/>
      </w:rPr>
    </w:pPr>
    <w:r w:rsidRPr="003A4FB1">
      <w:rPr>
        <w:b/>
      </w:rPr>
      <w:t xml:space="preserve">Released </w:t>
    </w:r>
    <w:r>
      <w:rPr>
        <w:b/>
      </w:rPr>
      <w:t>2020</w:t>
    </w:r>
    <w:r w:rsidRPr="00581136">
      <w:rPr>
        <w:b/>
      </w:rPr>
      <w:tab/>
      <w:t>health.govt.nz</w:t>
    </w:r>
  </w:p>
  <w:p w14:paraId="6529A1BF" w14:textId="77777777" w:rsidR="00B5349B" w:rsidRPr="005A79E5" w:rsidRDefault="00B5349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2D78" w14:textId="77777777" w:rsidR="00B5349B" w:rsidRDefault="00B5349B"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0918" w14:textId="77777777" w:rsidR="00B5349B" w:rsidRDefault="00B53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B5349B" w14:paraId="0B548225" w14:textId="77777777" w:rsidTr="00875F9E">
      <w:trPr>
        <w:cantSplit/>
      </w:trPr>
      <w:tc>
        <w:tcPr>
          <w:tcW w:w="709" w:type="dxa"/>
          <w:vAlign w:val="center"/>
        </w:tcPr>
        <w:p w14:paraId="3D279A72" w14:textId="77777777" w:rsidR="00B5349B" w:rsidRPr="00931466" w:rsidRDefault="00B5349B"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335CD497" w14:textId="77777777" w:rsidR="00B5349B" w:rsidRDefault="00B5349B" w:rsidP="0098023F">
          <w:pPr>
            <w:pStyle w:val="RectoFooter"/>
            <w:jc w:val="left"/>
          </w:pPr>
          <w:r>
            <w:t>National Framework for Home and Community Support Services (HCSS)</w:t>
          </w:r>
        </w:p>
      </w:tc>
    </w:tr>
  </w:tbl>
  <w:p w14:paraId="44117E63" w14:textId="77777777" w:rsidR="00B5349B" w:rsidRPr="00875F9E" w:rsidRDefault="00B5349B" w:rsidP="00F71B75">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5349B" w14:paraId="3901BD4F" w14:textId="77777777" w:rsidTr="00875F9E">
      <w:trPr>
        <w:cantSplit/>
      </w:trPr>
      <w:tc>
        <w:tcPr>
          <w:tcW w:w="8080" w:type="dxa"/>
          <w:vAlign w:val="center"/>
        </w:tcPr>
        <w:p w14:paraId="6E3B2E67" w14:textId="77777777" w:rsidR="00B5349B" w:rsidRDefault="00B5349B" w:rsidP="00F71B75">
          <w:pPr>
            <w:pStyle w:val="RectoFooter"/>
          </w:pPr>
          <w:r>
            <w:t>National Framework for Home and Community Support Services (HCSS)</w:t>
          </w:r>
        </w:p>
      </w:tc>
      <w:tc>
        <w:tcPr>
          <w:tcW w:w="709" w:type="dxa"/>
          <w:vAlign w:val="center"/>
        </w:tcPr>
        <w:p w14:paraId="6F700F24" w14:textId="77777777" w:rsidR="00B5349B" w:rsidRPr="00931466" w:rsidRDefault="00B5349B"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12C84277" w14:textId="77777777" w:rsidR="00B5349B" w:rsidRPr="00581EB8" w:rsidRDefault="00B5349B"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5349B" w14:paraId="31DEB74D" w14:textId="77777777" w:rsidTr="00F71B75">
      <w:trPr>
        <w:cantSplit/>
      </w:trPr>
      <w:tc>
        <w:tcPr>
          <w:tcW w:w="8080" w:type="dxa"/>
          <w:vAlign w:val="center"/>
        </w:tcPr>
        <w:p w14:paraId="7EA8D0B5" w14:textId="6EC12611" w:rsidR="00B5349B" w:rsidRDefault="00B5349B" w:rsidP="00260402">
          <w:pPr>
            <w:pStyle w:val="RectoFooter"/>
          </w:pPr>
          <w:r>
            <w:t>National Framework for Home and Community Support Services (HCSS)</w:t>
          </w:r>
        </w:p>
      </w:tc>
      <w:tc>
        <w:tcPr>
          <w:tcW w:w="709" w:type="dxa"/>
          <w:vAlign w:val="center"/>
        </w:tcPr>
        <w:p w14:paraId="2D5BB295" w14:textId="77777777" w:rsidR="00B5349B" w:rsidRPr="00931466" w:rsidRDefault="00B5349B" w:rsidP="00F71B75">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482ACF27" w14:textId="77777777" w:rsidR="00B5349B" w:rsidRPr="00F71B75" w:rsidRDefault="00B5349B" w:rsidP="00F71B7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0096C" w14:textId="77777777" w:rsidR="009C1B00" w:rsidRPr="00A26E6B" w:rsidRDefault="009C1B00" w:rsidP="00A26E6B"/>
  </w:footnote>
  <w:footnote w:type="continuationSeparator" w:id="0">
    <w:p w14:paraId="12D6389E" w14:textId="77777777" w:rsidR="009C1B00" w:rsidRDefault="009C1B00">
      <w:r>
        <w:continuationSeparator/>
      </w:r>
    </w:p>
    <w:p w14:paraId="3F46B102" w14:textId="77777777" w:rsidR="009C1B00" w:rsidRDefault="009C1B00"/>
  </w:footnote>
  <w:footnote w:id="1">
    <w:p w14:paraId="61FD31A2" w14:textId="77777777" w:rsidR="00B5349B" w:rsidRPr="00B87F13" w:rsidRDefault="00B5349B" w:rsidP="0098023F">
      <w:pPr>
        <w:pStyle w:val="FootnoteText"/>
        <w:ind w:left="126" w:hanging="126"/>
      </w:pPr>
      <w:r>
        <w:rPr>
          <w:rStyle w:val="FootnoteReference"/>
          <w:rFonts w:eastAsia="MS Gothic"/>
        </w:rPr>
        <w:footnoteRef/>
      </w:r>
      <w:r>
        <w:t xml:space="preserve"> </w:t>
      </w:r>
      <w:r w:rsidRPr="00D634AA">
        <w:rPr>
          <w:lang w:eastAsia="en-NZ"/>
        </w:rPr>
        <w:t xml:space="preserve">Associate Minister of Health. 2016. </w:t>
      </w:r>
      <w:r w:rsidRPr="00B87F13">
        <w:rPr>
          <w:i/>
          <w:lang w:eastAsia="en-NZ"/>
        </w:rPr>
        <w:t>Healthy Ageing Strategy</w:t>
      </w:r>
      <w:r w:rsidRPr="00D634AA">
        <w:rPr>
          <w:lang w:eastAsia="en-NZ"/>
        </w:rPr>
        <w:t>. Wellington: Ministry of Health.</w:t>
      </w:r>
    </w:p>
  </w:footnote>
  <w:footnote w:id="2">
    <w:p w14:paraId="4965F110" w14:textId="77777777" w:rsidR="00B5349B" w:rsidRPr="002C6709" w:rsidRDefault="00B5349B" w:rsidP="0098023F">
      <w:pPr>
        <w:pStyle w:val="FootnoteText"/>
        <w:ind w:left="126" w:hanging="126"/>
      </w:pPr>
      <w:r>
        <w:rPr>
          <w:rStyle w:val="FootnoteReference"/>
          <w:rFonts w:eastAsia="MS Gothic"/>
        </w:rPr>
        <w:footnoteRef/>
      </w:r>
      <w:r>
        <w:t xml:space="preserve"> DGRG. 2015. </w:t>
      </w:r>
      <w:r w:rsidRPr="00B87F13">
        <w:rPr>
          <w:i/>
        </w:rPr>
        <w:t>Towards Better Home and Community Support Services for all New Zealanders</w:t>
      </w:r>
      <w:r>
        <w:rPr>
          <w:i/>
        </w:rPr>
        <w:t xml:space="preserve">: </w:t>
      </w:r>
      <w:r w:rsidRPr="00B87F13">
        <w:rPr>
          <w:i/>
        </w:rPr>
        <w:t>Advice to the Director-General of Health from the Director-General’s Reference Group for In-Between Travel</w:t>
      </w:r>
      <w:r>
        <w:t>. Wellington: Director-General’s Reference Group for In-Between Travel.</w:t>
      </w:r>
    </w:p>
  </w:footnote>
  <w:footnote w:id="3">
    <w:p w14:paraId="66DDD69D" w14:textId="77777777" w:rsidR="00B5349B" w:rsidRPr="00CD4E5D" w:rsidRDefault="00B5349B" w:rsidP="00F71B75">
      <w:pPr>
        <w:pStyle w:val="FootnoteText"/>
        <w:rPr>
          <w:lang w:eastAsia="en-NZ"/>
        </w:rPr>
      </w:pPr>
      <w:r>
        <w:rPr>
          <w:rStyle w:val="FootnoteReference"/>
          <w:rFonts w:eastAsia="MS Gothic"/>
        </w:rPr>
        <w:footnoteRef/>
      </w:r>
      <w:r>
        <w:t xml:space="preserve"> </w:t>
      </w:r>
      <w:r w:rsidRPr="00526055">
        <w:rPr>
          <w:lang w:eastAsia="en-NZ"/>
        </w:rPr>
        <w:t>Controller and Auditor-General. 2011. Home-based Support Services for Older People: Performance audit report. Wellington: Office of the Auditor-General.</w:t>
      </w:r>
    </w:p>
  </w:footnote>
  <w:footnote w:id="4">
    <w:p w14:paraId="677F4323" w14:textId="77777777" w:rsidR="00B5349B" w:rsidRPr="00C76D66" w:rsidRDefault="00B5349B" w:rsidP="009F380F">
      <w:pPr>
        <w:pStyle w:val="FootnoteText"/>
        <w:ind w:left="112" w:hanging="112"/>
      </w:pPr>
      <w:r>
        <w:rPr>
          <w:rStyle w:val="FootnoteReference"/>
          <w:rFonts w:eastAsia="MS Gothic"/>
        </w:rPr>
        <w:footnoteRef/>
      </w:r>
      <w:r>
        <w:t xml:space="preserve"> DGRG. 2015. </w:t>
      </w:r>
      <w:r w:rsidRPr="00B50177">
        <w:rPr>
          <w:i/>
        </w:rPr>
        <w:t>Towards Better Home and Community Support Services for all New Zealanders</w:t>
      </w:r>
      <w:r>
        <w:rPr>
          <w:i/>
        </w:rPr>
        <w:t xml:space="preserve">: </w:t>
      </w:r>
      <w:r w:rsidRPr="00B50177">
        <w:rPr>
          <w:i/>
        </w:rPr>
        <w:t>Advice to the Director-General of Health from the Director-General’s Reference Group for In-Between Travel</w:t>
      </w:r>
      <w:r>
        <w:t>. Wellington: Director-General’s Reference Group for In-Between Travel, p</w:t>
      </w:r>
      <w:r w:rsidRPr="007A3B55">
        <w:rPr>
          <w:rFonts w:cstheme="minorHAnsi"/>
          <w:sz w:val="18"/>
          <w:szCs w:val="18"/>
        </w:rPr>
        <w:t xml:space="preserve"> </w:t>
      </w:r>
      <w:r>
        <w:rPr>
          <w:rFonts w:cstheme="minorHAnsi"/>
          <w:sz w:val="18"/>
          <w:szCs w:val="18"/>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B5349B" w14:paraId="7A94F964" w14:textId="77777777" w:rsidTr="005A79E5">
      <w:trPr>
        <w:cantSplit/>
      </w:trPr>
      <w:tc>
        <w:tcPr>
          <w:tcW w:w="5210" w:type="dxa"/>
        </w:tcPr>
        <w:p w14:paraId="6EF187F4" w14:textId="77777777" w:rsidR="00B5349B" w:rsidRDefault="00B5349B" w:rsidP="00802C89">
          <w:pPr>
            <w:pStyle w:val="Header"/>
          </w:pPr>
          <w:r>
            <w:rPr>
              <w:noProof/>
              <w:lang w:eastAsia="en-NZ"/>
            </w:rPr>
            <w:drawing>
              <wp:inline distT="0" distB="0" distL="0" distR="0" wp14:anchorId="71389B48" wp14:editId="23AA1278">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2F98CA2" w14:textId="77777777" w:rsidR="00B5349B" w:rsidRDefault="00B5349B" w:rsidP="00802C89">
          <w:pPr>
            <w:pStyle w:val="Header"/>
            <w:jc w:val="right"/>
          </w:pPr>
          <w:r>
            <w:rPr>
              <w:noProof/>
              <w:lang w:eastAsia="en-NZ"/>
            </w:rPr>
            <w:drawing>
              <wp:inline distT="0" distB="0" distL="0" distR="0" wp14:anchorId="4E933C11" wp14:editId="4D4A7985">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03069AA" w14:textId="77777777" w:rsidR="00B5349B" w:rsidRDefault="00B53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458A" w14:textId="77777777" w:rsidR="00B5349B" w:rsidRDefault="00B534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55E6" w14:textId="77777777" w:rsidR="00B5349B" w:rsidRDefault="00B5349B" w:rsidP="00F71B7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CD3592"/>
    <w:multiLevelType w:val="hybridMultilevel"/>
    <w:tmpl w:val="B00421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A25685C"/>
    <w:multiLevelType w:val="hybridMultilevel"/>
    <w:tmpl w:val="746CE0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27785C"/>
    <w:multiLevelType w:val="hybridMultilevel"/>
    <w:tmpl w:val="5DF87BB6"/>
    <w:lvl w:ilvl="0" w:tplc="1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16462"/>
    <w:multiLevelType w:val="hybridMultilevel"/>
    <w:tmpl w:val="BCDA94E4"/>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776CE"/>
    <w:multiLevelType w:val="hybridMultilevel"/>
    <w:tmpl w:val="203AD6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CE37359"/>
    <w:multiLevelType w:val="hybridMultilevel"/>
    <w:tmpl w:val="2BC0A9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10D2D06"/>
    <w:multiLevelType w:val="multilevel"/>
    <w:tmpl w:val="D160C6CA"/>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Text w:val="(%4)"/>
      <w:lvlJc w:val="left"/>
      <w:pPr>
        <w:ind w:left="1134" w:hanging="567"/>
      </w:pPr>
      <w:rPr>
        <w:rFonts w:hint="default"/>
        <w:color w:val="auto"/>
      </w:rPr>
    </w:lvl>
    <w:lvl w:ilvl="4">
      <w:start w:val="1"/>
      <w:numFmt w:val="lowerRoman"/>
      <w:lvlText w:val="(%5)"/>
      <w:lvlJc w:val="left"/>
      <w:pPr>
        <w:ind w:left="1701" w:hanging="567"/>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07385A"/>
    <w:multiLevelType w:val="hybridMultilevel"/>
    <w:tmpl w:val="2EFCC17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1" w15:restartNumberingAfterBreak="0">
    <w:nsid w:val="386F3130"/>
    <w:multiLevelType w:val="hybridMultilevel"/>
    <w:tmpl w:val="648E130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1133"/>
        </w:tabs>
        <w:ind w:left="1133" w:hanging="283"/>
      </w:pPr>
      <w:rPr>
        <w:rFonts w:ascii="Arial" w:hAnsi="Arial" w:hint="default"/>
        <w:b w:val="0"/>
        <w:i w:val="0"/>
        <w:sz w:val="20"/>
        <w:szCs w:val="20"/>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13" w15:restartNumberingAfterBreak="0">
    <w:nsid w:val="3D645FA4"/>
    <w:multiLevelType w:val="hybridMultilevel"/>
    <w:tmpl w:val="8E9093F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773D7"/>
    <w:multiLevelType w:val="hybridMultilevel"/>
    <w:tmpl w:val="5FE2E99E"/>
    <w:lvl w:ilvl="0" w:tplc="179614C2">
      <w:start w:val="1"/>
      <w:numFmt w:val="bullet"/>
      <w:pStyle w:val="Bulletlist"/>
      <w:lvlText w:val=""/>
      <w:lvlJc w:val="left"/>
      <w:pPr>
        <w:ind w:left="720" w:hanging="360"/>
      </w:pPr>
      <w:rPr>
        <w:rFonts w:ascii="Symbol" w:hAnsi="Symbol" w:hint="default"/>
      </w:rPr>
    </w:lvl>
    <w:lvl w:ilvl="1" w:tplc="DC5EC4D2">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B4188F"/>
    <w:multiLevelType w:val="hybridMultilevel"/>
    <w:tmpl w:val="12C0D1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72101FE"/>
    <w:multiLevelType w:val="hybridMultilevel"/>
    <w:tmpl w:val="8244DD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7542AEB"/>
    <w:multiLevelType w:val="hybridMultilevel"/>
    <w:tmpl w:val="433E3642"/>
    <w:lvl w:ilvl="0" w:tplc="36EE9250">
      <w:start w:val="15"/>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E61139C"/>
    <w:multiLevelType w:val="hybridMultilevel"/>
    <w:tmpl w:val="02663D5E"/>
    <w:lvl w:ilvl="0" w:tplc="14090001">
      <w:start w:val="1"/>
      <w:numFmt w:val="bullet"/>
      <w:lvlText w:val=""/>
      <w:lvlJc w:val="left"/>
      <w:pPr>
        <w:tabs>
          <w:tab w:val="num" w:pos="360"/>
        </w:tabs>
        <w:ind w:left="360" w:hanging="360"/>
      </w:pPr>
      <w:rPr>
        <w:rFonts w:ascii="Symbol" w:hAnsi="Symbol" w:hint="default"/>
      </w:rPr>
    </w:lvl>
    <w:lvl w:ilvl="1" w:tplc="28DE13EA" w:tentative="1">
      <w:start w:val="1"/>
      <w:numFmt w:val="bullet"/>
      <w:lvlText w:val=""/>
      <w:lvlJc w:val="left"/>
      <w:pPr>
        <w:tabs>
          <w:tab w:val="num" w:pos="1080"/>
        </w:tabs>
        <w:ind w:left="1080" w:hanging="360"/>
      </w:pPr>
      <w:rPr>
        <w:rFonts w:ascii="Wingdings" w:hAnsi="Wingdings" w:hint="default"/>
      </w:rPr>
    </w:lvl>
    <w:lvl w:ilvl="2" w:tplc="621C235E" w:tentative="1">
      <w:start w:val="1"/>
      <w:numFmt w:val="bullet"/>
      <w:lvlText w:val=""/>
      <w:lvlJc w:val="left"/>
      <w:pPr>
        <w:tabs>
          <w:tab w:val="num" w:pos="1800"/>
        </w:tabs>
        <w:ind w:left="1800" w:hanging="360"/>
      </w:pPr>
      <w:rPr>
        <w:rFonts w:ascii="Wingdings" w:hAnsi="Wingdings" w:hint="default"/>
      </w:rPr>
    </w:lvl>
    <w:lvl w:ilvl="3" w:tplc="17DA690A" w:tentative="1">
      <w:start w:val="1"/>
      <w:numFmt w:val="bullet"/>
      <w:lvlText w:val=""/>
      <w:lvlJc w:val="left"/>
      <w:pPr>
        <w:tabs>
          <w:tab w:val="num" w:pos="2520"/>
        </w:tabs>
        <w:ind w:left="2520" w:hanging="360"/>
      </w:pPr>
      <w:rPr>
        <w:rFonts w:ascii="Wingdings" w:hAnsi="Wingdings" w:hint="default"/>
      </w:rPr>
    </w:lvl>
    <w:lvl w:ilvl="4" w:tplc="03868202" w:tentative="1">
      <w:start w:val="1"/>
      <w:numFmt w:val="bullet"/>
      <w:lvlText w:val=""/>
      <w:lvlJc w:val="left"/>
      <w:pPr>
        <w:tabs>
          <w:tab w:val="num" w:pos="3240"/>
        </w:tabs>
        <w:ind w:left="3240" w:hanging="360"/>
      </w:pPr>
      <w:rPr>
        <w:rFonts w:ascii="Wingdings" w:hAnsi="Wingdings" w:hint="default"/>
      </w:rPr>
    </w:lvl>
    <w:lvl w:ilvl="5" w:tplc="EA30BED2" w:tentative="1">
      <w:start w:val="1"/>
      <w:numFmt w:val="bullet"/>
      <w:lvlText w:val=""/>
      <w:lvlJc w:val="left"/>
      <w:pPr>
        <w:tabs>
          <w:tab w:val="num" w:pos="3960"/>
        </w:tabs>
        <w:ind w:left="3960" w:hanging="360"/>
      </w:pPr>
      <w:rPr>
        <w:rFonts w:ascii="Wingdings" w:hAnsi="Wingdings" w:hint="default"/>
      </w:rPr>
    </w:lvl>
    <w:lvl w:ilvl="6" w:tplc="29CCDDB8" w:tentative="1">
      <w:start w:val="1"/>
      <w:numFmt w:val="bullet"/>
      <w:lvlText w:val=""/>
      <w:lvlJc w:val="left"/>
      <w:pPr>
        <w:tabs>
          <w:tab w:val="num" w:pos="4680"/>
        </w:tabs>
        <w:ind w:left="4680" w:hanging="360"/>
      </w:pPr>
      <w:rPr>
        <w:rFonts w:ascii="Wingdings" w:hAnsi="Wingdings" w:hint="default"/>
      </w:rPr>
    </w:lvl>
    <w:lvl w:ilvl="7" w:tplc="994447A8" w:tentative="1">
      <w:start w:val="1"/>
      <w:numFmt w:val="bullet"/>
      <w:lvlText w:val=""/>
      <w:lvlJc w:val="left"/>
      <w:pPr>
        <w:tabs>
          <w:tab w:val="num" w:pos="5400"/>
        </w:tabs>
        <w:ind w:left="5400" w:hanging="360"/>
      </w:pPr>
      <w:rPr>
        <w:rFonts w:ascii="Wingdings" w:hAnsi="Wingdings" w:hint="default"/>
      </w:rPr>
    </w:lvl>
    <w:lvl w:ilvl="8" w:tplc="89920B8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4215C1"/>
    <w:multiLevelType w:val="hybridMultilevel"/>
    <w:tmpl w:val="A4B8BF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E261903"/>
    <w:multiLevelType w:val="hybridMultilevel"/>
    <w:tmpl w:val="5AA833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FE401A9"/>
    <w:multiLevelType w:val="hybridMultilevel"/>
    <w:tmpl w:val="449C77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16A763A"/>
    <w:multiLevelType w:val="hybridMultilevel"/>
    <w:tmpl w:val="C270D35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26B6EAA"/>
    <w:multiLevelType w:val="hybridMultilevel"/>
    <w:tmpl w:val="6CAA3D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DDB471B"/>
    <w:multiLevelType w:val="hybridMultilevel"/>
    <w:tmpl w:val="213661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F636CD0"/>
    <w:multiLevelType w:val="hybridMultilevel"/>
    <w:tmpl w:val="610A2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83F484C"/>
    <w:multiLevelType w:val="hybridMultilevel"/>
    <w:tmpl w:val="BE765E5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C1218D3"/>
    <w:multiLevelType w:val="singleLevel"/>
    <w:tmpl w:val="AF82A3CA"/>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8"/>
  </w:num>
  <w:num w:numId="2">
    <w:abstractNumId w:val="12"/>
  </w:num>
  <w:num w:numId="3">
    <w:abstractNumId w:val="14"/>
  </w:num>
  <w:num w:numId="4">
    <w:abstractNumId w:val="1"/>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15"/>
  </w:num>
  <w:num w:numId="31">
    <w:abstractNumId w:val="4"/>
  </w:num>
  <w:num w:numId="32">
    <w:abstractNumId w:val="22"/>
  </w:num>
  <w:num w:numId="33">
    <w:abstractNumId w:val="13"/>
  </w:num>
  <w:num w:numId="34">
    <w:abstractNumId w:val="3"/>
  </w:num>
  <w:num w:numId="35">
    <w:abstractNumId w:val="21"/>
  </w:num>
  <w:num w:numId="36">
    <w:abstractNumId w:val="16"/>
  </w:num>
  <w:num w:numId="37">
    <w:abstractNumId w:val="18"/>
  </w:num>
  <w:num w:numId="38">
    <w:abstractNumId w:val="17"/>
  </w:num>
  <w:num w:numId="39">
    <w:abstractNumId w:val="7"/>
  </w:num>
  <w:num w:numId="40">
    <w:abstractNumId w:val="6"/>
  </w:num>
  <w:num w:numId="41">
    <w:abstractNumId w:val="2"/>
  </w:num>
  <w:num w:numId="42">
    <w:abstractNumId w:val="27"/>
  </w:num>
  <w:num w:numId="43">
    <w:abstractNumId w:val="10"/>
  </w:num>
  <w:num w:numId="44">
    <w:abstractNumId w:val="11"/>
  </w:num>
  <w:num w:numId="45">
    <w:abstractNumId w:val="25"/>
  </w:num>
  <w:num w:numId="46">
    <w:abstractNumId w:val="26"/>
  </w:num>
  <w:num w:numId="47">
    <w:abstractNumId w:val="5"/>
  </w:num>
  <w:num w:numId="48">
    <w:abstractNumId w:val="20"/>
  </w:num>
  <w:num w:numId="4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1A2E"/>
    <w:rsid w:val="00043973"/>
    <w:rsid w:val="00043C1E"/>
    <w:rsid w:val="00044480"/>
    <w:rsid w:val="000457F7"/>
    <w:rsid w:val="00050EEB"/>
    <w:rsid w:val="00052C5B"/>
    <w:rsid w:val="00053A27"/>
    <w:rsid w:val="00054B44"/>
    <w:rsid w:val="00055A92"/>
    <w:rsid w:val="000563C9"/>
    <w:rsid w:val="000569D8"/>
    <w:rsid w:val="0006228D"/>
    <w:rsid w:val="00062330"/>
    <w:rsid w:val="00063B33"/>
    <w:rsid w:val="00063FC4"/>
    <w:rsid w:val="000706E2"/>
    <w:rsid w:val="00071EBA"/>
    <w:rsid w:val="00072BD6"/>
    <w:rsid w:val="00074549"/>
    <w:rsid w:val="00075B78"/>
    <w:rsid w:val="00082CD6"/>
    <w:rsid w:val="0008437D"/>
    <w:rsid w:val="00085AFE"/>
    <w:rsid w:val="00094800"/>
    <w:rsid w:val="000B0730"/>
    <w:rsid w:val="000B1D4D"/>
    <w:rsid w:val="000B2187"/>
    <w:rsid w:val="000B3F43"/>
    <w:rsid w:val="000C3AE5"/>
    <w:rsid w:val="000D08BE"/>
    <w:rsid w:val="000D19F4"/>
    <w:rsid w:val="000D489F"/>
    <w:rsid w:val="000D58DD"/>
    <w:rsid w:val="000E00C3"/>
    <w:rsid w:val="000E1BBE"/>
    <w:rsid w:val="000E4E74"/>
    <w:rsid w:val="000E7D06"/>
    <w:rsid w:val="000F2AE2"/>
    <w:rsid w:val="000F2BFF"/>
    <w:rsid w:val="000F4CCB"/>
    <w:rsid w:val="000F7362"/>
    <w:rsid w:val="00102063"/>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4768"/>
    <w:rsid w:val="001249F6"/>
    <w:rsid w:val="001300AC"/>
    <w:rsid w:val="00132380"/>
    <w:rsid w:val="00133F64"/>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4A67"/>
    <w:rsid w:val="00175364"/>
    <w:rsid w:val="00175B47"/>
    <w:rsid w:val="0017606F"/>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E254A"/>
    <w:rsid w:val="001E3C12"/>
    <w:rsid w:val="001E7386"/>
    <w:rsid w:val="001F45A7"/>
    <w:rsid w:val="001F67E4"/>
    <w:rsid w:val="00201A01"/>
    <w:rsid w:val="00204230"/>
    <w:rsid w:val="00205510"/>
    <w:rsid w:val="00205692"/>
    <w:rsid w:val="0020754B"/>
    <w:rsid w:val="002104D3"/>
    <w:rsid w:val="00213A33"/>
    <w:rsid w:val="00215D21"/>
    <w:rsid w:val="00216CA0"/>
    <w:rsid w:val="0021763B"/>
    <w:rsid w:val="002222C7"/>
    <w:rsid w:val="00230EF3"/>
    <w:rsid w:val="00235455"/>
    <w:rsid w:val="0024145F"/>
    <w:rsid w:val="002469F7"/>
    <w:rsid w:val="00246DB1"/>
    <w:rsid w:val="002474F6"/>
    <w:rsid w:val="002476B5"/>
    <w:rsid w:val="00250BDA"/>
    <w:rsid w:val="002520CC"/>
    <w:rsid w:val="00253ECF"/>
    <w:rsid w:val="002546A1"/>
    <w:rsid w:val="00260402"/>
    <w:rsid w:val="00262791"/>
    <w:rsid w:val="002628F4"/>
    <w:rsid w:val="002633EA"/>
    <w:rsid w:val="00267324"/>
    <w:rsid w:val="002711B8"/>
    <w:rsid w:val="00275D08"/>
    <w:rsid w:val="002841FA"/>
    <w:rsid w:val="002858E3"/>
    <w:rsid w:val="00287A30"/>
    <w:rsid w:val="00287E03"/>
    <w:rsid w:val="00291658"/>
    <w:rsid w:val="0029190A"/>
    <w:rsid w:val="00292C5A"/>
    <w:rsid w:val="00295241"/>
    <w:rsid w:val="002A24C4"/>
    <w:rsid w:val="002A26D9"/>
    <w:rsid w:val="002A4000"/>
    <w:rsid w:val="002A4DFC"/>
    <w:rsid w:val="002A744D"/>
    <w:rsid w:val="002A7685"/>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3FD7"/>
    <w:rsid w:val="002E5189"/>
    <w:rsid w:val="002F3B52"/>
    <w:rsid w:val="002F4685"/>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48EF"/>
    <w:rsid w:val="00366395"/>
    <w:rsid w:val="003673E6"/>
    <w:rsid w:val="00375344"/>
    <w:rsid w:val="00377264"/>
    <w:rsid w:val="003779D2"/>
    <w:rsid w:val="0038051B"/>
    <w:rsid w:val="0038180E"/>
    <w:rsid w:val="0038302E"/>
    <w:rsid w:val="00383295"/>
    <w:rsid w:val="00383647"/>
    <w:rsid w:val="00383A46"/>
    <w:rsid w:val="00385E38"/>
    <w:rsid w:val="00385FC4"/>
    <w:rsid w:val="00390BC8"/>
    <w:rsid w:val="00393E2B"/>
    <w:rsid w:val="003A0138"/>
    <w:rsid w:val="003A0423"/>
    <w:rsid w:val="003A26A5"/>
    <w:rsid w:val="003A3761"/>
    <w:rsid w:val="003A4FB1"/>
    <w:rsid w:val="003A512D"/>
    <w:rsid w:val="003A5FEA"/>
    <w:rsid w:val="003A61FD"/>
    <w:rsid w:val="003B1D10"/>
    <w:rsid w:val="003B3262"/>
    <w:rsid w:val="003B4CCC"/>
    <w:rsid w:val="003B6E9B"/>
    <w:rsid w:val="003C0D0C"/>
    <w:rsid w:val="003C76D4"/>
    <w:rsid w:val="003D0D54"/>
    <w:rsid w:val="003D137D"/>
    <w:rsid w:val="003D2CC5"/>
    <w:rsid w:val="003E04C1"/>
    <w:rsid w:val="003E0887"/>
    <w:rsid w:val="003E232E"/>
    <w:rsid w:val="003E3147"/>
    <w:rsid w:val="003E55AC"/>
    <w:rsid w:val="003E7C46"/>
    <w:rsid w:val="003F2106"/>
    <w:rsid w:val="003F228E"/>
    <w:rsid w:val="003F36F7"/>
    <w:rsid w:val="003F52A7"/>
    <w:rsid w:val="003F7013"/>
    <w:rsid w:val="0040240C"/>
    <w:rsid w:val="00402CCF"/>
    <w:rsid w:val="004061F4"/>
    <w:rsid w:val="00413021"/>
    <w:rsid w:val="004159BE"/>
    <w:rsid w:val="004201FC"/>
    <w:rsid w:val="00420E4E"/>
    <w:rsid w:val="00422937"/>
    <w:rsid w:val="00425D7C"/>
    <w:rsid w:val="004301C6"/>
    <w:rsid w:val="00430545"/>
    <w:rsid w:val="00434299"/>
    <w:rsid w:val="0043478F"/>
    <w:rsid w:val="004353C3"/>
    <w:rsid w:val="004357B4"/>
    <w:rsid w:val="0043602B"/>
    <w:rsid w:val="00440BE0"/>
    <w:rsid w:val="00442C1C"/>
    <w:rsid w:val="0044357E"/>
    <w:rsid w:val="0044584B"/>
    <w:rsid w:val="00447CB7"/>
    <w:rsid w:val="00450D78"/>
    <w:rsid w:val="004516B7"/>
    <w:rsid w:val="004534C4"/>
    <w:rsid w:val="00455CC9"/>
    <w:rsid w:val="00460826"/>
    <w:rsid w:val="00460EA7"/>
    <w:rsid w:val="0046195B"/>
    <w:rsid w:val="0046362D"/>
    <w:rsid w:val="00463669"/>
    <w:rsid w:val="0046395F"/>
    <w:rsid w:val="00463B3E"/>
    <w:rsid w:val="0046596D"/>
    <w:rsid w:val="0046687F"/>
    <w:rsid w:val="004805AD"/>
    <w:rsid w:val="00481F58"/>
    <w:rsid w:val="004852C5"/>
    <w:rsid w:val="00487C04"/>
    <w:rsid w:val="004907E1"/>
    <w:rsid w:val="00496336"/>
    <w:rsid w:val="00497F3D"/>
    <w:rsid w:val="004A035B"/>
    <w:rsid w:val="004A2108"/>
    <w:rsid w:val="004A38D7"/>
    <w:rsid w:val="004A778C"/>
    <w:rsid w:val="004A78C9"/>
    <w:rsid w:val="004B11E9"/>
    <w:rsid w:val="004B48C7"/>
    <w:rsid w:val="004B49A6"/>
    <w:rsid w:val="004B79ED"/>
    <w:rsid w:val="004B7CC5"/>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51C2"/>
    <w:rsid w:val="00523187"/>
    <w:rsid w:val="00524724"/>
    <w:rsid w:val="00526055"/>
    <w:rsid w:val="00526CA7"/>
    <w:rsid w:val="00526FB1"/>
    <w:rsid w:val="0053199F"/>
    <w:rsid w:val="00533B90"/>
    <w:rsid w:val="00533D73"/>
    <w:rsid w:val="00534B7D"/>
    <w:rsid w:val="0054075D"/>
    <w:rsid w:val="005410F8"/>
    <w:rsid w:val="005411F6"/>
    <w:rsid w:val="0054173E"/>
    <w:rsid w:val="005448EC"/>
    <w:rsid w:val="00545963"/>
    <w:rsid w:val="00550256"/>
    <w:rsid w:val="00553165"/>
    <w:rsid w:val="00553958"/>
    <w:rsid w:val="00556BB7"/>
    <w:rsid w:val="0055763D"/>
    <w:rsid w:val="00561516"/>
    <w:rsid w:val="005621F2"/>
    <w:rsid w:val="0056445E"/>
    <w:rsid w:val="00567B58"/>
    <w:rsid w:val="00571223"/>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5677"/>
    <w:rsid w:val="005D6B68"/>
    <w:rsid w:val="005D7990"/>
    <w:rsid w:val="005E226E"/>
    <w:rsid w:val="005E2636"/>
    <w:rsid w:val="005E6454"/>
    <w:rsid w:val="005F0AE6"/>
    <w:rsid w:val="005F6906"/>
    <w:rsid w:val="006015D7"/>
    <w:rsid w:val="00601B21"/>
    <w:rsid w:val="006041F0"/>
    <w:rsid w:val="00605C6D"/>
    <w:rsid w:val="006100EF"/>
    <w:rsid w:val="006120CA"/>
    <w:rsid w:val="00612A82"/>
    <w:rsid w:val="0062333C"/>
    <w:rsid w:val="00624174"/>
    <w:rsid w:val="00626CF8"/>
    <w:rsid w:val="00630859"/>
    <w:rsid w:val="006314AF"/>
    <w:rsid w:val="00632D25"/>
    <w:rsid w:val="006334FB"/>
    <w:rsid w:val="0063378D"/>
    <w:rsid w:val="00634ED8"/>
    <w:rsid w:val="00635BC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33C2"/>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240"/>
    <w:rsid w:val="006A0367"/>
    <w:rsid w:val="006A25A2"/>
    <w:rsid w:val="006A3B87"/>
    <w:rsid w:val="006B04FF"/>
    <w:rsid w:val="006B0E73"/>
    <w:rsid w:val="006B1E3D"/>
    <w:rsid w:val="006B4A4D"/>
    <w:rsid w:val="006B5695"/>
    <w:rsid w:val="006B7B2E"/>
    <w:rsid w:val="006C2BF3"/>
    <w:rsid w:val="006C6382"/>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4D7F"/>
    <w:rsid w:val="0071666E"/>
    <w:rsid w:val="00717128"/>
    <w:rsid w:val="0071741C"/>
    <w:rsid w:val="00717D25"/>
    <w:rsid w:val="00720220"/>
    <w:rsid w:val="00723ACE"/>
    <w:rsid w:val="00723B0B"/>
    <w:rsid w:val="007243E3"/>
    <w:rsid w:val="007275F4"/>
    <w:rsid w:val="007357DA"/>
    <w:rsid w:val="007363E4"/>
    <w:rsid w:val="007429DE"/>
    <w:rsid w:val="00742B90"/>
    <w:rsid w:val="00743CB9"/>
    <w:rsid w:val="0074434D"/>
    <w:rsid w:val="00746236"/>
    <w:rsid w:val="00757BA4"/>
    <w:rsid w:val="00757F02"/>
    <w:rsid w:val="007601EE"/>
    <w:rsid w:val="007605B8"/>
    <w:rsid w:val="007614C6"/>
    <w:rsid w:val="00765DAB"/>
    <w:rsid w:val="00766877"/>
    <w:rsid w:val="00771B1E"/>
    <w:rsid w:val="00773C95"/>
    <w:rsid w:val="00774650"/>
    <w:rsid w:val="007813B7"/>
    <w:rsid w:val="0078171E"/>
    <w:rsid w:val="0078481B"/>
    <w:rsid w:val="0078658E"/>
    <w:rsid w:val="00786613"/>
    <w:rsid w:val="00786833"/>
    <w:rsid w:val="0079199A"/>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4C8E"/>
    <w:rsid w:val="007F5467"/>
    <w:rsid w:val="00800A8A"/>
    <w:rsid w:val="0080155C"/>
    <w:rsid w:val="00802C89"/>
    <w:rsid w:val="008052E1"/>
    <w:rsid w:val="008061F3"/>
    <w:rsid w:val="00814A6F"/>
    <w:rsid w:val="00820321"/>
    <w:rsid w:val="00822F2C"/>
    <w:rsid w:val="00823DEE"/>
    <w:rsid w:val="008305E8"/>
    <w:rsid w:val="00832C28"/>
    <w:rsid w:val="008338C4"/>
    <w:rsid w:val="00836165"/>
    <w:rsid w:val="00841F8C"/>
    <w:rsid w:val="00844BD7"/>
    <w:rsid w:val="0084640C"/>
    <w:rsid w:val="00856088"/>
    <w:rsid w:val="00860826"/>
    <w:rsid w:val="00860CC3"/>
    <w:rsid w:val="00860E21"/>
    <w:rsid w:val="00863117"/>
    <w:rsid w:val="008637AD"/>
    <w:rsid w:val="0086388B"/>
    <w:rsid w:val="00863A70"/>
    <w:rsid w:val="008642E5"/>
    <w:rsid w:val="00867D56"/>
    <w:rsid w:val="00870A36"/>
    <w:rsid w:val="00872D93"/>
    <w:rsid w:val="00874825"/>
    <w:rsid w:val="00875F9E"/>
    <w:rsid w:val="00876994"/>
    <w:rsid w:val="00880470"/>
    <w:rsid w:val="00880ADD"/>
    <w:rsid w:val="00880D94"/>
    <w:rsid w:val="008859FE"/>
    <w:rsid w:val="00886F64"/>
    <w:rsid w:val="008904C0"/>
    <w:rsid w:val="008924DE"/>
    <w:rsid w:val="00895070"/>
    <w:rsid w:val="0089571B"/>
    <w:rsid w:val="008A3755"/>
    <w:rsid w:val="008A3EFE"/>
    <w:rsid w:val="008B19DC"/>
    <w:rsid w:val="008B264F"/>
    <w:rsid w:val="008B5388"/>
    <w:rsid w:val="008B6F83"/>
    <w:rsid w:val="008B7E47"/>
    <w:rsid w:val="008B7FD8"/>
    <w:rsid w:val="008C199B"/>
    <w:rsid w:val="008C2973"/>
    <w:rsid w:val="008C29D5"/>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0E2E"/>
    <w:rsid w:val="00931466"/>
    <w:rsid w:val="00932D69"/>
    <w:rsid w:val="00935589"/>
    <w:rsid w:val="009409AC"/>
    <w:rsid w:val="00942644"/>
    <w:rsid w:val="009438EC"/>
    <w:rsid w:val="00944647"/>
    <w:rsid w:val="0095565C"/>
    <w:rsid w:val="00956935"/>
    <w:rsid w:val="009603B8"/>
    <w:rsid w:val="00966F9A"/>
    <w:rsid w:val="00972C8E"/>
    <w:rsid w:val="009734C0"/>
    <w:rsid w:val="00977B8A"/>
    <w:rsid w:val="0098023F"/>
    <w:rsid w:val="0098113B"/>
    <w:rsid w:val="009822EB"/>
    <w:rsid w:val="0098253E"/>
    <w:rsid w:val="00982971"/>
    <w:rsid w:val="00982B06"/>
    <w:rsid w:val="00983A00"/>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1B00"/>
    <w:rsid w:val="009C2F0B"/>
    <w:rsid w:val="009C2F25"/>
    <w:rsid w:val="009C440A"/>
    <w:rsid w:val="009C69C9"/>
    <w:rsid w:val="009C7224"/>
    <w:rsid w:val="009D5125"/>
    <w:rsid w:val="009D60B8"/>
    <w:rsid w:val="009D7D4B"/>
    <w:rsid w:val="009E36ED"/>
    <w:rsid w:val="009E3C8C"/>
    <w:rsid w:val="009E6B77"/>
    <w:rsid w:val="009F0D39"/>
    <w:rsid w:val="009F2204"/>
    <w:rsid w:val="009F380F"/>
    <w:rsid w:val="009F460A"/>
    <w:rsid w:val="009F7A47"/>
    <w:rsid w:val="00A01143"/>
    <w:rsid w:val="00A03868"/>
    <w:rsid w:val="00A04107"/>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E9D"/>
    <w:rsid w:val="00A87C05"/>
    <w:rsid w:val="00A9169D"/>
    <w:rsid w:val="00A935E5"/>
    <w:rsid w:val="00AA240C"/>
    <w:rsid w:val="00AB5E0D"/>
    <w:rsid w:val="00AB6C23"/>
    <w:rsid w:val="00AC08C2"/>
    <w:rsid w:val="00AC101C"/>
    <w:rsid w:val="00AC355A"/>
    <w:rsid w:val="00AC4D72"/>
    <w:rsid w:val="00AC5B63"/>
    <w:rsid w:val="00AC6476"/>
    <w:rsid w:val="00AD2E1F"/>
    <w:rsid w:val="00AD46DE"/>
    <w:rsid w:val="00AD4CF1"/>
    <w:rsid w:val="00AD5116"/>
    <w:rsid w:val="00AD5988"/>
    <w:rsid w:val="00AE228B"/>
    <w:rsid w:val="00AE5EE3"/>
    <w:rsid w:val="00AF7800"/>
    <w:rsid w:val="00B00CF5"/>
    <w:rsid w:val="00B0589F"/>
    <w:rsid w:val="00B072E0"/>
    <w:rsid w:val="00B1007E"/>
    <w:rsid w:val="00B10E4D"/>
    <w:rsid w:val="00B20E1F"/>
    <w:rsid w:val="00B22104"/>
    <w:rsid w:val="00B253F6"/>
    <w:rsid w:val="00B254C1"/>
    <w:rsid w:val="00B26675"/>
    <w:rsid w:val="00B305DB"/>
    <w:rsid w:val="00B332F8"/>
    <w:rsid w:val="00B3492B"/>
    <w:rsid w:val="00B40E12"/>
    <w:rsid w:val="00B4646F"/>
    <w:rsid w:val="00B52BB3"/>
    <w:rsid w:val="00B5349B"/>
    <w:rsid w:val="00B55C7D"/>
    <w:rsid w:val="00B56A48"/>
    <w:rsid w:val="00B56B5D"/>
    <w:rsid w:val="00B571CF"/>
    <w:rsid w:val="00B577BD"/>
    <w:rsid w:val="00B63038"/>
    <w:rsid w:val="00B63450"/>
    <w:rsid w:val="00B64BD8"/>
    <w:rsid w:val="00B701D1"/>
    <w:rsid w:val="00B71F7F"/>
    <w:rsid w:val="00B73AF2"/>
    <w:rsid w:val="00B7551A"/>
    <w:rsid w:val="00B773F1"/>
    <w:rsid w:val="00B85285"/>
    <w:rsid w:val="00B86391"/>
    <w:rsid w:val="00B86AB1"/>
    <w:rsid w:val="00B875FA"/>
    <w:rsid w:val="00B919D2"/>
    <w:rsid w:val="00B921DE"/>
    <w:rsid w:val="00BA2BF7"/>
    <w:rsid w:val="00BB0340"/>
    <w:rsid w:val="00BB26C7"/>
    <w:rsid w:val="00BB2A06"/>
    <w:rsid w:val="00BB2CBB"/>
    <w:rsid w:val="00BB2DA6"/>
    <w:rsid w:val="00BB4198"/>
    <w:rsid w:val="00BC03EE"/>
    <w:rsid w:val="00BC1F88"/>
    <w:rsid w:val="00BC29FC"/>
    <w:rsid w:val="00BC370C"/>
    <w:rsid w:val="00BC59F1"/>
    <w:rsid w:val="00BC7546"/>
    <w:rsid w:val="00BD50A8"/>
    <w:rsid w:val="00BE4309"/>
    <w:rsid w:val="00BE5267"/>
    <w:rsid w:val="00BE5742"/>
    <w:rsid w:val="00BE7E16"/>
    <w:rsid w:val="00BF3DE1"/>
    <w:rsid w:val="00BF4843"/>
    <w:rsid w:val="00BF489C"/>
    <w:rsid w:val="00BF5205"/>
    <w:rsid w:val="00C001E8"/>
    <w:rsid w:val="00C02294"/>
    <w:rsid w:val="00C04409"/>
    <w:rsid w:val="00C05132"/>
    <w:rsid w:val="00C10E24"/>
    <w:rsid w:val="00C12508"/>
    <w:rsid w:val="00C20152"/>
    <w:rsid w:val="00C21B60"/>
    <w:rsid w:val="00C22EE4"/>
    <w:rsid w:val="00C23728"/>
    <w:rsid w:val="00C254BC"/>
    <w:rsid w:val="00C25F4C"/>
    <w:rsid w:val="00C26649"/>
    <w:rsid w:val="00C313A9"/>
    <w:rsid w:val="00C3260F"/>
    <w:rsid w:val="00C40142"/>
    <w:rsid w:val="00C441CF"/>
    <w:rsid w:val="00C45AA2"/>
    <w:rsid w:val="00C4792C"/>
    <w:rsid w:val="00C51823"/>
    <w:rsid w:val="00C52ABA"/>
    <w:rsid w:val="00C536FC"/>
    <w:rsid w:val="00C55BEF"/>
    <w:rsid w:val="00C57AE0"/>
    <w:rsid w:val="00C57B04"/>
    <w:rsid w:val="00C601AF"/>
    <w:rsid w:val="00C60412"/>
    <w:rsid w:val="00C6163A"/>
    <w:rsid w:val="00C61741"/>
    <w:rsid w:val="00C61A63"/>
    <w:rsid w:val="00C63B53"/>
    <w:rsid w:val="00C66296"/>
    <w:rsid w:val="00C7394D"/>
    <w:rsid w:val="00C74443"/>
    <w:rsid w:val="00C77282"/>
    <w:rsid w:val="00C77D1D"/>
    <w:rsid w:val="00C80B58"/>
    <w:rsid w:val="00C8154D"/>
    <w:rsid w:val="00C817F7"/>
    <w:rsid w:val="00C84DE5"/>
    <w:rsid w:val="00C86248"/>
    <w:rsid w:val="00C90B31"/>
    <w:rsid w:val="00C94CDC"/>
    <w:rsid w:val="00C9586F"/>
    <w:rsid w:val="00CA0548"/>
    <w:rsid w:val="00CA0C64"/>
    <w:rsid w:val="00CA0D6F"/>
    <w:rsid w:val="00CA4C33"/>
    <w:rsid w:val="00CA6F4A"/>
    <w:rsid w:val="00CB17DA"/>
    <w:rsid w:val="00CB6427"/>
    <w:rsid w:val="00CC0FBE"/>
    <w:rsid w:val="00CC4222"/>
    <w:rsid w:val="00CC5266"/>
    <w:rsid w:val="00CD2119"/>
    <w:rsid w:val="00CD237A"/>
    <w:rsid w:val="00CD36AC"/>
    <w:rsid w:val="00CD3766"/>
    <w:rsid w:val="00CD4D45"/>
    <w:rsid w:val="00CE13A3"/>
    <w:rsid w:val="00CE36BC"/>
    <w:rsid w:val="00CE6C0A"/>
    <w:rsid w:val="00CF1747"/>
    <w:rsid w:val="00CF322B"/>
    <w:rsid w:val="00CF60ED"/>
    <w:rsid w:val="00CF7DDE"/>
    <w:rsid w:val="00D01F17"/>
    <w:rsid w:val="00D03E03"/>
    <w:rsid w:val="00D05D74"/>
    <w:rsid w:val="00D116D7"/>
    <w:rsid w:val="00D13D02"/>
    <w:rsid w:val="00D15FDE"/>
    <w:rsid w:val="00D20C59"/>
    <w:rsid w:val="00D21307"/>
    <w:rsid w:val="00D23323"/>
    <w:rsid w:val="00D2392A"/>
    <w:rsid w:val="00D24964"/>
    <w:rsid w:val="00D25FFE"/>
    <w:rsid w:val="00D27C1D"/>
    <w:rsid w:val="00D30CDE"/>
    <w:rsid w:val="00D34DD0"/>
    <w:rsid w:val="00D35EEE"/>
    <w:rsid w:val="00D36714"/>
    <w:rsid w:val="00D42447"/>
    <w:rsid w:val="00D42589"/>
    <w:rsid w:val="00D4476F"/>
    <w:rsid w:val="00D50573"/>
    <w:rsid w:val="00D51893"/>
    <w:rsid w:val="00D54D50"/>
    <w:rsid w:val="00D560B4"/>
    <w:rsid w:val="00D623EF"/>
    <w:rsid w:val="00D63878"/>
    <w:rsid w:val="00D662F8"/>
    <w:rsid w:val="00D66797"/>
    <w:rsid w:val="00D67113"/>
    <w:rsid w:val="00D70810"/>
    <w:rsid w:val="00D7087C"/>
    <w:rsid w:val="00D70C3C"/>
    <w:rsid w:val="00D71DF7"/>
    <w:rsid w:val="00D724F3"/>
    <w:rsid w:val="00D72BE5"/>
    <w:rsid w:val="00D75C05"/>
    <w:rsid w:val="00D81462"/>
    <w:rsid w:val="00D81DCB"/>
    <w:rsid w:val="00D82F26"/>
    <w:rsid w:val="00D84795"/>
    <w:rsid w:val="00D84A03"/>
    <w:rsid w:val="00D863D0"/>
    <w:rsid w:val="00D86FB9"/>
    <w:rsid w:val="00D87C87"/>
    <w:rsid w:val="00D90BB4"/>
    <w:rsid w:val="00D90E07"/>
    <w:rsid w:val="00D932C2"/>
    <w:rsid w:val="00D9510C"/>
    <w:rsid w:val="00D97551"/>
    <w:rsid w:val="00DA25A6"/>
    <w:rsid w:val="00DA76FA"/>
    <w:rsid w:val="00DB1C24"/>
    <w:rsid w:val="00DB39CF"/>
    <w:rsid w:val="00DB7256"/>
    <w:rsid w:val="00DB758D"/>
    <w:rsid w:val="00DC0401"/>
    <w:rsid w:val="00DC20BD"/>
    <w:rsid w:val="00DD0BCD"/>
    <w:rsid w:val="00DD28E9"/>
    <w:rsid w:val="00DD2A6D"/>
    <w:rsid w:val="00DD447A"/>
    <w:rsid w:val="00DD65C3"/>
    <w:rsid w:val="00DE0444"/>
    <w:rsid w:val="00DE3B20"/>
    <w:rsid w:val="00DE408D"/>
    <w:rsid w:val="00DE6C94"/>
    <w:rsid w:val="00DE6FD7"/>
    <w:rsid w:val="00DE7C7C"/>
    <w:rsid w:val="00DF0182"/>
    <w:rsid w:val="00DF191E"/>
    <w:rsid w:val="00DF46F8"/>
    <w:rsid w:val="00E02CEF"/>
    <w:rsid w:val="00E030D3"/>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359D"/>
    <w:rsid w:val="00E4486C"/>
    <w:rsid w:val="00E460B6"/>
    <w:rsid w:val="00E511D5"/>
    <w:rsid w:val="00E60249"/>
    <w:rsid w:val="00E642EF"/>
    <w:rsid w:val="00E65269"/>
    <w:rsid w:val="00E673AA"/>
    <w:rsid w:val="00E721BD"/>
    <w:rsid w:val="00E747F1"/>
    <w:rsid w:val="00E751D4"/>
    <w:rsid w:val="00E763E9"/>
    <w:rsid w:val="00E76D66"/>
    <w:rsid w:val="00E80395"/>
    <w:rsid w:val="00E956BA"/>
    <w:rsid w:val="00E957E2"/>
    <w:rsid w:val="00E96140"/>
    <w:rsid w:val="00E96447"/>
    <w:rsid w:val="00EA41A5"/>
    <w:rsid w:val="00EA5357"/>
    <w:rsid w:val="00EA7780"/>
    <w:rsid w:val="00EA796A"/>
    <w:rsid w:val="00EB06C1"/>
    <w:rsid w:val="00EB1856"/>
    <w:rsid w:val="00EC2092"/>
    <w:rsid w:val="00EC34E2"/>
    <w:rsid w:val="00EC3781"/>
    <w:rsid w:val="00EC41D9"/>
    <w:rsid w:val="00EC50CE"/>
    <w:rsid w:val="00EC5B34"/>
    <w:rsid w:val="00ED021E"/>
    <w:rsid w:val="00ED0275"/>
    <w:rsid w:val="00ED323C"/>
    <w:rsid w:val="00ED44A2"/>
    <w:rsid w:val="00ED5EAA"/>
    <w:rsid w:val="00ED6B29"/>
    <w:rsid w:val="00EE1595"/>
    <w:rsid w:val="00EE2D5C"/>
    <w:rsid w:val="00EE4ADE"/>
    <w:rsid w:val="00EE4DE8"/>
    <w:rsid w:val="00EE5CB7"/>
    <w:rsid w:val="00EF1CF2"/>
    <w:rsid w:val="00F024FE"/>
    <w:rsid w:val="00F056BB"/>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366EB"/>
    <w:rsid w:val="00F426FA"/>
    <w:rsid w:val="00F5180D"/>
    <w:rsid w:val="00F520D3"/>
    <w:rsid w:val="00F54D22"/>
    <w:rsid w:val="00F6065C"/>
    <w:rsid w:val="00F63201"/>
    <w:rsid w:val="00F63781"/>
    <w:rsid w:val="00F655D3"/>
    <w:rsid w:val="00F67496"/>
    <w:rsid w:val="00F67609"/>
    <w:rsid w:val="00F71B75"/>
    <w:rsid w:val="00F801BA"/>
    <w:rsid w:val="00F8069D"/>
    <w:rsid w:val="00F808D6"/>
    <w:rsid w:val="00F913FF"/>
    <w:rsid w:val="00F9366A"/>
    <w:rsid w:val="00F946C9"/>
    <w:rsid w:val="00FA0EA5"/>
    <w:rsid w:val="00FA64F1"/>
    <w:rsid w:val="00FA74EE"/>
    <w:rsid w:val="00FB1179"/>
    <w:rsid w:val="00FB1A80"/>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E56E1"/>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23F"/>
    <w:rPr>
      <w:rFonts w:ascii="Segoe UI" w:hAnsi="Segoe UI"/>
      <w:sz w:val="21"/>
      <w:lang w:eastAsia="en-GB"/>
    </w:rPr>
  </w:style>
  <w:style w:type="paragraph" w:styleId="Heading1">
    <w:name w:val="heading 1"/>
    <w:basedOn w:val="Normal"/>
    <w:next w:val="Normal"/>
    <w:link w:val="Heading1Char"/>
    <w:uiPriority w:val="9"/>
    <w:qFormat/>
    <w:rsid w:val="00C10E24"/>
    <w:pPr>
      <w:pageBreakBefore/>
      <w:numPr>
        <w:numId w:val="7"/>
      </w:numPr>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numPr>
        <w:ilvl w:val="1"/>
        <w:numId w:val="7"/>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3A4FB1"/>
    <w:pPr>
      <w:numPr>
        <w:numId w:val="1"/>
      </w:numPr>
      <w:spacing w:before="90" w:line="259" w:lineRule="auto"/>
    </w:pPr>
    <w:rPr>
      <w:rFonts w:eastAsia="Arial"/>
      <w:szCs w:val="22"/>
    </w:r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qFormat/>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link w:val="ListParagraphChar"/>
    <w:uiPriority w:val="34"/>
    <w:qFormat/>
    <w:rsid w:val="00D42589"/>
    <w:pPr>
      <w:ind w:left="720"/>
      <w:contextualSpacing/>
    </w:pPr>
  </w:style>
  <w:style w:type="paragraph" w:styleId="CommentText">
    <w:name w:val="annotation text"/>
    <w:basedOn w:val="Normal"/>
    <w:link w:val="CommentTextChar"/>
    <w:uiPriority w:val="99"/>
    <w:unhideWhenUsed/>
    <w:rsid w:val="004B49A6"/>
    <w:rPr>
      <w:sz w:val="20"/>
    </w:rPr>
  </w:style>
  <w:style w:type="character" w:customStyle="1" w:styleId="CommentTextChar">
    <w:name w:val="Comment Text Char"/>
    <w:basedOn w:val="DefaultParagraphFont"/>
    <w:link w:val="CommentText"/>
    <w:uiPriority w:val="99"/>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D51893"/>
    <w:rPr>
      <w:color w:val="605E5C"/>
      <w:shd w:val="clear" w:color="auto" w:fill="E1DFDD"/>
    </w:rPr>
  </w:style>
  <w:style w:type="paragraph" w:customStyle="1" w:styleId="text">
    <w:name w:val="text"/>
    <w:basedOn w:val="Normal"/>
    <w:rsid w:val="00D51893"/>
    <w:pPr>
      <w:spacing w:before="100" w:beforeAutospacing="1" w:after="100" w:afterAutospacing="1"/>
    </w:pPr>
    <w:rPr>
      <w:rFonts w:ascii="Times New Roman" w:hAnsi="Times New Roman"/>
      <w:sz w:val="24"/>
      <w:szCs w:val="24"/>
      <w:lang w:eastAsia="ko-KR"/>
    </w:rPr>
  </w:style>
  <w:style w:type="paragraph" w:styleId="Index2">
    <w:name w:val="index 2"/>
    <w:basedOn w:val="Normal"/>
    <w:next w:val="Normal"/>
    <w:autoRedefine/>
    <w:uiPriority w:val="99"/>
    <w:unhideWhenUsed/>
    <w:rsid w:val="00F71B75"/>
    <w:pPr>
      <w:spacing w:line="259" w:lineRule="auto"/>
      <w:ind w:left="440" w:hanging="220"/>
      <w:jc w:val="both"/>
    </w:pPr>
    <w:rPr>
      <w:rFonts w:asciiTheme="minorHAnsi" w:eastAsiaTheme="minorHAnsi" w:hAnsiTheme="minorHAnsi" w:cstheme="minorBidi"/>
      <w:sz w:val="18"/>
      <w:szCs w:val="18"/>
      <w:lang w:eastAsia="en-US"/>
    </w:rPr>
  </w:style>
  <w:style w:type="paragraph" w:styleId="Index1">
    <w:name w:val="index 1"/>
    <w:basedOn w:val="Normal"/>
    <w:next w:val="Normal"/>
    <w:autoRedefine/>
    <w:uiPriority w:val="99"/>
    <w:unhideWhenUsed/>
    <w:rsid w:val="00F71B75"/>
    <w:pPr>
      <w:spacing w:line="259" w:lineRule="auto"/>
      <w:ind w:left="220" w:hanging="220"/>
      <w:jc w:val="both"/>
    </w:pPr>
    <w:rPr>
      <w:rFonts w:asciiTheme="minorHAnsi" w:eastAsiaTheme="minorHAnsi" w:hAnsiTheme="minorHAnsi" w:cstheme="minorBidi"/>
      <w:sz w:val="18"/>
      <w:szCs w:val="18"/>
      <w:lang w:eastAsia="en-US"/>
    </w:rPr>
  </w:style>
  <w:style w:type="paragraph" w:styleId="Index3">
    <w:name w:val="index 3"/>
    <w:basedOn w:val="Normal"/>
    <w:next w:val="Normal"/>
    <w:autoRedefine/>
    <w:uiPriority w:val="99"/>
    <w:unhideWhenUsed/>
    <w:rsid w:val="00F71B75"/>
    <w:pPr>
      <w:spacing w:line="259" w:lineRule="auto"/>
      <w:ind w:left="660" w:hanging="220"/>
      <w:jc w:val="both"/>
    </w:pPr>
    <w:rPr>
      <w:rFonts w:asciiTheme="minorHAnsi" w:eastAsiaTheme="minorHAnsi" w:hAnsiTheme="minorHAnsi" w:cstheme="minorBidi"/>
      <w:sz w:val="18"/>
      <w:szCs w:val="18"/>
      <w:lang w:eastAsia="en-US"/>
    </w:rPr>
  </w:style>
  <w:style w:type="paragraph" w:styleId="Index4">
    <w:name w:val="index 4"/>
    <w:basedOn w:val="Normal"/>
    <w:next w:val="Normal"/>
    <w:autoRedefine/>
    <w:uiPriority w:val="99"/>
    <w:unhideWhenUsed/>
    <w:rsid w:val="00F71B75"/>
    <w:pPr>
      <w:spacing w:line="259" w:lineRule="auto"/>
      <w:ind w:left="880" w:hanging="220"/>
      <w:jc w:val="both"/>
    </w:pPr>
    <w:rPr>
      <w:rFonts w:asciiTheme="minorHAnsi" w:eastAsiaTheme="minorHAnsi" w:hAnsiTheme="minorHAnsi" w:cstheme="minorBidi"/>
      <w:sz w:val="18"/>
      <w:szCs w:val="18"/>
      <w:lang w:eastAsia="en-US"/>
    </w:rPr>
  </w:style>
  <w:style w:type="paragraph" w:styleId="Index5">
    <w:name w:val="index 5"/>
    <w:basedOn w:val="Normal"/>
    <w:next w:val="Normal"/>
    <w:autoRedefine/>
    <w:uiPriority w:val="99"/>
    <w:unhideWhenUsed/>
    <w:rsid w:val="00F71B75"/>
    <w:pPr>
      <w:spacing w:line="259" w:lineRule="auto"/>
      <w:ind w:left="1100" w:hanging="220"/>
      <w:jc w:val="both"/>
    </w:pPr>
    <w:rPr>
      <w:rFonts w:asciiTheme="minorHAnsi" w:eastAsiaTheme="minorHAnsi" w:hAnsiTheme="minorHAnsi" w:cstheme="minorBidi"/>
      <w:sz w:val="18"/>
      <w:szCs w:val="18"/>
      <w:lang w:eastAsia="en-US"/>
    </w:rPr>
  </w:style>
  <w:style w:type="paragraph" w:styleId="Index6">
    <w:name w:val="index 6"/>
    <w:basedOn w:val="Normal"/>
    <w:next w:val="Normal"/>
    <w:autoRedefine/>
    <w:uiPriority w:val="99"/>
    <w:unhideWhenUsed/>
    <w:rsid w:val="00F71B75"/>
    <w:pPr>
      <w:spacing w:line="259" w:lineRule="auto"/>
      <w:ind w:left="1320" w:hanging="220"/>
      <w:jc w:val="both"/>
    </w:pPr>
    <w:rPr>
      <w:rFonts w:asciiTheme="minorHAnsi" w:eastAsiaTheme="minorHAnsi" w:hAnsiTheme="minorHAnsi" w:cstheme="minorBidi"/>
      <w:sz w:val="18"/>
      <w:szCs w:val="18"/>
      <w:lang w:eastAsia="en-US"/>
    </w:rPr>
  </w:style>
  <w:style w:type="paragraph" w:styleId="Index7">
    <w:name w:val="index 7"/>
    <w:basedOn w:val="Normal"/>
    <w:next w:val="Normal"/>
    <w:autoRedefine/>
    <w:uiPriority w:val="99"/>
    <w:unhideWhenUsed/>
    <w:rsid w:val="00F71B75"/>
    <w:pPr>
      <w:spacing w:line="259" w:lineRule="auto"/>
      <w:ind w:left="1540" w:hanging="220"/>
      <w:jc w:val="both"/>
    </w:pPr>
    <w:rPr>
      <w:rFonts w:asciiTheme="minorHAnsi" w:eastAsiaTheme="minorHAnsi" w:hAnsiTheme="minorHAnsi" w:cstheme="minorBidi"/>
      <w:sz w:val="18"/>
      <w:szCs w:val="18"/>
      <w:lang w:eastAsia="en-US"/>
    </w:rPr>
  </w:style>
  <w:style w:type="paragraph" w:styleId="Index8">
    <w:name w:val="index 8"/>
    <w:basedOn w:val="Normal"/>
    <w:next w:val="Normal"/>
    <w:autoRedefine/>
    <w:uiPriority w:val="99"/>
    <w:unhideWhenUsed/>
    <w:rsid w:val="00F71B75"/>
    <w:pPr>
      <w:spacing w:line="259" w:lineRule="auto"/>
      <w:ind w:left="1760" w:hanging="220"/>
      <w:jc w:val="both"/>
    </w:pPr>
    <w:rPr>
      <w:rFonts w:asciiTheme="minorHAnsi" w:eastAsiaTheme="minorHAnsi" w:hAnsiTheme="minorHAnsi" w:cstheme="minorBidi"/>
      <w:sz w:val="18"/>
      <w:szCs w:val="18"/>
      <w:lang w:eastAsia="en-US"/>
    </w:rPr>
  </w:style>
  <w:style w:type="paragraph" w:styleId="Index9">
    <w:name w:val="index 9"/>
    <w:basedOn w:val="Normal"/>
    <w:next w:val="Normal"/>
    <w:autoRedefine/>
    <w:uiPriority w:val="99"/>
    <w:unhideWhenUsed/>
    <w:rsid w:val="00F71B75"/>
    <w:pPr>
      <w:spacing w:line="259" w:lineRule="auto"/>
      <w:ind w:left="1980" w:hanging="220"/>
      <w:jc w:val="both"/>
    </w:pPr>
    <w:rPr>
      <w:rFonts w:asciiTheme="minorHAnsi" w:eastAsiaTheme="minorHAnsi" w:hAnsiTheme="minorHAnsi" w:cstheme="minorBidi"/>
      <w:sz w:val="18"/>
      <w:szCs w:val="18"/>
      <w:lang w:eastAsia="en-US"/>
    </w:rPr>
  </w:style>
  <w:style w:type="paragraph" w:styleId="IndexHeading">
    <w:name w:val="index heading"/>
    <w:basedOn w:val="Normal"/>
    <w:next w:val="Index1"/>
    <w:uiPriority w:val="99"/>
    <w:unhideWhenUsed/>
    <w:rsid w:val="00F71B75"/>
    <w:pPr>
      <w:spacing w:before="240" w:after="120" w:line="259" w:lineRule="auto"/>
      <w:jc w:val="center"/>
    </w:pPr>
    <w:rPr>
      <w:rFonts w:asciiTheme="minorHAnsi" w:eastAsiaTheme="minorHAnsi" w:hAnsiTheme="minorHAnsi" w:cstheme="minorBidi"/>
      <w:b/>
      <w:bCs/>
      <w:sz w:val="26"/>
      <w:szCs w:val="26"/>
      <w:lang w:eastAsia="en-US"/>
    </w:rPr>
  </w:style>
  <w:style w:type="paragraph" w:customStyle="1" w:styleId="Style1">
    <w:name w:val="Style1"/>
    <w:basedOn w:val="Normal"/>
    <w:link w:val="Style1Char"/>
    <w:qFormat/>
    <w:rsid w:val="00F71B75"/>
    <w:pPr>
      <w:spacing w:after="160" w:line="259" w:lineRule="auto"/>
      <w:jc w:val="both"/>
    </w:pPr>
    <w:rPr>
      <w:rFonts w:asciiTheme="minorHAnsi" w:eastAsiaTheme="minorHAnsi" w:hAnsiTheme="minorHAnsi" w:cstheme="minorBidi"/>
      <w:sz w:val="22"/>
      <w:szCs w:val="22"/>
      <w:lang w:val="mi-NZ" w:eastAsia="en-US"/>
    </w:rPr>
  </w:style>
  <w:style w:type="character" w:customStyle="1" w:styleId="Style1Char">
    <w:name w:val="Style1 Char"/>
    <w:basedOn w:val="DefaultParagraphFont"/>
    <w:link w:val="Style1"/>
    <w:rsid w:val="00F71B75"/>
    <w:rPr>
      <w:rFonts w:asciiTheme="minorHAnsi" w:eastAsiaTheme="minorHAnsi" w:hAnsiTheme="minorHAnsi" w:cstheme="minorBidi"/>
      <w:sz w:val="22"/>
      <w:szCs w:val="22"/>
      <w:lang w:val="mi-NZ" w:eastAsia="en-US"/>
    </w:rPr>
  </w:style>
  <w:style w:type="paragraph" w:styleId="NoSpacing">
    <w:name w:val="No Spacing"/>
    <w:uiPriority w:val="1"/>
    <w:qFormat/>
    <w:rsid w:val="00F71B75"/>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F71B75"/>
    <w:pPr>
      <w:spacing w:after="160" w:line="259" w:lineRule="auto"/>
      <w:jc w:val="both"/>
    </w:pPr>
    <w:rPr>
      <w:rFonts w:ascii="Times New Roman" w:eastAsiaTheme="minorHAnsi" w:hAnsi="Times New Roman"/>
      <w:sz w:val="24"/>
      <w:szCs w:val="24"/>
      <w:lang w:eastAsia="en-US"/>
    </w:rPr>
  </w:style>
  <w:style w:type="character" w:customStyle="1" w:styleId="ListParagraphChar">
    <w:name w:val="List Paragraph Char"/>
    <w:basedOn w:val="DefaultParagraphFont"/>
    <w:link w:val="ListParagraph"/>
    <w:uiPriority w:val="34"/>
    <w:rsid w:val="00F71B75"/>
    <w:rPr>
      <w:rFonts w:ascii="Segoe UI" w:hAnsi="Segoe UI"/>
      <w:sz w:val="21"/>
      <w:lang w:eastAsia="en-GB"/>
    </w:rPr>
  </w:style>
  <w:style w:type="paragraph" w:customStyle="1" w:styleId="Bulletlist">
    <w:name w:val="Bullet list"/>
    <w:basedOn w:val="Normal"/>
    <w:link w:val="BulletlistChar"/>
    <w:qFormat/>
    <w:rsid w:val="00F71B75"/>
    <w:pPr>
      <w:keepNext/>
      <w:widowControl w:val="0"/>
      <w:numPr>
        <w:numId w:val="30"/>
      </w:numPr>
      <w:spacing w:before="60" w:after="60"/>
      <w:jc w:val="both"/>
      <w:outlineLvl w:val="3"/>
    </w:pPr>
    <w:rPr>
      <w:rFonts w:ascii="Calibri" w:hAnsi="Calibri" w:cs="Calibri"/>
      <w:bCs/>
      <w:snapToGrid w:val="0"/>
      <w:sz w:val="22"/>
      <w:szCs w:val="22"/>
      <w:lang w:eastAsia="en-US"/>
    </w:rPr>
  </w:style>
  <w:style w:type="character" w:customStyle="1" w:styleId="BulletlistChar">
    <w:name w:val="Bullet list Char"/>
    <w:basedOn w:val="ListParagraphChar"/>
    <w:link w:val="Bulletlist"/>
    <w:rsid w:val="00F71B75"/>
    <w:rPr>
      <w:rFonts w:ascii="Calibri" w:hAnsi="Calibri" w:cs="Calibri"/>
      <w:bCs/>
      <w:snapToGrid w:val="0"/>
      <w:sz w:val="22"/>
      <w:szCs w:val="22"/>
      <w:lang w:eastAsia="en-US"/>
    </w:rPr>
  </w:style>
  <w:style w:type="paragraph" w:styleId="Caption">
    <w:name w:val="caption"/>
    <w:basedOn w:val="Normal"/>
    <w:next w:val="Normal"/>
    <w:uiPriority w:val="35"/>
    <w:unhideWhenUsed/>
    <w:qFormat/>
    <w:rsid w:val="00F71B75"/>
    <w:pPr>
      <w:keepNext/>
      <w:spacing w:before="120"/>
      <w:jc w:val="both"/>
    </w:pPr>
    <w:rPr>
      <w:rFonts w:asciiTheme="minorHAnsi" w:eastAsiaTheme="minorHAnsi" w:hAnsiTheme="minorHAnsi" w:cstheme="minorBidi"/>
      <w:b/>
      <w:bCs/>
      <w:sz w:val="20"/>
      <w:szCs w:val="18"/>
      <w:lang w:eastAsia="en-US"/>
    </w:rPr>
  </w:style>
  <w:style w:type="paragraph" w:styleId="NormalIndent">
    <w:name w:val="Normal Indent"/>
    <w:basedOn w:val="Normal"/>
    <w:uiPriority w:val="99"/>
    <w:unhideWhenUsed/>
    <w:rsid w:val="00F71B75"/>
    <w:pPr>
      <w:spacing w:after="160" w:line="259" w:lineRule="auto"/>
      <w:ind w:left="720"/>
      <w:jc w:val="both"/>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F71B75"/>
    <w:pPr>
      <w:keepNext/>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A783-5D51-4002-9A3A-1EBF29F91178}">
  <ds:schemaRefs>
    <ds:schemaRef ds:uri="http://schemas.microsoft.com/sharepoint/v3/contenttype/forms"/>
  </ds:schemaRefs>
</ds:datastoreItem>
</file>

<file path=customXml/itemProps2.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2F7FEDD-88E2-4A17-A512-32F3B2634293}">
  <ds:schemaRefs>
    <ds:schemaRef ds:uri="http://schemas.microsoft.com/office/2006/metadata/properties"/>
    <ds:schemaRef ds:uri="http://purl.org/dc/terms/"/>
    <ds:schemaRef ds:uri="4aea5d07-0eb0-44bf-96eb-22637babf967"/>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2ffa5dc2-4451-4ee2-b115-33f870a805e6"/>
    <ds:schemaRef ds:uri="http://purl.org/dc/dcmitype/"/>
  </ds:schemaRefs>
</ds:datastoreItem>
</file>

<file path=customXml/itemProps4.xml><?xml version="1.0" encoding="utf-8"?>
<ds:datastoreItem xmlns:ds="http://schemas.openxmlformats.org/officeDocument/2006/customXml" ds:itemID="{0CB9AF7E-2549-49E1-A2F4-49A247019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D3218-18E1-49F7-BAC0-D827E5A0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29</Pages>
  <Words>7375</Words>
  <Characters>42757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National Framework for Home and Community Support Services</vt:lpstr>
    </vt:vector>
  </TitlesOfParts>
  <Company>Microsoft</Company>
  <LinksUpToDate>false</LinksUpToDate>
  <CharactersWithSpaces>50032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Framework for Home and Community Support Services</dc:title>
  <dc:creator>Ministry of Health</dc:creator>
  <cp:lastModifiedBy>Geneva Ruppert-Wise</cp:lastModifiedBy>
  <cp:revision>3</cp:revision>
  <cp:lastPrinted>2020-09-29T00:59:00Z</cp:lastPrinted>
  <dcterms:created xsi:type="dcterms:W3CDTF">2020-09-29T00:59:00Z</dcterms:created>
  <dcterms:modified xsi:type="dcterms:W3CDTF">2020-09-29T00:59:00Z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0x010100FA4F869651CBED4AB058FE7F9F3ED0A7</vt:lpwstr>
  </property>
</Properties>
</file>