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2835"/>
      </w:tblGrid>
      <w:tr w:rsidR="00D56D8D" w:rsidRPr="00DD748F" w:rsidTr="0092659B">
        <w:trPr>
          <w:cantSplit/>
        </w:trPr>
        <w:tc>
          <w:tcPr>
            <w:tcW w:w="6663" w:type="dxa"/>
            <w:shd w:val="clear" w:color="auto" w:fill="auto"/>
            <w:vAlign w:val="bottom"/>
          </w:tcPr>
          <w:p w:rsidR="008348B7" w:rsidRPr="00DD748F" w:rsidRDefault="00450C8A" w:rsidP="00271A36">
            <w:pPr>
              <w:pStyle w:val="Title"/>
            </w:pPr>
            <w:r>
              <w:t>National Review of Outreach Immunisation Services</w:t>
            </w:r>
            <w:r w:rsidR="0003497E">
              <w:t>: Summary and Recommendations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D373C" w:rsidRPr="00DD748F" w:rsidRDefault="00CD373C" w:rsidP="0092659B">
            <w:pPr>
              <w:spacing w:after="120"/>
              <w:jc w:val="right"/>
            </w:pPr>
          </w:p>
          <w:p w:rsidR="00423830" w:rsidRPr="00DD748F" w:rsidRDefault="006C1E7F" w:rsidP="00450C8A">
            <w:pPr>
              <w:spacing w:after="120"/>
              <w:jc w:val="right"/>
              <w:rPr>
                <w:color w:val="002B7F"/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  <w:r w:rsidR="0003497E">
              <w:rPr>
                <w:sz w:val="28"/>
                <w:szCs w:val="28"/>
              </w:rPr>
              <w:t xml:space="preserve"> 2016</w:t>
            </w:r>
          </w:p>
        </w:tc>
      </w:tr>
    </w:tbl>
    <w:p w:rsidR="00450C8A" w:rsidRDefault="00BA0BD6" w:rsidP="00450C8A">
      <w:pPr>
        <w:pStyle w:val="Heading2"/>
      </w:pPr>
      <w:r>
        <w:t>Overview</w:t>
      </w:r>
      <w:r w:rsidR="00450C8A">
        <w:t xml:space="preserve"> </w:t>
      </w:r>
    </w:p>
    <w:p w:rsidR="00450C8A" w:rsidRPr="00B04A05" w:rsidRDefault="00450C8A" w:rsidP="00450C8A">
      <w:r w:rsidRPr="00B04A05">
        <w:t xml:space="preserve">Outreach </w:t>
      </w:r>
      <w:r w:rsidR="00CD7328">
        <w:t>i</w:t>
      </w:r>
      <w:r w:rsidRPr="00B04A05">
        <w:t xml:space="preserve">mmunisation </w:t>
      </w:r>
      <w:r w:rsidR="00CD7328">
        <w:t>s</w:t>
      </w:r>
      <w:r w:rsidRPr="00B04A05">
        <w:t xml:space="preserve">ervices </w:t>
      </w:r>
      <w:r w:rsidR="00835C5B">
        <w:t xml:space="preserve">(OIS) </w:t>
      </w:r>
      <w:r>
        <w:t>are</w:t>
      </w:r>
      <w:r w:rsidRPr="00B04A05">
        <w:t xml:space="preserve"> an important tool for increasing childhood immunisation coverage. The services ensure that immunisation is available to children who are unable to access a general practice in a timely fashion for their immunisation events.</w:t>
      </w:r>
    </w:p>
    <w:p w:rsidR="00450C8A" w:rsidRDefault="00450C8A" w:rsidP="00450C8A"/>
    <w:p w:rsidR="00450C8A" w:rsidRDefault="00450C8A" w:rsidP="00450C8A">
      <w:r w:rsidRPr="00B04A05">
        <w:t xml:space="preserve">The Ministry of Health Tier Two Service Specification </w:t>
      </w:r>
      <w:r>
        <w:t xml:space="preserve">defines what services are required to be delivered </w:t>
      </w:r>
      <w:r w:rsidR="00835C5B">
        <w:t xml:space="preserve">by OIS </w:t>
      </w:r>
      <w:r>
        <w:t xml:space="preserve">and </w:t>
      </w:r>
      <w:r w:rsidRPr="00B04A05">
        <w:t>expected outcomes</w:t>
      </w:r>
      <w:r>
        <w:t xml:space="preserve">, but not </w:t>
      </w:r>
      <w:r w:rsidRPr="00377653">
        <w:rPr>
          <w:i/>
        </w:rPr>
        <w:t>how</w:t>
      </w:r>
      <w:r>
        <w:t xml:space="preserve"> the</w:t>
      </w:r>
      <w:r w:rsidR="00CD7328">
        <w:t>y</w:t>
      </w:r>
      <w:r>
        <w:t xml:space="preserve"> will be delivered.</w:t>
      </w:r>
      <w:r w:rsidRPr="00B04A05">
        <w:t xml:space="preserve"> </w:t>
      </w:r>
      <w:r w:rsidR="00CD7328">
        <w:t>F</w:t>
      </w:r>
      <w:r>
        <w:t>unding sits</w:t>
      </w:r>
      <w:r w:rsidRPr="00B04A05">
        <w:t xml:space="preserve"> within </w:t>
      </w:r>
      <w:r w:rsidR="00CD7328">
        <w:t>d</w:t>
      </w:r>
      <w:r>
        <w:t xml:space="preserve">istrict </w:t>
      </w:r>
      <w:r w:rsidR="00CD7328">
        <w:t>h</w:t>
      </w:r>
      <w:r>
        <w:t xml:space="preserve">ealth </w:t>
      </w:r>
      <w:r w:rsidR="00CD7328">
        <w:t>b</w:t>
      </w:r>
      <w:r w:rsidRPr="00B04A05">
        <w:t>oard (DHB) budgets</w:t>
      </w:r>
      <w:r w:rsidR="00CD7328">
        <w:t>. T</w:t>
      </w:r>
      <w:r>
        <w:t xml:space="preserve">he number and type of providers in a region </w:t>
      </w:r>
      <w:r w:rsidR="00CD7328">
        <w:t xml:space="preserve">vary, </w:t>
      </w:r>
      <w:r>
        <w:t xml:space="preserve">and </w:t>
      </w:r>
      <w:r w:rsidRPr="00B04A05">
        <w:t xml:space="preserve">how </w:t>
      </w:r>
      <w:r>
        <w:t xml:space="preserve">services are delivered </w:t>
      </w:r>
      <w:r w:rsidR="00CD7328">
        <w:t xml:space="preserve">differs </w:t>
      </w:r>
      <w:r w:rsidRPr="00B04A05">
        <w:t xml:space="preserve">widely between </w:t>
      </w:r>
      <w:r>
        <w:t>DHBs</w:t>
      </w:r>
      <w:r w:rsidRPr="00B04A05">
        <w:t>.</w:t>
      </w:r>
    </w:p>
    <w:p w:rsidR="00450C8A" w:rsidRPr="00B04A05" w:rsidRDefault="00450C8A" w:rsidP="00450C8A"/>
    <w:p w:rsidR="006A425E" w:rsidRDefault="00450C8A" w:rsidP="00450C8A">
      <w:r w:rsidRPr="00B04A05">
        <w:t>In order to identify the most effective and cost-effective approaches to</w:t>
      </w:r>
      <w:r w:rsidR="00CD7328">
        <w:t xml:space="preserve"> service delivery</w:t>
      </w:r>
      <w:r w:rsidRPr="00B04A05">
        <w:t xml:space="preserve">, the Ministry </w:t>
      </w:r>
      <w:r w:rsidR="006C1E7F">
        <w:t xml:space="preserve">of Health </w:t>
      </w:r>
      <w:r w:rsidRPr="00B04A05">
        <w:t>contracted the Immunisation Advisory Centre</w:t>
      </w:r>
      <w:r w:rsidR="00854A77">
        <w:t xml:space="preserve"> (IMAC)</w:t>
      </w:r>
      <w:r w:rsidRPr="00B04A05">
        <w:t xml:space="preserve"> to carry out a national review of </w:t>
      </w:r>
      <w:r w:rsidR="00CD7328">
        <w:t xml:space="preserve">outreach immunisation services. </w:t>
      </w:r>
      <w:r>
        <w:t>The review included</w:t>
      </w:r>
      <w:r w:rsidR="006A425E">
        <w:t>:</w:t>
      </w:r>
    </w:p>
    <w:p w:rsidR="006A425E" w:rsidRDefault="00450C8A" w:rsidP="00111502">
      <w:pPr>
        <w:pStyle w:val="Bullet"/>
      </w:pPr>
      <w:r>
        <w:t xml:space="preserve">an appraisal </w:t>
      </w:r>
      <w:r w:rsidRPr="00B04A05">
        <w:t>of contracts</w:t>
      </w:r>
      <w:r w:rsidR="00111502">
        <w:t xml:space="preserve"> with DHBs to identify any variations from the Ministry’s service specifications and to </w:t>
      </w:r>
      <w:r w:rsidR="006A425E">
        <w:t xml:space="preserve">understand what key performance indicators were being used; 15 DHBs made contracts available, covering 22 </w:t>
      </w:r>
      <w:r w:rsidR="00835C5B">
        <w:t xml:space="preserve">OIS </w:t>
      </w:r>
      <w:r w:rsidR="006A425E">
        <w:t>providers</w:t>
      </w:r>
    </w:p>
    <w:p w:rsidR="006A425E" w:rsidRDefault="006A425E" w:rsidP="00271A36">
      <w:pPr>
        <w:pStyle w:val="Bullet"/>
      </w:pPr>
      <w:r>
        <w:t>a</w:t>
      </w:r>
      <w:r w:rsidR="00450C8A" w:rsidRPr="00B04A05">
        <w:t xml:space="preserve">n online survey </w:t>
      </w:r>
      <w:r>
        <w:t xml:space="preserve">completed by 28 of 35 </w:t>
      </w:r>
      <w:r w:rsidR="00835C5B">
        <w:t xml:space="preserve">OIS </w:t>
      </w:r>
      <w:r>
        <w:t xml:space="preserve">providers that included </w:t>
      </w:r>
      <w:r w:rsidR="00271A36" w:rsidRPr="00271A36">
        <w:t>characteristics of the population/area they covered</w:t>
      </w:r>
      <w:r>
        <w:t>,  processes, linkages and engagement with the sector, reporting and evaluation methods, strengths and challenges, and staffing</w:t>
      </w:r>
    </w:p>
    <w:p w:rsidR="006A425E" w:rsidRDefault="00450C8A" w:rsidP="00111502">
      <w:pPr>
        <w:pStyle w:val="Bullet"/>
      </w:pPr>
      <w:r w:rsidRPr="00B04A05">
        <w:t>in-depth interviews</w:t>
      </w:r>
      <w:r w:rsidR="006A425E">
        <w:t xml:space="preserve"> </w:t>
      </w:r>
      <w:r w:rsidR="00111502">
        <w:t>with</w:t>
      </w:r>
      <w:r w:rsidR="006A425E">
        <w:t xml:space="preserve"> 28 staff from 15 </w:t>
      </w:r>
      <w:r w:rsidR="00835C5B">
        <w:t xml:space="preserve">OIS </w:t>
      </w:r>
      <w:r w:rsidR="006A425E">
        <w:t>providers</w:t>
      </w:r>
    </w:p>
    <w:p w:rsidR="006A425E" w:rsidRDefault="00450C8A" w:rsidP="00111502">
      <w:pPr>
        <w:pStyle w:val="Bullet"/>
      </w:pPr>
      <w:r w:rsidRPr="00B04A05">
        <w:t xml:space="preserve">collection of cost data </w:t>
      </w:r>
      <w:r w:rsidR="00A33FB6">
        <w:t>supplied by 10</w:t>
      </w:r>
      <w:r w:rsidR="006A425E">
        <w:t xml:space="preserve"> </w:t>
      </w:r>
      <w:r w:rsidR="00835C5B">
        <w:t xml:space="preserve">OIS </w:t>
      </w:r>
      <w:r w:rsidR="006A425E">
        <w:t>providers</w:t>
      </w:r>
    </w:p>
    <w:p w:rsidR="00450C8A" w:rsidRDefault="00450C8A" w:rsidP="00111502">
      <w:pPr>
        <w:pStyle w:val="Bullet"/>
      </w:pPr>
      <w:r w:rsidRPr="00B04A05">
        <w:t>a cost-effectiveness analysis.</w:t>
      </w:r>
    </w:p>
    <w:p w:rsidR="00450C8A" w:rsidRPr="00B04A05" w:rsidRDefault="00450C8A" w:rsidP="00450C8A">
      <w:pPr>
        <w:pStyle w:val="Heading2"/>
      </w:pPr>
      <w:r w:rsidRPr="00B04A05">
        <w:t xml:space="preserve">Recommendations for </w:t>
      </w:r>
      <w:r w:rsidR="00015F76">
        <w:t>service</w:t>
      </w:r>
      <w:r w:rsidR="00015F76" w:rsidRPr="00B04A05">
        <w:t xml:space="preserve"> </w:t>
      </w:r>
      <w:r w:rsidRPr="00B04A05">
        <w:t>delivery</w:t>
      </w:r>
    </w:p>
    <w:p w:rsidR="0022723F" w:rsidRDefault="00450C8A" w:rsidP="00450C8A">
      <w:pPr>
        <w:keepNext/>
        <w:rPr>
          <w:lang w:val="en-GB"/>
        </w:rPr>
      </w:pPr>
      <w:r w:rsidRPr="00B04A05">
        <w:rPr>
          <w:lang w:val="en-GB"/>
        </w:rPr>
        <w:t xml:space="preserve">The Ministry accepts the </w:t>
      </w:r>
      <w:r w:rsidR="0022723F">
        <w:rPr>
          <w:lang w:val="en-GB"/>
        </w:rPr>
        <w:t>findings</w:t>
      </w:r>
      <w:r w:rsidR="0022723F" w:rsidRPr="00B04A05">
        <w:rPr>
          <w:lang w:val="en-GB"/>
        </w:rPr>
        <w:t xml:space="preserve"> </w:t>
      </w:r>
      <w:r w:rsidRPr="00B04A05">
        <w:rPr>
          <w:lang w:val="en-GB"/>
        </w:rPr>
        <w:t xml:space="preserve">provided by IMAC to improve </w:t>
      </w:r>
      <w:r w:rsidR="00015F76">
        <w:rPr>
          <w:lang w:val="en-GB"/>
        </w:rPr>
        <w:t xml:space="preserve">the </w:t>
      </w:r>
      <w:r w:rsidR="0022723F">
        <w:rPr>
          <w:lang w:val="en-GB"/>
        </w:rPr>
        <w:t>efficient delivery and cost-effectiveness</w:t>
      </w:r>
      <w:r w:rsidR="00015F76">
        <w:rPr>
          <w:lang w:val="en-GB"/>
        </w:rPr>
        <w:t xml:space="preserve"> of outreach immunisation services</w:t>
      </w:r>
      <w:r w:rsidRPr="00B04A05">
        <w:rPr>
          <w:lang w:val="en-GB"/>
        </w:rPr>
        <w:t xml:space="preserve">. </w:t>
      </w:r>
    </w:p>
    <w:p w:rsidR="0022723F" w:rsidRDefault="0022723F" w:rsidP="00450C8A">
      <w:pPr>
        <w:keepNext/>
        <w:rPr>
          <w:lang w:val="en-GB"/>
        </w:rPr>
      </w:pPr>
    </w:p>
    <w:p w:rsidR="0022723F" w:rsidRDefault="00450C8A" w:rsidP="00450C8A">
      <w:pPr>
        <w:keepNext/>
        <w:rPr>
          <w:lang w:val="en-GB"/>
        </w:rPr>
      </w:pPr>
      <w:r w:rsidRPr="00B04A05">
        <w:rPr>
          <w:lang w:val="en-GB"/>
        </w:rPr>
        <w:t xml:space="preserve">The Ministry recommends </w:t>
      </w:r>
      <w:r w:rsidR="00014A27">
        <w:rPr>
          <w:lang w:val="en-GB"/>
        </w:rPr>
        <w:t>the following.</w:t>
      </w:r>
    </w:p>
    <w:p w:rsidR="0022723F" w:rsidRDefault="0022723F" w:rsidP="00450C8A">
      <w:pPr>
        <w:keepNext/>
        <w:rPr>
          <w:lang w:val="en-GB"/>
        </w:rPr>
      </w:pPr>
    </w:p>
    <w:p w:rsidR="0022723F" w:rsidRPr="008B117C" w:rsidRDefault="008B117C" w:rsidP="00B67793">
      <w:pPr>
        <w:pStyle w:val="ListParagraph"/>
        <w:keepNext/>
        <w:numPr>
          <w:ilvl w:val="0"/>
          <w:numId w:val="11"/>
        </w:numPr>
        <w:rPr>
          <w:lang w:val="en-GB"/>
        </w:rPr>
      </w:pPr>
      <w:r w:rsidRPr="0056098A">
        <w:rPr>
          <w:lang w:val="en-GB"/>
        </w:rPr>
        <w:t xml:space="preserve">Where implementation is feasible, the </w:t>
      </w:r>
      <w:r w:rsidR="0022723F" w:rsidRPr="008B117C">
        <w:rPr>
          <w:lang w:val="en-GB"/>
        </w:rPr>
        <w:t>delivery of services can be improved by:</w:t>
      </w:r>
    </w:p>
    <w:p w:rsidR="0022723F" w:rsidRPr="00BF6820" w:rsidRDefault="0022723F" w:rsidP="00B67793">
      <w:pPr>
        <w:pStyle w:val="ListParagraph"/>
        <w:numPr>
          <w:ilvl w:val="0"/>
          <w:numId w:val="8"/>
        </w:numPr>
        <w:spacing w:before="90"/>
      </w:pPr>
      <w:r>
        <w:t xml:space="preserve">co-location of the </w:t>
      </w:r>
      <w:r w:rsidR="00835C5B">
        <w:t xml:space="preserve">OIS </w:t>
      </w:r>
      <w:r>
        <w:t xml:space="preserve">provider team with the </w:t>
      </w:r>
      <w:r w:rsidR="00835C5B">
        <w:t xml:space="preserve">NIR </w:t>
      </w:r>
      <w:r w:rsidRPr="00BF6820">
        <w:t xml:space="preserve">team, </w:t>
      </w:r>
      <w:r>
        <w:t>i</w:t>
      </w:r>
      <w:r w:rsidRPr="00BF6820">
        <w:t xml:space="preserve">mmunisation </w:t>
      </w:r>
      <w:r>
        <w:t>c</w:t>
      </w:r>
      <w:r w:rsidRPr="00BF6820">
        <w:t>o</w:t>
      </w:r>
      <w:r>
        <w:t>-</w:t>
      </w:r>
      <w:r w:rsidRPr="00BF6820">
        <w:t xml:space="preserve">ordinator, and/or </w:t>
      </w:r>
      <w:r w:rsidR="00835C5B">
        <w:t xml:space="preserve">other </w:t>
      </w:r>
      <w:r w:rsidRPr="00BF6820">
        <w:t xml:space="preserve">child health services </w:t>
      </w:r>
    </w:p>
    <w:p w:rsidR="0022723F" w:rsidRPr="00BF6820" w:rsidRDefault="0022723F" w:rsidP="00B67793">
      <w:pPr>
        <w:pStyle w:val="ListParagraph"/>
        <w:numPr>
          <w:ilvl w:val="0"/>
          <w:numId w:val="8"/>
        </w:numPr>
        <w:spacing w:before="90"/>
      </w:pPr>
      <w:r>
        <w:t>p</w:t>
      </w:r>
      <w:r w:rsidRPr="00BF6820">
        <w:t xml:space="preserve">rompt referral of children overdue for their immunisations, </w:t>
      </w:r>
      <w:r w:rsidR="00B67793">
        <w:t>with</w:t>
      </w:r>
      <w:r w:rsidRPr="00BF6820">
        <w:t xml:space="preserve"> automatic referral dir</w:t>
      </w:r>
      <w:r w:rsidR="00835C5B">
        <w:t>ectly via the NIR where appropriate</w:t>
      </w:r>
    </w:p>
    <w:p w:rsidR="0022723F" w:rsidRPr="00BF6820" w:rsidRDefault="0022723F" w:rsidP="00B67793">
      <w:pPr>
        <w:pStyle w:val="ListParagraph"/>
        <w:numPr>
          <w:ilvl w:val="0"/>
          <w:numId w:val="8"/>
        </w:numPr>
        <w:spacing w:before="90"/>
      </w:pPr>
      <w:r>
        <w:t>intensive processing of referrals by t</w:t>
      </w:r>
      <w:r w:rsidRPr="00BF6820">
        <w:t>he NIR team and/or other</w:t>
      </w:r>
      <w:r>
        <w:t xml:space="preserve"> dedicated administration staff</w:t>
      </w:r>
      <w:r w:rsidRPr="00BF6820">
        <w:t>, including finding families and checking contact information and immunisation status, before passing referrals on</w:t>
      </w:r>
    </w:p>
    <w:p w:rsidR="0022723F" w:rsidRPr="00BF6820" w:rsidRDefault="0022723F" w:rsidP="00B67793">
      <w:pPr>
        <w:pStyle w:val="ListParagraph"/>
        <w:numPr>
          <w:ilvl w:val="0"/>
          <w:numId w:val="8"/>
        </w:numPr>
        <w:spacing w:before="90"/>
      </w:pPr>
      <w:r>
        <w:lastRenderedPageBreak/>
        <w:t>u</w:t>
      </w:r>
      <w:r w:rsidRPr="00BF6820">
        <w:t xml:space="preserve">se of well-connected staff with extensive local knowledge, particularly in the </w:t>
      </w:r>
      <w:r>
        <w:t>c</w:t>
      </w:r>
      <w:r w:rsidRPr="00BF6820">
        <w:t xml:space="preserve">ommunity </w:t>
      </w:r>
      <w:r>
        <w:t>h</w:t>
      </w:r>
      <w:r w:rsidRPr="00BF6820">
        <w:t xml:space="preserve">ealth </w:t>
      </w:r>
      <w:r>
        <w:t>w</w:t>
      </w:r>
      <w:r w:rsidRPr="00BF6820">
        <w:t xml:space="preserve">orker role, to </w:t>
      </w:r>
      <w:r>
        <w:t>locate, make contact and build trust with families</w:t>
      </w:r>
    </w:p>
    <w:p w:rsidR="0022723F" w:rsidRDefault="0022723F" w:rsidP="00B67793">
      <w:pPr>
        <w:pStyle w:val="ListParagraph"/>
        <w:numPr>
          <w:ilvl w:val="0"/>
          <w:numId w:val="8"/>
        </w:numPr>
        <w:spacing w:before="90"/>
      </w:pPr>
      <w:r>
        <w:t>use of technology</w:t>
      </w:r>
      <w:r w:rsidRPr="00BF6820">
        <w:t xml:space="preserve"> in the</w:t>
      </w:r>
      <w:r w:rsidR="00835C5B">
        <w:t xml:space="preserve"> outreach setting to access NIR</w:t>
      </w:r>
      <w:r w:rsidRPr="00BF6820">
        <w:t xml:space="preserve"> </w:t>
      </w:r>
      <w:r w:rsidR="00835C5B">
        <w:t xml:space="preserve">and </w:t>
      </w:r>
      <w:r w:rsidRPr="00BF6820">
        <w:t xml:space="preserve">hospital records and </w:t>
      </w:r>
      <w:r w:rsidR="00835C5B">
        <w:t xml:space="preserve">allow </w:t>
      </w:r>
      <w:r>
        <w:t>entry of</w:t>
      </w:r>
      <w:r w:rsidRPr="00BF6820">
        <w:t xml:space="preserve"> immunisation data into </w:t>
      </w:r>
      <w:r>
        <w:t>p</w:t>
      </w:r>
      <w:r w:rsidRPr="00BF6820">
        <w:t xml:space="preserve">ractice </w:t>
      </w:r>
      <w:r>
        <w:t>m</w:t>
      </w:r>
      <w:r w:rsidRPr="00BF6820">
        <w:t xml:space="preserve">anagement </w:t>
      </w:r>
      <w:r>
        <w:t>s</w:t>
      </w:r>
      <w:r w:rsidRPr="00BF6820">
        <w:t>ystems</w:t>
      </w:r>
    </w:p>
    <w:p w:rsidR="0022723F" w:rsidRPr="008B117C" w:rsidRDefault="00835C5B" w:rsidP="00B67793">
      <w:pPr>
        <w:pStyle w:val="ListParagraph"/>
        <w:numPr>
          <w:ilvl w:val="0"/>
          <w:numId w:val="8"/>
        </w:numPr>
        <w:spacing w:before="90"/>
        <w:rPr>
          <w:lang w:val="en-GB"/>
        </w:rPr>
      </w:pPr>
      <w:r>
        <w:rPr>
          <w:lang w:val="en-GB"/>
        </w:rPr>
        <w:t xml:space="preserve">maintenance of </w:t>
      </w:r>
      <w:r w:rsidR="0022723F" w:rsidRPr="0056098A">
        <w:rPr>
          <w:lang w:val="en-GB"/>
        </w:rPr>
        <w:t>close relationships</w:t>
      </w:r>
      <w:r w:rsidR="0022723F" w:rsidRPr="008B117C">
        <w:rPr>
          <w:lang w:val="en-GB"/>
        </w:rPr>
        <w:t xml:space="preserve"> with the Medical Officer of Health and other child health services</w:t>
      </w:r>
    </w:p>
    <w:p w:rsidR="0022723F" w:rsidRPr="005F591B" w:rsidRDefault="0022723F" w:rsidP="00B67793">
      <w:pPr>
        <w:pStyle w:val="ListParagraph"/>
        <w:numPr>
          <w:ilvl w:val="0"/>
          <w:numId w:val="8"/>
        </w:numPr>
        <w:spacing w:before="90"/>
      </w:pPr>
      <w:r>
        <w:t xml:space="preserve">regular internal evaluation of the service </w:t>
      </w:r>
      <w:r w:rsidRPr="005F591B">
        <w:t xml:space="preserve">with a </w:t>
      </w:r>
      <w:r>
        <w:t>c</w:t>
      </w:r>
      <w:r w:rsidRPr="005F591B">
        <w:t xml:space="preserve">ontinuous </w:t>
      </w:r>
      <w:r>
        <w:t>q</w:t>
      </w:r>
      <w:r w:rsidRPr="005F591B">
        <w:t xml:space="preserve">uality </w:t>
      </w:r>
      <w:r>
        <w:t>i</w:t>
      </w:r>
      <w:r w:rsidRPr="005F591B">
        <w:t>mprovement model</w:t>
      </w:r>
    </w:p>
    <w:p w:rsidR="00015CF8" w:rsidRPr="00B408C6" w:rsidRDefault="009C66A4" w:rsidP="00015CF8">
      <w:pPr>
        <w:pStyle w:val="ListParagraph"/>
        <w:numPr>
          <w:ilvl w:val="0"/>
          <w:numId w:val="8"/>
        </w:numPr>
      </w:pPr>
      <w:r>
        <w:t xml:space="preserve">a drop-in immunisation clinic with extended hours, preferably based in the local after hours </w:t>
      </w:r>
      <w:r w:rsidRPr="00B408C6">
        <w:t>clinic, being offered as an alternative before home visit immunisation</w:t>
      </w:r>
      <w:r w:rsidR="00015CF8" w:rsidRPr="00B408C6">
        <w:t>.</w:t>
      </w:r>
    </w:p>
    <w:p w:rsidR="00835C5B" w:rsidRPr="00B408C6" w:rsidRDefault="00835C5B" w:rsidP="00B67793">
      <w:pPr>
        <w:pStyle w:val="ListParagraph"/>
        <w:numPr>
          <w:ilvl w:val="0"/>
          <w:numId w:val="8"/>
        </w:numPr>
        <w:spacing w:before="90"/>
      </w:pPr>
      <w:r w:rsidRPr="00B408C6">
        <w:t xml:space="preserve">reducing avoidable referrals to OIS through </w:t>
      </w:r>
      <w:r w:rsidR="000B5235" w:rsidRPr="00B408C6">
        <w:t xml:space="preserve">building relationships with Child Youth and Family providers to facilitate </w:t>
      </w:r>
      <w:r w:rsidR="00B408C6" w:rsidRPr="00B408C6">
        <w:t xml:space="preserve">consent and </w:t>
      </w:r>
      <w:r w:rsidR="000B5235" w:rsidRPr="00B408C6">
        <w:t xml:space="preserve">opportunistic immunisations during Gateway checks </w:t>
      </w:r>
      <w:r w:rsidR="00B408C6" w:rsidRPr="00B408C6">
        <w:t xml:space="preserve">and developing </w:t>
      </w:r>
      <w:r w:rsidRPr="00B408C6">
        <w:t xml:space="preserve">effective systems to </w:t>
      </w:r>
      <w:r w:rsidR="000B5235" w:rsidRPr="00B408C6">
        <w:t xml:space="preserve">check immunisation status and provide </w:t>
      </w:r>
      <w:r w:rsidR="00B408C6" w:rsidRPr="00B408C6">
        <w:t xml:space="preserve">other </w:t>
      </w:r>
      <w:r w:rsidR="000B5235" w:rsidRPr="00B408C6">
        <w:t xml:space="preserve">opportunistic </w:t>
      </w:r>
      <w:r w:rsidR="00B408C6" w:rsidRPr="00B408C6">
        <w:t>vaccinations in secondary care.</w:t>
      </w:r>
    </w:p>
    <w:p w:rsidR="00014A27" w:rsidRDefault="00014A27" w:rsidP="00B67793">
      <w:pPr>
        <w:pStyle w:val="ListParagraph"/>
        <w:spacing w:before="90" w:after="240"/>
      </w:pPr>
    </w:p>
    <w:p w:rsidR="00014A27" w:rsidRDefault="00B67793" w:rsidP="00B67793">
      <w:pPr>
        <w:pStyle w:val="ListParagraph"/>
        <w:keepNext/>
        <w:numPr>
          <w:ilvl w:val="0"/>
          <w:numId w:val="11"/>
        </w:numPr>
        <w:spacing w:before="240"/>
        <w:rPr>
          <w:lang w:val="en-GB"/>
        </w:rPr>
      </w:pPr>
      <w:r w:rsidRPr="00B67793">
        <w:rPr>
          <w:lang w:val="en-GB"/>
        </w:rPr>
        <w:t>The barriers to service delivery sho</w:t>
      </w:r>
      <w:r>
        <w:rPr>
          <w:lang w:val="en-GB"/>
        </w:rPr>
        <w:t>uld be addressed at both the</w:t>
      </w:r>
      <w:r w:rsidRPr="00B67793">
        <w:rPr>
          <w:lang w:val="en-GB"/>
        </w:rPr>
        <w:t xml:space="preserve"> funder and provider levels.</w:t>
      </w:r>
    </w:p>
    <w:p w:rsidR="00014A27" w:rsidRPr="002361F3" w:rsidRDefault="00014A27" w:rsidP="00B67793">
      <w:pPr>
        <w:pStyle w:val="ListParagraph"/>
        <w:keepNext/>
        <w:spacing w:before="240"/>
        <w:ind w:left="0"/>
        <w:rPr>
          <w:lang w:val="en-GB"/>
        </w:rPr>
      </w:pPr>
    </w:p>
    <w:p w:rsidR="008B117C" w:rsidRPr="0056098A" w:rsidRDefault="008B117C" w:rsidP="00B67793">
      <w:pPr>
        <w:pStyle w:val="ListParagraph"/>
        <w:keepNext/>
        <w:spacing w:before="240"/>
        <w:ind w:left="0"/>
        <w:rPr>
          <w:lang w:val="en-GB"/>
        </w:rPr>
      </w:pPr>
      <w:r w:rsidRPr="00817FF2">
        <w:rPr>
          <w:lang w:val="en-GB"/>
        </w:rPr>
        <w:t>Funder issues include the following</w:t>
      </w:r>
      <w:r w:rsidR="00014A27">
        <w:rPr>
          <w:lang w:val="en-GB"/>
        </w:rPr>
        <w:t>.</w:t>
      </w:r>
    </w:p>
    <w:p w:rsidR="008B117C" w:rsidRPr="00014A27" w:rsidRDefault="008B117C" w:rsidP="00B67793">
      <w:pPr>
        <w:pStyle w:val="Bullet"/>
        <w:rPr>
          <w:lang w:val="en-GB"/>
        </w:rPr>
      </w:pPr>
      <w:r w:rsidRPr="002361F3">
        <w:rPr>
          <w:lang w:val="en-GB"/>
        </w:rPr>
        <w:t xml:space="preserve">Contracting many small </w:t>
      </w:r>
      <w:r w:rsidR="00835C5B">
        <w:rPr>
          <w:lang w:val="en-GB"/>
        </w:rPr>
        <w:t xml:space="preserve">OIS </w:t>
      </w:r>
      <w:r w:rsidRPr="002361F3">
        <w:rPr>
          <w:lang w:val="en-GB"/>
        </w:rPr>
        <w:t>provider</w:t>
      </w:r>
      <w:r w:rsidR="00835C5B">
        <w:rPr>
          <w:lang w:val="en-GB"/>
        </w:rPr>
        <w:t>s</w:t>
      </w:r>
      <w:r w:rsidRPr="002361F3">
        <w:rPr>
          <w:lang w:val="en-GB"/>
        </w:rPr>
        <w:t xml:space="preserve"> in a DHB can lead to </w:t>
      </w:r>
      <w:r w:rsidR="00835C5B">
        <w:rPr>
          <w:lang w:val="en-GB"/>
        </w:rPr>
        <w:t xml:space="preserve">service </w:t>
      </w:r>
      <w:r w:rsidRPr="002361F3">
        <w:rPr>
          <w:lang w:val="en-GB"/>
        </w:rPr>
        <w:t>fragmentation and</w:t>
      </w:r>
      <w:r w:rsidRPr="00014A27">
        <w:rPr>
          <w:lang w:val="en-GB"/>
        </w:rPr>
        <w:t xml:space="preserve"> is likely to be less cost effective.</w:t>
      </w:r>
    </w:p>
    <w:p w:rsidR="008B117C" w:rsidRPr="00014A27" w:rsidRDefault="008B117C" w:rsidP="00B67793">
      <w:pPr>
        <w:pStyle w:val="Bullet"/>
        <w:rPr>
          <w:lang w:val="en-GB"/>
        </w:rPr>
      </w:pPr>
      <w:r w:rsidRPr="00014A27">
        <w:rPr>
          <w:lang w:val="en-GB"/>
        </w:rPr>
        <w:t xml:space="preserve">Short-term contracts between funders and </w:t>
      </w:r>
      <w:r w:rsidR="00835C5B">
        <w:rPr>
          <w:lang w:val="en-GB"/>
        </w:rPr>
        <w:t xml:space="preserve">OIS </w:t>
      </w:r>
      <w:r w:rsidRPr="00014A27">
        <w:rPr>
          <w:lang w:val="en-GB"/>
        </w:rPr>
        <w:t>providers create uncertainty and put service continuity at risk.</w:t>
      </w:r>
    </w:p>
    <w:p w:rsidR="008B117C" w:rsidRPr="00014A27" w:rsidRDefault="008B117C" w:rsidP="00B67793">
      <w:pPr>
        <w:pStyle w:val="Bullet"/>
        <w:rPr>
          <w:lang w:val="en-GB"/>
        </w:rPr>
      </w:pPr>
      <w:r w:rsidRPr="00014A27">
        <w:rPr>
          <w:lang w:val="en-GB"/>
        </w:rPr>
        <w:t xml:space="preserve">Small </w:t>
      </w:r>
      <w:r w:rsidR="00835C5B">
        <w:rPr>
          <w:lang w:val="en-GB"/>
        </w:rPr>
        <w:t xml:space="preserve">OIS </w:t>
      </w:r>
      <w:r w:rsidRPr="00014A27">
        <w:rPr>
          <w:lang w:val="en-GB"/>
        </w:rPr>
        <w:t xml:space="preserve">providers cannot benefit from the economies of scale of </w:t>
      </w:r>
      <w:r w:rsidR="00817FF2" w:rsidRPr="00014A27">
        <w:rPr>
          <w:lang w:val="en-GB"/>
        </w:rPr>
        <w:t xml:space="preserve">the larger </w:t>
      </w:r>
      <w:r w:rsidRPr="00014A27">
        <w:rPr>
          <w:lang w:val="en-GB"/>
        </w:rPr>
        <w:t>providers.</w:t>
      </w:r>
    </w:p>
    <w:p w:rsidR="008B117C" w:rsidRPr="00014A27" w:rsidRDefault="008B117C" w:rsidP="00B67793">
      <w:pPr>
        <w:pStyle w:val="Bullet"/>
        <w:rPr>
          <w:lang w:val="en-GB"/>
        </w:rPr>
      </w:pPr>
      <w:r w:rsidRPr="00014A27">
        <w:rPr>
          <w:lang w:val="en-GB"/>
        </w:rPr>
        <w:t xml:space="preserve">Small providers have limited capacity to cover </w:t>
      </w:r>
      <w:r w:rsidR="00835C5B">
        <w:rPr>
          <w:lang w:val="en-GB"/>
        </w:rPr>
        <w:t xml:space="preserve">OIS </w:t>
      </w:r>
      <w:r w:rsidRPr="00014A27">
        <w:rPr>
          <w:lang w:val="en-GB"/>
        </w:rPr>
        <w:t>staff leave, resulting in lack of service continuity if resource support is not provided.</w:t>
      </w:r>
    </w:p>
    <w:p w:rsidR="00014A27" w:rsidRDefault="00014A27" w:rsidP="002361F3">
      <w:pPr>
        <w:keepNext/>
        <w:rPr>
          <w:lang w:val="en-GB"/>
        </w:rPr>
      </w:pPr>
    </w:p>
    <w:p w:rsidR="008B117C" w:rsidRDefault="008B117C" w:rsidP="002361F3">
      <w:pPr>
        <w:keepNext/>
        <w:rPr>
          <w:lang w:val="en-GB"/>
        </w:rPr>
      </w:pPr>
      <w:r>
        <w:rPr>
          <w:lang w:val="en-GB"/>
        </w:rPr>
        <w:t>Provider issues include the following</w:t>
      </w:r>
      <w:r w:rsidR="00014A27">
        <w:rPr>
          <w:lang w:val="en-GB"/>
        </w:rPr>
        <w:t>.</w:t>
      </w:r>
    </w:p>
    <w:p w:rsidR="008B117C" w:rsidRPr="00014A27" w:rsidRDefault="008B117C" w:rsidP="00D73C69">
      <w:pPr>
        <w:pStyle w:val="Bullet"/>
        <w:rPr>
          <w:lang w:val="en-GB"/>
        </w:rPr>
      </w:pPr>
      <w:r w:rsidRPr="002361F3">
        <w:rPr>
          <w:lang w:val="en-GB"/>
        </w:rPr>
        <w:t>Usin</w:t>
      </w:r>
      <w:r w:rsidRPr="00014A27">
        <w:rPr>
          <w:lang w:val="en-GB"/>
        </w:rPr>
        <w:t>g staff with nursing qualifications to perform time-consuming administrative tasks is inefficient.</w:t>
      </w:r>
    </w:p>
    <w:p w:rsidR="00D73C69" w:rsidRPr="002F5B0D" w:rsidRDefault="008B117C" w:rsidP="002F5B0D">
      <w:pPr>
        <w:pStyle w:val="Bullet"/>
        <w:rPr>
          <w:lang w:val="en-GB"/>
        </w:rPr>
      </w:pPr>
      <w:r w:rsidRPr="00014A27">
        <w:rPr>
          <w:lang w:val="en-GB"/>
        </w:rPr>
        <w:t>Administration associated with processing referrals in some services is excessive, with paper-based systems and double-handling.</w:t>
      </w:r>
    </w:p>
    <w:p w:rsidR="002F5B0D" w:rsidRPr="009230C2" w:rsidRDefault="008B117C" w:rsidP="009230C2">
      <w:pPr>
        <w:pStyle w:val="Bullet"/>
        <w:rPr>
          <w:lang w:val="en-GB"/>
        </w:rPr>
      </w:pPr>
      <w:r>
        <w:t xml:space="preserve">Current templates for </w:t>
      </w:r>
      <w:r w:rsidR="00835C5B">
        <w:t xml:space="preserve">OIS </w:t>
      </w:r>
      <w:r>
        <w:t>reporting are i</w:t>
      </w:r>
      <w:r w:rsidRPr="00BF6820">
        <w:t>nadequate</w:t>
      </w:r>
      <w:r>
        <w:t xml:space="preserve"> and will be revised as part of a service specification revision by the Ministry. </w:t>
      </w:r>
      <w:r w:rsidR="00852805">
        <w:t>P</w:t>
      </w:r>
      <w:r>
        <w:t>roviders also need to develop internal processes for evaluation of their services</w:t>
      </w:r>
      <w:r w:rsidRPr="008B117C">
        <w:t xml:space="preserve"> </w:t>
      </w:r>
    </w:p>
    <w:p w:rsidR="00450C8A" w:rsidRPr="00B04A05" w:rsidRDefault="00450C8A" w:rsidP="00450C8A">
      <w:pPr>
        <w:pStyle w:val="Heading3"/>
        <w:rPr>
          <w:lang w:val="en-GB"/>
        </w:rPr>
      </w:pPr>
      <w:r w:rsidRPr="00B04A05">
        <w:rPr>
          <w:lang w:val="en-GB"/>
        </w:rPr>
        <w:t xml:space="preserve">Specific recommendations for </w:t>
      </w:r>
      <w:r w:rsidR="009C66A4">
        <w:rPr>
          <w:lang w:val="en-GB"/>
        </w:rPr>
        <w:t xml:space="preserve">OIS </w:t>
      </w:r>
      <w:r w:rsidRPr="00B04A05">
        <w:rPr>
          <w:lang w:val="en-GB"/>
        </w:rPr>
        <w:t>providers in large urban areas</w:t>
      </w:r>
    </w:p>
    <w:p w:rsidR="00450C8A" w:rsidRDefault="00450C8A" w:rsidP="00450C8A">
      <w:pPr>
        <w:rPr>
          <w:lang w:val="en-GB"/>
        </w:rPr>
      </w:pPr>
      <w:r w:rsidRPr="00B04A05">
        <w:rPr>
          <w:lang w:val="en-GB"/>
        </w:rPr>
        <w:t xml:space="preserve">The Ministry recommends the following for </w:t>
      </w:r>
      <w:r w:rsidR="00A33FB6">
        <w:rPr>
          <w:lang w:val="en-GB"/>
        </w:rPr>
        <w:t xml:space="preserve">OIS </w:t>
      </w:r>
      <w:r w:rsidRPr="00B04A05">
        <w:rPr>
          <w:lang w:val="en-GB"/>
        </w:rPr>
        <w:t>providers in large urban areas with a DHB population of more than 20,000 children aged 0 to 4 years</w:t>
      </w:r>
      <w:r w:rsidR="007A008E">
        <w:rPr>
          <w:lang w:val="en-GB"/>
        </w:rPr>
        <w:t>.</w:t>
      </w:r>
    </w:p>
    <w:p w:rsidR="00450C8A" w:rsidRDefault="007A008E" w:rsidP="00450C8A">
      <w:pPr>
        <w:pStyle w:val="Bullet"/>
      </w:pPr>
      <w:r>
        <w:t>O</w:t>
      </w:r>
      <w:r w:rsidR="00450C8A">
        <w:t xml:space="preserve">ne main provider for the DHB </w:t>
      </w:r>
      <w:r w:rsidR="00450C8A" w:rsidRPr="009C25F2">
        <w:t>with automatic referrals received directly via NIR as per Ministry guidelines for timing of referrals to</w:t>
      </w:r>
      <w:r w:rsidR="0054187B">
        <w:t xml:space="preserve"> OIS</w:t>
      </w:r>
      <w:r w:rsidR="00450C8A" w:rsidRPr="009C25F2">
        <w:t xml:space="preserve">. </w:t>
      </w:r>
      <w:r w:rsidR="0054187B">
        <w:t>To increase timeliness, i</w:t>
      </w:r>
      <w:r w:rsidR="00450C8A" w:rsidRPr="009C25F2">
        <w:t>ndividual general practices do not ref</w:t>
      </w:r>
      <w:r w:rsidR="0054187B">
        <w:t>er children</w:t>
      </w:r>
      <w:r>
        <w:t>.</w:t>
      </w:r>
    </w:p>
    <w:p w:rsidR="00450C8A" w:rsidRDefault="00817FF2" w:rsidP="00450C8A">
      <w:pPr>
        <w:pStyle w:val="Bullet"/>
      </w:pPr>
      <w:r>
        <w:t>The services need to be</w:t>
      </w:r>
      <w:r w:rsidR="00450C8A">
        <w:t xml:space="preserve"> </w:t>
      </w:r>
      <w:r w:rsidR="00450C8A" w:rsidRPr="009C25F2">
        <w:t xml:space="preserve">closely integrated (preferably co-located) with </w:t>
      </w:r>
      <w:r w:rsidR="009C66A4">
        <w:t xml:space="preserve">the </w:t>
      </w:r>
      <w:r w:rsidR="00450C8A" w:rsidRPr="009C25F2">
        <w:t xml:space="preserve">NIR team and </w:t>
      </w:r>
      <w:r w:rsidR="00450C8A">
        <w:t>i</w:t>
      </w:r>
      <w:r w:rsidR="00450C8A" w:rsidRPr="009C25F2">
        <w:t xml:space="preserve">mmunisation </w:t>
      </w:r>
      <w:r w:rsidR="00450C8A">
        <w:t>c</w:t>
      </w:r>
      <w:r w:rsidR="00450C8A" w:rsidRPr="009C25F2">
        <w:t>oordinator</w:t>
      </w:r>
      <w:r w:rsidR="009C66A4">
        <w:t>s</w:t>
      </w:r>
      <w:r w:rsidR="00450C8A" w:rsidRPr="009C25F2">
        <w:t xml:space="preserve"> to provide clinical expertise</w:t>
      </w:r>
      <w:r w:rsidR="007A008E">
        <w:t>.</w:t>
      </w:r>
    </w:p>
    <w:p w:rsidR="00450C8A" w:rsidRDefault="007A008E" w:rsidP="00450C8A">
      <w:pPr>
        <w:pStyle w:val="Bullet"/>
      </w:pPr>
      <w:r>
        <w:t>T</w:t>
      </w:r>
      <w:r w:rsidR="00450C8A">
        <w:t>he service maintains s</w:t>
      </w:r>
      <w:r w:rsidR="00450C8A" w:rsidRPr="009C25F2">
        <w:t>trong relationships with other health and social service providers in the area to facilitate finding children</w:t>
      </w:r>
      <w:r w:rsidR="00450C8A">
        <w:t>, and uses well connected community workers to help find families and build trust</w:t>
      </w:r>
      <w:r>
        <w:t>.</w:t>
      </w:r>
    </w:p>
    <w:p w:rsidR="00450C8A" w:rsidRPr="00055A15" w:rsidRDefault="007A008E" w:rsidP="00450C8A">
      <w:pPr>
        <w:pStyle w:val="Bullet"/>
      </w:pPr>
      <w:r>
        <w:lastRenderedPageBreak/>
        <w:t>T</w:t>
      </w:r>
      <w:r w:rsidR="00450C8A" w:rsidRPr="00055A15">
        <w:t>he NIR team and/or other dedicated administration staff intensively pr</w:t>
      </w:r>
      <w:r w:rsidR="00450C8A">
        <w:t>ocess</w:t>
      </w:r>
      <w:r w:rsidR="009C66A4">
        <w:t xml:space="preserve"> referrals before they are passed to OIS vaccinators</w:t>
      </w:r>
      <w:r>
        <w:t>.</w:t>
      </w:r>
    </w:p>
    <w:p w:rsidR="00450C8A" w:rsidRDefault="007A008E" w:rsidP="00450C8A">
      <w:pPr>
        <w:pStyle w:val="Bullet"/>
      </w:pPr>
      <w:r>
        <w:t>S</w:t>
      </w:r>
      <w:r w:rsidR="00450C8A" w:rsidRPr="009C25F2">
        <w:t xml:space="preserve">elected </w:t>
      </w:r>
      <w:r w:rsidR="00450C8A">
        <w:t xml:space="preserve">staff </w:t>
      </w:r>
      <w:r w:rsidR="00817FF2">
        <w:t xml:space="preserve">should </w:t>
      </w:r>
      <w:r w:rsidR="00450C8A">
        <w:t>have</w:t>
      </w:r>
      <w:r w:rsidR="00450C8A" w:rsidRPr="009C25F2">
        <w:t xml:space="preserve"> direct read-only access to hospital patient records, National Health Index look</w:t>
      </w:r>
      <w:r w:rsidR="00450C8A">
        <w:noBreakHyphen/>
      </w:r>
      <w:r w:rsidR="00450C8A" w:rsidRPr="009C25F2">
        <w:t>up and NIR</w:t>
      </w:r>
      <w:r>
        <w:t>.</w:t>
      </w:r>
    </w:p>
    <w:p w:rsidR="00450C8A" w:rsidRDefault="007A008E" w:rsidP="00450C8A">
      <w:pPr>
        <w:pStyle w:val="Bullet"/>
      </w:pPr>
      <w:r>
        <w:t>O</w:t>
      </w:r>
      <w:r w:rsidR="00450C8A" w:rsidRPr="009C25F2">
        <w:t xml:space="preserve">pportunities for vaccination </w:t>
      </w:r>
      <w:r w:rsidR="00450C8A">
        <w:t xml:space="preserve">are extended </w:t>
      </w:r>
      <w:r w:rsidR="00450C8A" w:rsidRPr="009C25F2">
        <w:t>to better meet needs of families</w:t>
      </w:r>
      <w:r w:rsidR="00450C8A" w:rsidRPr="00D36B34">
        <w:t xml:space="preserve">, including extended practice hours for immunisation, access to immunisation in other settings such as Well Child </w:t>
      </w:r>
      <w:r w:rsidR="00817FF2">
        <w:t xml:space="preserve">/ </w:t>
      </w:r>
      <w:r w:rsidR="00450C8A" w:rsidRPr="00D36B34">
        <w:t>Tamariki Ora clinics, and evening and weekend immunisation clinics at after-hours centres and/o</w:t>
      </w:r>
      <w:r w:rsidR="00450C8A">
        <w:t>r in emergency departments</w:t>
      </w:r>
      <w:r w:rsidR="00450C8A" w:rsidRPr="00D36B34">
        <w:t>.</w:t>
      </w:r>
    </w:p>
    <w:p w:rsidR="00450C8A" w:rsidRPr="009C25F2" w:rsidRDefault="007A008E" w:rsidP="00450C8A">
      <w:pPr>
        <w:pStyle w:val="Bullet"/>
      </w:pPr>
      <w:r>
        <w:t>P</w:t>
      </w:r>
      <w:r w:rsidR="00450C8A" w:rsidRPr="002917C8">
        <w:t>lacement of student nurses with</w:t>
      </w:r>
      <w:r w:rsidR="009C66A4">
        <w:t xml:space="preserve"> OIS providers</w:t>
      </w:r>
      <w:r w:rsidR="00450C8A">
        <w:t>,</w:t>
      </w:r>
      <w:r w:rsidR="00450C8A" w:rsidRPr="002917C8">
        <w:t xml:space="preserve"> which can be mutually beneficial to both the student and </w:t>
      </w:r>
      <w:r w:rsidR="00817FF2">
        <w:t xml:space="preserve">the </w:t>
      </w:r>
      <w:r w:rsidR="00450C8A" w:rsidRPr="002917C8">
        <w:t>provider</w:t>
      </w:r>
      <w:r w:rsidR="00450C8A">
        <w:t>.</w:t>
      </w:r>
    </w:p>
    <w:p w:rsidR="00450C8A" w:rsidRPr="00B04A05" w:rsidRDefault="00450C8A" w:rsidP="00E25705">
      <w:pPr>
        <w:pStyle w:val="Heading3"/>
        <w:spacing w:before="240"/>
        <w:rPr>
          <w:lang w:val="en-GB"/>
        </w:rPr>
      </w:pPr>
      <w:r w:rsidRPr="00B04A05">
        <w:rPr>
          <w:lang w:val="en-GB"/>
        </w:rPr>
        <w:t xml:space="preserve">Specific recommendations </w:t>
      </w:r>
      <w:r>
        <w:rPr>
          <w:lang w:val="en-GB"/>
        </w:rPr>
        <w:t xml:space="preserve">for </w:t>
      </w:r>
      <w:r w:rsidR="009C66A4">
        <w:rPr>
          <w:lang w:val="en-GB"/>
        </w:rPr>
        <w:t xml:space="preserve">OIS </w:t>
      </w:r>
      <w:r w:rsidRPr="00B04A05">
        <w:rPr>
          <w:lang w:val="en-GB"/>
        </w:rPr>
        <w:t>providers in remaining urban/rural areas</w:t>
      </w:r>
    </w:p>
    <w:p w:rsidR="00450C8A" w:rsidRDefault="00450C8A" w:rsidP="00450C8A">
      <w:pPr>
        <w:rPr>
          <w:lang w:val="en-GB"/>
        </w:rPr>
      </w:pPr>
      <w:r w:rsidRPr="00B04A05">
        <w:rPr>
          <w:lang w:val="en-GB"/>
        </w:rPr>
        <w:t xml:space="preserve">The Ministry recommends the following </w:t>
      </w:r>
      <w:r w:rsidR="00A33FB6">
        <w:rPr>
          <w:lang w:val="en-GB"/>
        </w:rPr>
        <w:t xml:space="preserve">for OIS services </w:t>
      </w:r>
      <w:r w:rsidRPr="00B04A05">
        <w:rPr>
          <w:lang w:val="en-GB"/>
        </w:rPr>
        <w:t xml:space="preserve">in smaller urban (DHB population of less than 20,000 children aged 0 to 4 years) </w:t>
      </w:r>
      <w:r>
        <w:rPr>
          <w:lang w:val="en-GB"/>
        </w:rPr>
        <w:t>and/</w:t>
      </w:r>
      <w:r w:rsidRPr="00B04A05">
        <w:rPr>
          <w:lang w:val="en-GB"/>
        </w:rPr>
        <w:t>or rural areas</w:t>
      </w:r>
      <w:r w:rsidR="00E01D0C">
        <w:rPr>
          <w:lang w:val="en-GB"/>
        </w:rPr>
        <w:t>.</w:t>
      </w:r>
    </w:p>
    <w:p w:rsidR="00450C8A" w:rsidRDefault="00817FF2" w:rsidP="00450C8A">
      <w:pPr>
        <w:pStyle w:val="Bullet"/>
        <w:rPr>
          <w:lang w:val="en-GB"/>
        </w:rPr>
      </w:pPr>
      <w:r>
        <w:rPr>
          <w:lang w:val="en-GB"/>
        </w:rPr>
        <w:t>Outreac</w:t>
      </w:r>
      <w:r w:rsidR="00A33FB6">
        <w:rPr>
          <w:lang w:val="en-GB"/>
        </w:rPr>
        <w:t>h immunisation services are</w:t>
      </w:r>
      <w:r w:rsidR="00450C8A">
        <w:rPr>
          <w:lang w:val="en-GB"/>
        </w:rPr>
        <w:t xml:space="preserve"> </w:t>
      </w:r>
      <w:r w:rsidR="00450C8A" w:rsidRPr="00B04A05">
        <w:rPr>
          <w:lang w:val="en-GB"/>
        </w:rPr>
        <w:t>co-located</w:t>
      </w:r>
      <w:r w:rsidR="00A33FB6">
        <w:rPr>
          <w:lang w:val="en-GB"/>
        </w:rPr>
        <w:t xml:space="preserve">, where feasible, </w:t>
      </w:r>
      <w:r w:rsidR="00450C8A" w:rsidRPr="00B04A05">
        <w:rPr>
          <w:lang w:val="en-GB"/>
        </w:rPr>
        <w:t xml:space="preserve">with </w:t>
      </w:r>
      <w:r w:rsidR="00A33FB6">
        <w:rPr>
          <w:lang w:val="en-GB"/>
        </w:rPr>
        <w:t xml:space="preserve">the </w:t>
      </w:r>
      <w:r w:rsidR="00450C8A" w:rsidRPr="00B04A05">
        <w:rPr>
          <w:lang w:val="en-GB"/>
        </w:rPr>
        <w:t xml:space="preserve">NIR team </w:t>
      </w:r>
      <w:r w:rsidR="00A33FB6">
        <w:rPr>
          <w:lang w:val="en-GB"/>
        </w:rPr>
        <w:t>and/or immunisation coordinators</w:t>
      </w:r>
      <w:r w:rsidR="00A33FB6" w:rsidRPr="00B04A05">
        <w:rPr>
          <w:lang w:val="en-GB"/>
        </w:rPr>
        <w:t xml:space="preserve"> </w:t>
      </w:r>
      <w:r w:rsidR="00450C8A" w:rsidRPr="00B04A05">
        <w:rPr>
          <w:lang w:val="en-GB"/>
        </w:rPr>
        <w:t>and/or other child health services</w:t>
      </w:r>
      <w:r w:rsidR="00E01D0C">
        <w:rPr>
          <w:lang w:val="en-GB"/>
        </w:rPr>
        <w:t>.</w:t>
      </w:r>
    </w:p>
    <w:p w:rsidR="00450C8A" w:rsidRDefault="00E01D0C" w:rsidP="00450C8A">
      <w:pPr>
        <w:pStyle w:val="Bullet"/>
        <w:rPr>
          <w:lang w:val="en-GB"/>
        </w:rPr>
      </w:pPr>
      <w:r>
        <w:rPr>
          <w:lang w:val="en-GB"/>
        </w:rPr>
        <w:t>R</w:t>
      </w:r>
      <w:r w:rsidR="00450C8A" w:rsidRPr="00B04A05">
        <w:rPr>
          <w:lang w:val="en-GB"/>
        </w:rPr>
        <w:t xml:space="preserve">eferrals </w:t>
      </w:r>
      <w:r w:rsidR="00450C8A">
        <w:rPr>
          <w:lang w:val="en-GB"/>
        </w:rPr>
        <w:t xml:space="preserve">are </w:t>
      </w:r>
      <w:r w:rsidR="00450C8A" w:rsidRPr="00B04A05">
        <w:rPr>
          <w:lang w:val="en-GB"/>
        </w:rPr>
        <w:t xml:space="preserve">received </w:t>
      </w:r>
      <w:r w:rsidR="00450C8A">
        <w:rPr>
          <w:lang w:val="en-GB"/>
        </w:rPr>
        <w:t xml:space="preserve">directly </w:t>
      </w:r>
      <w:r w:rsidR="00450C8A" w:rsidRPr="00B04A05">
        <w:rPr>
          <w:lang w:val="en-GB"/>
        </w:rPr>
        <w:t xml:space="preserve">from </w:t>
      </w:r>
      <w:r w:rsidR="00A33FB6">
        <w:rPr>
          <w:lang w:val="en-GB"/>
        </w:rPr>
        <w:t xml:space="preserve">the </w:t>
      </w:r>
      <w:r w:rsidR="00450C8A" w:rsidRPr="00B04A05">
        <w:rPr>
          <w:lang w:val="en-GB"/>
        </w:rPr>
        <w:t xml:space="preserve">NIR team </w:t>
      </w:r>
      <w:r w:rsidR="00450C8A">
        <w:rPr>
          <w:lang w:val="en-GB"/>
        </w:rPr>
        <w:t>(</w:t>
      </w:r>
      <w:r w:rsidR="00450C8A" w:rsidRPr="00B04A05">
        <w:rPr>
          <w:lang w:val="en-GB"/>
        </w:rPr>
        <w:t>as per Ministry guidelines</w:t>
      </w:r>
      <w:r w:rsidR="00450C8A">
        <w:rPr>
          <w:lang w:val="en-GB"/>
        </w:rPr>
        <w:t xml:space="preserve"> for timing of referrals)</w:t>
      </w:r>
      <w:r w:rsidR="00450C8A" w:rsidRPr="00B04A05">
        <w:rPr>
          <w:lang w:val="en-GB"/>
        </w:rPr>
        <w:t xml:space="preserve"> and </w:t>
      </w:r>
      <w:r w:rsidR="00450C8A">
        <w:rPr>
          <w:lang w:val="en-GB"/>
        </w:rPr>
        <w:t xml:space="preserve">from </w:t>
      </w:r>
      <w:r w:rsidR="00450C8A" w:rsidRPr="00B04A05">
        <w:rPr>
          <w:lang w:val="en-GB"/>
        </w:rPr>
        <w:t xml:space="preserve">other sources </w:t>
      </w:r>
      <w:r w:rsidR="00450C8A">
        <w:rPr>
          <w:lang w:val="en-GB"/>
        </w:rPr>
        <w:t>including general practice,</w:t>
      </w:r>
      <w:r w:rsidR="00450C8A" w:rsidRPr="00B04A05">
        <w:rPr>
          <w:lang w:val="en-GB"/>
        </w:rPr>
        <w:t xml:space="preserve"> but all referral</w:t>
      </w:r>
      <w:r w:rsidR="00450C8A">
        <w:rPr>
          <w:lang w:val="en-GB"/>
        </w:rPr>
        <w:t>s must go through the same</w:t>
      </w:r>
      <w:r w:rsidR="00450C8A" w:rsidRPr="00B04A05">
        <w:rPr>
          <w:lang w:val="en-GB"/>
        </w:rPr>
        <w:t xml:space="preserve"> NIR information checking process</w:t>
      </w:r>
      <w:r>
        <w:rPr>
          <w:lang w:val="en-GB"/>
        </w:rPr>
        <w:t>.</w:t>
      </w:r>
    </w:p>
    <w:p w:rsidR="00450C8A" w:rsidRPr="00AE085C" w:rsidRDefault="00E01D0C" w:rsidP="00A33FB6">
      <w:pPr>
        <w:pStyle w:val="Bullet"/>
        <w:rPr>
          <w:lang w:val="en-GB"/>
        </w:rPr>
      </w:pPr>
      <w:r>
        <w:rPr>
          <w:lang w:val="en-GB"/>
        </w:rPr>
        <w:t>T</w:t>
      </w:r>
      <w:r w:rsidR="00450C8A" w:rsidRPr="00AE085C">
        <w:rPr>
          <w:lang w:val="en-GB"/>
        </w:rPr>
        <w:t>he NIR team and/or other dedicated administrat</w:t>
      </w:r>
      <w:r w:rsidR="00450C8A">
        <w:rPr>
          <w:lang w:val="en-GB"/>
        </w:rPr>
        <w:t>ion staff intensively process</w:t>
      </w:r>
      <w:r w:rsidR="00450C8A" w:rsidRPr="00AE085C">
        <w:rPr>
          <w:lang w:val="en-GB"/>
        </w:rPr>
        <w:t xml:space="preserve"> </w:t>
      </w:r>
      <w:r w:rsidR="00A33FB6" w:rsidRPr="00A33FB6">
        <w:rPr>
          <w:lang w:val="en-GB"/>
        </w:rPr>
        <w:t>referrals before the</w:t>
      </w:r>
      <w:r w:rsidR="00A33FB6">
        <w:rPr>
          <w:lang w:val="en-GB"/>
        </w:rPr>
        <w:t>y are passed to OIS vaccinators</w:t>
      </w:r>
      <w:r w:rsidR="00450C8A">
        <w:rPr>
          <w:lang w:val="en-GB"/>
        </w:rPr>
        <w:t>.</w:t>
      </w:r>
    </w:p>
    <w:p w:rsidR="00450C8A" w:rsidRDefault="00E01D0C" w:rsidP="00450C8A">
      <w:pPr>
        <w:pStyle w:val="Bullet"/>
        <w:rPr>
          <w:lang w:val="en-GB"/>
        </w:rPr>
      </w:pPr>
      <w:r>
        <w:rPr>
          <w:lang w:val="en-GB"/>
        </w:rPr>
        <w:t>T</w:t>
      </w:r>
      <w:r w:rsidR="00450C8A" w:rsidRPr="0035616F">
        <w:rPr>
          <w:lang w:val="en-GB"/>
        </w:rPr>
        <w:t xml:space="preserve">he service maintains strong relationships </w:t>
      </w:r>
      <w:r w:rsidR="00450C8A" w:rsidRPr="00B04A05">
        <w:rPr>
          <w:lang w:val="en-GB"/>
        </w:rPr>
        <w:t>with other health and social service providers in the area to facilitate finding children</w:t>
      </w:r>
      <w:r w:rsidR="00450C8A">
        <w:rPr>
          <w:lang w:val="en-GB"/>
        </w:rPr>
        <w:t>, and where possible use community health workers to help find families and build trust</w:t>
      </w:r>
      <w:r>
        <w:rPr>
          <w:lang w:val="en-GB"/>
        </w:rPr>
        <w:t>.</w:t>
      </w:r>
    </w:p>
    <w:p w:rsidR="00450C8A" w:rsidRDefault="00E01D0C" w:rsidP="00450C8A">
      <w:pPr>
        <w:pStyle w:val="Bullet"/>
        <w:rPr>
          <w:lang w:val="en-GB"/>
        </w:rPr>
      </w:pPr>
      <w:r>
        <w:rPr>
          <w:lang w:val="en-GB"/>
        </w:rPr>
        <w:t>S</w:t>
      </w:r>
      <w:r w:rsidR="00450C8A" w:rsidRPr="00B04A05">
        <w:rPr>
          <w:lang w:val="en-GB"/>
        </w:rPr>
        <w:t xml:space="preserve">taff in </w:t>
      </w:r>
      <w:r w:rsidR="00450C8A">
        <w:rPr>
          <w:lang w:val="en-GB"/>
        </w:rPr>
        <w:t xml:space="preserve">co-located services or </w:t>
      </w:r>
      <w:r w:rsidR="00450C8A" w:rsidRPr="00B04A05">
        <w:rPr>
          <w:lang w:val="en-GB"/>
        </w:rPr>
        <w:t>other child health services</w:t>
      </w:r>
      <w:r w:rsidR="00450C8A">
        <w:rPr>
          <w:lang w:val="en-GB"/>
        </w:rPr>
        <w:t xml:space="preserve"> are used</w:t>
      </w:r>
      <w:r w:rsidR="00450C8A" w:rsidRPr="00B04A05">
        <w:rPr>
          <w:lang w:val="en-GB"/>
        </w:rPr>
        <w:t>, where possible, to maintain service continuity when regular staff are away</w:t>
      </w:r>
      <w:r w:rsidR="00450C8A" w:rsidRPr="00B04A05" w:rsidDel="00795213">
        <w:rPr>
          <w:lang w:val="en-GB"/>
        </w:rPr>
        <w:t xml:space="preserve"> </w:t>
      </w:r>
      <w:r>
        <w:rPr>
          <w:lang w:val="en-GB"/>
        </w:rPr>
        <w:t>(</w:t>
      </w:r>
      <w:r w:rsidR="00450C8A">
        <w:rPr>
          <w:lang w:val="en-GB"/>
        </w:rPr>
        <w:t>for services where</w:t>
      </w:r>
      <w:r w:rsidR="00450C8A" w:rsidRPr="00B04A05">
        <w:rPr>
          <w:lang w:val="en-GB"/>
        </w:rPr>
        <w:t xml:space="preserve"> nurse vaccinator </w:t>
      </w:r>
      <w:r w:rsidR="00450C8A">
        <w:rPr>
          <w:lang w:val="en-GB"/>
        </w:rPr>
        <w:t>commitment is</w:t>
      </w:r>
      <w:r w:rsidR="00450C8A" w:rsidRPr="00B04A05">
        <w:rPr>
          <w:lang w:val="en-GB"/>
        </w:rPr>
        <w:t xml:space="preserve"> less than one </w:t>
      </w:r>
      <w:r w:rsidR="00450C8A">
        <w:rPr>
          <w:lang w:val="en-GB"/>
        </w:rPr>
        <w:t>full-time equivalent</w:t>
      </w:r>
      <w:r w:rsidR="00450C8A" w:rsidRPr="00B04A05">
        <w:rPr>
          <w:lang w:val="en-GB"/>
        </w:rPr>
        <w:t>.</w:t>
      </w:r>
      <w:r>
        <w:rPr>
          <w:lang w:val="en-GB"/>
        </w:rPr>
        <w:t>)</w:t>
      </w:r>
    </w:p>
    <w:p w:rsidR="00817FF2" w:rsidRDefault="00817FF2" w:rsidP="00817FF2">
      <w:pPr>
        <w:pStyle w:val="Bullet"/>
      </w:pPr>
      <w:r>
        <w:t xml:space="preserve">When other vaccination services experience quieter periods (eg, </w:t>
      </w:r>
      <w:r w:rsidR="00A33FB6">
        <w:t xml:space="preserve">school-based services </w:t>
      </w:r>
      <w:r>
        <w:t xml:space="preserve">during school holidays), other vaccinators could be seconded </w:t>
      </w:r>
      <w:r w:rsidR="00852805">
        <w:t>in</w:t>
      </w:r>
      <w:r>
        <w:t xml:space="preserve"> to support specific extra work, such as a focus on four-year-old immunisation.</w:t>
      </w:r>
    </w:p>
    <w:p w:rsidR="00450C8A" w:rsidRDefault="00A33FB6" w:rsidP="00A33FB6">
      <w:pPr>
        <w:pStyle w:val="Bullet"/>
        <w:rPr>
          <w:lang w:val="en-GB"/>
        </w:rPr>
      </w:pPr>
      <w:r w:rsidRPr="00A33FB6">
        <w:rPr>
          <w:lang w:val="en-GB"/>
        </w:rPr>
        <w:t>Placement of student nurses with OIS providers, which can be mutually beneficial to both the student and the provider</w:t>
      </w:r>
      <w:r w:rsidR="00380122">
        <w:rPr>
          <w:lang w:val="en-GB"/>
        </w:rPr>
        <w:t>.</w:t>
      </w:r>
    </w:p>
    <w:p w:rsidR="00450C8A" w:rsidRDefault="00380122" w:rsidP="00450C8A">
      <w:pPr>
        <w:pStyle w:val="Bullet"/>
      </w:pPr>
      <w:r>
        <w:t>A</w:t>
      </w:r>
      <w:r w:rsidR="00450C8A" w:rsidRPr="00B04A05">
        <w:t xml:space="preserve">ccess to services </w:t>
      </w:r>
      <w:r w:rsidR="00450C8A">
        <w:t>is improved by exten</w:t>
      </w:r>
      <w:r w:rsidR="00450C8A" w:rsidRPr="00B04A05">
        <w:t xml:space="preserve">ding </w:t>
      </w:r>
      <w:r w:rsidR="00852805">
        <w:t xml:space="preserve">outreach </w:t>
      </w:r>
      <w:r>
        <w:t>immunisation hours</w:t>
      </w:r>
      <w:r w:rsidR="00450C8A" w:rsidRPr="00B04A05">
        <w:t xml:space="preserve"> to better meet needs of families</w:t>
      </w:r>
      <w:r>
        <w:t xml:space="preserve">. </w:t>
      </w:r>
      <w:r w:rsidR="00A33FB6">
        <w:t>For example, e</w:t>
      </w:r>
      <w:r>
        <w:t xml:space="preserve">ngagement with </w:t>
      </w:r>
      <w:r w:rsidR="00450C8A">
        <w:rPr>
          <w:lang w:val="en-GB"/>
        </w:rPr>
        <w:t xml:space="preserve">Well Child Tamariki Ora </w:t>
      </w:r>
      <w:r>
        <w:rPr>
          <w:lang w:val="en-GB"/>
        </w:rPr>
        <w:t xml:space="preserve">could </w:t>
      </w:r>
      <w:r w:rsidR="00450C8A">
        <w:rPr>
          <w:lang w:val="en-GB"/>
        </w:rPr>
        <w:t xml:space="preserve">enable immunisation during </w:t>
      </w:r>
      <w:r w:rsidR="00A33FB6">
        <w:rPr>
          <w:lang w:val="en-GB"/>
        </w:rPr>
        <w:t xml:space="preserve">their </w:t>
      </w:r>
      <w:r w:rsidR="00450C8A">
        <w:rPr>
          <w:lang w:val="en-GB"/>
        </w:rPr>
        <w:t>clinics</w:t>
      </w:r>
      <w:r>
        <w:rPr>
          <w:lang w:val="en-GB"/>
        </w:rPr>
        <w:t>.</w:t>
      </w:r>
    </w:p>
    <w:p w:rsidR="00450C8A" w:rsidRPr="0035616F" w:rsidRDefault="00380122" w:rsidP="00450C8A">
      <w:pPr>
        <w:pStyle w:val="Bullet"/>
        <w:rPr>
          <w:lang w:val="en-GB"/>
        </w:rPr>
      </w:pPr>
      <w:r>
        <w:rPr>
          <w:lang w:val="en-GB"/>
        </w:rPr>
        <w:t>P</w:t>
      </w:r>
      <w:r w:rsidR="00450C8A">
        <w:rPr>
          <w:lang w:val="en-GB"/>
        </w:rPr>
        <w:t>ractices are encouraged to</w:t>
      </w:r>
      <w:r w:rsidR="00450C8A" w:rsidRPr="00B04A05">
        <w:rPr>
          <w:lang w:val="en-GB"/>
        </w:rPr>
        <w:t xml:space="preserve"> extend </w:t>
      </w:r>
      <w:r w:rsidR="00450C8A">
        <w:rPr>
          <w:lang w:val="en-GB"/>
        </w:rPr>
        <w:t xml:space="preserve">the </w:t>
      </w:r>
      <w:r w:rsidR="00450C8A" w:rsidRPr="00B04A05">
        <w:rPr>
          <w:lang w:val="en-GB"/>
        </w:rPr>
        <w:t xml:space="preserve">hours </w:t>
      </w:r>
      <w:r w:rsidR="00450C8A">
        <w:rPr>
          <w:lang w:val="en-GB"/>
        </w:rPr>
        <w:t xml:space="preserve">during which </w:t>
      </w:r>
      <w:r w:rsidR="00450C8A" w:rsidRPr="00B04A05">
        <w:rPr>
          <w:lang w:val="en-GB"/>
        </w:rPr>
        <w:t>they will immunise and/or extend opening hours</w:t>
      </w:r>
      <w:r>
        <w:rPr>
          <w:lang w:val="en-GB"/>
        </w:rPr>
        <w:t>.</w:t>
      </w:r>
    </w:p>
    <w:p w:rsidR="00450C8A" w:rsidRDefault="00380122" w:rsidP="00450C8A">
      <w:pPr>
        <w:pStyle w:val="Bullet"/>
        <w:rPr>
          <w:lang w:val="en-GB"/>
        </w:rPr>
      </w:pPr>
      <w:r>
        <w:rPr>
          <w:lang w:val="en-GB"/>
        </w:rPr>
        <w:t>A</w:t>
      </w:r>
      <w:r w:rsidR="00450C8A" w:rsidRPr="00B04A05">
        <w:rPr>
          <w:lang w:val="en-GB"/>
        </w:rPr>
        <w:t>malgamation of small providers or sharing of administration services to improve economies of scale</w:t>
      </w:r>
      <w:r w:rsidR="00450C8A">
        <w:rPr>
          <w:lang w:val="en-GB"/>
        </w:rPr>
        <w:t>.</w:t>
      </w:r>
    </w:p>
    <w:p w:rsidR="00450C8A" w:rsidRPr="00B04A05" w:rsidRDefault="00450C8A" w:rsidP="007446EF">
      <w:pPr>
        <w:pStyle w:val="Heading2"/>
        <w:spacing w:before="240"/>
      </w:pPr>
      <w:r>
        <w:t xml:space="preserve">Cost </w:t>
      </w:r>
      <w:r w:rsidR="0023383C">
        <w:t>i</w:t>
      </w:r>
      <w:r>
        <w:t>nformation</w:t>
      </w:r>
    </w:p>
    <w:p w:rsidR="00450C8A" w:rsidRPr="00B04A05" w:rsidRDefault="00450C8A" w:rsidP="0023383C">
      <w:r>
        <w:t>A</w:t>
      </w:r>
      <w:r w:rsidR="008B117C">
        <w:t xml:space="preserve">n important </w:t>
      </w:r>
      <w:r>
        <w:t xml:space="preserve">aim of the review was to understand </w:t>
      </w:r>
      <w:r w:rsidR="008B117C">
        <w:t xml:space="preserve">what the </w:t>
      </w:r>
      <w:r>
        <w:t xml:space="preserve">costs </w:t>
      </w:r>
      <w:r w:rsidR="008B117C">
        <w:t>were in deliver</w:t>
      </w:r>
      <w:r w:rsidR="00014A27">
        <w:t>ing</w:t>
      </w:r>
      <w:r w:rsidR="008B117C">
        <w:t xml:space="preserve"> outreach immunisation services. </w:t>
      </w:r>
      <w:r>
        <w:t>The review found that:</w:t>
      </w:r>
    </w:p>
    <w:p w:rsidR="00A33FB6" w:rsidRDefault="00450C8A" w:rsidP="004B2F34">
      <w:pPr>
        <w:pStyle w:val="Bullet"/>
      </w:pPr>
      <w:r>
        <w:t xml:space="preserve">on average, </w:t>
      </w:r>
      <w:r w:rsidR="0023383C">
        <w:t>4 </w:t>
      </w:r>
      <w:r>
        <w:t>percent</w:t>
      </w:r>
      <w:r w:rsidRPr="00B04A05">
        <w:t xml:space="preserve"> of children aged under 7 year</w:t>
      </w:r>
      <w:r w:rsidR="0023383C">
        <w:t xml:space="preserve">s in a DHB are immunised </w:t>
      </w:r>
      <w:r w:rsidR="008B117C">
        <w:t xml:space="preserve">by </w:t>
      </w:r>
      <w:r w:rsidR="00A33FB6">
        <w:t>OIS</w:t>
      </w:r>
    </w:p>
    <w:p w:rsidR="00450C8A" w:rsidRDefault="00A33FB6" w:rsidP="004B2F34">
      <w:pPr>
        <w:pStyle w:val="Bullet"/>
      </w:pPr>
      <w:r>
        <w:t xml:space="preserve">OIS </w:t>
      </w:r>
      <w:r w:rsidR="00450C8A" w:rsidRPr="00B04A05">
        <w:t xml:space="preserve">services appear to be used </w:t>
      </w:r>
      <w:r>
        <w:t xml:space="preserve">more frequently </w:t>
      </w:r>
      <w:r w:rsidR="00450C8A" w:rsidRPr="00B04A05">
        <w:t>by DHBs with a higher than average proportion of Māori children and those with lower than average immunisation coverage</w:t>
      </w:r>
    </w:p>
    <w:p w:rsidR="00450C8A" w:rsidRDefault="00450C8A" w:rsidP="0023383C">
      <w:pPr>
        <w:pStyle w:val="Bullet"/>
      </w:pPr>
      <w:r w:rsidRPr="00B04A05">
        <w:t xml:space="preserve">the rate of completed vaccination events per </w:t>
      </w:r>
      <w:r w:rsidR="00A33FB6">
        <w:t xml:space="preserve">OIS </w:t>
      </w:r>
      <w:r w:rsidR="00B408C6">
        <w:t>referral was 62</w:t>
      </w:r>
      <w:r w:rsidRPr="00B04A05">
        <w:t xml:space="preserve"> percent (1 vacci</w:t>
      </w:r>
      <w:r w:rsidR="00216CE0">
        <w:t>nation is achieved for every 1.6</w:t>
      </w:r>
      <w:r w:rsidRPr="00B04A05">
        <w:t xml:space="preserve"> referrals)</w:t>
      </w:r>
    </w:p>
    <w:p w:rsidR="00450C8A" w:rsidRDefault="00450C8A" w:rsidP="0023383C">
      <w:pPr>
        <w:pStyle w:val="Bullet"/>
      </w:pPr>
      <w:r w:rsidRPr="00B04A05">
        <w:t>the total cost</w:t>
      </w:r>
      <w:r w:rsidR="00796AFA">
        <w:t xml:space="preserve"> </w:t>
      </w:r>
      <w:bookmarkStart w:id="0" w:name="_GoBack"/>
      <w:bookmarkEnd w:id="0"/>
      <w:r w:rsidRPr="00B04A05">
        <w:t xml:space="preserve">per referral was on </w:t>
      </w:r>
      <w:r w:rsidR="00216CE0">
        <w:rPr>
          <w:bCs/>
        </w:rPr>
        <w:t>average $361</w:t>
      </w:r>
      <w:r w:rsidRPr="00B04A05">
        <w:t xml:space="preserve"> (</w:t>
      </w:r>
      <w:r w:rsidR="0023383C">
        <w:rPr>
          <w:bCs/>
        </w:rPr>
        <w:t>median $2</w:t>
      </w:r>
      <w:r w:rsidR="00216CE0">
        <w:rPr>
          <w:bCs/>
        </w:rPr>
        <w:t>57</w:t>
      </w:r>
      <w:r w:rsidR="0023383C">
        <w:rPr>
          <w:bCs/>
        </w:rPr>
        <w:t>)</w:t>
      </w:r>
    </w:p>
    <w:p w:rsidR="00450C8A" w:rsidRDefault="00450C8A" w:rsidP="0023383C">
      <w:pPr>
        <w:pStyle w:val="Bullet"/>
      </w:pPr>
      <w:r w:rsidRPr="00B04A05">
        <w:t>the total cost</w:t>
      </w:r>
      <w:r w:rsidR="005020A1" w:rsidRPr="0023383C">
        <w:rPr>
          <w:rStyle w:val="FootnoteReference"/>
        </w:rPr>
        <w:footnoteReference w:id="1"/>
      </w:r>
      <w:r w:rsidR="005020A1" w:rsidRPr="00B04A05">
        <w:t xml:space="preserve"> </w:t>
      </w:r>
      <w:r w:rsidRPr="00B04A05">
        <w:t xml:space="preserve">per vaccination event </w:t>
      </w:r>
      <w:r w:rsidR="00216CE0">
        <w:rPr>
          <w:bCs/>
        </w:rPr>
        <w:t>was on average $636</w:t>
      </w:r>
      <w:r w:rsidRPr="00B04A05">
        <w:t xml:space="preserve"> (</w:t>
      </w:r>
      <w:r w:rsidR="00216CE0">
        <w:rPr>
          <w:bCs/>
        </w:rPr>
        <w:t>median $4</w:t>
      </w:r>
      <w:r w:rsidRPr="00B04A05">
        <w:rPr>
          <w:bCs/>
        </w:rPr>
        <w:t>5</w:t>
      </w:r>
      <w:r w:rsidR="00216CE0">
        <w:rPr>
          <w:bCs/>
        </w:rPr>
        <w:t>8</w:t>
      </w:r>
      <w:r w:rsidRPr="00B04A05">
        <w:rPr>
          <w:bCs/>
        </w:rPr>
        <w:t>)</w:t>
      </w:r>
    </w:p>
    <w:p w:rsidR="00450C8A" w:rsidRDefault="00450C8A" w:rsidP="0023383C">
      <w:pPr>
        <w:pStyle w:val="Bullet"/>
      </w:pPr>
      <w:r w:rsidRPr="00B04A05">
        <w:t>the unit (vaccine delivery) cost</w:t>
      </w:r>
      <w:r w:rsidRPr="0023383C">
        <w:rPr>
          <w:rStyle w:val="FootnoteReference"/>
        </w:rPr>
        <w:footnoteReference w:id="2"/>
      </w:r>
      <w:r w:rsidRPr="00B04A05">
        <w:t xml:space="preserve"> per vacci</w:t>
      </w:r>
      <w:r w:rsidR="00216CE0">
        <w:t>nation event was on average $381 (median $233</w:t>
      </w:r>
      <w:r w:rsidRPr="00B04A05">
        <w:t>).</w:t>
      </w:r>
    </w:p>
    <w:p w:rsidR="0023383C" w:rsidRDefault="0023383C" w:rsidP="0023383C"/>
    <w:p w:rsidR="00450C8A" w:rsidRDefault="00450C8A" w:rsidP="0023383C">
      <w:r w:rsidRPr="00B04A05">
        <w:t>These costs had wide variability across providers</w:t>
      </w:r>
      <w:r w:rsidR="006C3558">
        <w:t xml:space="preserve"> (unit cost per vaccination $46</w:t>
      </w:r>
      <w:r w:rsidRPr="00B04A05">
        <w:t xml:space="preserve"> to $1376). Reliability of the cost estimates is l</w:t>
      </w:r>
      <w:r>
        <w:t>imited because data was</w:t>
      </w:r>
      <w:r w:rsidRPr="00B04A05">
        <w:t xml:space="preserve"> from a</w:t>
      </w:r>
      <w:r w:rsidR="00A33FB6">
        <w:t xml:space="preserve"> small number of providers (ten</w:t>
      </w:r>
      <w:r w:rsidRPr="00B04A05">
        <w:t>) and not all information was directly comparable. Furthermore, data was provided at the discretion of the DHBs and providers.</w:t>
      </w:r>
    </w:p>
    <w:p w:rsidR="0023383C" w:rsidRDefault="0023383C" w:rsidP="0023383C"/>
    <w:p w:rsidR="00450C8A" w:rsidRDefault="008B117C" w:rsidP="0023383C">
      <w:r>
        <w:t>I</w:t>
      </w:r>
      <w:r w:rsidR="00450C8A" w:rsidRPr="00B04A05">
        <w:t xml:space="preserve">t was not possible to measure the effectiveness of </w:t>
      </w:r>
      <w:r w:rsidR="00A33FB6">
        <w:t xml:space="preserve">OIS </w:t>
      </w:r>
      <w:r w:rsidR="00450C8A" w:rsidRPr="00B04A05">
        <w:t>in reconnecting families with general practice for future vaccinations, a potentially better and more cost-efficient outcome than continued immunisation through outreach services.</w:t>
      </w:r>
    </w:p>
    <w:p w:rsidR="00450C8A" w:rsidRPr="00B04A05" w:rsidRDefault="00450C8A" w:rsidP="007446EF">
      <w:pPr>
        <w:pStyle w:val="Heading2"/>
        <w:spacing w:before="240"/>
      </w:pPr>
      <w:r>
        <w:t>How the results will be used</w:t>
      </w:r>
    </w:p>
    <w:p w:rsidR="00450C8A" w:rsidRDefault="008B117C" w:rsidP="0023383C">
      <w:r>
        <w:t>The results of the review</w:t>
      </w:r>
      <w:r w:rsidR="00450C8A">
        <w:t xml:space="preserve"> </w:t>
      </w:r>
      <w:r w:rsidR="00450C8A" w:rsidRPr="00B04A05">
        <w:t>are being shared with pri</w:t>
      </w:r>
      <w:r w:rsidR="00450C8A">
        <w:t>mary health organisations</w:t>
      </w:r>
      <w:r w:rsidR="00450C8A" w:rsidRPr="00B04A05">
        <w:t>, D</w:t>
      </w:r>
      <w:r w:rsidR="00450C8A">
        <w:t xml:space="preserve">HBs and </w:t>
      </w:r>
      <w:r w:rsidR="00B408C6">
        <w:t xml:space="preserve">OIS </w:t>
      </w:r>
      <w:r w:rsidR="00450C8A">
        <w:t xml:space="preserve">providers to enable more efficient models </w:t>
      </w:r>
      <w:r w:rsidR="00450C8A" w:rsidRPr="00B04A05">
        <w:t>of delivery</w:t>
      </w:r>
      <w:r w:rsidR="00450C8A">
        <w:t xml:space="preserve"> to be considered and</w:t>
      </w:r>
      <w:r w:rsidR="00380122">
        <w:t xml:space="preserve"> implemented</w:t>
      </w:r>
      <w:r w:rsidR="00450C8A">
        <w:t xml:space="preserve"> where appropriate</w:t>
      </w:r>
      <w:r w:rsidR="00380122">
        <w:t>.</w:t>
      </w:r>
      <w:r w:rsidR="00450C8A">
        <w:t xml:space="preserve"> The recommendations are supported by the Minist</w:t>
      </w:r>
      <w:r w:rsidR="0023383C">
        <w:t>ry, but none are prescriptive.</w:t>
      </w:r>
    </w:p>
    <w:p w:rsidR="0023383C" w:rsidRDefault="0023383C" w:rsidP="0023383C"/>
    <w:p w:rsidR="00095068" w:rsidRDefault="00450C8A" w:rsidP="0023383C">
      <w:r w:rsidRPr="00B04A05">
        <w:t xml:space="preserve">The findings will </w:t>
      </w:r>
      <w:r w:rsidR="008B117C">
        <w:t xml:space="preserve">also </w:t>
      </w:r>
      <w:r w:rsidRPr="00B04A05">
        <w:t xml:space="preserve">be used by the Ministry to guide revision of the Tier Two Service Specification </w:t>
      </w:r>
      <w:r>
        <w:t xml:space="preserve">for </w:t>
      </w:r>
      <w:r w:rsidR="00B408C6">
        <w:t>OIS</w:t>
      </w:r>
      <w:r w:rsidR="008B117C">
        <w:t xml:space="preserve"> </w:t>
      </w:r>
      <w:r w:rsidRPr="00B04A05">
        <w:t>and reporting templates.</w:t>
      </w:r>
    </w:p>
    <w:p w:rsidR="00095068" w:rsidRDefault="00095068" w:rsidP="00E25705"/>
    <w:p w:rsidR="00EB461E" w:rsidRDefault="00EB461E" w:rsidP="00E25705">
      <w:pPr>
        <w:jc w:val="center"/>
        <w:rPr>
          <w:lang w:eastAsia="en-NZ"/>
        </w:rPr>
      </w:pPr>
    </w:p>
    <w:sectPr w:rsidR="00EB461E" w:rsidSect="001E1E1B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28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4E8" w:rsidRDefault="005D24E8">
      <w:r>
        <w:separator/>
      </w:r>
    </w:p>
  </w:endnote>
  <w:endnote w:type="continuationSeparator" w:id="0">
    <w:p w:rsidR="005D24E8" w:rsidRDefault="005D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CE2" w:rsidRDefault="00EE6CE2" w:rsidP="00DD2C28">
    <w:pPr>
      <w:pStyle w:val="Footer"/>
      <w:pBdr>
        <w:top w:val="single" w:sz="4" w:space="4" w:color="auto"/>
      </w:pBdr>
      <w:tabs>
        <w:tab w:val="left" w:pos="567"/>
      </w:tabs>
      <w:ind w:left="567" w:hanging="567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96AFA">
      <w:rPr>
        <w:rStyle w:val="PageNumber"/>
        <w:noProof/>
      </w:rPr>
      <w:t>4</w:t>
    </w:r>
    <w:r>
      <w:rPr>
        <w:rStyle w:val="PageNumber"/>
      </w:rPr>
      <w:fldChar w:fldCharType="end"/>
    </w:r>
    <w:r>
      <w:tab/>
    </w:r>
    <w:r w:rsidR="00450C8A">
      <w:t>National Review of Outreach Immunisation Services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CE2" w:rsidRPr="00876FB8" w:rsidRDefault="00EE6CE2" w:rsidP="00876FB8">
    <w:pPr>
      <w:pStyle w:val="Footer"/>
      <w:pBdr>
        <w:top w:val="single" w:sz="4" w:space="4" w:color="auto"/>
      </w:pBdr>
    </w:pPr>
    <w:r>
      <w:tab/>
    </w:r>
    <w:r w:rsidR="00450C8A">
      <w:t>National Review of Outreach Immunisation Services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96AF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CE2" w:rsidRDefault="00EE6CE2" w:rsidP="00DD2C28">
    <w:pPr>
      <w:pStyle w:val="Footer"/>
      <w:pBdr>
        <w:top w:val="single" w:sz="4" w:space="4" w:color="auto"/>
      </w:pBdr>
    </w:pPr>
    <w:r>
      <w:tab/>
    </w:r>
    <w:r w:rsidR="00450C8A">
      <w:t>National Review of Outreach Immunisation Services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96AF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4E8" w:rsidRPr="00680D2D" w:rsidRDefault="005D24E8" w:rsidP="00680D2D">
      <w:pPr>
        <w:pStyle w:val="Footer"/>
      </w:pPr>
    </w:p>
  </w:footnote>
  <w:footnote w:type="continuationSeparator" w:id="0">
    <w:p w:rsidR="005D24E8" w:rsidRDefault="005D24E8">
      <w:r>
        <w:continuationSeparator/>
      </w:r>
    </w:p>
  </w:footnote>
  <w:footnote w:id="1">
    <w:p w:rsidR="005020A1" w:rsidRDefault="005020A1" w:rsidP="005020A1">
      <w:pPr>
        <w:pStyle w:val="FootnoteText"/>
      </w:pPr>
      <w:r w:rsidRPr="0023383C">
        <w:rPr>
          <w:rStyle w:val="FootnoteReference"/>
        </w:rPr>
        <w:footnoteRef/>
      </w:r>
      <w:r>
        <w:tab/>
        <w:t>Total costs include vaccination delivery costs, administration and support staff, management, training, software and consumables, overheads and other infrastructure costs.</w:t>
      </w:r>
    </w:p>
  </w:footnote>
  <w:footnote w:id="2">
    <w:p w:rsidR="00450C8A" w:rsidRDefault="00450C8A" w:rsidP="0023383C">
      <w:pPr>
        <w:pStyle w:val="FootnoteText"/>
      </w:pPr>
      <w:r w:rsidRPr="0023383C">
        <w:rPr>
          <w:rStyle w:val="FootnoteReference"/>
        </w:rPr>
        <w:footnoteRef/>
      </w:r>
      <w:r w:rsidR="0023383C">
        <w:tab/>
      </w:r>
      <w:r>
        <w:t>Costs for activities directly associated with vaccination delivery that vary with the number of vaccinations delivered: costs of nurses and community health workers, travel, pa</w:t>
      </w:r>
      <w:r w:rsidR="00A33FB6">
        <w:t xml:space="preserve">tient-related expenses, </w:t>
      </w:r>
      <w:r>
        <w:t>equipment and materials.</w:t>
      </w:r>
    </w:p>
    <w:p w:rsidR="00B80E17" w:rsidRPr="00E25705" w:rsidRDefault="00B80E17" w:rsidP="00377653">
      <w:pPr>
        <w:pStyle w:val="FootnoteText"/>
        <w:jc w:val="right"/>
        <w:rPr>
          <w:sz w:val="22"/>
          <w:szCs w:val="22"/>
        </w:rPr>
      </w:pPr>
      <w:r w:rsidRPr="001E1E1B">
        <w:rPr>
          <w:szCs w:val="21"/>
          <w:lang w:eastAsia="en-NZ"/>
        </w:rPr>
        <w:t>HP</w:t>
      </w:r>
      <w:r w:rsidR="002361F3">
        <w:rPr>
          <w:szCs w:val="21"/>
          <w:lang w:eastAsia="en-NZ"/>
        </w:rPr>
        <w:t xml:space="preserve"> 6315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396" w:rsidRDefault="00E60396" w:rsidP="00BD22FC">
    <w:pPr>
      <w:pStyle w:val="Header"/>
      <w:spacing w:after="480"/>
    </w:pPr>
    <w:r>
      <w:rPr>
        <w:noProof/>
        <w:lang w:eastAsia="en-NZ"/>
      </w:rPr>
      <w:drawing>
        <wp:inline distT="0" distB="0" distL="0" distR="0" wp14:anchorId="3CD7667F" wp14:editId="2E83F512">
          <wp:extent cx="5939790" cy="490511"/>
          <wp:effectExtent l="0" t="0" r="381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hbanner-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90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2634E"/>
    <w:multiLevelType w:val="hybridMultilevel"/>
    <w:tmpl w:val="DCB21D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96070"/>
    <w:multiLevelType w:val="hybridMultilevel"/>
    <w:tmpl w:val="DC542766"/>
    <w:lvl w:ilvl="0" w:tplc="1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247C6200"/>
    <w:multiLevelType w:val="hybridMultilevel"/>
    <w:tmpl w:val="EC7A9E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F0BB3"/>
    <w:multiLevelType w:val="hybridMultilevel"/>
    <w:tmpl w:val="4CF8377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01921"/>
    <w:multiLevelType w:val="hybridMultilevel"/>
    <w:tmpl w:val="345407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D7A6B"/>
    <w:multiLevelType w:val="hybridMultilevel"/>
    <w:tmpl w:val="71DA1BFE"/>
    <w:lvl w:ilvl="0" w:tplc="4A8EA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2642D"/>
    <w:multiLevelType w:val="hybridMultilevel"/>
    <w:tmpl w:val="03B69AC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9B6562"/>
    <w:multiLevelType w:val="hybridMultilevel"/>
    <w:tmpl w:val="3816223E"/>
    <w:lvl w:ilvl="0" w:tplc="72CEA2C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3362B"/>
    <w:multiLevelType w:val="hybridMultilevel"/>
    <w:tmpl w:val="66869FD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A425F"/>
    <w:multiLevelType w:val="hybridMultilevel"/>
    <w:tmpl w:val="4D7ABEAE"/>
    <w:lvl w:ilvl="0" w:tplc="890AC848">
      <w:start w:val="1"/>
      <w:numFmt w:val="bullet"/>
      <w:pStyle w:val="Dash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BC78ED"/>
    <w:multiLevelType w:val="hybridMultilevel"/>
    <w:tmpl w:val="BFBC0BA2"/>
    <w:lvl w:ilvl="0" w:tplc="E042FD7A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FB6BF4"/>
    <w:multiLevelType w:val="hybridMultilevel"/>
    <w:tmpl w:val="03B69AC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8D2C9E"/>
    <w:multiLevelType w:val="singleLevel"/>
    <w:tmpl w:val="BCB8802A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13">
    <w:nsid w:val="74D15137"/>
    <w:multiLevelType w:val="hybridMultilevel"/>
    <w:tmpl w:val="C740680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4412C"/>
    <w:multiLevelType w:val="hybridMultilevel"/>
    <w:tmpl w:val="EA9CF0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14"/>
  </w:num>
  <w:num w:numId="9">
    <w:abstractNumId w:val="8"/>
  </w:num>
  <w:num w:numId="10">
    <w:abstractNumId w:val="13"/>
  </w:num>
  <w:num w:numId="11">
    <w:abstractNumId w:val="11"/>
  </w:num>
  <w:num w:numId="12">
    <w:abstractNumId w:val="0"/>
  </w:num>
  <w:num w:numId="13">
    <w:abstractNumId w:val="4"/>
  </w:num>
  <w:num w:numId="14">
    <w:abstractNumId w:val="6"/>
  </w:num>
  <w:num w:numId="1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noPunctuationKerning/>
  <w:characterSpacingControl w:val="doNotCompress"/>
  <w:hdrShapeDefaults>
    <o:shapedefaults v:ext="edit" spidmax="24577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B7"/>
    <w:rsid w:val="000123DF"/>
    <w:rsid w:val="00014A27"/>
    <w:rsid w:val="00015CF8"/>
    <w:rsid w:val="00015F76"/>
    <w:rsid w:val="0003497E"/>
    <w:rsid w:val="00075ED0"/>
    <w:rsid w:val="00095068"/>
    <w:rsid w:val="00095852"/>
    <w:rsid w:val="000A6BCB"/>
    <w:rsid w:val="000B1E21"/>
    <w:rsid w:val="000B5235"/>
    <w:rsid w:val="000B6957"/>
    <w:rsid w:val="000B6BD8"/>
    <w:rsid w:val="000C3F39"/>
    <w:rsid w:val="000C3FA7"/>
    <w:rsid w:val="000C68D3"/>
    <w:rsid w:val="000D0170"/>
    <w:rsid w:val="000E093C"/>
    <w:rsid w:val="000E4E05"/>
    <w:rsid w:val="000E5175"/>
    <w:rsid w:val="000F1B71"/>
    <w:rsid w:val="000F265B"/>
    <w:rsid w:val="001009C3"/>
    <w:rsid w:val="00105DB9"/>
    <w:rsid w:val="00111502"/>
    <w:rsid w:val="001158C2"/>
    <w:rsid w:val="001175B4"/>
    <w:rsid w:val="0012142B"/>
    <w:rsid w:val="001227B0"/>
    <w:rsid w:val="00123376"/>
    <w:rsid w:val="00130CE3"/>
    <w:rsid w:val="001336C6"/>
    <w:rsid w:val="00137BE7"/>
    <w:rsid w:val="00142C45"/>
    <w:rsid w:val="00145424"/>
    <w:rsid w:val="00145D5F"/>
    <w:rsid w:val="001705DC"/>
    <w:rsid w:val="0018777F"/>
    <w:rsid w:val="001925EF"/>
    <w:rsid w:val="001A3A19"/>
    <w:rsid w:val="001E1749"/>
    <w:rsid w:val="001E1E1B"/>
    <w:rsid w:val="001F5811"/>
    <w:rsid w:val="00206DC0"/>
    <w:rsid w:val="00216CE0"/>
    <w:rsid w:val="002222BC"/>
    <w:rsid w:val="002233D8"/>
    <w:rsid w:val="0022723F"/>
    <w:rsid w:val="0023383C"/>
    <w:rsid w:val="002361F3"/>
    <w:rsid w:val="00240554"/>
    <w:rsid w:val="00246193"/>
    <w:rsid w:val="00251EEF"/>
    <w:rsid w:val="002542A3"/>
    <w:rsid w:val="00254ED0"/>
    <w:rsid w:val="00255D89"/>
    <w:rsid w:val="0026708A"/>
    <w:rsid w:val="00271166"/>
    <w:rsid w:val="00271A36"/>
    <w:rsid w:val="00272F4E"/>
    <w:rsid w:val="00281EAA"/>
    <w:rsid w:val="00285375"/>
    <w:rsid w:val="0028738D"/>
    <w:rsid w:val="00296F98"/>
    <w:rsid w:val="002A35E8"/>
    <w:rsid w:val="002A38BC"/>
    <w:rsid w:val="002B34DC"/>
    <w:rsid w:val="002C1F8F"/>
    <w:rsid w:val="002C3EA2"/>
    <w:rsid w:val="002F5B0D"/>
    <w:rsid w:val="002F6FD4"/>
    <w:rsid w:val="003005BD"/>
    <w:rsid w:val="003030F4"/>
    <w:rsid w:val="003046F0"/>
    <w:rsid w:val="00306307"/>
    <w:rsid w:val="00307CE5"/>
    <w:rsid w:val="0031520E"/>
    <w:rsid w:val="00324371"/>
    <w:rsid w:val="00334085"/>
    <w:rsid w:val="00343CC9"/>
    <w:rsid w:val="00351AC8"/>
    <w:rsid w:val="00355A1B"/>
    <w:rsid w:val="003579BD"/>
    <w:rsid w:val="00363CA9"/>
    <w:rsid w:val="00367836"/>
    <w:rsid w:val="0037123E"/>
    <w:rsid w:val="003717C9"/>
    <w:rsid w:val="003731B9"/>
    <w:rsid w:val="00373F1D"/>
    <w:rsid w:val="0037452C"/>
    <w:rsid w:val="00377653"/>
    <w:rsid w:val="00377C88"/>
    <w:rsid w:val="00377F02"/>
    <w:rsid w:val="00380122"/>
    <w:rsid w:val="0038143C"/>
    <w:rsid w:val="003A0523"/>
    <w:rsid w:val="003A128B"/>
    <w:rsid w:val="003A21EA"/>
    <w:rsid w:val="003A779C"/>
    <w:rsid w:val="003B145F"/>
    <w:rsid w:val="003B7FA2"/>
    <w:rsid w:val="003E6828"/>
    <w:rsid w:val="003F0969"/>
    <w:rsid w:val="003F471C"/>
    <w:rsid w:val="004014CB"/>
    <w:rsid w:val="0041467A"/>
    <w:rsid w:val="00423830"/>
    <w:rsid w:val="004378E8"/>
    <w:rsid w:val="00440BC8"/>
    <w:rsid w:val="00443649"/>
    <w:rsid w:val="0044399D"/>
    <w:rsid w:val="004440A2"/>
    <w:rsid w:val="00450C8A"/>
    <w:rsid w:val="004518F6"/>
    <w:rsid w:val="004535A4"/>
    <w:rsid w:val="00477783"/>
    <w:rsid w:val="004845E0"/>
    <w:rsid w:val="0048760A"/>
    <w:rsid w:val="00492913"/>
    <w:rsid w:val="004A6CC1"/>
    <w:rsid w:val="004B28B7"/>
    <w:rsid w:val="004B368D"/>
    <w:rsid w:val="004B57F3"/>
    <w:rsid w:val="004D17ED"/>
    <w:rsid w:val="004E420D"/>
    <w:rsid w:val="005020A1"/>
    <w:rsid w:val="005132E5"/>
    <w:rsid w:val="005243E3"/>
    <w:rsid w:val="00525F48"/>
    <w:rsid w:val="005363DD"/>
    <w:rsid w:val="0054187B"/>
    <w:rsid w:val="00545BA3"/>
    <w:rsid w:val="00546D2C"/>
    <w:rsid w:val="00554E9C"/>
    <w:rsid w:val="00555074"/>
    <w:rsid w:val="005559D9"/>
    <w:rsid w:val="00560222"/>
    <w:rsid w:val="0056098A"/>
    <w:rsid w:val="00563001"/>
    <w:rsid w:val="00577711"/>
    <w:rsid w:val="00582EA7"/>
    <w:rsid w:val="0058606E"/>
    <w:rsid w:val="00590D07"/>
    <w:rsid w:val="005950A6"/>
    <w:rsid w:val="005958F2"/>
    <w:rsid w:val="005960FF"/>
    <w:rsid w:val="00597F47"/>
    <w:rsid w:val="005B2223"/>
    <w:rsid w:val="005D24E8"/>
    <w:rsid w:val="005D3D35"/>
    <w:rsid w:val="005E2D49"/>
    <w:rsid w:val="005E44CE"/>
    <w:rsid w:val="006140C0"/>
    <w:rsid w:val="00620375"/>
    <w:rsid w:val="00622810"/>
    <w:rsid w:val="006306C9"/>
    <w:rsid w:val="006339A0"/>
    <w:rsid w:val="00640014"/>
    <w:rsid w:val="00644953"/>
    <w:rsid w:val="00645AC7"/>
    <w:rsid w:val="00660E5F"/>
    <w:rsid w:val="00672B8B"/>
    <w:rsid w:val="00673303"/>
    <w:rsid w:val="006744E6"/>
    <w:rsid w:val="00676929"/>
    <w:rsid w:val="00680D2D"/>
    <w:rsid w:val="006819B0"/>
    <w:rsid w:val="0068254B"/>
    <w:rsid w:val="00686753"/>
    <w:rsid w:val="006A2250"/>
    <w:rsid w:val="006A425E"/>
    <w:rsid w:val="006C1E7F"/>
    <w:rsid w:val="006C1FB8"/>
    <w:rsid w:val="006C3558"/>
    <w:rsid w:val="006C407C"/>
    <w:rsid w:val="006D1FA2"/>
    <w:rsid w:val="006D2458"/>
    <w:rsid w:val="006F544C"/>
    <w:rsid w:val="00737F49"/>
    <w:rsid w:val="00740786"/>
    <w:rsid w:val="0074188F"/>
    <w:rsid w:val="007446EF"/>
    <w:rsid w:val="00760E80"/>
    <w:rsid w:val="0076100E"/>
    <w:rsid w:val="00761961"/>
    <w:rsid w:val="00766D1F"/>
    <w:rsid w:val="00771B0E"/>
    <w:rsid w:val="00783974"/>
    <w:rsid w:val="00783D9C"/>
    <w:rsid w:val="00790152"/>
    <w:rsid w:val="00796AFA"/>
    <w:rsid w:val="007A008E"/>
    <w:rsid w:val="007A21D3"/>
    <w:rsid w:val="007B45B9"/>
    <w:rsid w:val="007C3953"/>
    <w:rsid w:val="007D28E6"/>
    <w:rsid w:val="007D54FF"/>
    <w:rsid w:val="007E44CF"/>
    <w:rsid w:val="007E53A8"/>
    <w:rsid w:val="007E5F4D"/>
    <w:rsid w:val="007F366E"/>
    <w:rsid w:val="00801FF3"/>
    <w:rsid w:val="0080616C"/>
    <w:rsid w:val="008067DF"/>
    <w:rsid w:val="0080749B"/>
    <w:rsid w:val="0081034D"/>
    <w:rsid w:val="00813CF6"/>
    <w:rsid w:val="0081671E"/>
    <w:rsid w:val="00817FF2"/>
    <w:rsid w:val="00832071"/>
    <w:rsid w:val="008348B7"/>
    <w:rsid w:val="008357B6"/>
    <w:rsid w:val="00835C5B"/>
    <w:rsid w:val="00836F81"/>
    <w:rsid w:val="00842851"/>
    <w:rsid w:val="0084791E"/>
    <w:rsid w:val="0085124D"/>
    <w:rsid w:val="00852805"/>
    <w:rsid w:val="00854A77"/>
    <w:rsid w:val="0086178A"/>
    <w:rsid w:val="008619D3"/>
    <w:rsid w:val="00871DCD"/>
    <w:rsid w:val="00874284"/>
    <w:rsid w:val="00874CFF"/>
    <w:rsid w:val="00876FB8"/>
    <w:rsid w:val="008772CA"/>
    <w:rsid w:val="00880305"/>
    <w:rsid w:val="008911F1"/>
    <w:rsid w:val="008B117C"/>
    <w:rsid w:val="008B5992"/>
    <w:rsid w:val="008C6C9F"/>
    <w:rsid w:val="008D2C1F"/>
    <w:rsid w:val="008E18DB"/>
    <w:rsid w:val="008F2E4A"/>
    <w:rsid w:val="008F7A81"/>
    <w:rsid w:val="0090028B"/>
    <w:rsid w:val="00902F19"/>
    <w:rsid w:val="009126F6"/>
    <w:rsid w:val="00920A63"/>
    <w:rsid w:val="009230C2"/>
    <w:rsid w:val="00923D37"/>
    <w:rsid w:val="00925481"/>
    <w:rsid w:val="0092659B"/>
    <w:rsid w:val="009401CC"/>
    <w:rsid w:val="0094065C"/>
    <w:rsid w:val="00942757"/>
    <w:rsid w:val="00946F08"/>
    <w:rsid w:val="00947E2E"/>
    <w:rsid w:val="0095076C"/>
    <w:rsid w:val="00952AF0"/>
    <w:rsid w:val="009602C6"/>
    <w:rsid w:val="00973036"/>
    <w:rsid w:val="009842E4"/>
    <w:rsid w:val="009874FB"/>
    <w:rsid w:val="00993F56"/>
    <w:rsid w:val="009948F8"/>
    <w:rsid w:val="009A3D52"/>
    <w:rsid w:val="009A7C5B"/>
    <w:rsid w:val="009B5859"/>
    <w:rsid w:val="009C39E2"/>
    <w:rsid w:val="009C66A4"/>
    <w:rsid w:val="009E07A9"/>
    <w:rsid w:val="009F1222"/>
    <w:rsid w:val="009F1BFF"/>
    <w:rsid w:val="009F4949"/>
    <w:rsid w:val="009F4CBC"/>
    <w:rsid w:val="00A0032E"/>
    <w:rsid w:val="00A00DBD"/>
    <w:rsid w:val="00A14C1E"/>
    <w:rsid w:val="00A2337F"/>
    <w:rsid w:val="00A27B28"/>
    <w:rsid w:val="00A31F67"/>
    <w:rsid w:val="00A33FB6"/>
    <w:rsid w:val="00A3619A"/>
    <w:rsid w:val="00A41A77"/>
    <w:rsid w:val="00A655A6"/>
    <w:rsid w:val="00A7037D"/>
    <w:rsid w:val="00A71902"/>
    <w:rsid w:val="00A821D8"/>
    <w:rsid w:val="00A8585C"/>
    <w:rsid w:val="00A92321"/>
    <w:rsid w:val="00AA7466"/>
    <w:rsid w:val="00AB0789"/>
    <w:rsid w:val="00AB1FC9"/>
    <w:rsid w:val="00AE57D5"/>
    <w:rsid w:val="00AE710D"/>
    <w:rsid w:val="00AF78CC"/>
    <w:rsid w:val="00B102DF"/>
    <w:rsid w:val="00B220C1"/>
    <w:rsid w:val="00B242C0"/>
    <w:rsid w:val="00B30B70"/>
    <w:rsid w:val="00B408C6"/>
    <w:rsid w:val="00B52D24"/>
    <w:rsid w:val="00B530A4"/>
    <w:rsid w:val="00B57C49"/>
    <w:rsid w:val="00B61631"/>
    <w:rsid w:val="00B65B0A"/>
    <w:rsid w:val="00B67793"/>
    <w:rsid w:val="00B7079A"/>
    <w:rsid w:val="00B70D1A"/>
    <w:rsid w:val="00B75827"/>
    <w:rsid w:val="00B75C16"/>
    <w:rsid w:val="00B80E17"/>
    <w:rsid w:val="00B86FF2"/>
    <w:rsid w:val="00B92AC6"/>
    <w:rsid w:val="00B94CCA"/>
    <w:rsid w:val="00B958CC"/>
    <w:rsid w:val="00B96CEA"/>
    <w:rsid w:val="00BA0BD6"/>
    <w:rsid w:val="00BB32DF"/>
    <w:rsid w:val="00BC2FB8"/>
    <w:rsid w:val="00BC4B9D"/>
    <w:rsid w:val="00BC6094"/>
    <w:rsid w:val="00BC61BF"/>
    <w:rsid w:val="00BD22FC"/>
    <w:rsid w:val="00BD23EA"/>
    <w:rsid w:val="00BD2C58"/>
    <w:rsid w:val="00BD711E"/>
    <w:rsid w:val="00BE3BEA"/>
    <w:rsid w:val="00BE5D75"/>
    <w:rsid w:val="00BF23CB"/>
    <w:rsid w:val="00C05555"/>
    <w:rsid w:val="00C07E3F"/>
    <w:rsid w:val="00C169F3"/>
    <w:rsid w:val="00C25485"/>
    <w:rsid w:val="00C260A1"/>
    <w:rsid w:val="00C32E23"/>
    <w:rsid w:val="00C34608"/>
    <w:rsid w:val="00C37086"/>
    <w:rsid w:val="00C44CE3"/>
    <w:rsid w:val="00C5449C"/>
    <w:rsid w:val="00C60C5C"/>
    <w:rsid w:val="00C63124"/>
    <w:rsid w:val="00C71264"/>
    <w:rsid w:val="00C8457A"/>
    <w:rsid w:val="00CA2A9E"/>
    <w:rsid w:val="00CB6E4F"/>
    <w:rsid w:val="00CC140B"/>
    <w:rsid w:val="00CC3C38"/>
    <w:rsid w:val="00CD373C"/>
    <w:rsid w:val="00CD6D75"/>
    <w:rsid w:val="00CD7328"/>
    <w:rsid w:val="00CE636E"/>
    <w:rsid w:val="00CE689C"/>
    <w:rsid w:val="00CE689F"/>
    <w:rsid w:val="00CF580E"/>
    <w:rsid w:val="00CF7EBD"/>
    <w:rsid w:val="00D0569E"/>
    <w:rsid w:val="00D1061D"/>
    <w:rsid w:val="00D20C0C"/>
    <w:rsid w:val="00D24A2A"/>
    <w:rsid w:val="00D307BA"/>
    <w:rsid w:val="00D30984"/>
    <w:rsid w:val="00D36191"/>
    <w:rsid w:val="00D40578"/>
    <w:rsid w:val="00D518A4"/>
    <w:rsid w:val="00D52304"/>
    <w:rsid w:val="00D532EE"/>
    <w:rsid w:val="00D56D8D"/>
    <w:rsid w:val="00D67409"/>
    <w:rsid w:val="00D67D08"/>
    <w:rsid w:val="00D738F0"/>
    <w:rsid w:val="00D73C69"/>
    <w:rsid w:val="00D76A3D"/>
    <w:rsid w:val="00D77A3F"/>
    <w:rsid w:val="00D81249"/>
    <w:rsid w:val="00D96F46"/>
    <w:rsid w:val="00DA050F"/>
    <w:rsid w:val="00DA12D6"/>
    <w:rsid w:val="00DA1DDB"/>
    <w:rsid w:val="00DA30E7"/>
    <w:rsid w:val="00DA5318"/>
    <w:rsid w:val="00DA56D5"/>
    <w:rsid w:val="00DD2C28"/>
    <w:rsid w:val="00DD748F"/>
    <w:rsid w:val="00DE5ADA"/>
    <w:rsid w:val="00DF0496"/>
    <w:rsid w:val="00E01D0C"/>
    <w:rsid w:val="00E062F3"/>
    <w:rsid w:val="00E13377"/>
    <w:rsid w:val="00E20F72"/>
    <w:rsid w:val="00E2207D"/>
    <w:rsid w:val="00E25705"/>
    <w:rsid w:val="00E2772A"/>
    <w:rsid w:val="00E27894"/>
    <w:rsid w:val="00E362D1"/>
    <w:rsid w:val="00E40493"/>
    <w:rsid w:val="00E43A89"/>
    <w:rsid w:val="00E44733"/>
    <w:rsid w:val="00E5476D"/>
    <w:rsid w:val="00E54AB1"/>
    <w:rsid w:val="00E60396"/>
    <w:rsid w:val="00E92CBA"/>
    <w:rsid w:val="00E93AE4"/>
    <w:rsid w:val="00E960C8"/>
    <w:rsid w:val="00EA5579"/>
    <w:rsid w:val="00EB1603"/>
    <w:rsid w:val="00EB1B10"/>
    <w:rsid w:val="00EB461E"/>
    <w:rsid w:val="00ED15B8"/>
    <w:rsid w:val="00ED414F"/>
    <w:rsid w:val="00EE1FAA"/>
    <w:rsid w:val="00EE6CE2"/>
    <w:rsid w:val="00EF1CA8"/>
    <w:rsid w:val="00EF20E5"/>
    <w:rsid w:val="00EF3820"/>
    <w:rsid w:val="00F014E3"/>
    <w:rsid w:val="00F06432"/>
    <w:rsid w:val="00F11884"/>
    <w:rsid w:val="00F27050"/>
    <w:rsid w:val="00F41F04"/>
    <w:rsid w:val="00F44338"/>
    <w:rsid w:val="00F45052"/>
    <w:rsid w:val="00F57118"/>
    <w:rsid w:val="00F612A9"/>
    <w:rsid w:val="00F6682D"/>
    <w:rsid w:val="00F74042"/>
    <w:rsid w:val="00F75AA1"/>
    <w:rsid w:val="00F824C7"/>
    <w:rsid w:val="00F9005E"/>
    <w:rsid w:val="00FA5B0D"/>
    <w:rsid w:val="00FA6AD2"/>
    <w:rsid w:val="00FC3B66"/>
    <w:rsid w:val="00FC4D37"/>
    <w:rsid w:val="00FE363D"/>
    <w:rsid w:val="00FE54F2"/>
    <w:rsid w:val="00FF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006"/>
    </o:shapedefaults>
    <o:shapelayout v:ext="edit">
      <o:idmap v:ext="edit" data="1"/>
    </o:shapelayout>
  </w:shapeDefaults>
  <w:decimalSymbol w:val="."/>
  <w:listSeparator w:val=","/>
  <w15:docId w15:val="{60511168-725C-4616-80DD-1CD2BEAA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9A0"/>
    <w:pPr>
      <w:spacing w:line="276" w:lineRule="auto"/>
    </w:pPr>
    <w:rPr>
      <w:rFonts w:ascii="Georgia" w:hAnsi="Georgia"/>
      <w:sz w:val="21"/>
      <w:szCs w:val="24"/>
      <w:lang w:eastAsia="en-US"/>
    </w:rPr>
  </w:style>
  <w:style w:type="paragraph" w:styleId="Heading1">
    <w:name w:val="heading 1"/>
    <w:basedOn w:val="Normal"/>
    <w:next w:val="Normal"/>
    <w:qFormat/>
    <w:rsid w:val="00324371"/>
    <w:pPr>
      <w:spacing w:after="240"/>
      <w:ind w:left="851" w:hanging="851"/>
      <w:outlineLvl w:val="0"/>
    </w:pPr>
    <w:rPr>
      <w:rFonts w:cs="Arial"/>
      <w:b/>
      <w:bCs/>
      <w:sz w:val="56"/>
      <w:szCs w:val="48"/>
    </w:rPr>
  </w:style>
  <w:style w:type="paragraph" w:styleId="Heading2">
    <w:name w:val="heading 2"/>
    <w:basedOn w:val="Normal"/>
    <w:next w:val="Normal"/>
    <w:qFormat/>
    <w:rsid w:val="002233D8"/>
    <w:pPr>
      <w:keepNext/>
      <w:spacing w:before="360" w:after="120"/>
      <w:outlineLvl w:val="1"/>
    </w:pPr>
    <w:rPr>
      <w:rFonts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qFormat/>
    <w:rsid w:val="0090028B"/>
    <w:pPr>
      <w:keepNext/>
      <w:spacing w:before="360" w:after="12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6CE2"/>
    <w:pPr>
      <w:keepNext/>
      <w:spacing w:before="120" w:after="120"/>
      <w:outlineLvl w:val="3"/>
    </w:pPr>
    <w:rPr>
      <w:rFonts w:eastAsiaTheme="majorEastAsia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6FB8"/>
    <w:rPr>
      <w:color w:val="auto"/>
      <w:u w:val="none"/>
    </w:rPr>
  </w:style>
  <w:style w:type="paragraph" w:styleId="FootnoteText">
    <w:name w:val="footnote text"/>
    <w:basedOn w:val="Normal"/>
    <w:link w:val="FootnoteTextChar"/>
    <w:qFormat/>
    <w:rsid w:val="00680D2D"/>
    <w:pPr>
      <w:spacing w:before="60"/>
      <w:ind w:left="284" w:hanging="284"/>
    </w:pPr>
    <w:rPr>
      <w:sz w:val="18"/>
      <w:szCs w:val="20"/>
    </w:rPr>
  </w:style>
  <w:style w:type="character" w:styleId="FootnoteReference">
    <w:name w:val="footnote reference"/>
    <w:uiPriority w:val="99"/>
    <w:semiHidden/>
    <w:rsid w:val="00240554"/>
    <w:rPr>
      <w:vertAlign w:val="superscript"/>
    </w:rPr>
  </w:style>
  <w:style w:type="paragraph" w:styleId="Header">
    <w:name w:val="header"/>
    <w:basedOn w:val="Normal"/>
    <w:rsid w:val="0074188F"/>
  </w:style>
  <w:style w:type="paragraph" w:styleId="Footer">
    <w:name w:val="footer"/>
    <w:basedOn w:val="Normal"/>
    <w:rsid w:val="0092659B"/>
    <w:pPr>
      <w:tabs>
        <w:tab w:val="right" w:pos="8647"/>
        <w:tab w:val="right" w:pos="9356"/>
      </w:tabs>
    </w:pPr>
    <w:rPr>
      <w:sz w:val="20"/>
    </w:rPr>
  </w:style>
  <w:style w:type="table" w:styleId="TableGrid">
    <w:name w:val="Table Grid"/>
    <w:basedOn w:val="TableNormal"/>
    <w:rsid w:val="0057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Normal"/>
    <w:rsid w:val="00C63124"/>
    <w:pPr>
      <w:keepNext/>
      <w:spacing w:before="120" w:after="120"/>
    </w:pPr>
    <w:rPr>
      <w:b/>
    </w:rPr>
  </w:style>
  <w:style w:type="paragraph" w:customStyle="1" w:styleId="Note">
    <w:name w:val="Note"/>
    <w:basedOn w:val="Normal"/>
    <w:link w:val="NoteChar"/>
    <w:qFormat/>
    <w:rsid w:val="00D76A3D"/>
    <w:pPr>
      <w:pBdr>
        <w:bottom w:val="single" w:sz="18" w:space="6" w:color="808080"/>
      </w:pBdr>
      <w:spacing w:before="60"/>
      <w:ind w:left="284" w:hanging="284"/>
    </w:pPr>
    <w:rPr>
      <w:rFonts w:ascii="Arial" w:hAnsi="Arial"/>
      <w:sz w:val="18"/>
      <w:szCs w:val="22"/>
      <w:lang w:eastAsia="en-GB"/>
    </w:rPr>
  </w:style>
  <w:style w:type="paragraph" w:customStyle="1" w:styleId="Bullet">
    <w:name w:val="Bullet"/>
    <w:basedOn w:val="Normal"/>
    <w:link w:val="BulletChar"/>
    <w:qFormat/>
    <w:rsid w:val="004378E8"/>
    <w:pPr>
      <w:numPr>
        <w:numId w:val="1"/>
      </w:numPr>
      <w:spacing w:before="90"/>
    </w:pPr>
  </w:style>
  <w:style w:type="character" w:styleId="PageNumber">
    <w:name w:val="page number"/>
    <w:rsid w:val="0092659B"/>
    <w:rPr>
      <w:color w:val="auto"/>
      <w:sz w:val="24"/>
    </w:rPr>
  </w:style>
  <w:style w:type="paragraph" w:customStyle="1" w:styleId="TableText">
    <w:name w:val="TableText"/>
    <w:basedOn w:val="Normal"/>
    <w:rsid w:val="00952AF0"/>
    <w:pPr>
      <w:spacing w:before="80" w:after="80"/>
    </w:pPr>
    <w:rPr>
      <w:sz w:val="18"/>
    </w:rPr>
  </w:style>
  <w:style w:type="paragraph" w:customStyle="1" w:styleId="Source">
    <w:name w:val="Source"/>
    <w:basedOn w:val="Normal"/>
    <w:next w:val="Normal"/>
    <w:rsid w:val="002222BC"/>
    <w:pPr>
      <w:pBdr>
        <w:bottom w:val="single" w:sz="18" w:space="6" w:color="808080"/>
      </w:pBdr>
    </w:pPr>
    <w:rPr>
      <w:rFonts w:ascii="Arial" w:hAnsi="Arial"/>
      <w:sz w:val="18"/>
    </w:rPr>
  </w:style>
  <w:style w:type="paragraph" w:customStyle="1" w:styleId="References">
    <w:name w:val="References"/>
    <w:basedOn w:val="Normal"/>
    <w:rsid w:val="000D0170"/>
    <w:pPr>
      <w:spacing w:after="120"/>
    </w:pPr>
    <w:rPr>
      <w:sz w:val="18"/>
    </w:rPr>
  </w:style>
  <w:style w:type="paragraph" w:customStyle="1" w:styleId="BoxHeading">
    <w:name w:val="BoxHeading"/>
    <w:basedOn w:val="Normal"/>
    <w:qFormat/>
    <w:rsid w:val="0092659B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 w:after="120" w:line="264" w:lineRule="auto"/>
      <w:ind w:left="284" w:right="284"/>
    </w:pPr>
    <w:rPr>
      <w:b/>
      <w:sz w:val="28"/>
      <w:szCs w:val="20"/>
      <w:lang w:eastAsia="en-GB"/>
    </w:rPr>
  </w:style>
  <w:style w:type="paragraph" w:customStyle="1" w:styleId="BoxBullet">
    <w:name w:val="BoxBullet"/>
    <w:basedOn w:val="Normal"/>
    <w:qFormat/>
    <w:rsid w:val="0092659B"/>
    <w:pPr>
      <w:numPr>
        <w:numId w:val="2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tabs>
        <w:tab w:val="clear" w:pos="360"/>
        <w:tab w:val="num" w:pos="567"/>
      </w:tabs>
      <w:spacing w:before="120" w:after="120" w:line="264" w:lineRule="auto"/>
      <w:ind w:left="567" w:right="284" w:hanging="283"/>
    </w:pPr>
    <w:rPr>
      <w:sz w:val="22"/>
      <w:szCs w:val="20"/>
      <w:lang w:eastAsia="en-GB"/>
    </w:rPr>
  </w:style>
  <w:style w:type="character" w:customStyle="1" w:styleId="BulletChar">
    <w:name w:val="Bullet Char"/>
    <w:link w:val="Bullet"/>
    <w:locked/>
    <w:rsid w:val="004378E8"/>
    <w:rPr>
      <w:rFonts w:ascii="Georgia" w:hAnsi="Georgia"/>
      <w:sz w:val="21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E6CE2"/>
    <w:rPr>
      <w:rFonts w:ascii="Georgia" w:eastAsiaTheme="majorEastAsia" w:hAnsi="Georgia" w:cstheme="majorBidi"/>
      <w:b/>
      <w:bCs/>
      <w:iCs/>
      <w:sz w:val="24"/>
      <w:szCs w:val="24"/>
      <w:lang w:eastAsia="en-US"/>
    </w:rPr>
  </w:style>
  <w:style w:type="character" w:customStyle="1" w:styleId="FootnoteTextChar">
    <w:name w:val="Footnote Text Char"/>
    <w:link w:val="FootnoteText"/>
    <w:rsid w:val="00EB461E"/>
    <w:rPr>
      <w:rFonts w:ascii="Georgia" w:hAnsi="Georgia"/>
      <w:sz w:val="18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rsid w:val="008911F1"/>
    <w:pPr>
      <w:tabs>
        <w:tab w:val="left" w:pos="567"/>
        <w:tab w:val="right" w:pos="9356"/>
      </w:tabs>
      <w:spacing w:before="240"/>
      <w:ind w:left="567" w:right="567" w:hanging="567"/>
    </w:pPr>
    <w:rPr>
      <w:sz w:val="22"/>
      <w:szCs w:val="22"/>
      <w:lang w:eastAsia="en-AU"/>
    </w:rPr>
  </w:style>
  <w:style w:type="paragraph" w:styleId="TOC2">
    <w:name w:val="toc 2"/>
    <w:basedOn w:val="Normal"/>
    <w:next w:val="Normal"/>
    <w:uiPriority w:val="39"/>
    <w:unhideWhenUsed/>
    <w:qFormat/>
    <w:rsid w:val="008911F1"/>
    <w:pPr>
      <w:tabs>
        <w:tab w:val="left" w:pos="1134"/>
        <w:tab w:val="right" w:pos="9356"/>
      </w:tabs>
      <w:spacing w:before="120"/>
      <w:ind w:left="1134" w:right="567" w:hanging="567"/>
    </w:pPr>
    <w:rPr>
      <w:sz w:val="22"/>
      <w:szCs w:val="22"/>
      <w:lang w:eastAsia="en-AU"/>
    </w:rPr>
  </w:style>
  <w:style w:type="paragraph" w:customStyle="1" w:styleId="Dash">
    <w:name w:val="Dash"/>
    <w:basedOn w:val="Normal"/>
    <w:link w:val="DashChar"/>
    <w:qFormat/>
    <w:rsid w:val="00EE6CE2"/>
    <w:pPr>
      <w:numPr>
        <w:numId w:val="3"/>
      </w:numPr>
      <w:spacing w:before="60"/>
      <w:ind w:left="568" w:hanging="284"/>
    </w:pPr>
    <w:rPr>
      <w:rFonts w:eastAsia="Calibri" w:cs="Arial Mäori"/>
      <w:szCs w:val="22"/>
      <w:lang w:eastAsia="en-NZ"/>
    </w:rPr>
  </w:style>
  <w:style w:type="character" w:customStyle="1" w:styleId="DashChar">
    <w:name w:val="Dash Char"/>
    <w:link w:val="Dash"/>
    <w:rsid w:val="00EE6CE2"/>
    <w:rPr>
      <w:rFonts w:ascii="Georgia" w:eastAsia="Calibri" w:hAnsi="Georgia" w:cs="Arial Mäori"/>
      <w:sz w:val="21"/>
      <w:szCs w:val="22"/>
    </w:rPr>
  </w:style>
  <w:style w:type="paragraph" w:customStyle="1" w:styleId="Box">
    <w:name w:val="Box"/>
    <w:basedOn w:val="BoxHeading"/>
    <w:link w:val="BoxChar"/>
    <w:qFormat/>
    <w:rsid w:val="00EB461E"/>
    <w:pPr>
      <w:spacing w:line="276" w:lineRule="auto"/>
    </w:pPr>
    <w:rPr>
      <w:rFonts w:eastAsia="Calibri"/>
      <w:b w:val="0"/>
      <w:sz w:val="22"/>
      <w:szCs w:val="22"/>
      <w:lang w:eastAsia="en-NZ"/>
    </w:rPr>
  </w:style>
  <w:style w:type="character" w:customStyle="1" w:styleId="BoxChar">
    <w:name w:val="Box Char"/>
    <w:link w:val="Box"/>
    <w:rsid w:val="00EB461E"/>
    <w:rPr>
      <w:rFonts w:ascii="Georgia" w:eastAsia="Calibri" w:hAnsi="Georgia"/>
      <w:sz w:val="22"/>
      <w:szCs w:val="22"/>
    </w:rPr>
  </w:style>
  <w:style w:type="character" w:customStyle="1" w:styleId="NoteChar">
    <w:name w:val="Note Char"/>
    <w:link w:val="Note"/>
    <w:rsid w:val="00EB461E"/>
    <w:rPr>
      <w:rFonts w:ascii="Arial" w:hAnsi="Arial"/>
      <w:sz w:val="18"/>
      <w:szCs w:val="22"/>
      <w:lang w:eastAsia="en-GB"/>
    </w:rPr>
  </w:style>
  <w:style w:type="paragraph" w:customStyle="1" w:styleId="Table">
    <w:name w:val="Table"/>
    <w:basedOn w:val="Normal"/>
    <w:qFormat/>
    <w:rsid w:val="00E062F3"/>
    <w:pPr>
      <w:keepNext/>
      <w:spacing w:before="120" w:after="120"/>
    </w:pPr>
    <w:rPr>
      <w:b/>
    </w:rPr>
  </w:style>
  <w:style w:type="paragraph" w:customStyle="1" w:styleId="TableBullet">
    <w:name w:val="TableBullet"/>
    <w:basedOn w:val="TableText"/>
    <w:qFormat/>
    <w:rsid w:val="00CE689C"/>
    <w:pPr>
      <w:numPr>
        <w:numId w:val="4"/>
      </w:numPr>
      <w:spacing w:before="0"/>
      <w:ind w:left="284" w:hanging="284"/>
    </w:pPr>
    <w:rPr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83D9C"/>
    <w:rPr>
      <w:rFonts w:eastAsiaTheme="majorEastAsia" w:cstheme="majorBidi"/>
      <w:b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3D9C"/>
    <w:rPr>
      <w:rFonts w:ascii="Georgia" w:eastAsiaTheme="majorEastAsia" w:hAnsi="Georgia" w:cstheme="majorBidi"/>
      <w:b/>
      <w:sz w:val="44"/>
      <w:szCs w:val="5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F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D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F6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6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6FD4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FD4"/>
    <w:rPr>
      <w:rFonts w:ascii="Georgia" w:hAnsi="Georgia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A4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8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1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7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9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64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5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5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9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D6F289A-C28C-4D16-9535-59BF1DF3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Behaviour Support Services (BSS)</vt:lpstr>
    </vt:vector>
  </TitlesOfParts>
  <Company>Ministry of Health</Company>
  <LinksUpToDate>false</LinksUpToDate>
  <CharactersWithSpaces>9543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Behaviour Support Services (BSS)</dc:title>
  <dc:creator>Ministry of Health</dc:creator>
  <cp:lastModifiedBy>Allan Potter</cp:lastModifiedBy>
  <cp:revision>6</cp:revision>
  <cp:lastPrinted>2016-02-11T22:23:00Z</cp:lastPrinted>
  <dcterms:created xsi:type="dcterms:W3CDTF">2016-04-18T02:51:00Z</dcterms:created>
  <dcterms:modified xsi:type="dcterms:W3CDTF">2016-05-19T23:22:00Z</dcterms:modified>
</cp:coreProperties>
</file>