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Default="008C1D1C" w:rsidP="008C1D1C">
      <w:pPr>
        <w:pStyle w:val="Title"/>
      </w:pPr>
      <w:bookmarkStart w:id="0" w:name="_GoBack"/>
      <w:bookmarkEnd w:id="0"/>
      <w:r>
        <w:t xml:space="preserve">Radiation Oncology </w:t>
      </w:r>
      <w:r>
        <w:br/>
      </w:r>
      <w:r w:rsidR="00A67C88">
        <w:t>National Linear Accelerator and Workforce Plan</w:t>
      </w:r>
    </w:p>
    <w:p w:rsidR="00142954" w:rsidRPr="00142954" w:rsidRDefault="00142954" w:rsidP="00142954">
      <w:pPr>
        <w:sectPr w:rsidR="00142954" w:rsidRPr="00142954" w:rsidSect="00A67C88">
          <w:footerReference w:type="default" r:id="rId8"/>
          <w:pgSz w:w="11907" w:h="16834" w:code="9"/>
          <w:pgMar w:top="3969" w:right="1701" w:bottom="851" w:left="1701" w:header="851" w:footer="851" w:gutter="0"/>
          <w:cols w:space="720"/>
        </w:sectPr>
      </w:pPr>
    </w:p>
    <w:p w:rsidR="00A80363" w:rsidRPr="00A67C88" w:rsidRDefault="00A80363">
      <w:pPr>
        <w:pStyle w:val="Imprint"/>
      </w:pPr>
      <w:r>
        <w:lastRenderedPageBreak/>
        <w:t xml:space="preserve">Citation: </w:t>
      </w:r>
      <w:r w:rsidR="00A67C88">
        <w:t xml:space="preserve">Health Partners Consulting Group. 2014. </w:t>
      </w:r>
      <w:r w:rsidR="00A67C88">
        <w:rPr>
          <w:i/>
        </w:rPr>
        <w:t>Radiation Oncology National Linear Accelerator and Workforce Plan</w:t>
      </w:r>
      <w:r w:rsidR="00A67C88">
        <w:t>.</w:t>
      </w:r>
      <w:r w:rsidR="00752E94">
        <w:t xml:space="preserve"> </w:t>
      </w:r>
      <w:proofErr w:type="gramStart"/>
      <w:r w:rsidR="00A67C88">
        <w:t>Health Partners Consulting Group.</w:t>
      </w:r>
      <w:proofErr w:type="gramEnd"/>
    </w:p>
    <w:p w:rsidR="00A67C88" w:rsidRDefault="00A67C88">
      <w:pPr>
        <w:pStyle w:val="Imprint"/>
      </w:pPr>
      <w:r>
        <w:t>Prepared for the Ministry of Health by Health Partners Consulting Group</w:t>
      </w:r>
    </w:p>
    <w:p w:rsidR="00C86248" w:rsidRDefault="00C86248">
      <w:pPr>
        <w:pStyle w:val="Imprint"/>
      </w:pPr>
      <w:r>
        <w:t xml:space="preserve">Published in </w:t>
      </w:r>
      <w:r w:rsidR="00752E94">
        <w:t>June</w:t>
      </w:r>
      <w:r w:rsidR="00A67C88">
        <w:t xml:space="preserve"> 2014</w:t>
      </w:r>
      <w:r w:rsidR="005019AE">
        <w:br/>
      </w:r>
      <w:r>
        <w:t>by the</w:t>
      </w:r>
      <w:r w:rsidR="00B546CB">
        <w:t xml:space="preserve"> </w:t>
      </w:r>
      <w:r>
        <w:t>Ministry of Health</w:t>
      </w:r>
      <w:r>
        <w:br/>
        <w:t>PO Box 5013, Wellington</w:t>
      </w:r>
      <w:r w:rsidR="00A80363">
        <w:t xml:space="preserve"> 6145</w:t>
      </w:r>
      <w:r>
        <w:t>, New Zealand</w:t>
      </w:r>
    </w:p>
    <w:p w:rsidR="007E7990" w:rsidRDefault="00082CD6" w:rsidP="00082CD6">
      <w:pPr>
        <w:pStyle w:val="Imprint"/>
      </w:pPr>
      <w:r>
        <w:t>ISBN</w:t>
      </w:r>
      <w:r w:rsidR="00636D7D">
        <w:t xml:space="preserve"> </w:t>
      </w:r>
      <w:r w:rsidR="00B546CB">
        <w:t xml:space="preserve">978-0-478-42799-8 </w:t>
      </w:r>
      <w:r>
        <w:t>(online</w:t>
      </w:r>
      <w:proofErr w:type="gramStart"/>
      <w:r>
        <w:t>)</w:t>
      </w:r>
      <w:proofErr w:type="gramEnd"/>
      <w:r w:rsidRPr="009C0F2D">
        <w:br/>
        <w:t>HP</w:t>
      </w:r>
      <w:r w:rsidR="00B546CB">
        <w:t xml:space="preserve"> 5856</w:t>
      </w:r>
    </w:p>
    <w:p w:rsidR="00C86248" w:rsidRDefault="00C86248">
      <w:pPr>
        <w:pStyle w:val="Imprint"/>
      </w:pPr>
      <w:r>
        <w:t xml:space="preserve">This document is available </w:t>
      </w:r>
      <w:r w:rsidR="0071741C">
        <w:t>at w</w:t>
      </w:r>
      <w:r>
        <w:t>ww.h</w:t>
      </w:r>
      <w:r w:rsidR="00A80363">
        <w:t>ealth</w:t>
      </w:r>
      <w:r>
        <w:t>.govt.nz</w:t>
      </w:r>
    </w:p>
    <w:p w:rsidR="00C86248" w:rsidRPr="00B701D1" w:rsidRDefault="00C86248">
      <w:pPr>
        <w:jc w:val="center"/>
      </w:pPr>
    </w:p>
    <w:p w:rsidR="00C86248" w:rsidRDefault="00C86248">
      <w:pPr>
        <w:jc w:val="center"/>
        <w:sectPr w:rsidR="00C86248" w:rsidSect="0016468A">
          <w:footerReference w:type="even" r:id="rId9"/>
          <w:footerReference w:type="default" r:id="rId10"/>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177741" w:rsidRPr="00C73F47" w:rsidRDefault="00C86248">
      <w:pPr>
        <w:pStyle w:val="TOC1"/>
        <w:rPr>
          <w:rFonts w:ascii="Calibri" w:hAnsi="Calibri"/>
          <w:b w:val="0"/>
          <w:noProof/>
          <w:szCs w:val="22"/>
          <w:lang w:eastAsia="en-NZ"/>
        </w:rPr>
      </w:pPr>
      <w:r>
        <w:rPr>
          <w:b w:val="0"/>
        </w:rPr>
        <w:fldChar w:fldCharType="begin"/>
      </w:r>
      <w:r>
        <w:instrText xml:space="preserve"> TOC \o "1-2" </w:instrText>
      </w:r>
      <w:r>
        <w:rPr>
          <w:b w:val="0"/>
        </w:rPr>
        <w:fldChar w:fldCharType="separate"/>
      </w:r>
      <w:r w:rsidR="00177741">
        <w:rPr>
          <w:noProof/>
        </w:rPr>
        <w:t>Executive summary</w:t>
      </w:r>
      <w:r w:rsidR="00177741">
        <w:rPr>
          <w:noProof/>
        </w:rPr>
        <w:tab/>
      </w:r>
      <w:r w:rsidR="00177741">
        <w:rPr>
          <w:noProof/>
        </w:rPr>
        <w:fldChar w:fldCharType="begin"/>
      </w:r>
      <w:r w:rsidR="00177741">
        <w:rPr>
          <w:noProof/>
        </w:rPr>
        <w:instrText xml:space="preserve"> PAGEREF _Toc384202840 \h </w:instrText>
      </w:r>
      <w:r w:rsidR="00177741">
        <w:rPr>
          <w:noProof/>
        </w:rPr>
      </w:r>
      <w:r w:rsidR="00177741">
        <w:rPr>
          <w:noProof/>
        </w:rPr>
        <w:fldChar w:fldCharType="separate"/>
      </w:r>
      <w:r w:rsidR="0010690F">
        <w:rPr>
          <w:noProof/>
        </w:rPr>
        <w:t>vii</w:t>
      </w:r>
      <w:r w:rsidR="00177741">
        <w:rPr>
          <w:noProof/>
        </w:rPr>
        <w:fldChar w:fldCharType="end"/>
      </w:r>
    </w:p>
    <w:p w:rsidR="00177741" w:rsidRPr="00C73F47" w:rsidRDefault="00177741">
      <w:pPr>
        <w:pStyle w:val="TOC1"/>
        <w:rPr>
          <w:rFonts w:ascii="Calibri" w:hAnsi="Calibri"/>
          <w:b w:val="0"/>
          <w:noProof/>
          <w:szCs w:val="22"/>
          <w:lang w:eastAsia="en-NZ"/>
        </w:rPr>
      </w:pPr>
      <w:r>
        <w:rPr>
          <w:noProof/>
        </w:rPr>
        <w:t>Recommendations</w:t>
      </w:r>
      <w:r>
        <w:rPr>
          <w:noProof/>
        </w:rPr>
        <w:tab/>
      </w:r>
      <w:r>
        <w:rPr>
          <w:noProof/>
        </w:rPr>
        <w:fldChar w:fldCharType="begin"/>
      </w:r>
      <w:r>
        <w:rPr>
          <w:noProof/>
        </w:rPr>
        <w:instrText xml:space="preserve"> PAGEREF _Toc384202841 \h </w:instrText>
      </w:r>
      <w:r>
        <w:rPr>
          <w:noProof/>
        </w:rPr>
      </w:r>
      <w:r>
        <w:rPr>
          <w:noProof/>
        </w:rPr>
        <w:fldChar w:fldCharType="separate"/>
      </w:r>
      <w:r w:rsidR="0010690F">
        <w:rPr>
          <w:noProof/>
        </w:rPr>
        <w:t>xi</w:t>
      </w:r>
      <w:r>
        <w:rPr>
          <w:noProof/>
        </w:rPr>
        <w:fldChar w:fldCharType="end"/>
      </w:r>
    </w:p>
    <w:p w:rsidR="00177741" w:rsidRPr="00C73F47" w:rsidRDefault="00177741">
      <w:pPr>
        <w:pStyle w:val="TOC1"/>
        <w:tabs>
          <w:tab w:val="left" w:pos="1276"/>
        </w:tabs>
        <w:rPr>
          <w:rFonts w:ascii="Calibri" w:hAnsi="Calibri"/>
          <w:b w:val="0"/>
          <w:noProof/>
          <w:szCs w:val="22"/>
          <w:lang w:eastAsia="en-NZ"/>
        </w:rPr>
      </w:pPr>
      <w:r>
        <w:rPr>
          <w:noProof/>
        </w:rPr>
        <w:t>1</w:t>
      </w:r>
      <w:r w:rsidRPr="00C73F47">
        <w:rPr>
          <w:rFonts w:ascii="Calibri" w:hAnsi="Calibri"/>
          <w:b w:val="0"/>
          <w:noProof/>
          <w:szCs w:val="22"/>
          <w:lang w:eastAsia="en-NZ"/>
        </w:rPr>
        <w:tab/>
      </w:r>
      <w:r>
        <w:rPr>
          <w:noProof/>
        </w:rPr>
        <w:t>Introduction</w:t>
      </w:r>
      <w:r>
        <w:rPr>
          <w:noProof/>
        </w:rPr>
        <w:tab/>
      </w:r>
      <w:r>
        <w:rPr>
          <w:noProof/>
        </w:rPr>
        <w:fldChar w:fldCharType="begin"/>
      </w:r>
      <w:r>
        <w:rPr>
          <w:noProof/>
        </w:rPr>
        <w:instrText xml:space="preserve"> PAGEREF _Toc384202842 \h </w:instrText>
      </w:r>
      <w:r>
        <w:rPr>
          <w:noProof/>
        </w:rPr>
      </w:r>
      <w:r>
        <w:rPr>
          <w:noProof/>
        </w:rPr>
        <w:fldChar w:fldCharType="separate"/>
      </w:r>
      <w:r w:rsidR="0010690F">
        <w:rPr>
          <w:noProof/>
        </w:rPr>
        <w:t>1</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1.1</w:t>
      </w:r>
      <w:r w:rsidRPr="00C73F47">
        <w:rPr>
          <w:rFonts w:ascii="Calibri" w:hAnsi="Calibri"/>
          <w:noProof/>
          <w:szCs w:val="22"/>
          <w:lang w:eastAsia="en-NZ"/>
        </w:rPr>
        <w:tab/>
      </w:r>
      <w:r>
        <w:rPr>
          <w:noProof/>
        </w:rPr>
        <w:t>Purpose of the Plan</w:t>
      </w:r>
      <w:r>
        <w:rPr>
          <w:noProof/>
        </w:rPr>
        <w:tab/>
      </w:r>
      <w:r>
        <w:rPr>
          <w:noProof/>
        </w:rPr>
        <w:fldChar w:fldCharType="begin"/>
      </w:r>
      <w:r>
        <w:rPr>
          <w:noProof/>
        </w:rPr>
        <w:instrText xml:space="preserve"> PAGEREF _Toc384202843 \h </w:instrText>
      </w:r>
      <w:r>
        <w:rPr>
          <w:noProof/>
        </w:rPr>
      </w:r>
      <w:r>
        <w:rPr>
          <w:noProof/>
        </w:rPr>
        <w:fldChar w:fldCharType="separate"/>
      </w:r>
      <w:r w:rsidR="0010690F">
        <w:rPr>
          <w:noProof/>
        </w:rPr>
        <w:t>1</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1.2</w:t>
      </w:r>
      <w:r w:rsidRPr="00C73F47">
        <w:rPr>
          <w:rFonts w:ascii="Calibri" w:hAnsi="Calibri"/>
          <w:noProof/>
          <w:szCs w:val="22"/>
          <w:lang w:eastAsia="en-NZ"/>
        </w:rPr>
        <w:tab/>
      </w:r>
      <w:r>
        <w:rPr>
          <w:noProof/>
        </w:rPr>
        <w:t>Why national planning for radiation oncology?</w:t>
      </w:r>
      <w:r>
        <w:rPr>
          <w:noProof/>
        </w:rPr>
        <w:tab/>
      </w:r>
      <w:r>
        <w:rPr>
          <w:noProof/>
        </w:rPr>
        <w:fldChar w:fldCharType="begin"/>
      </w:r>
      <w:r>
        <w:rPr>
          <w:noProof/>
        </w:rPr>
        <w:instrText xml:space="preserve"> PAGEREF _Toc384202844 \h </w:instrText>
      </w:r>
      <w:r>
        <w:rPr>
          <w:noProof/>
        </w:rPr>
      </w:r>
      <w:r>
        <w:rPr>
          <w:noProof/>
        </w:rPr>
        <w:fldChar w:fldCharType="separate"/>
      </w:r>
      <w:r w:rsidR="0010690F">
        <w:rPr>
          <w:noProof/>
        </w:rPr>
        <w:t>2</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1.3</w:t>
      </w:r>
      <w:r w:rsidRPr="00C73F47">
        <w:rPr>
          <w:rFonts w:ascii="Calibri" w:hAnsi="Calibri"/>
          <w:noProof/>
          <w:szCs w:val="22"/>
          <w:lang w:eastAsia="en-NZ"/>
        </w:rPr>
        <w:tab/>
      </w:r>
      <w:r>
        <w:rPr>
          <w:noProof/>
        </w:rPr>
        <w:t>Focus of this Plan</w:t>
      </w:r>
      <w:r>
        <w:rPr>
          <w:noProof/>
        </w:rPr>
        <w:tab/>
      </w:r>
      <w:r>
        <w:rPr>
          <w:noProof/>
        </w:rPr>
        <w:fldChar w:fldCharType="begin"/>
      </w:r>
      <w:r>
        <w:rPr>
          <w:noProof/>
        </w:rPr>
        <w:instrText xml:space="preserve"> PAGEREF _Toc384202845 \h </w:instrText>
      </w:r>
      <w:r>
        <w:rPr>
          <w:noProof/>
        </w:rPr>
      </w:r>
      <w:r>
        <w:rPr>
          <w:noProof/>
        </w:rPr>
        <w:fldChar w:fldCharType="separate"/>
      </w:r>
      <w:r w:rsidR="0010690F">
        <w:rPr>
          <w:noProof/>
        </w:rPr>
        <w:t>3</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1.4</w:t>
      </w:r>
      <w:r w:rsidRPr="00C73F47">
        <w:rPr>
          <w:rFonts w:ascii="Calibri" w:hAnsi="Calibri"/>
          <w:noProof/>
          <w:szCs w:val="22"/>
          <w:lang w:eastAsia="en-NZ"/>
        </w:rPr>
        <w:tab/>
      </w:r>
      <w:r>
        <w:rPr>
          <w:noProof/>
        </w:rPr>
        <w:t>Planning process</w:t>
      </w:r>
      <w:r>
        <w:rPr>
          <w:noProof/>
        </w:rPr>
        <w:tab/>
      </w:r>
      <w:r>
        <w:rPr>
          <w:noProof/>
        </w:rPr>
        <w:fldChar w:fldCharType="begin"/>
      </w:r>
      <w:r>
        <w:rPr>
          <w:noProof/>
        </w:rPr>
        <w:instrText xml:space="preserve"> PAGEREF _Toc384202846 \h </w:instrText>
      </w:r>
      <w:r>
        <w:rPr>
          <w:noProof/>
        </w:rPr>
      </w:r>
      <w:r>
        <w:rPr>
          <w:noProof/>
        </w:rPr>
        <w:fldChar w:fldCharType="separate"/>
      </w:r>
      <w:r w:rsidR="0010690F">
        <w:rPr>
          <w:noProof/>
        </w:rPr>
        <w:t>3</w:t>
      </w:r>
      <w:r>
        <w:rPr>
          <w:noProof/>
        </w:rPr>
        <w:fldChar w:fldCharType="end"/>
      </w:r>
    </w:p>
    <w:p w:rsidR="00177741" w:rsidRPr="00C73F47" w:rsidRDefault="00177741">
      <w:pPr>
        <w:pStyle w:val="TOC1"/>
        <w:tabs>
          <w:tab w:val="left" w:pos="1276"/>
        </w:tabs>
        <w:rPr>
          <w:rFonts w:ascii="Calibri" w:hAnsi="Calibri"/>
          <w:b w:val="0"/>
          <w:noProof/>
          <w:szCs w:val="22"/>
          <w:lang w:eastAsia="en-NZ"/>
        </w:rPr>
      </w:pPr>
      <w:r>
        <w:rPr>
          <w:noProof/>
        </w:rPr>
        <w:t>2</w:t>
      </w:r>
      <w:r w:rsidRPr="00C73F47">
        <w:rPr>
          <w:rFonts w:ascii="Calibri" w:hAnsi="Calibri"/>
          <w:b w:val="0"/>
          <w:noProof/>
          <w:szCs w:val="22"/>
          <w:lang w:eastAsia="en-NZ"/>
        </w:rPr>
        <w:tab/>
      </w:r>
      <w:r>
        <w:rPr>
          <w:noProof/>
        </w:rPr>
        <w:t>Operating environment</w:t>
      </w:r>
      <w:r>
        <w:rPr>
          <w:noProof/>
        </w:rPr>
        <w:tab/>
      </w:r>
      <w:r>
        <w:rPr>
          <w:noProof/>
        </w:rPr>
        <w:fldChar w:fldCharType="begin"/>
      </w:r>
      <w:r>
        <w:rPr>
          <w:noProof/>
        </w:rPr>
        <w:instrText xml:space="preserve"> PAGEREF _Toc384202847 \h </w:instrText>
      </w:r>
      <w:r>
        <w:rPr>
          <w:noProof/>
        </w:rPr>
      </w:r>
      <w:r>
        <w:rPr>
          <w:noProof/>
        </w:rPr>
        <w:fldChar w:fldCharType="separate"/>
      </w:r>
      <w:r w:rsidR="0010690F">
        <w:rPr>
          <w:noProof/>
        </w:rPr>
        <w:t>6</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2.1</w:t>
      </w:r>
      <w:r w:rsidRPr="00C73F47">
        <w:rPr>
          <w:rFonts w:ascii="Calibri" w:hAnsi="Calibri"/>
          <w:noProof/>
          <w:szCs w:val="22"/>
          <w:lang w:eastAsia="en-NZ"/>
        </w:rPr>
        <w:tab/>
      </w:r>
      <w:r>
        <w:rPr>
          <w:noProof/>
        </w:rPr>
        <w:t>Cancer in New Zealand</w:t>
      </w:r>
      <w:r>
        <w:rPr>
          <w:noProof/>
        </w:rPr>
        <w:tab/>
      </w:r>
      <w:r>
        <w:rPr>
          <w:noProof/>
        </w:rPr>
        <w:fldChar w:fldCharType="begin"/>
      </w:r>
      <w:r>
        <w:rPr>
          <w:noProof/>
        </w:rPr>
        <w:instrText xml:space="preserve"> PAGEREF _Toc384202848 \h </w:instrText>
      </w:r>
      <w:r>
        <w:rPr>
          <w:noProof/>
        </w:rPr>
      </w:r>
      <w:r>
        <w:rPr>
          <w:noProof/>
        </w:rPr>
        <w:fldChar w:fldCharType="separate"/>
      </w:r>
      <w:r w:rsidR="0010690F">
        <w:rPr>
          <w:noProof/>
        </w:rPr>
        <w:t>6</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2.2</w:t>
      </w:r>
      <w:r w:rsidRPr="00C73F47">
        <w:rPr>
          <w:rFonts w:ascii="Calibri" w:hAnsi="Calibri"/>
          <w:noProof/>
          <w:szCs w:val="22"/>
          <w:lang w:eastAsia="en-NZ"/>
        </w:rPr>
        <w:tab/>
      </w:r>
      <w:r>
        <w:rPr>
          <w:noProof/>
        </w:rPr>
        <w:t>Cancer Control Strategy</w:t>
      </w:r>
      <w:r>
        <w:rPr>
          <w:noProof/>
        </w:rPr>
        <w:tab/>
      </w:r>
      <w:r>
        <w:rPr>
          <w:noProof/>
        </w:rPr>
        <w:fldChar w:fldCharType="begin"/>
      </w:r>
      <w:r>
        <w:rPr>
          <w:noProof/>
        </w:rPr>
        <w:instrText xml:space="preserve"> PAGEREF _Toc384202849 \h </w:instrText>
      </w:r>
      <w:r>
        <w:rPr>
          <w:noProof/>
        </w:rPr>
      </w:r>
      <w:r>
        <w:rPr>
          <w:noProof/>
        </w:rPr>
        <w:fldChar w:fldCharType="separate"/>
      </w:r>
      <w:r w:rsidR="0010690F">
        <w:rPr>
          <w:noProof/>
        </w:rPr>
        <w:t>7</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2.3</w:t>
      </w:r>
      <w:r w:rsidRPr="00C73F47">
        <w:rPr>
          <w:rFonts w:ascii="Calibri" w:hAnsi="Calibri"/>
          <w:noProof/>
          <w:szCs w:val="22"/>
          <w:lang w:eastAsia="en-NZ"/>
        </w:rPr>
        <w:tab/>
      </w:r>
      <w:r>
        <w:rPr>
          <w:noProof/>
        </w:rPr>
        <w:t>Recent changes to the New Zealand health system</w:t>
      </w:r>
      <w:r>
        <w:rPr>
          <w:noProof/>
        </w:rPr>
        <w:tab/>
      </w:r>
      <w:r>
        <w:rPr>
          <w:noProof/>
        </w:rPr>
        <w:fldChar w:fldCharType="begin"/>
      </w:r>
      <w:r>
        <w:rPr>
          <w:noProof/>
        </w:rPr>
        <w:instrText xml:space="preserve"> PAGEREF _Toc384202850 \h </w:instrText>
      </w:r>
      <w:r>
        <w:rPr>
          <w:noProof/>
        </w:rPr>
      </w:r>
      <w:r>
        <w:rPr>
          <w:noProof/>
        </w:rPr>
        <w:fldChar w:fldCharType="separate"/>
      </w:r>
      <w:r w:rsidR="0010690F">
        <w:rPr>
          <w:noProof/>
        </w:rPr>
        <w:t>9</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2.4</w:t>
      </w:r>
      <w:r w:rsidRPr="00C73F47">
        <w:rPr>
          <w:rFonts w:ascii="Calibri" w:hAnsi="Calibri"/>
          <w:noProof/>
          <w:szCs w:val="22"/>
          <w:lang w:eastAsia="en-NZ"/>
        </w:rPr>
        <w:tab/>
      </w:r>
      <w:r>
        <w:rPr>
          <w:noProof/>
        </w:rPr>
        <w:t>National service development to date</w:t>
      </w:r>
      <w:r>
        <w:rPr>
          <w:noProof/>
        </w:rPr>
        <w:tab/>
      </w:r>
      <w:r>
        <w:rPr>
          <w:noProof/>
        </w:rPr>
        <w:fldChar w:fldCharType="begin"/>
      </w:r>
      <w:r>
        <w:rPr>
          <w:noProof/>
        </w:rPr>
        <w:instrText xml:space="preserve"> PAGEREF _Toc384202851 \h </w:instrText>
      </w:r>
      <w:r>
        <w:rPr>
          <w:noProof/>
        </w:rPr>
      </w:r>
      <w:r>
        <w:rPr>
          <w:noProof/>
        </w:rPr>
        <w:fldChar w:fldCharType="separate"/>
      </w:r>
      <w:r w:rsidR="0010690F">
        <w:rPr>
          <w:noProof/>
        </w:rPr>
        <w:t>9</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2.5</w:t>
      </w:r>
      <w:r w:rsidRPr="00C73F47">
        <w:rPr>
          <w:rFonts w:ascii="Calibri" w:hAnsi="Calibri"/>
          <w:noProof/>
          <w:szCs w:val="22"/>
          <w:lang w:eastAsia="en-NZ"/>
        </w:rPr>
        <w:tab/>
      </w:r>
      <w:r>
        <w:rPr>
          <w:noProof/>
        </w:rPr>
        <w:t>Regional cancer networks and radiation therapy planning</w:t>
      </w:r>
      <w:r>
        <w:rPr>
          <w:noProof/>
        </w:rPr>
        <w:tab/>
      </w:r>
      <w:r>
        <w:rPr>
          <w:noProof/>
        </w:rPr>
        <w:fldChar w:fldCharType="begin"/>
      </w:r>
      <w:r>
        <w:rPr>
          <w:noProof/>
        </w:rPr>
        <w:instrText xml:space="preserve"> PAGEREF _Toc384202852 \h </w:instrText>
      </w:r>
      <w:r>
        <w:rPr>
          <w:noProof/>
        </w:rPr>
      </w:r>
      <w:r>
        <w:rPr>
          <w:noProof/>
        </w:rPr>
        <w:fldChar w:fldCharType="separate"/>
      </w:r>
      <w:r w:rsidR="0010690F">
        <w:rPr>
          <w:noProof/>
        </w:rPr>
        <w:t>12</w:t>
      </w:r>
      <w:r>
        <w:rPr>
          <w:noProof/>
        </w:rPr>
        <w:fldChar w:fldCharType="end"/>
      </w:r>
    </w:p>
    <w:p w:rsidR="00177741" w:rsidRPr="00C73F47" w:rsidRDefault="00177741">
      <w:pPr>
        <w:pStyle w:val="TOC1"/>
        <w:tabs>
          <w:tab w:val="left" w:pos="1276"/>
        </w:tabs>
        <w:rPr>
          <w:rFonts w:ascii="Calibri" w:hAnsi="Calibri"/>
          <w:b w:val="0"/>
          <w:noProof/>
          <w:szCs w:val="22"/>
          <w:lang w:eastAsia="en-NZ"/>
        </w:rPr>
      </w:pPr>
      <w:r>
        <w:rPr>
          <w:noProof/>
        </w:rPr>
        <w:t>3</w:t>
      </w:r>
      <w:r w:rsidRPr="00C73F47">
        <w:rPr>
          <w:rFonts w:ascii="Calibri" w:hAnsi="Calibri"/>
          <w:b w:val="0"/>
          <w:noProof/>
          <w:szCs w:val="22"/>
          <w:lang w:eastAsia="en-NZ"/>
        </w:rPr>
        <w:tab/>
      </w:r>
      <w:r>
        <w:rPr>
          <w:noProof/>
        </w:rPr>
        <w:t>Current radiation therapy services</w:t>
      </w:r>
      <w:r>
        <w:rPr>
          <w:noProof/>
        </w:rPr>
        <w:tab/>
      </w:r>
      <w:r>
        <w:rPr>
          <w:noProof/>
        </w:rPr>
        <w:fldChar w:fldCharType="begin"/>
      </w:r>
      <w:r>
        <w:rPr>
          <w:noProof/>
        </w:rPr>
        <w:instrText xml:space="preserve"> PAGEREF _Toc384202853 \h </w:instrText>
      </w:r>
      <w:r>
        <w:rPr>
          <w:noProof/>
        </w:rPr>
      </w:r>
      <w:r>
        <w:rPr>
          <w:noProof/>
        </w:rPr>
        <w:fldChar w:fldCharType="separate"/>
      </w:r>
      <w:r w:rsidR="0010690F">
        <w:rPr>
          <w:noProof/>
        </w:rPr>
        <w:t>13</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3.1</w:t>
      </w:r>
      <w:r w:rsidRPr="00C73F47">
        <w:rPr>
          <w:rFonts w:ascii="Calibri" w:hAnsi="Calibri"/>
          <w:noProof/>
          <w:szCs w:val="22"/>
          <w:lang w:eastAsia="en-NZ"/>
        </w:rPr>
        <w:tab/>
      </w:r>
      <w:r>
        <w:rPr>
          <w:noProof/>
        </w:rPr>
        <w:t>Current configuration</w:t>
      </w:r>
      <w:r>
        <w:rPr>
          <w:noProof/>
        </w:rPr>
        <w:tab/>
      </w:r>
      <w:r>
        <w:rPr>
          <w:noProof/>
        </w:rPr>
        <w:fldChar w:fldCharType="begin"/>
      </w:r>
      <w:r>
        <w:rPr>
          <w:noProof/>
        </w:rPr>
        <w:instrText xml:space="preserve"> PAGEREF _Toc384202854 \h </w:instrText>
      </w:r>
      <w:r>
        <w:rPr>
          <w:noProof/>
        </w:rPr>
      </w:r>
      <w:r>
        <w:rPr>
          <w:noProof/>
        </w:rPr>
        <w:fldChar w:fldCharType="separate"/>
      </w:r>
      <w:r w:rsidR="0010690F">
        <w:rPr>
          <w:noProof/>
        </w:rPr>
        <w:t>13</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3.2</w:t>
      </w:r>
      <w:r w:rsidRPr="00C73F47">
        <w:rPr>
          <w:rFonts w:ascii="Calibri" w:hAnsi="Calibri"/>
          <w:noProof/>
          <w:szCs w:val="22"/>
          <w:lang w:eastAsia="en-NZ"/>
        </w:rPr>
        <w:tab/>
      </w:r>
      <w:r>
        <w:rPr>
          <w:noProof/>
        </w:rPr>
        <w:t>Courses by DHB</w:t>
      </w:r>
      <w:r>
        <w:rPr>
          <w:noProof/>
        </w:rPr>
        <w:tab/>
      </w:r>
      <w:r>
        <w:rPr>
          <w:noProof/>
        </w:rPr>
        <w:fldChar w:fldCharType="begin"/>
      </w:r>
      <w:r>
        <w:rPr>
          <w:noProof/>
        </w:rPr>
        <w:instrText xml:space="preserve"> PAGEREF _Toc384202855 \h </w:instrText>
      </w:r>
      <w:r>
        <w:rPr>
          <w:noProof/>
        </w:rPr>
      </w:r>
      <w:r>
        <w:rPr>
          <w:noProof/>
        </w:rPr>
        <w:fldChar w:fldCharType="separate"/>
      </w:r>
      <w:r w:rsidR="0010690F">
        <w:rPr>
          <w:noProof/>
        </w:rPr>
        <w:t>16</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3.3</w:t>
      </w:r>
      <w:r w:rsidRPr="00C73F47">
        <w:rPr>
          <w:rFonts w:ascii="Calibri" w:hAnsi="Calibri"/>
          <w:noProof/>
          <w:szCs w:val="22"/>
          <w:lang w:eastAsia="en-NZ"/>
        </w:rPr>
        <w:tab/>
      </w:r>
      <w:r>
        <w:rPr>
          <w:noProof/>
        </w:rPr>
        <w:t>Workforce</w:t>
      </w:r>
      <w:r>
        <w:rPr>
          <w:noProof/>
        </w:rPr>
        <w:tab/>
      </w:r>
      <w:r>
        <w:rPr>
          <w:noProof/>
        </w:rPr>
        <w:fldChar w:fldCharType="begin"/>
      </w:r>
      <w:r>
        <w:rPr>
          <w:noProof/>
        </w:rPr>
        <w:instrText xml:space="preserve"> PAGEREF _Toc384202856 \h </w:instrText>
      </w:r>
      <w:r>
        <w:rPr>
          <w:noProof/>
        </w:rPr>
      </w:r>
      <w:r>
        <w:rPr>
          <w:noProof/>
        </w:rPr>
        <w:fldChar w:fldCharType="separate"/>
      </w:r>
      <w:r w:rsidR="0010690F">
        <w:rPr>
          <w:noProof/>
        </w:rPr>
        <w:t>16</w:t>
      </w:r>
      <w:r>
        <w:rPr>
          <w:noProof/>
        </w:rPr>
        <w:fldChar w:fldCharType="end"/>
      </w:r>
    </w:p>
    <w:p w:rsidR="00177741" w:rsidRPr="00C73F47" w:rsidRDefault="00177741">
      <w:pPr>
        <w:pStyle w:val="TOC1"/>
        <w:tabs>
          <w:tab w:val="left" w:pos="1276"/>
        </w:tabs>
        <w:rPr>
          <w:rFonts w:ascii="Calibri" w:hAnsi="Calibri"/>
          <w:b w:val="0"/>
          <w:noProof/>
          <w:szCs w:val="22"/>
          <w:lang w:eastAsia="en-NZ"/>
        </w:rPr>
      </w:pPr>
      <w:r>
        <w:rPr>
          <w:noProof/>
        </w:rPr>
        <w:t>4</w:t>
      </w:r>
      <w:r w:rsidRPr="00C73F47">
        <w:rPr>
          <w:rFonts w:ascii="Calibri" w:hAnsi="Calibri"/>
          <w:b w:val="0"/>
          <w:noProof/>
          <w:szCs w:val="22"/>
          <w:lang w:eastAsia="en-NZ"/>
        </w:rPr>
        <w:tab/>
      </w:r>
      <w:r>
        <w:rPr>
          <w:noProof/>
        </w:rPr>
        <w:t>National capacity requirements</w:t>
      </w:r>
      <w:r>
        <w:rPr>
          <w:noProof/>
        </w:rPr>
        <w:tab/>
      </w:r>
      <w:r>
        <w:rPr>
          <w:noProof/>
        </w:rPr>
        <w:fldChar w:fldCharType="begin"/>
      </w:r>
      <w:r>
        <w:rPr>
          <w:noProof/>
        </w:rPr>
        <w:instrText xml:space="preserve"> PAGEREF _Toc384202857 \h </w:instrText>
      </w:r>
      <w:r>
        <w:rPr>
          <w:noProof/>
        </w:rPr>
      </w:r>
      <w:r>
        <w:rPr>
          <w:noProof/>
        </w:rPr>
        <w:fldChar w:fldCharType="separate"/>
      </w:r>
      <w:r w:rsidR="0010690F">
        <w:rPr>
          <w:noProof/>
        </w:rPr>
        <w:t>20</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4.1</w:t>
      </w:r>
      <w:r w:rsidRPr="00C73F47">
        <w:rPr>
          <w:rFonts w:ascii="Calibri" w:hAnsi="Calibri"/>
          <w:noProof/>
          <w:szCs w:val="22"/>
          <w:lang w:eastAsia="en-NZ"/>
        </w:rPr>
        <w:tab/>
      </w:r>
      <w:r>
        <w:rPr>
          <w:noProof/>
        </w:rPr>
        <w:t>Introduction to the Model</w:t>
      </w:r>
      <w:r>
        <w:rPr>
          <w:noProof/>
        </w:rPr>
        <w:tab/>
      </w:r>
      <w:r>
        <w:rPr>
          <w:noProof/>
        </w:rPr>
        <w:fldChar w:fldCharType="begin"/>
      </w:r>
      <w:r>
        <w:rPr>
          <w:noProof/>
        </w:rPr>
        <w:instrText xml:space="preserve"> PAGEREF _Toc384202858 \h </w:instrText>
      </w:r>
      <w:r>
        <w:rPr>
          <w:noProof/>
        </w:rPr>
      </w:r>
      <w:r>
        <w:rPr>
          <w:noProof/>
        </w:rPr>
        <w:fldChar w:fldCharType="separate"/>
      </w:r>
      <w:r w:rsidR="0010690F">
        <w:rPr>
          <w:noProof/>
        </w:rPr>
        <w:t>20</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4.2</w:t>
      </w:r>
      <w:r w:rsidRPr="00C73F47">
        <w:rPr>
          <w:rFonts w:ascii="Calibri" w:hAnsi="Calibri"/>
          <w:noProof/>
          <w:szCs w:val="22"/>
          <w:lang w:eastAsia="en-NZ"/>
        </w:rPr>
        <w:tab/>
      </w:r>
      <w:r>
        <w:rPr>
          <w:noProof/>
        </w:rPr>
        <w:t>Modelling variables and assumptions</w:t>
      </w:r>
      <w:r>
        <w:rPr>
          <w:noProof/>
        </w:rPr>
        <w:tab/>
      </w:r>
      <w:r>
        <w:rPr>
          <w:noProof/>
        </w:rPr>
        <w:fldChar w:fldCharType="begin"/>
      </w:r>
      <w:r>
        <w:rPr>
          <w:noProof/>
        </w:rPr>
        <w:instrText xml:space="preserve"> PAGEREF _Toc384202859 \h </w:instrText>
      </w:r>
      <w:r>
        <w:rPr>
          <w:noProof/>
        </w:rPr>
      </w:r>
      <w:r>
        <w:rPr>
          <w:noProof/>
        </w:rPr>
        <w:fldChar w:fldCharType="separate"/>
      </w:r>
      <w:r w:rsidR="0010690F">
        <w:rPr>
          <w:noProof/>
        </w:rPr>
        <w:t>21</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4.3</w:t>
      </w:r>
      <w:r w:rsidRPr="00C73F47">
        <w:rPr>
          <w:rFonts w:ascii="Calibri" w:hAnsi="Calibri"/>
          <w:noProof/>
          <w:szCs w:val="22"/>
          <w:lang w:eastAsia="en-NZ"/>
        </w:rPr>
        <w:tab/>
      </w:r>
      <w:r>
        <w:rPr>
          <w:noProof/>
        </w:rPr>
        <w:t>Model scenarios</w:t>
      </w:r>
      <w:r>
        <w:rPr>
          <w:noProof/>
        </w:rPr>
        <w:tab/>
      </w:r>
      <w:r>
        <w:rPr>
          <w:noProof/>
        </w:rPr>
        <w:fldChar w:fldCharType="begin"/>
      </w:r>
      <w:r>
        <w:rPr>
          <w:noProof/>
        </w:rPr>
        <w:instrText xml:space="preserve"> PAGEREF _Toc384202860 \h </w:instrText>
      </w:r>
      <w:r>
        <w:rPr>
          <w:noProof/>
        </w:rPr>
      </w:r>
      <w:r>
        <w:rPr>
          <w:noProof/>
        </w:rPr>
        <w:fldChar w:fldCharType="separate"/>
      </w:r>
      <w:r w:rsidR="0010690F">
        <w:rPr>
          <w:noProof/>
        </w:rPr>
        <w:t>28</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4.4</w:t>
      </w:r>
      <w:r w:rsidRPr="00C73F47">
        <w:rPr>
          <w:rFonts w:ascii="Calibri" w:hAnsi="Calibri"/>
          <w:noProof/>
          <w:szCs w:val="22"/>
          <w:lang w:eastAsia="en-NZ"/>
        </w:rPr>
        <w:tab/>
      </w:r>
      <w:r>
        <w:rPr>
          <w:noProof/>
        </w:rPr>
        <w:t>Model results</w:t>
      </w:r>
      <w:r>
        <w:rPr>
          <w:noProof/>
        </w:rPr>
        <w:tab/>
      </w:r>
      <w:r>
        <w:rPr>
          <w:noProof/>
        </w:rPr>
        <w:fldChar w:fldCharType="begin"/>
      </w:r>
      <w:r>
        <w:rPr>
          <w:noProof/>
        </w:rPr>
        <w:instrText xml:space="preserve"> PAGEREF _Toc384202861 \h </w:instrText>
      </w:r>
      <w:r>
        <w:rPr>
          <w:noProof/>
        </w:rPr>
      </w:r>
      <w:r>
        <w:rPr>
          <w:noProof/>
        </w:rPr>
        <w:fldChar w:fldCharType="separate"/>
      </w:r>
      <w:r w:rsidR="0010690F">
        <w:rPr>
          <w:noProof/>
        </w:rPr>
        <w:t>28</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4.5</w:t>
      </w:r>
      <w:r w:rsidRPr="00C73F47">
        <w:rPr>
          <w:rFonts w:ascii="Calibri" w:hAnsi="Calibri"/>
          <w:noProof/>
          <w:szCs w:val="22"/>
          <w:lang w:eastAsia="en-NZ"/>
        </w:rPr>
        <w:tab/>
      </w:r>
      <w:r>
        <w:rPr>
          <w:noProof/>
        </w:rPr>
        <w:t>Operational performance</w:t>
      </w:r>
      <w:r>
        <w:rPr>
          <w:noProof/>
        </w:rPr>
        <w:tab/>
      </w:r>
      <w:r>
        <w:rPr>
          <w:noProof/>
        </w:rPr>
        <w:fldChar w:fldCharType="begin"/>
      </w:r>
      <w:r>
        <w:rPr>
          <w:noProof/>
        </w:rPr>
        <w:instrText xml:space="preserve"> PAGEREF _Toc384202862 \h </w:instrText>
      </w:r>
      <w:r>
        <w:rPr>
          <w:noProof/>
        </w:rPr>
      </w:r>
      <w:r>
        <w:rPr>
          <w:noProof/>
        </w:rPr>
        <w:fldChar w:fldCharType="separate"/>
      </w:r>
      <w:r w:rsidR="0010690F">
        <w:rPr>
          <w:noProof/>
        </w:rPr>
        <w:t>30</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4.6</w:t>
      </w:r>
      <w:r w:rsidRPr="00C73F47">
        <w:rPr>
          <w:rFonts w:ascii="Calibri" w:hAnsi="Calibri"/>
          <w:noProof/>
          <w:szCs w:val="22"/>
          <w:lang w:eastAsia="en-NZ"/>
        </w:rPr>
        <w:tab/>
      </w:r>
      <w:r>
        <w:rPr>
          <w:noProof/>
        </w:rPr>
        <w:t>Sensitivity analyses</w:t>
      </w:r>
      <w:r>
        <w:rPr>
          <w:noProof/>
        </w:rPr>
        <w:tab/>
      </w:r>
      <w:r>
        <w:rPr>
          <w:noProof/>
        </w:rPr>
        <w:fldChar w:fldCharType="begin"/>
      </w:r>
      <w:r>
        <w:rPr>
          <w:noProof/>
        </w:rPr>
        <w:instrText xml:space="preserve"> PAGEREF _Toc384202863 \h </w:instrText>
      </w:r>
      <w:r>
        <w:rPr>
          <w:noProof/>
        </w:rPr>
      </w:r>
      <w:r>
        <w:rPr>
          <w:noProof/>
        </w:rPr>
        <w:fldChar w:fldCharType="separate"/>
      </w:r>
      <w:r w:rsidR="0010690F">
        <w:rPr>
          <w:noProof/>
        </w:rPr>
        <w:t>37</w:t>
      </w:r>
      <w:r>
        <w:rPr>
          <w:noProof/>
        </w:rPr>
        <w:fldChar w:fldCharType="end"/>
      </w:r>
    </w:p>
    <w:p w:rsidR="00177741" w:rsidRPr="00C73F47" w:rsidRDefault="00177741">
      <w:pPr>
        <w:pStyle w:val="TOC1"/>
        <w:tabs>
          <w:tab w:val="left" w:pos="1276"/>
        </w:tabs>
        <w:rPr>
          <w:rFonts w:ascii="Calibri" w:hAnsi="Calibri"/>
          <w:b w:val="0"/>
          <w:noProof/>
          <w:szCs w:val="22"/>
          <w:lang w:eastAsia="en-NZ"/>
        </w:rPr>
      </w:pPr>
      <w:r>
        <w:rPr>
          <w:noProof/>
        </w:rPr>
        <w:t>5</w:t>
      </w:r>
      <w:r w:rsidRPr="00C73F47">
        <w:rPr>
          <w:rFonts w:ascii="Calibri" w:hAnsi="Calibri"/>
          <w:b w:val="0"/>
          <w:noProof/>
          <w:szCs w:val="22"/>
          <w:lang w:eastAsia="en-NZ"/>
        </w:rPr>
        <w:tab/>
      </w:r>
      <w:r>
        <w:rPr>
          <w:noProof/>
        </w:rPr>
        <w:t>Advancing national service and capacity planning</w:t>
      </w:r>
      <w:r>
        <w:rPr>
          <w:noProof/>
        </w:rPr>
        <w:tab/>
      </w:r>
      <w:r>
        <w:rPr>
          <w:noProof/>
        </w:rPr>
        <w:fldChar w:fldCharType="begin"/>
      </w:r>
      <w:r>
        <w:rPr>
          <w:noProof/>
        </w:rPr>
        <w:instrText xml:space="preserve"> PAGEREF _Toc384202864 \h </w:instrText>
      </w:r>
      <w:r>
        <w:rPr>
          <w:noProof/>
        </w:rPr>
      </w:r>
      <w:r>
        <w:rPr>
          <w:noProof/>
        </w:rPr>
        <w:fldChar w:fldCharType="separate"/>
      </w:r>
      <w:r w:rsidR="0010690F">
        <w:rPr>
          <w:noProof/>
        </w:rPr>
        <w:t>39</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5.1</w:t>
      </w:r>
      <w:r w:rsidRPr="00C73F47">
        <w:rPr>
          <w:rFonts w:ascii="Calibri" w:hAnsi="Calibri"/>
          <w:noProof/>
          <w:szCs w:val="22"/>
          <w:lang w:eastAsia="en-NZ"/>
        </w:rPr>
        <w:tab/>
      </w:r>
      <w:r>
        <w:rPr>
          <w:noProof/>
        </w:rPr>
        <w:t>Access to radiation therapy</w:t>
      </w:r>
      <w:r>
        <w:rPr>
          <w:noProof/>
        </w:rPr>
        <w:tab/>
      </w:r>
      <w:r>
        <w:rPr>
          <w:noProof/>
        </w:rPr>
        <w:fldChar w:fldCharType="begin"/>
      </w:r>
      <w:r>
        <w:rPr>
          <w:noProof/>
        </w:rPr>
        <w:instrText xml:space="preserve"> PAGEREF _Toc384202865 \h </w:instrText>
      </w:r>
      <w:r>
        <w:rPr>
          <w:noProof/>
        </w:rPr>
      </w:r>
      <w:r>
        <w:rPr>
          <w:noProof/>
        </w:rPr>
        <w:fldChar w:fldCharType="separate"/>
      </w:r>
      <w:r w:rsidR="0010690F">
        <w:rPr>
          <w:noProof/>
        </w:rPr>
        <w:t>39</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5.2</w:t>
      </w:r>
      <w:r w:rsidRPr="00C73F47">
        <w:rPr>
          <w:rFonts w:ascii="Calibri" w:hAnsi="Calibri"/>
          <w:noProof/>
          <w:szCs w:val="22"/>
          <w:lang w:eastAsia="en-NZ"/>
        </w:rPr>
        <w:tab/>
      </w:r>
      <w:r>
        <w:rPr>
          <w:noProof/>
        </w:rPr>
        <w:t>Performance improvement</w:t>
      </w:r>
      <w:r>
        <w:rPr>
          <w:noProof/>
        </w:rPr>
        <w:tab/>
      </w:r>
      <w:r>
        <w:rPr>
          <w:noProof/>
        </w:rPr>
        <w:fldChar w:fldCharType="begin"/>
      </w:r>
      <w:r>
        <w:rPr>
          <w:noProof/>
        </w:rPr>
        <w:instrText xml:space="preserve"> PAGEREF _Toc384202866 \h </w:instrText>
      </w:r>
      <w:r>
        <w:rPr>
          <w:noProof/>
        </w:rPr>
      </w:r>
      <w:r>
        <w:rPr>
          <w:noProof/>
        </w:rPr>
        <w:fldChar w:fldCharType="separate"/>
      </w:r>
      <w:r w:rsidR="0010690F">
        <w:rPr>
          <w:noProof/>
        </w:rPr>
        <w:t>47</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5.3</w:t>
      </w:r>
      <w:r w:rsidRPr="00C73F47">
        <w:rPr>
          <w:rFonts w:ascii="Calibri" w:hAnsi="Calibri"/>
          <w:noProof/>
          <w:szCs w:val="22"/>
          <w:lang w:eastAsia="en-NZ"/>
        </w:rPr>
        <w:tab/>
      </w:r>
      <w:r>
        <w:rPr>
          <w:noProof/>
        </w:rPr>
        <w:t>Evaluation of new techniques and technologies</w:t>
      </w:r>
      <w:r>
        <w:rPr>
          <w:noProof/>
        </w:rPr>
        <w:tab/>
      </w:r>
      <w:r>
        <w:rPr>
          <w:noProof/>
        </w:rPr>
        <w:fldChar w:fldCharType="begin"/>
      </w:r>
      <w:r>
        <w:rPr>
          <w:noProof/>
        </w:rPr>
        <w:instrText xml:space="preserve"> PAGEREF _Toc384202867 \h </w:instrText>
      </w:r>
      <w:r>
        <w:rPr>
          <w:noProof/>
        </w:rPr>
      </w:r>
      <w:r>
        <w:rPr>
          <w:noProof/>
        </w:rPr>
        <w:fldChar w:fldCharType="separate"/>
      </w:r>
      <w:r w:rsidR="0010690F">
        <w:rPr>
          <w:noProof/>
        </w:rPr>
        <w:t>49</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5.4</w:t>
      </w:r>
      <w:r w:rsidRPr="00C73F47">
        <w:rPr>
          <w:rFonts w:ascii="Calibri" w:hAnsi="Calibri"/>
          <w:noProof/>
          <w:szCs w:val="22"/>
          <w:lang w:eastAsia="en-NZ"/>
        </w:rPr>
        <w:tab/>
      </w:r>
      <w:r>
        <w:rPr>
          <w:noProof/>
        </w:rPr>
        <w:t>Procurement</w:t>
      </w:r>
      <w:r>
        <w:rPr>
          <w:noProof/>
        </w:rPr>
        <w:tab/>
      </w:r>
      <w:r>
        <w:rPr>
          <w:noProof/>
        </w:rPr>
        <w:fldChar w:fldCharType="begin"/>
      </w:r>
      <w:r>
        <w:rPr>
          <w:noProof/>
        </w:rPr>
        <w:instrText xml:space="preserve"> PAGEREF _Toc384202868 \h </w:instrText>
      </w:r>
      <w:r>
        <w:rPr>
          <w:noProof/>
        </w:rPr>
      </w:r>
      <w:r>
        <w:rPr>
          <w:noProof/>
        </w:rPr>
        <w:fldChar w:fldCharType="separate"/>
      </w:r>
      <w:r w:rsidR="0010690F">
        <w:rPr>
          <w:noProof/>
        </w:rPr>
        <w:t>52</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5.5</w:t>
      </w:r>
      <w:r w:rsidRPr="00C73F47">
        <w:rPr>
          <w:rFonts w:ascii="Calibri" w:hAnsi="Calibri"/>
          <w:noProof/>
          <w:szCs w:val="22"/>
          <w:lang w:eastAsia="en-NZ"/>
        </w:rPr>
        <w:tab/>
      </w:r>
      <w:r>
        <w:rPr>
          <w:noProof/>
        </w:rPr>
        <w:t>Securing investment</w:t>
      </w:r>
      <w:r>
        <w:rPr>
          <w:noProof/>
        </w:rPr>
        <w:tab/>
      </w:r>
      <w:r>
        <w:rPr>
          <w:noProof/>
        </w:rPr>
        <w:fldChar w:fldCharType="begin"/>
      </w:r>
      <w:r>
        <w:rPr>
          <w:noProof/>
        </w:rPr>
        <w:instrText xml:space="preserve"> PAGEREF _Toc384202869 \h </w:instrText>
      </w:r>
      <w:r>
        <w:rPr>
          <w:noProof/>
        </w:rPr>
      </w:r>
      <w:r>
        <w:rPr>
          <w:noProof/>
        </w:rPr>
        <w:fldChar w:fldCharType="separate"/>
      </w:r>
      <w:r w:rsidR="0010690F">
        <w:rPr>
          <w:noProof/>
        </w:rPr>
        <w:t>52</w:t>
      </w:r>
      <w:r>
        <w:rPr>
          <w:noProof/>
        </w:rPr>
        <w:fldChar w:fldCharType="end"/>
      </w:r>
    </w:p>
    <w:p w:rsidR="00177741" w:rsidRPr="00C73F47" w:rsidRDefault="00177741">
      <w:pPr>
        <w:pStyle w:val="TOC2"/>
        <w:tabs>
          <w:tab w:val="left" w:pos="1276"/>
        </w:tabs>
        <w:rPr>
          <w:rFonts w:ascii="Calibri" w:hAnsi="Calibri"/>
          <w:noProof/>
          <w:szCs w:val="22"/>
          <w:lang w:eastAsia="en-NZ"/>
        </w:rPr>
      </w:pPr>
      <w:r>
        <w:rPr>
          <w:noProof/>
        </w:rPr>
        <w:t>5.6</w:t>
      </w:r>
      <w:r w:rsidRPr="00C73F47">
        <w:rPr>
          <w:rFonts w:ascii="Calibri" w:hAnsi="Calibri"/>
          <w:noProof/>
          <w:szCs w:val="22"/>
          <w:lang w:eastAsia="en-NZ"/>
        </w:rPr>
        <w:tab/>
      </w:r>
      <w:r>
        <w:rPr>
          <w:noProof/>
        </w:rPr>
        <w:t>National planning and action</w:t>
      </w:r>
      <w:r>
        <w:rPr>
          <w:noProof/>
        </w:rPr>
        <w:tab/>
      </w:r>
      <w:r>
        <w:rPr>
          <w:noProof/>
        </w:rPr>
        <w:fldChar w:fldCharType="begin"/>
      </w:r>
      <w:r>
        <w:rPr>
          <w:noProof/>
        </w:rPr>
        <w:instrText xml:space="preserve"> PAGEREF _Toc384202870 \h </w:instrText>
      </w:r>
      <w:r>
        <w:rPr>
          <w:noProof/>
        </w:rPr>
      </w:r>
      <w:r>
        <w:rPr>
          <w:noProof/>
        </w:rPr>
        <w:fldChar w:fldCharType="separate"/>
      </w:r>
      <w:r w:rsidR="0010690F">
        <w:rPr>
          <w:noProof/>
        </w:rPr>
        <w:t>55</w:t>
      </w:r>
      <w:r>
        <w:rPr>
          <w:noProof/>
        </w:rPr>
        <w:fldChar w:fldCharType="end"/>
      </w:r>
    </w:p>
    <w:p w:rsidR="00177741" w:rsidRDefault="00177741">
      <w:pPr>
        <w:pStyle w:val="TOC1"/>
        <w:rPr>
          <w:noProof/>
        </w:rPr>
      </w:pPr>
      <w:r>
        <w:rPr>
          <w:noProof/>
        </w:rPr>
        <w:lastRenderedPageBreak/>
        <w:t>Appendices</w:t>
      </w:r>
    </w:p>
    <w:p w:rsidR="00177741" w:rsidRPr="00C73F47" w:rsidRDefault="00177741" w:rsidP="00177741">
      <w:pPr>
        <w:pStyle w:val="TOC2"/>
        <w:rPr>
          <w:rFonts w:ascii="Calibri" w:hAnsi="Calibri"/>
          <w:b/>
          <w:noProof/>
          <w:szCs w:val="22"/>
          <w:lang w:eastAsia="en-NZ"/>
        </w:rPr>
      </w:pPr>
      <w:r>
        <w:rPr>
          <w:noProof/>
        </w:rPr>
        <w:t>Appendix 1: Members of the Steering Group and Expert Advisory Group</w:t>
      </w:r>
      <w:r>
        <w:rPr>
          <w:noProof/>
        </w:rPr>
        <w:tab/>
      </w:r>
      <w:r>
        <w:rPr>
          <w:noProof/>
        </w:rPr>
        <w:fldChar w:fldCharType="begin"/>
      </w:r>
      <w:r>
        <w:rPr>
          <w:noProof/>
        </w:rPr>
        <w:instrText xml:space="preserve"> PAGEREF _Toc384202871 \h </w:instrText>
      </w:r>
      <w:r>
        <w:rPr>
          <w:noProof/>
        </w:rPr>
      </w:r>
      <w:r>
        <w:rPr>
          <w:noProof/>
        </w:rPr>
        <w:fldChar w:fldCharType="separate"/>
      </w:r>
      <w:r w:rsidR="0010690F">
        <w:rPr>
          <w:noProof/>
        </w:rPr>
        <w:t>56</w:t>
      </w:r>
      <w:r>
        <w:rPr>
          <w:noProof/>
        </w:rPr>
        <w:fldChar w:fldCharType="end"/>
      </w:r>
    </w:p>
    <w:p w:rsidR="00177741" w:rsidRPr="00C73F47" w:rsidRDefault="00177741" w:rsidP="00177741">
      <w:pPr>
        <w:pStyle w:val="TOC2"/>
        <w:rPr>
          <w:rFonts w:ascii="Calibri" w:hAnsi="Calibri"/>
          <w:b/>
          <w:noProof/>
          <w:szCs w:val="22"/>
          <w:lang w:eastAsia="en-NZ"/>
        </w:rPr>
      </w:pPr>
      <w:r>
        <w:rPr>
          <w:noProof/>
        </w:rPr>
        <w:t>Appendix 2: Consultation programme</w:t>
      </w:r>
      <w:r>
        <w:rPr>
          <w:noProof/>
        </w:rPr>
        <w:tab/>
      </w:r>
      <w:r>
        <w:rPr>
          <w:noProof/>
        </w:rPr>
        <w:fldChar w:fldCharType="begin"/>
      </w:r>
      <w:r>
        <w:rPr>
          <w:noProof/>
        </w:rPr>
        <w:instrText xml:space="preserve"> PAGEREF _Toc384202872 \h </w:instrText>
      </w:r>
      <w:r>
        <w:rPr>
          <w:noProof/>
        </w:rPr>
      </w:r>
      <w:r>
        <w:rPr>
          <w:noProof/>
        </w:rPr>
        <w:fldChar w:fldCharType="separate"/>
      </w:r>
      <w:r w:rsidR="0010690F">
        <w:rPr>
          <w:noProof/>
        </w:rPr>
        <w:t>57</w:t>
      </w:r>
      <w:r>
        <w:rPr>
          <w:noProof/>
        </w:rPr>
        <w:fldChar w:fldCharType="end"/>
      </w:r>
    </w:p>
    <w:p w:rsidR="00177741" w:rsidRPr="00C73F47" w:rsidRDefault="00177741" w:rsidP="00177741">
      <w:pPr>
        <w:pStyle w:val="TOC2"/>
        <w:rPr>
          <w:rFonts w:ascii="Calibri" w:hAnsi="Calibri"/>
          <w:b/>
          <w:noProof/>
          <w:szCs w:val="22"/>
          <w:lang w:eastAsia="en-NZ"/>
        </w:rPr>
      </w:pPr>
      <w:r>
        <w:rPr>
          <w:noProof/>
        </w:rPr>
        <w:t>Appendix 3: Links of the Plan with the roles of central agencies</w:t>
      </w:r>
      <w:r>
        <w:rPr>
          <w:noProof/>
        </w:rPr>
        <w:tab/>
      </w:r>
      <w:r>
        <w:rPr>
          <w:noProof/>
        </w:rPr>
        <w:fldChar w:fldCharType="begin"/>
      </w:r>
      <w:r>
        <w:rPr>
          <w:noProof/>
        </w:rPr>
        <w:instrText xml:space="preserve"> PAGEREF _Toc384202873 \h </w:instrText>
      </w:r>
      <w:r>
        <w:rPr>
          <w:noProof/>
        </w:rPr>
      </w:r>
      <w:r>
        <w:rPr>
          <w:noProof/>
        </w:rPr>
        <w:fldChar w:fldCharType="separate"/>
      </w:r>
      <w:r w:rsidR="0010690F">
        <w:rPr>
          <w:noProof/>
        </w:rPr>
        <w:t>58</w:t>
      </w:r>
      <w:r>
        <w:rPr>
          <w:noProof/>
        </w:rPr>
        <w:fldChar w:fldCharType="end"/>
      </w:r>
    </w:p>
    <w:p w:rsidR="00177741" w:rsidRPr="00C73F47" w:rsidRDefault="00177741" w:rsidP="00177741">
      <w:pPr>
        <w:pStyle w:val="TOC2"/>
        <w:rPr>
          <w:rFonts w:ascii="Calibri" w:hAnsi="Calibri"/>
          <w:b/>
          <w:noProof/>
          <w:szCs w:val="22"/>
          <w:lang w:eastAsia="en-NZ"/>
        </w:rPr>
      </w:pPr>
      <w:r>
        <w:rPr>
          <w:noProof/>
        </w:rPr>
        <w:t>Appendix 4: Cancer registration growth</w:t>
      </w:r>
      <w:r>
        <w:rPr>
          <w:noProof/>
        </w:rPr>
        <w:tab/>
      </w:r>
      <w:r>
        <w:rPr>
          <w:noProof/>
        </w:rPr>
        <w:fldChar w:fldCharType="begin"/>
      </w:r>
      <w:r>
        <w:rPr>
          <w:noProof/>
        </w:rPr>
        <w:instrText xml:space="preserve"> PAGEREF _Toc384202874 \h </w:instrText>
      </w:r>
      <w:r>
        <w:rPr>
          <w:noProof/>
        </w:rPr>
      </w:r>
      <w:r>
        <w:rPr>
          <w:noProof/>
        </w:rPr>
        <w:fldChar w:fldCharType="separate"/>
      </w:r>
      <w:r w:rsidR="0010690F">
        <w:rPr>
          <w:noProof/>
        </w:rPr>
        <w:t>59</w:t>
      </w:r>
      <w:r>
        <w:rPr>
          <w:noProof/>
        </w:rPr>
        <w:fldChar w:fldCharType="end"/>
      </w:r>
    </w:p>
    <w:p w:rsidR="00177741" w:rsidRPr="00C73F47" w:rsidRDefault="00177741" w:rsidP="00177741">
      <w:pPr>
        <w:pStyle w:val="TOC2"/>
        <w:rPr>
          <w:rFonts w:ascii="Calibri" w:hAnsi="Calibri"/>
          <w:b/>
          <w:noProof/>
          <w:szCs w:val="22"/>
          <w:lang w:eastAsia="en-NZ"/>
        </w:rPr>
      </w:pPr>
      <w:r>
        <w:rPr>
          <w:noProof/>
        </w:rPr>
        <w:t>Appendix 5: Linear accelerator location and timings</w:t>
      </w:r>
      <w:r>
        <w:rPr>
          <w:noProof/>
        </w:rPr>
        <w:tab/>
      </w:r>
      <w:r>
        <w:rPr>
          <w:noProof/>
        </w:rPr>
        <w:fldChar w:fldCharType="begin"/>
      </w:r>
      <w:r>
        <w:rPr>
          <w:noProof/>
        </w:rPr>
        <w:instrText xml:space="preserve"> PAGEREF _Toc384202875 \h </w:instrText>
      </w:r>
      <w:r>
        <w:rPr>
          <w:noProof/>
        </w:rPr>
      </w:r>
      <w:r>
        <w:rPr>
          <w:noProof/>
        </w:rPr>
        <w:fldChar w:fldCharType="separate"/>
      </w:r>
      <w:r w:rsidR="0010690F">
        <w:rPr>
          <w:noProof/>
        </w:rPr>
        <w:t>62</w:t>
      </w:r>
      <w:r>
        <w:rPr>
          <w:noProof/>
        </w:rPr>
        <w:fldChar w:fldCharType="end"/>
      </w:r>
    </w:p>
    <w:p w:rsidR="00C86248" w:rsidRDefault="00C86248">
      <w:r>
        <w:rPr>
          <w:b/>
        </w:rPr>
        <w:fldChar w:fldCharType="end"/>
      </w:r>
    </w:p>
    <w:p w:rsidR="00C86248" w:rsidRDefault="00C86248"/>
    <w:p w:rsidR="00C86248" w:rsidRDefault="00C86248" w:rsidP="003B1D10">
      <w:pPr>
        <w:pStyle w:val="TOC1"/>
        <w:keepNext/>
      </w:pPr>
      <w:r>
        <w:t>List of Tables</w:t>
      </w:r>
    </w:p>
    <w:p w:rsidR="00177741" w:rsidRPr="00C73F47" w:rsidRDefault="00C86248">
      <w:pPr>
        <w:pStyle w:val="TOC3"/>
        <w:rPr>
          <w:rFonts w:ascii="Calibri" w:hAnsi="Calibri"/>
          <w:noProof/>
          <w:szCs w:val="22"/>
          <w:lang w:eastAsia="en-NZ"/>
        </w:rPr>
      </w:pPr>
      <w:r>
        <w:rPr>
          <w:sz w:val="20"/>
        </w:rPr>
        <w:fldChar w:fldCharType="begin"/>
      </w:r>
      <w:r>
        <w:instrText xml:space="preserve"> TOC \t "Table,3" </w:instrText>
      </w:r>
      <w:r>
        <w:rPr>
          <w:sz w:val="20"/>
        </w:rPr>
        <w:fldChar w:fldCharType="separate"/>
      </w:r>
      <w:r w:rsidR="00177741">
        <w:rPr>
          <w:noProof/>
        </w:rPr>
        <w:t>Table 1:</w:t>
      </w:r>
      <w:r w:rsidR="00177741">
        <w:rPr>
          <w:noProof/>
        </w:rPr>
        <w:tab/>
        <w:t>Radiation therapy locations and activity (2012 and 2014)</w:t>
      </w:r>
      <w:r w:rsidR="00177741">
        <w:rPr>
          <w:noProof/>
        </w:rPr>
        <w:tab/>
      </w:r>
      <w:r w:rsidR="00177741">
        <w:rPr>
          <w:noProof/>
        </w:rPr>
        <w:fldChar w:fldCharType="begin"/>
      </w:r>
      <w:r w:rsidR="00177741">
        <w:rPr>
          <w:noProof/>
        </w:rPr>
        <w:instrText xml:space="preserve"> PAGEREF _Toc384202876 \h </w:instrText>
      </w:r>
      <w:r w:rsidR="00177741">
        <w:rPr>
          <w:noProof/>
        </w:rPr>
      </w:r>
      <w:r w:rsidR="00177741">
        <w:rPr>
          <w:noProof/>
        </w:rPr>
        <w:fldChar w:fldCharType="separate"/>
      </w:r>
      <w:r w:rsidR="0010690F">
        <w:rPr>
          <w:noProof/>
        </w:rPr>
        <w:t>14</w:t>
      </w:r>
      <w:r w:rsidR="00177741">
        <w:rPr>
          <w:noProof/>
        </w:rPr>
        <w:fldChar w:fldCharType="end"/>
      </w:r>
    </w:p>
    <w:p w:rsidR="00177741" w:rsidRPr="00C73F47" w:rsidRDefault="00177741">
      <w:pPr>
        <w:pStyle w:val="TOC3"/>
        <w:rPr>
          <w:rFonts w:ascii="Calibri" w:hAnsi="Calibri"/>
          <w:noProof/>
          <w:szCs w:val="22"/>
          <w:lang w:eastAsia="en-NZ"/>
        </w:rPr>
      </w:pPr>
      <w:r>
        <w:rPr>
          <w:noProof/>
        </w:rPr>
        <w:t>Table 2:</w:t>
      </w:r>
      <w:r>
        <w:rPr>
          <w:noProof/>
        </w:rPr>
        <w:tab/>
        <w:t>Linac capacity relative to indicative radiation therapy centre catchment populations and estimated cancer registrations in 2012</w:t>
      </w:r>
      <w:r>
        <w:rPr>
          <w:noProof/>
        </w:rPr>
        <w:tab/>
      </w:r>
      <w:r>
        <w:rPr>
          <w:noProof/>
        </w:rPr>
        <w:fldChar w:fldCharType="begin"/>
      </w:r>
      <w:r>
        <w:rPr>
          <w:noProof/>
        </w:rPr>
        <w:instrText xml:space="preserve"> PAGEREF _Toc384202877 \h </w:instrText>
      </w:r>
      <w:r>
        <w:rPr>
          <w:noProof/>
        </w:rPr>
      </w:r>
      <w:r>
        <w:rPr>
          <w:noProof/>
        </w:rPr>
        <w:fldChar w:fldCharType="separate"/>
      </w:r>
      <w:r w:rsidR="0010690F">
        <w:rPr>
          <w:noProof/>
        </w:rPr>
        <w:t>15</w:t>
      </w:r>
      <w:r>
        <w:rPr>
          <w:noProof/>
        </w:rPr>
        <w:fldChar w:fldCharType="end"/>
      </w:r>
    </w:p>
    <w:p w:rsidR="00177741" w:rsidRPr="00C73F47" w:rsidRDefault="00177741">
      <w:pPr>
        <w:pStyle w:val="TOC3"/>
        <w:rPr>
          <w:rFonts w:ascii="Calibri" w:hAnsi="Calibri"/>
          <w:noProof/>
          <w:szCs w:val="22"/>
          <w:lang w:eastAsia="en-NZ"/>
        </w:rPr>
      </w:pPr>
      <w:r>
        <w:rPr>
          <w:noProof/>
        </w:rPr>
        <w:t>Table 3:</w:t>
      </w:r>
      <w:r>
        <w:rPr>
          <w:noProof/>
        </w:rPr>
        <w:tab/>
        <w:t>Radiation therapy courses delivered in 2012 in New Zealand</w:t>
      </w:r>
      <w:r>
        <w:rPr>
          <w:noProof/>
        </w:rPr>
        <w:tab/>
      </w:r>
      <w:r>
        <w:rPr>
          <w:noProof/>
        </w:rPr>
        <w:fldChar w:fldCharType="begin"/>
      </w:r>
      <w:r>
        <w:rPr>
          <w:noProof/>
        </w:rPr>
        <w:instrText xml:space="preserve"> PAGEREF _Toc384202878 \h </w:instrText>
      </w:r>
      <w:r>
        <w:rPr>
          <w:noProof/>
        </w:rPr>
      </w:r>
      <w:r>
        <w:rPr>
          <w:noProof/>
        </w:rPr>
        <w:fldChar w:fldCharType="separate"/>
      </w:r>
      <w:r w:rsidR="0010690F">
        <w:rPr>
          <w:noProof/>
        </w:rPr>
        <w:t>15</w:t>
      </w:r>
      <w:r>
        <w:rPr>
          <w:noProof/>
        </w:rPr>
        <w:fldChar w:fldCharType="end"/>
      </w:r>
    </w:p>
    <w:p w:rsidR="00177741" w:rsidRPr="00C73F47" w:rsidRDefault="00177741">
      <w:pPr>
        <w:pStyle w:val="TOC3"/>
        <w:rPr>
          <w:rFonts w:ascii="Calibri" w:hAnsi="Calibri"/>
          <w:noProof/>
          <w:szCs w:val="22"/>
          <w:lang w:eastAsia="en-NZ"/>
        </w:rPr>
      </w:pPr>
      <w:r>
        <w:rPr>
          <w:noProof/>
        </w:rPr>
        <w:t>Table 4:</w:t>
      </w:r>
      <w:r>
        <w:rPr>
          <w:noProof/>
        </w:rPr>
        <w:tab/>
        <w:t>Courses and estimated intervention rate (IR) and retreatment rate (RTR) by DHB of domicile for 2012</w:t>
      </w:r>
      <w:r>
        <w:rPr>
          <w:noProof/>
        </w:rPr>
        <w:tab/>
      </w:r>
      <w:r>
        <w:rPr>
          <w:noProof/>
        </w:rPr>
        <w:fldChar w:fldCharType="begin"/>
      </w:r>
      <w:r>
        <w:rPr>
          <w:noProof/>
        </w:rPr>
        <w:instrText xml:space="preserve"> PAGEREF _Toc384202879 \h </w:instrText>
      </w:r>
      <w:r>
        <w:rPr>
          <w:noProof/>
        </w:rPr>
      </w:r>
      <w:r>
        <w:rPr>
          <w:noProof/>
        </w:rPr>
        <w:fldChar w:fldCharType="separate"/>
      </w:r>
      <w:r w:rsidR="0010690F">
        <w:rPr>
          <w:noProof/>
        </w:rPr>
        <w:t>17</w:t>
      </w:r>
      <w:r>
        <w:rPr>
          <w:noProof/>
        </w:rPr>
        <w:fldChar w:fldCharType="end"/>
      </w:r>
    </w:p>
    <w:p w:rsidR="00177741" w:rsidRPr="00C73F47" w:rsidRDefault="00177741">
      <w:pPr>
        <w:pStyle w:val="TOC3"/>
        <w:rPr>
          <w:rFonts w:ascii="Calibri" w:hAnsi="Calibri"/>
          <w:noProof/>
          <w:szCs w:val="22"/>
          <w:lang w:eastAsia="en-NZ"/>
        </w:rPr>
      </w:pPr>
      <w:r>
        <w:rPr>
          <w:noProof/>
        </w:rPr>
        <w:t>Table 5:</w:t>
      </w:r>
      <w:r>
        <w:rPr>
          <w:noProof/>
        </w:rPr>
        <w:tab/>
        <w:t>Model variables and assumptions</w:t>
      </w:r>
      <w:r>
        <w:rPr>
          <w:noProof/>
        </w:rPr>
        <w:tab/>
      </w:r>
      <w:r>
        <w:rPr>
          <w:noProof/>
        </w:rPr>
        <w:fldChar w:fldCharType="begin"/>
      </w:r>
      <w:r>
        <w:rPr>
          <w:noProof/>
        </w:rPr>
        <w:instrText xml:space="preserve"> PAGEREF _Toc384202880 \h </w:instrText>
      </w:r>
      <w:r>
        <w:rPr>
          <w:noProof/>
        </w:rPr>
      </w:r>
      <w:r>
        <w:rPr>
          <w:noProof/>
        </w:rPr>
        <w:fldChar w:fldCharType="separate"/>
      </w:r>
      <w:r w:rsidR="0010690F">
        <w:rPr>
          <w:noProof/>
        </w:rPr>
        <w:t>22</w:t>
      </w:r>
      <w:r>
        <w:rPr>
          <w:noProof/>
        </w:rPr>
        <w:fldChar w:fldCharType="end"/>
      </w:r>
    </w:p>
    <w:p w:rsidR="00177741" w:rsidRPr="00C73F47" w:rsidRDefault="00177741">
      <w:pPr>
        <w:pStyle w:val="TOC3"/>
        <w:rPr>
          <w:rFonts w:ascii="Calibri" w:hAnsi="Calibri"/>
          <w:noProof/>
          <w:szCs w:val="22"/>
          <w:lang w:eastAsia="en-NZ"/>
        </w:rPr>
      </w:pPr>
      <w:r>
        <w:rPr>
          <w:noProof/>
        </w:rPr>
        <w:t>Table 6:</w:t>
      </w:r>
      <w:r>
        <w:rPr>
          <w:noProof/>
        </w:rPr>
        <w:tab/>
        <w:t>Model scenarios</w:t>
      </w:r>
      <w:r>
        <w:rPr>
          <w:noProof/>
        </w:rPr>
        <w:tab/>
      </w:r>
      <w:r>
        <w:rPr>
          <w:noProof/>
        </w:rPr>
        <w:fldChar w:fldCharType="begin"/>
      </w:r>
      <w:r>
        <w:rPr>
          <w:noProof/>
        </w:rPr>
        <w:instrText xml:space="preserve"> PAGEREF _Toc384202881 \h </w:instrText>
      </w:r>
      <w:r>
        <w:rPr>
          <w:noProof/>
        </w:rPr>
      </w:r>
      <w:r>
        <w:rPr>
          <w:noProof/>
        </w:rPr>
        <w:fldChar w:fldCharType="separate"/>
      </w:r>
      <w:r w:rsidR="0010690F">
        <w:rPr>
          <w:noProof/>
        </w:rPr>
        <w:t>28</w:t>
      </w:r>
      <w:r>
        <w:rPr>
          <w:noProof/>
        </w:rPr>
        <w:fldChar w:fldCharType="end"/>
      </w:r>
    </w:p>
    <w:p w:rsidR="00177741" w:rsidRPr="00C73F47" w:rsidRDefault="00177741">
      <w:pPr>
        <w:pStyle w:val="TOC3"/>
        <w:rPr>
          <w:rFonts w:ascii="Calibri" w:hAnsi="Calibri"/>
          <w:noProof/>
          <w:szCs w:val="22"/>
          <w:lang w:eastAsia="en-NZ"/>
        </w:rPr>
      </w:pPr>
      <w:r>
        <w:rPr>
          <w:noProof/>
        </w:rPr>
        <w:t>Table 7:</w:t>
      </w:r>
      <w:r>
        <w:rPr>
          <w:noProof/>
        </w:rPr>
        <w:tab/>
        <w:t>Additional linac capacity suggested under Model scenarios</w:t>
      </w:r>
      <w:r>
        <w:rPr>
          <w:noProof/>
        </w:rPr>
        <w:tab/>
      </w:r>
      <w:r>
        <w:rPr>
          <w:noProof/>
        </w:rPr>
        <w:fldChar w:fldCharType="begin"/>
      </w:r>
      <w:r>
        <w:rPr>
          <w:noProof/>
        </w:rPr>
        <w:instrText xml:space="preserve"> PAGEREF _Toc384202882 \h </w:instrText>
      </w:r>
      <w:r>
        <w:rPr>
          <w:noProof/>
        </w:rPr>
      </w:r>
      <w:r>
        <w:rPr>
          <w:noProof/>
        </w:rPr>
        <w:fldChar w:fldCharType="separate"/>
      </w:r>
      <w:r w:rsidR="0010690F">
        <w:rPr>
          <w:noProof/>
        </w:rPr>
        <w:t>28</w:t>
      </w:r>
      <w:r>
        <w:rPr>
          <w:noProof/>
        </w:rPr>
        <w:fldChar w:fldCharType="end"/>
      </w:r>
    </w:p>
    <w:p w:rsidR="00177741" w:rsidRPr="00C73F47" w:rsidRDefault="00177741">
      <w:pPr>
        <w:pStyle w:val="TOC3"/>
        <w:rPr>
          <w:rFonts w:ascii="Calibri" w:hAnsi="Calibri"/>
          <w:noProof/>
          <w:szCs w:val="22"/>
          <w:lang w:eastAsia="en-NZ"/>
        </w:rPr>
      </w:pPr>
      <w:r>
        <w:rPr>
          <w:noProof/>
        </w:rPr>
        <w:t>Table 8:</w:t>
      </w:r>
      <w:r>
        <w:rPr>
          <w:noProof/>
        </w:rPr>
        <w:tab/>
        <w:t>Workforce training needs by scenario, average per year increase to 2022</w:t>
      </w:r>
      <w:r>
        <w:rPr>
          <w:noProof/>
        </w:rPr>
        <w:tab/>
      </w:r>
      <w:r>
        <w:rPr>
          <w:noProof/>
        </w:rPr>
        <w:fldChar w:fldCharType="begin"/>
      </w:r>
      <w:r>
        <w:rPr>
          <w:noProof/>
        </w:rPr>
        <w:instrText xml:space="preserve"> PAGEREF _Toc384202883 \h </w:instrText>
      </w:r>
      <w:r>
        <w:rPr>
          <w:noProof/>
        </w:rPr>
      </w:r>
      <w:r>
        <w:rPr>
          <w:noProof/>
        </w:rPr>
        <w:fldChar w:fldCharType="separate"/>
      </w:r>
      <w:r w:rsidR="0010690F">
        <w:rPr>
          <w:noProof/>
        </w:rPr>
        <w:t>29</w:t>
      </w:r>
      <w:r>
        <w:rPr>
          <w:noProof/>
        </w:rPr>
        <w:fldChar w:fldCharType="end"/>
      </w:r>
    </w:p>
    <w:p w:rsidR="00177741" w:rsidRPr="00C73F47" w:rsidRDefault="00177741">
      <w:pPr>
        <w:pStyle w:val="TOC3"/>
        <w:rPr>
          <w:rFonts w:ascii="Calibri" w:hAnsi="Calibri"/>
          <w:noProof/>
          <w:szCs w:val="22"/>
          <w:lang w:eastAsia="en-NZ"/>
        </w:rPr>
      </w:pPr>
      <w:r>
        <w:rPr>
          <w:noProof/>
        </w:rPr>
        <w:t>Table 9:</w:t>
      </w:r>
      <w:r>
        <w:rPr>
          <w:noProof/>
        </w:rPr>
        <w:tab/>
        <w:t>National radiation oncology capacity model scenario costings</w:t>
      </w:r>
      <w:r>
        <w:rPr>
          <w:noProof/>
        </w:rPr>
        <w:tab/>
      </w:r>
      <w:r>
        <w:rPr>
          <w:noProof/>
        </w:rPr>
        <w:fldChar w:fldCharType="begin"/>
      </w:r>
      <w:r>
        <w:rPr>
          <w:noProof/>
        </w:rPr>
        <w:instrText xml:space="preserve"> PAGEREF _Toc384202884 \h </w:instrText>
      </w:r>
      <w:r>
        <w:rPr>
          <w:noProof/>
        </w:rPr>
      </w:r>
      <w:r>
        <w:rPr>
          <w:noProof/>
        </w:rPr>
        <w:fldChar w:fldCharType="separate"/>
      </w:r>
      <w:r w:rsidR="0010690F">
        <w:rPr>
          <w:noProof/>
        </w:rPr>
        <w:t>32</w:t>
      </w:r>
      <w:r>
        <w:rPr>
          <w:noProof/>
        </w:rPr>
        <w:fldChar w:fldCharType="end"/>
      </w:r>
    </w:p>
    <w:p w:rsidR="00177741" w:rsidRPr="00C73F47" w:rsidRDefault="00177741">
      <w:pPr>
        <w:pStyle w:val="TOC3"/>
        <w:rPr>
          <w:rFonts w:ascii="Calibri" w:hAnsi="Calibri"/>
          <w:noProof/>
          <w:szCs w:val="22"/>
          <w:lang w:eastAsia="en-NZ"/>
        </w:rPr>
      </w:pPr>
      <w:r>
        <w:rPr>
          <w:noProof/>
        </w:rPr>
        <w:t>Table 10:</w:t>
      </w:r>
      <w:r>
        <w:rPr>
          <w:noProof/>
        </w:rPr>
        <w:tab/>
        <w:t>Model scenarios with operational gains and/or tipping point measures</w:t>
      </w:r>
      <w:r>
        <w:rPr>
          <w:noProof/>
        </w:rPr>
        <w:tab/>
      </w:r>
      <w:r>
        <w:rPr>
          <w:noProof/>
        </w:rPr>
        <w:fldChar w:fldCharType="begin"/>
      </w:r>
      <w:r>
        <w:rPr>
          <w:noProof/>
        </w:rPr>
        <w:instrText xml:space="preserve"> PAGEREF _Toc384202885 \h </w:instrText>
      </w:r>
      <w:r>
        <w:rPr>
          <w:noProof/>
        </w:rPr>
      </w:r>
      <w:r>
        <w:rPr>
          <w:noProof/>
        </w:rPr>
        <w:fldChar w:fldCharType="separate"/>
      </w:r>
      <w:r w:rsidR="0010690F">
        <w:rPr>
          <w:noProof/>
        </w:rPr>
        <w:t>33</w:t>
      </w:r>
      <w:r>
        <w:rPr>
          <w:noProof/>
        </w:rPr>
        <w:fldChar w:fldCharType="end"/>
      </w:r>
    </w:p>
    <w:p w:rsidR="00177741" w:rsidRPr="00C73F47" w:rsidRDefault="00177741">
      <w:pPr>
        <w:pStyle w:val="TOC3"/>
        <w:rPr>
          <w:rFonts w:ascii="Calibri" w:hAnsi="Calibri"/>
          <w:noProof/>
          <w:szCs w:val="22"/>
          <w:lang w:eastAsia="en-NZ"/>
        </w:rPr>
      </w:pPr>
      <w:r>
        <w:rPr>
          <w:noProof/>
        </w:rPr>
        <w:t>Table 11:</w:t>
      </w:r>
      <w:r>
        <w:rPr>
          <w:noProof/>
        </w:rPr>
        <w:tab/>
        <w:t>Workforce increases needed by scenario, average per year increase to 2022 including operational performance gains</w:t>
      </w:r>
      <w:r>
        <w:rPr>
          <w:noProof/>
        </w:rPr>
        <w:tab/>
      </w:r>
      <w:r>
        <w:rPr>
          <w:noProof/>
        </w:rPr>
        <w:fldChar w:fldCharType="begin"/>
      </w:r>
      <w:r>
        <w:rPr>
          <w:noProof/>
        </w:rPr>
        <w:instrText xml:space="preserve"> PAGEREF _Toc384202886 \h </w:instrText>
      </w:r>
      <w:r>
        <w:rPr>
          <w:noProof/>
        </w:rPr>
      </w:r>
      <w:r>
        <w:rPr>
          <w:noProof/>
        </w:rPr>
        <w:fldChar w:fldCharType="separate"/>
      </w:r>
      <w:r w:rsidR="0010690F">
        <w:rPr>
          <w:noProof/>
        </w:rPr>
        <w:t>34</w:t>
      </w:r>
      <w:r>
        <w:rPr>
          <w:noProof/>
        </w:rPr>
        <w:fldChar w:fldCharType="end"/>
      </w:r>
    </w:p>
    <w:p w:rsidR="00177741" w:rsidRPr="00C73F47" w:rsidRDefault="00177741">
      <w:pPr>
        <w:pStyle w:val="TOC3"/>
        <w:rPr>
          <w:rFonts w:ascii="Calibri" w:hAnsi="Calibri"/>
          <w:noProof/>
          <w:szCs w:val="22"/>
          <w:lang w:eastAsia="en-NZ"/>
        </w:rPr>
      </w:pPr>
      <w:r>
        <w:rPr>
          <w:noProof/>
        </w:rPr>
        <w:t>Table 12:</w:t>
      </w:r>
      <w:r>
        <w:rPr>
          <w:noProof/>
        </w:rPr>
        <w:tab/>
        <w:t>Training places needed by scenario to 2022 if all workforce gains were to come from increased training numbers</w:t>
      </w:r>
      <w:r>
        <w:rPr>
          <w:noProof/>
        </w:rPr>
        <w:tab/>
      </w:r>
      <w:r>
        <w:rPr>
          <w:noProof/>
        </w:rPr>
        <w:fldChar w:fldCharType="begin"/>
      </w:r>
      <w:r>
        <w:rPr>
          <w:noProof/>
        </w:rPr>
        <w:instrText xml:space="preserve"> PAGEREF _Toc384202887 \h </w:instrText>
      </w:r>
      <w:r>
        <w:rPr>
          <w:noProof/>
        </w:rPr>
      </w:r>
      <w:r>
        <w:rPr>
          <w:noProof/>
        </w:rPr>
        <w:fldChar w:fldCharType="separate"/>
      </w:r>
      <w:r w:rsidR="0010690F">
        <w:rPr>
          <w:noProof/>
        </w:rPr>
        <w:t>35</w:t>
      </w:r>
      <w:r>
        <w:rPr>
          <w:noProof/>
        </w:rPr>
        <w:fldChar w:fldCharType="end"/>
      </w:r>
    </w:p>
    <w:p w:rsidR="00177741" w:rsidRPr="00C73F47" w:rsidRDefault="00177741">
      <w:pPr>
        <w:pStyle w:val="TOC3"/>
        <w:rPr>
          <w:rFonts w:ascii="Calibri" w:hAnsi="Calibri"/>
          <w:noProof/>
          <w:szCs w:val="22"/>
          <w:lang w:eastAsia="en-NZ"/>
        </w:rPr>
      </w:pPr>
      <w:r>
        <w:rPr>
          <w:noProof/>
        </w:rPr>
        <w:t>Table 13:</w:t>
      </w:r>
      <w:r>
        <w:rPr>
          <w:noProof/>
        </w:rPr>
        <w:tab/>
        <w:t>National radiation oncology capacity model scenario costings</w:t>
      </w:r>
      <w:r>
        <w:rPr>
          <w:noProof/>
        </w:rPr>
        <w:tab/>
      </w:r>
      <w:r>
        <w:rPr>
          <w:noProof/>
        </w:rPr>
        <w:fldChar w:fldCharType="begin"/>
      </w:r>
      <w:r>
        <w:rPr>
          <w:noProof/>
        </w:rPr>
        <w:instrText xml:space="preserve"> PAGEREF _Toc384202888 \h </w:instrText>
      </w:r>
      <w:r>
        <w:rPr>
          <w:noProof/>
        </w:rPr>
      </w:r>
      <w:r>
        <w:rPr>
          <w:noProof/>
        </w:rPr>
        <w:fldChar w:fldCharType="separate"/>
      </w:r>
      <w:r w:rsidR="0010690F">
        <w:rPr>
          <w:noProof/>
        </w:rPr>
        <w:t>35</w:t>
      </w:r>
      <w:r>
        <w:rPr>
          <w:noProof/>
        </w:rPr>
        <w:fldChar w:fldCharType="end"/>
      </w:r>
    </w:p>
    <w:p w:rsidR="00177741" w:rsidRPr="00C73F47" w:rsidRDefault="00177741">
      <w:pPr>
        <w:pStyle w:val="TOC3"/>
        <w:rPr>
          <w:rFonts w:ascii="Calibri" w:hAnsi="Calibri"/>
          <w:noProof/>
          <w:szCs w:val="22"/>
          <w:lang w:eastAsia="en-NZ"/>
        </w:rPr>
      </w:pPr>
      <w:r>
        <w:rPr>
          <w:noProof/>
        </w:rPr>
        <w:t>Table 14:</w:t>
      </w:r>
      <w:r>
        <w:rPr>
          <w:noProof/>
        </w:rPr>
        <w:tab/>
      </w:r>
      <w:r>
        <w:rPr>
          <w:noProof/>
          <w:lang w:eastAsia="en-NZ"/>
        </w:rPr>
        <w:t>Linear accelerator additions suggested by the Model</w:t>
      </w:r>
      <w:r>
        <w:rPr>
          <w:noProof/>
        </w:rPr>
        <w:tab/>
      </w:r>
      <w:r>
        <w:rPr>
          <w:noProof/>
        </w:rPr>
        <w:fldChar w:fldCharType="begin"/>
      </w:r>
      <w:r>
        <w:rPr>
          <w:noProof/>
        </w:rPr>
        <w:instrText xml:space="preserve"> PAGEREF _Toc384202889 \h </w:instrText>
      </w:r>
      <w:r>
        <w:rPr>
          <w:noProof/>
        </w:rPr>
      </w:r>
      <w:r>
        <w:rPr>
          <w:noProof/>
        </w:rPr>
        <w:fldChar w:fldCharType="separate"/>
      </w:r>
      <w:r w:rsidR="0010690F">
        <w:rPr>
          <w:noProof/>
        </w:rPr>
        <w:t>37</w:t>
      </w:r>
      <w:r>
        <w:rPr>
          <w:noProof/>
        </w:rPr>
        <w:fldChar w:fldCharType="end"/>
      </w:r>
    </w:p>
    <w:p w:rsidR="00177741" w:rsidRPr="00C73F47" w:rsidRDefault="00177741">
      <w:pPr>
        <w:pStyle w:val="TOC3"/>
        <w:rPr>
          <w:rFonts w:ascii="Calibri" w:hAnsi="Calibri"/>
          <w:noProof/>
          <w:szCs w:val="22"/>
          <w:lang w:eastAsia="en-NZ"/>
        </w:rPr>
      </w:pPr>
      <w:r>
        <w:rPr>
          <w:noProof/>
        </w:rPr>
        <w:t>Table 15:</w:t>
      </w:r>
      <w:r>
        <w:rPr>
          <w:noProof/>
        </w:rPr>
        <w:tab/>
        <w:t>Factors affecting patient and referring clinician choice of radiation therapy</w:t>
      </w:r>
      <w:r>
        <w:rPr>
          <w:noProof/>
        </w:rPr>
        <w:tab/>
      </w:r>
      <w:r>
        <w:rPr>
          <w:noProof/>
        </w:rPr>
        <w:fldChar w:fldCharType="begin"/>
      </w:r>
      <w:r>
        <w:rPr>
          <w:noProof/>
        </w:rPr>
        <w:instrText xml:space="preserve"> PAGEREF _Toc384202890 \h </w:instrText>
      </w:r>
      <w:r>
        <w:rPr>
          <w:noProof/>
        </w:rPr>
      </w:r>
      <w:r>
        <w:rPr>
          <w:noProof/>
        </w:rPr>
        <w:fldChar w:fldCharType="separate"/>
      </w:r>
      <w:r w:rsidR="0010690F">
        <w:rPr>
          <w:noProof/>
        </w:rPr>
        <w:t>42</w:t>
      </w:r>
      <w:r>
        <w:rPr>
          <w:noProof/>
        </w:rPr>
        <w:fldChar w:fldCharType="end"/>
      </w:r>
    </w:p>
    <w:p w:rsidR="00177741" w:rsidRPr="00C73F47" w:rsidRDefault="00177741">
      <w:pPr>
        <w:pStyle w:val="TOC3"/>
        <w:rPr>
          <w:rFonts w:ascii="Calibri" w:hAnsi="Calibri"/>
          <w:noProof/>
          <w:szCs w:val="22"/>
          <w:lang w:eastAsia="en-NZ"/>
        </w:rPr>
      </w:pPr>
      <w:r>
        <w:rPr>
          <w:noProof/>
        </w:rPr>
        <w:t>Table 16:</w:t>
      </w:r>
      <w:r>
        <w:rPr>
          <w:noProof/>
        </w:rPr>
        <w:tab/>
        <w:t>Emerging technologies and techniques in radiation therapy</w:t>
      </w:r>
      <w:r>
        <w:rPr>
          <w:noProof/>
        </w:rPr>
        <w:tab/>
      </w:r>
      <w:r>
        <w:rPr>
          <w:noProof/>
        </w:rPr>
        <w:fldChar w:fldCharType="begin"/>
      </w:r>
      <w:r>
        <w:rPr>
          <w:noProof/>
        </w:rPr>
        <w:instrText xml:space="preserve"> PAGEREF _Toc384202891 \h </w:instrText>
      </w:r>
      <w:r>
        <w:rPr>
          <w:noProof/>
        </w:rPr>
      </w:r>
      <w:r>
        <w:rPr>
          <w:noProof/>
        </w:rPr>
        <w:fldChar w:fldCharType="separate"/>
      </w:r>
      <w:r w:rsidR="0010690F">
        <w:rPr>
          <w:noProof/>
        </w:rPr>
        <w:t>51</w:t>
      </w:r>
      <w:r>
        <w:rPr>
          <w:noProof/>
        </w:rPr>
        <w:fldChar w:fldCharType="end"/>
      </w:r>
    </w:p>
    <w:p w:rsidR="00177741" w:rsidRPr="00C73F47" w:rsidRDefault="00177741">
      <w:pPr>
        <w:pStyle w:val="TOC3"/>
        <w:rPr>
          <w:rFonts w:ascii="Calibri" w:hAnsi="Calibri"/>
          <w:noProof/>
          <w:szCs w:val="22"/>
          <w:lang w:eastAsia="en-NZ"/>
        </w:rPr>
      </w:pPr>
      <w:r>
        <w:rPr>
          <w:noProof/>
        </w:rPr>
        <w:t>Table 17:</w:t>
      </w:r>
      <w:r>
        <w:rPr>
          <w:noProof/>
        </w:rPr>
        <w:tab/>
        <w:t>Projected c</w:t>
      </w:r>
      <w:r w:rsidR="0010690F">
        <w:rPr>
          <w:noProof/>
        </w:rPr>
        <w:t>ancer registrations by type, Ministry</w:t>
      </w:r>
      <w:r>
        <w:rPr>
          <w:noProof/>
        </w:rPr>
        <w:t xml:space="preserve"> projections re-based to 2007–2009</w:t>
      </w:r>
      <w:r>
        <w:rPr>
          <w:noProof/>
        </w:rPr>
        <w:tab/>
      </w:r>
      <w:r>
        <w:rPr>
          <w:noProof/>
        </w:rPr>
        <w:fldChar w:fldCharType="begin"/>
      </w:r>
      <w:r>
        <w:rPr>
          <w:noProof/>
        </w:rPr>
        <w:instrText xml:space="preserve"> PAGEREF _Toc384202892 \h </w:instrText>
      </w:r>
      <w:r>
        <w:rPr>
          <w:noProof/>
        </w:rPr>
      </w:r>
      <w:r>
        <w:rPr>
          <w:noProof/>
        </w:rPr>
        <w:fldChar w:fldCharType="separate"/>
      </w:r>
      <w:r w:rsidR="0010690F">
        <w:rPr>
          <w:noProof/>
        </w:rPr>
        <w:t>60</w:t>
      </w:r>
      <w:r>
        <w:rPr>
          <w:noProof/>
        </w:rPr>
        <w:fldChar w:fldCharType="end"/>
      </w:r>
    </w:p>
    <w:p w:rsidR="00177741" w:rsidRPr="00C73F47" w:rsidRDefault="00177741">
      <w:pPr>
        <w:pStyle w:val="TOC3"/>
        <w:rPr>
          <w:rFonts w:ascii="Calibri" w:hAnsi="Calibri"/>
          <w:noProof/>
          <w:szCs w:val="22"/>
          <w:lang w:eastAsia="en-NZ"/>
        </w:rPr>
      </w:pPr>
      <w:r>
        <w:rPr>
          <w:noProof/>
        </w:rPr>
        <w:t>Table 18:</w:t>
      </w:r>
      <w:r>
        <w:rPr>
          <w:noProof/>
        </w:rPr>
        <w:tab/>
        <w:t>Projected cancer registrations by DHB</w:t>
      </w:r>
      <w:r>
        <w:rPr>
          <w:noProof/>
        </w:rPr>
        <w:tab/>
      </w:r>
      <w:r>
        <w:rPr>
          <w:noProof/>
        </w:rPr>
        <w:fldChar w:fldCharType="begin"/>
      </w:r>
      <w:r>
        <w:rPr>
          <w:noProof/>
        </w:rPr>
        <w:instrText xml:space="preserve"> PAGEREF _Toc384202893 \h </w:instrText>
      </w:r>
      <w:r>
        <w:rPr>
          <w:noProof/>
        </w:rPr>
      </w:r>
      <w:r>
        <w:rPr>
          <w:noProof/>
        </w:rPr>
        <w:fldChar w:fldCharType="separate"/>
      </w:r>
      <w:r w:rsidR="0010690F">
        <w:rPr>
          <w:noProof/>
        </w:rPr>
        <w:t>61</w:t>
      </w:r>
      <w:r>
        <w:rPr>
          <w:noProof/>
        </w:rPr>
        <w:fldChar w:fldCharType="end"/>
      </w:r>
    </w:p>
    <w:p w:rsidR="00C86248" w:rsidRDefault="00C86248" w:rsidP="0030382F">
      <w:r>
        <w:fldChar w:fldCharType="end"/>
      </w:r>
    </w:p>
    <w:p w:rsidR="003A5FEA" w:rsidRDefault="003A5FEA" w:rsidP="00177741">
      <w:pPr>
        <w:pStyle w:val="TOC1"/>
        <w:keepNext/>
      </w:pPr>
      <w:r>
        <w:lastRenderedPageBreak/>
        <w:t>List of Figures</w:t>
      </w:r>
    </w:p>
    <w:p w:rsidR="00177741" w:rsidRPr="00C73F47" w:rsidRDefault="003A5FEA" w:rsidP="00177741">
      <w:pPr>
        <w:pStyle w:val="TOC3"/>
        <w:keepNext/>
        <w:rPr>
          <w:rFonts w:ascii="Calibri" w:hAnsi="Calibri"/>
          <w:noProof/>
          <w:szCs w:val="22"/>
          <w:lang w:eastAsia="en-NZ"/>
        </w:rPr>
      </w:pPr>
      <w:r>
        <w:fldChar w:fldCharType="begin"/>
      </w:r>
      <w:r>
        <w:instrText xml:space="preserve"> TOC \t "Figure,3" </w:instrText>
      </w:r>
      <w:r>
        <w:fldChar w:fldCharType="separate"/>
      </w:r>
      <w:r w:rsidR="00177741">
        <w:rPr>
          <w:noProof/>
        </w:rPr>
        <w:t>Figure 1:</w:t>
      </w:r>
      <w:r w:rsidR="00177741">
        <w:rPr>
          <w:noProof/>
        </w:rPr>
        <w:tab/>
        <w:t>The focus of the Cancer Programme in 2013/14</w:t>
      </w:r>
      <w:r w:rsidR="00177741">
        <w:rPr>
          <w:noProof/>
        </w:rPr>
        <w:tab/>
      </w:r>
      <w:r w:rsidR="00177741">
        <w:rPr>
          <w:noProof/>
        </w:rPr>
        <w:fldChar w:fldCharType="begin"/>
      </w:r>
      <w:r w:rsidR="00177741">
        <w:rPr>
          <w:noProof/>
        </w:rPr>
        <w:instrText xml:space="preserve"> PAGEREF _Toc384202907 \h </w:instrText>
      </w:r>
      <w:r w:rsidR="00177741">
        <w:rPr>
          <w:noProof/>
        </w:rPr>
      </w:r>
      <w:r w:rsidR="00177741">
        <w:rPr>
          <w:noProof/>
        </w:rPr>
        <w:fldChar w:fldCharType="separate"/>
      </w:r>
      <w:r w:rsidR="0010690F">
        <w:rPr>
          <w:noProof/>
        </w:rPr>
        <w:t>8</w:t>
      </w:r>
      <w:r w:rsidR="00177741">
        <w:rPr>
          <w:noProof/>
        </w:rPr>
        <w:fldChar w:fldCharType="end"/>
      </w:r>
    </w:p>
    <w:p w:rsidR="00177741" w:rsidRPr="00C73F47" w:rsidRDefault="00177741">
      <w:pPr>
        <w:pStyle w:val="TOC3"/>
        <w:rPr>
          <w:rFonts w:ascii="Calibri" w:hAnsi="Calibri"/>
          <w:noProof/>
          <w:szCs w:val="22"/>
          <w:lang w:eastAsia="en-NZ"/>
        </w:rPr>
      </w:pPr>
      <w:r w:rsidRPr="002F1564">
        <w:rPr>
          <w:noProof/>
          <w:color w:val="000000"/>
        </w:rPr>
        <w:t>Figure 2</w:t>
      </w:r>
      <w:r>
        <w:rPr>
          <w:noProof/>
          <w:color w:val="000000"/>
        </w:rPr>
        <w:t>:</w:t>
      </w:r>
      <w:r>
        <w:rPr>
          <w:noProof/>
          <w:color w:val="000000"/>
        </w:rPr>
        <w:tab/>
      </w:r>
      <w:r>
        <w:rPr>
          <w:noProof/>
        </w:rPr>
        <w:t>Radiation therapist retention after graduation</w:t>
      </w:r>
      <w:r>
        <w:rPr>
          <w:noProof/>
        </w:rPr>
        <w:tab/>
      </w:r>
      <w:r>
        <w:rPr>
          <w:noProof/>
        </w:rPr>
        <w:fldChar w:fldCharType="begin"/>
      </w:r>
      <w:r>
        <w:rPr>
          <w:noProof/>
        </w:rPr>
        <w:instrText xml:space="preserve"> PAGEREF _Toc384202908 \h </w:instrText>
      </w:r>
      <w:r>
        <w:rPr>
          <w:noProof/>
        </w:rPr>
      </w:r>
      <w:r>
        <w:rPr>
          <w:noProof/>
        </w:rPr>
        <w:fldChar w:fldCharType="separate"/>
      </w:r>
      <w:r w:rsidR="0010690F">
        <w:rPr>
          <w:noProof/>
        </w:rPr>
        <w:t>19</w:t>
      </w:r>
      <w:r>
        <w:rPr>
          <w:noProof/>
        </w:rPr>
        <w:fldChar w:fldCharType="end"/>
      </w:r>
    </w:p>
    <w:p w:rsidR="00177741" w:rsidRPr="00C73F47" w:rsidRDefault="00177741">
      <w:pPr>
        <w:pStyle w:val="TOC3"/>
        <w:rPr>
          <w:rFonts w:ascii="Calibri" w:hAnsi="Calibri"/>
          <w:noProof/>
          <w:szCs w:val="22"/>
          <w:lang w:eastAsia="en-NZ"/>
        </w:rPr>
      </w:pPr>
      <w:r w:rsidRPr="002F1564">
        <w:rPr>
          <w:noProof/>
          <w:color w:val="000000"/>
        </w:rPr>
        <w:t>Figure 3</w:t>
      </w:r>
      <w:r>
        <w:rPr>
          <w:noProof/>
          <w:color w:val="000000"/>
        </w:rPr>
        <w:t>:</w:t>
      </w:r>
      <w:r>
        <w:rPr>
          <w:noProof/>
          <w:color w:val="000000"/>
        </w:rPr>
        <w:tab/>
      </w:r>
      <w:r>
        <w:rPr>
          <w:noProof/>
        </w:rPr>
        <w:t>The structure of the National Radiation Oncology Capacity Model</w:t>
      </w:r>
      <w:r>
        <w:rPr>
          <w:noProof/>
        </w:rPr>
        <w:tab/>
      </w:r>
      <w:r>
        <w:rPr>
          <w:noProof/>
        </w:rPr>
        <w:fldChar w:fldCharType="begin"/>
      </w:r>
      <w:r>
        <w:rPr>
          <w:noProof/>
        </w:rPr>
        <w:instrText xml:space="preserve"> PAGEREF _Toc384202909 \h </w:instrText>
      </w:r>
      <w:r>
        <w:rPr>
          <w:noProof/>
        </w:rPr>
      </w:r>
      <w:r>
        <w:rPr>
          <w:noProof/>
        </w:rPr>
        <w:fldChar w:fldCharType="separate"/>
      </w:r>
      <w:r w:rsidR="0010690F">
        <w:rPr>
          <w:noProof/>
        </w:rPr>
        <w:t>21</w:t>
      </w:r>
      <w:r>
        <w:rPr>
          <w:noProof/>
        </w:rPr>
        <w:fldChar w:fldCharType="end"/>
      </w:r>
    </w:p>
    <w:p w:rsidR="00177741" w:rsidRPr="00C73F47" w:rsidRDefault="00177741">
      <w:pPr>
        <w:pStyle w:val="TOC3"/>
        <w:rPr>
          <w:rFonts w:ascii="Calibri" w:hAnsi="Calibri"/>
          <w:noProof/>
          <w:szCs w:val="22"/>
          <w:lang w:eastAsia="en-NZ"/>
        </w:rPr>
      </w:pPr>
      <w:r w:rsidRPr="002F1564">
        <w:rPr>
          <w:noProof/>
          <w:color w:val="000000"/>
        </w:rPr>
        <w:t>Figure 4</w:t>
      </w:r>
      <w:r>
        <w:rPr>
          <w:noProof/>
          <w:color w:val="000000"/>
        </w:rPr>
        <w:t>:</w:t>
      </w:r>
      <w:r>
        <w:rPr>
          <w:noProof/>
          <w:color w:val="000000"/>
        </w:rPr>
        <w:tab/>
      </w:r>
      <w:r>
        <w:rPr>
          <w:noProof/>
        </w:rPr>
        <w:t>Indicative national radiation oncology funding changes by DHB under the Growth scenario</w:t>
      </w:r>
      <w:r>
        <w:rPr>
          <w:noProof/>
        </w:rPr>
        <w:tab/>
      </w:r>
      <w:r>
        <w:rPr>
          <w:noProof/>
        </w:rPr>
        <w:fldChar w:fldCharType="begin"/>
      </w:r>
      <w:r>
        <w:rPr>
          <w:noProof/>
        </w:rPr>
        <w:instrText xml:space="preserve"> PAGEREF _Toc384202910 \h </w:instrText>
      </w:r>
      <w:r>
        <w:rPr>
          <w:noProof/>
        </w:rPr>
      </w:r>
      <w:r>
        <w:rPr>
          <w:noProof/>
        </w:rPr>
        <w:fldChar w:fldCharType="separate"/>
      </w:r>
      <w:r w:rsidR="0010690F">
        <w:rPr>
          <w:noProof/>
        </w:rPr>
        <w:t>30</w:t>
      </w:r>
      <w:r>
        <w:rPr>
          <w:noProof/>
        </w:rPr>
        <w:fldChar w:fldCharType="end"/>
      </w:r>
    </w:p>
    <w:p w:rsidR="00177741" w:rsidRPr="00C73F47" w:rsidRDefault="00177741">
      <w:pPr>
        <w:pStyle w:val="TOC3"/>
        <w:rPr>
          <w:rFonts w:ascii="Calibri" w:hAnsi="Calibri"/>
          <w:noProof/>
          <w:szCs w:val="22"/>
          <w:lang w:eastAsia="en-NZ"/>
        </w:rPr>
      </w:pPr>
      <w:r>
        <w:rPr>
          <w:noProof/>
        </w:rPr>
        <w:t>Figure 5:</w:t>
      </w:r>
      <w:r>
        <w:rPr>
          <w:noProof/>
        </w:rPr>
        <w:tab/>
        <w:t>Radiation therapy intervention and retreatment rates in 2012 by DHB of domicile</w:t>
      </w:r>
      <w:r>
        <w:rPr>
          <w:noProof/>
        </w:rPr>
        <w:tab/>
      </w:r>
      <w:r>
        <w:rPr>
          <w:noProof/>
        </w:rPr>
        <w:fldChar w:fldCharType="begin"/>
      </w:r>
      <w:r>
        <w:rPr>
          <w:noProof/>
        </w:rPr>
        <w:instrText xml:space="preserve"> PAGEREF _Toc384202911 \h </w:instrText>
      </w:r>
      <w:r>
        <w:rPr>
          <w:noProof/>
        </w:rPr>
      </w:r>
      <w:r>
        <w:rPr>
          <w:noProof/>
        </w:rPr>
        <w:fldChar w:fldCharType="separate"/>
      </w:r>
      <w:r w:rsidR="0010690F">
        <w:rPr>
          <w:noProof/>
        </w:rPr>
        <w:t>40</w:t>
      </w:r>
      <w:r>
        <w:rPr>
          <w:noProof/>
        </w:rPr>
        <w:fldChar w:fldCharType="end"/>
      </w:r>
    </w:p>
    <w:p w:rsidR="00177741" w:rsidRPr="00C73F47" w:rsidRDefault="00177741">
      <w:pPr>
        <w:pStyle w:val="TOC3"/>
        <w:rPr>
          <w:rFonts w:ascii="Calibri" w:hAnsi="Calibri"/>
          <w:noProof/>
          <w:szCs w:val="22"/>
          <w:lang w:eastAsia="en-NZ"/>
        </w:rPr>
      </w:pPr>
      <w:r w:rsidRPr="002F1564">
        <w:rPr>
          <w:noProof/>
          <w:color w:val="000000"/>
        </w:rPr>
        <w:t>Figure 6</w:t>
      </w:r>
      <w:r>
        <w:rPr>
          <w:noProof/>
          <w:color w:val="000000"/>
        </w:rPr>
        <w:t>:</w:t>
      </w:r>
      <w:r>
        <w:rPr>
          <w:noProof/>
          <w:color w:val="000000"/>
        </w:rPr>
        <w:tab/>
      </w:r>
      <w:r>
        <w:rPr>
          <w:noProof/>
        </w:rPr>
        <w:t>Selected international radiation therapy intervention rates (%)</w:t>
      </w:r>
      <w:r>
        <w:rPr>
          <w:noProof/>
        </w:rPr>
        <w:tab/>
      </w:r>
      <w:r>
        <w:rPr>
          <w:noProof/>
        </w:rPr>
        <w:fldChar w:fldCharType="begin"/>
      </w:r>
      <w:r>
        <w:rPr>
          <w:noProof/>
        </w:rPr>
        <w:instrText xml:space="preserve"> PAGEREF _Toc384202912 \h </w:instrText>
      </w:r>
      <w:r>
        <w:rPr>
          <w:noProof/>
        </w:rPr>
      </w:r>
      <w:r>
        <w:rPr>
          <w:noProof/>
        </w:rPr>
        <w:fldChar w:fldCharType="separate"/>
      </w:r>
      <w:r w:rsidR="0010690F">
        <w:rPr>
          <w:noProof/>
        </w:rPr>
        <w:t>41</w:t>
      </w:r>
      <w:r>
        <w:rPr>
          <w:noProof/>
        </w:rPr>
        <w:fldChar w:fldCharType="end"/>
      </w:r>
    </w:p>
    <w:p w:rsidR="003A5FEA" w:rsidRDefault="003A5FEA" w:rsidP="003A5FEA">
      <w:r>
        <w:fldChar w:fldCharType="end"/>
      </w:r>
    </w:p>
    <w:p w:rsidR="00410912" w:rsidRDefault="00410912" w:rsidP="003A5FEA">
      <w:pPr>
        <w:sectPr w:rsidR="00410912" w:rsidSect="00D723CA">
          <w:headerReference w:type="even" r:id="rId11"/>
          <w:headerReference w:type="default" r:id="rId12"/>
          <w:footerReference w:type="even" r:id="rId13"/>
          <w:footerReference w:type="default" r:id="rId14"/>
          <w:pgSz w:w="11907" w:h="16840" w:code="9"/>
          <w:pgMar w:top="1418" w:right="1134" w:bottom="1418" w:left="1134" w:header="425" w:footer="567" w:gutter="284"/>
          <w:pgNumType w:fmt="lowerRoman"/>
          <w:cols w:space="720"/>
        </w:sectPr>
      </w:pPr>
    </w:p>
    <w:p w:rsidR="00410912" w:rsidRDefault="00410912" w:rsidP="003A5FEA"/>
    <w:p w:rsidR="00410912" w:rsidRDefault="00410912" w:rsidP="003A5FEA">
      <w:pPr>
        <w:sectPr w:rsidR="00410912" w:rsidSect="00D723CA">
          <w:headerReference w:type="even" r:id="rId15"/>
          <w:footerReference w:type="even" r:id="rId16"/>
          <w:pgSz w:w="11907" w:h="16840" w:code="9"/>
          <w:pgMar w:top="1418" w:right="1134" w:bottom="1418" w:left="1134" w:header="425" w:footer="567" w:gutter="284"/>
          <w:pgNumType w:fmt="lowerRoman"/>
          <w:cols w:space="720"/>
        </w:sectPr>
      </w:pPr>
    </w:p>
    <w:p w:rsidR="0021763B" w:rsidRDefault="0021763B" w:rsidP="0021763B">
      <w:pPr>
        <w:pStyle w:val="Heading1"/>
      </w:pPr>
      <w:bookmarkStart w:id="3" w:name="_Toc384202840"/>
      <w:r>
        <w:lastRenderedPageBreak/>
        <w:t>Executive summary</w:t>
      </w:r>
      <w:bookmarkEnd w:id="3"/>
    </w:p>
    <w:p w:rsidR="00F425CB" w:rsidRDefault="00F425CB" w:rsidP="007E7990">
      <w:r>
        <w:t xml:space="preserve">This </w:t>
      </w:r>
      <w:r w:rsidR="008C1D1C" w:rsidRPr="008C1D1C">
        <w:t>Radiation Oncology National Linear Accelerator and Workforce Plan</w:t>
      </w:r>
      <w:r>
        <w:t xml:space="preserve"> (</w:t>
      </w:r>
      <w:r w:rsidR="007E7990">
        <w:t>‘</w:t>
      </w:r>
      <w:r>
        <w:t>the Plan</w:t>
      </w:r>
      <w:r w:rsidR="007E7990">
        <w:t>’</w:t>
      </w:r>
      <w:r>
        <w:t>) is intended to i</w:t>
      </w:r>
      <w:r w:rsidRPr="002E47E2">
        <w:t>nform a nationally coordinated approach to radiation oncology service and capacity d</w:t>
      </w:r>
      <w:r>
        <w:t>evelopment, within the context</w:t>
      </w:r>
      <w:r w:rsidRPr="002E47E2">
        <w:t xml:space="preserve"> of the </w:t>
      </w:r>
      <w:r>
        <w:t xml:space="preserve">National Cancer Programme. The Plan builds on initial capacity planning of radiation therapy services published in 2012 by the regional cancer networks, and provides national guidance and a national tool </w:t>
      </w:r>
      <w:r w:rsidRPr="002A0212">
        <w:t xml:space="preserve">(the </w:t>
      </w:r>
      <w:r w:rsidR="007E7990">
        <w:t>‘</w:t>
      </w:r>
      <w:r>
        <w:t xml:space="preserve">National Linear Accelerator &amp; Workforce </w:t>
      </w:r>
      <w:r w:rsidRPr="002A0212">
        <w:t>Capacity Model</w:t>
      </w:r>
      <w:r w:rsidR="007E7990">
        <w:t>’)</w:t>
      </w:r>
      <w:r>
        <w:rPr>
          <w:rStyle w:val="FootnoteReference"/>
        </w:rPr>
        <w:footnoteReference w:id="1"/>
      </w:r>
      <w:r>
        <w:t xml:space="preserve"> to support further development of local and regional service and capacity planning by</w:t>
      </w:r>
      <w:r w:rsidR="00D62047">
        <w:t xml:space="preserve"> district health boards</w:t>
      </w:r>
      <w:r>
        <w:t xml:space="preserve"> </w:t>
      </w:r>
      <w:r w:rsidR="00D62047">
        <w:t>(</w:t>
      </w:r>
      <w:r>
        <w:t>DHBs</w:t>
      </w:r>
      <w:r w:rsidR="00D62047">
        <w:t>)</w:t>
      </w:r>
      <w:r>
        <w:t>.</w:t>
      </w:r>
      <w:r w:rsidR="007E7990">
        <w:t xml:space="preserve"> </w:t>
      </w:r>
      <w:r>
        <w:t>The Plan will also inform national decision-making by the Ministry</w:t>
      </w:r>
      <w:r w:rsidR="00D62047">
        <w:t xml:space="preserve"> of Health (the Ministry)</w:t>
      </w:r>
      <w:r>
        <w:t xml:space="preserve"> and other central agencies on radiation oncology services over the next 5</w:t>
      </w:r>
      <w:r w:rsidR="007E7990">
        <w:t>–</w:t>
      </w:r>
      <w:r>
        <w:t>10 years.</w:t>
      </w:r>
    </w:p>
    <w:p w:rsidR="00F425CB" w:rsidRPr="007E7990" w:rsidRDefault="00F425CB" w:rsidP="007E7990"/>
    <w:p w:rsidR="00F425CB" w:rsidRPr="007E7990" w:rsidRDefault="00F425CB" w:rsidP="007E7990">
      <w:r w:rsidRPr="007E7990">
        <w:t>Radiation therapy is one of the main treatments for cancer, and is both clinically and technically complex.</w:t>
      </w:r>
      <w:r w:rsidR="007E7990" w:rsidRPr="007E7990">
        <w:t xml:space="preserve"> </w:t>
      </w:r>
      <w:r w:rsidRPr="007E7990">
        <w:t>It is used as part of an overall treatment plan, generally in conjunction with surgery and chemotherapy.</w:t>
      </w:r>
      <w:r w:rsidR="007E7990" w:rsidRPr="007E7990">
        <w:t xml:space="preserve"> </w:t>
      </w:r>
      <w:r w:rsidRPr="007E7990">
        <w:t>The majority of treatments are carried out using a linear accelerator (</w:t>
      </w:r>
      <w:r w:rsidR="007E7990" w:rsidRPr="007E7990">
        <w:t>‘</w:t>
      </w:r>
      <w:r w:rsidRPr="007E7990">
        <w:t>linac</w:t>
      </w:r>
      <w:r w:rsidR="007E7990" w:rsidRPr="007E7990">
        <w:t>’</w:t>
      </w:r>
      <w:r w:rsidRPr="007E7990">
        <w:t>) to deliver ionising radiation by external beam to destroy or damage cancer cells. Treatment can be curative or palliative, and is tightly controlled to maximise damage to the cancer cells and minimise damage to the surrounding tissue.</w:t>
      </w:r>
    </w:p>
    <w:p w:rsidR="00F425CB" w:rsidRPr="007E7990" w:rsidRDefault="00F425CB" w:rsidP="007E7990"/>
    <w:p w:rsidR="007E7990" w:rsidRPr="007E7990" w:rsidRDefault="00F425CB" w:rsidP="007E7990">
      <w:r w:rsidRPr="007E7990">
        <w:t>Cancer is the leading cause of death in New Zealand (30 percent of all deaths), and a major cause of hospitalisation.</w:t>
      </w:r>
      <w:r w:rsidR="007E7990" w:rsidRPr="007E7990">
        <w:t xml:space="preserve"> </w:t>
      </w:r>
      <w:r w:rsidRPr="007E7990">
        <w:t xml:space="preserve">While the overall </w:t>
      </w:r>
      <w:r w:rsidR="007F4C55">
        <w:t xml:space="preserve">cancer registration </w:t>
      </w:r>
      <w:r w:rsidR="007F4C55" w:rsidRPr="007F4C55">
        <w:rPr>
          <w:i/>
        </w:rPr>
        <w:t>rate</w:t>
      </w:r>
      <w:r w:rsidR="007F4C55">
        <w:t xml:space="preserve"> in New Zealand </w:t>
      </w:r>
      <w:r w:rsidRPr="007E7990">
        <w:t xml:space="preserve">is </w:t>
      </w:r>
      <w:r w:rsidR="007F4C55">
        <w:t xml:space="preserve">generally </w:t>
      </w:r>
      <w:r w:rsidRPr="007E7990">
        <w:t xml:space="preserve">decreasing, New Zealand has an increasing </w:t>
      </w:r>
      <w:r w:rsidRPr="007E7990">
        <w:rPr>
          <w:i/>
          <w:iCs/>
        </w:rPr>
        <w:t xml:space="preserve">number </w:t>
      </w:r>
      <w:r w:rsidRPr="007E7990">
        <w:t>of people who are developing cancer, mainly because of population growth and ageing.</w:t>
      </w:r>
      <w:r w:rsidR="007E7990" w:rsidRPr="007E7990">
        <w:t xml:space="preserve"> </w:t>
      </w:r>
      <w:r w:rsidRPr="007E7990">
        <w:t>The total number of cancer registrations is projected to increase by approximately 30 percent between 2012 and 2022.</w:t>
      </w:r>
    </w:p>
    <w:p w:rsidR="00F425CB" w:rsidRPr="007E7990" w:rsidRDefault="00F425CB" w:rsidP="007E7990"/>
    <w:p w:rsidR="00F425CB" w:rsidRPr="007E7990" w:rsidRDefault="00F425CB" w:rsidP="007E7990">
      <w:r w:rsidRPr="007E7990">
        <w:t>New Zealand has six DHB cancer centres offering multiple treatment modalities</w:t>
      </w:r>
      <w:r w:rsidR="007E7990" w:rsidRPr="007E7990">
        <w:t xml:space="preserve"> – </w:t>
      </w:r>
      <w:r w:rsidRPr="007E7990">
        <w:t>including radiation therapy</w:t>
      </w:r>
      <w:r w:rsidR="007E7990" w:rsidRPr="007E7990">
        <w:t xml:space="preserve"> – </w:t>
      </w:r>
      <w:r w:rsidRPr="007E7990">
        <w:t>across all tumour types.</w:t>
      </w:r>
      <w:r w:rsidR="007E7990" w:rsidRPr="007E7990">
        <w:t xml:space="preserve"> </w:t>
      </w:r>
      <w:r w:rsidRPr="007E7990">
        <w:t>Over recent years provision of radiation therapy services has widened with the development of private radiation therapy units in Auckland and Christchurch.</w:t>
      </w:r>
      <w:r w:rsidR="007E7990" w:rsidRPr="007E7990">
        <w:t xml:space="preserve"> </w:t>
      </w:r>
      <w:r w:rsidRPr="007E7990">
        <w:t>An additional private radiation therapy service will be operational from 2014 in Tauranga to serve both privately and publicly funded patients.</w:t>
      </w:r>
      <w:r w:rsidR="007E7990" w:rsidRPr="007E7990">
        <w:t xml:space="preserve"> </w:t>
      </w:r>
      <w:r w:rsidRPr="007E7990">
        <w:t>Overall there were 29 linear accelerators across New Zealand in 2012, which delivered 11,876 radiation therapy courses at an estimated operating cost of $103</w:t>
      </w:r>
      <w:r w:rsidR="00504426">
        <w:t xml:space="preserve"> </w:t>
      </w:r>
      <w:r w:rsidRPr="007E7990">
        <w:t>m</w:t>
      </w:r>
      <w:r w:rsidR="00D62047">
        <w:t>illion</w:t>
      </w:r>
      <w:r w:rsidRPr="007E7990">
        <w:t>.</w:t>
      </w:r>
    </w:p>
    <w:p w:rsidR="00F425CB" w:rsidRPr="007E7990" w:rsidRDefault="00F425CB" w:rsidP="007E7990"/>
    <w:p w:rsidR="007E7990" w:rsidRPr="007E7990" w:rsidRDefault="00F425CB" w:rsidP="003F5EB0">
      <w:pPr>
        <w:pStyle w:val="Heading3"/>
      </w:pPr>
      <w:r w:rsidRPr="007E7990">
        <w:t>Radiation therapy intervention rate</w:t>
      </w:r>
    </w:p>
    <w:p w:rsidR="00F425CB" w:rsidRPr="007E7990" w:rsidRDefault="00F425CB" w:rsidP="007E7990">
      <w:r w:rsidRPr="007E7990">
        <w:t>A key metric for radiation oncology is the radiation therapy utilisation rate or intervention rate (IR), defined as the proportion of all people with cancer who receive at least one course of radiation therapy during their care.</w:t>
      </w:r>
      <w:r w:rsidR="007E7990" w:rsidRPr="007E7990">
        <w:t xml:space="preserve"> </w:t>
      </w:r>
      <w:r w:rsidRPr="007E7990">
        <w:t>The current New Zealand average of 37% is similar to that seen in Australia and the UK.</w:t>
      </w:r>
      <w:r w:rsidR="007E7990" w:rsidRPr="007E7990">
        <w:t xml:space="preserve"> </w:t>
      </w:r>
      <w:r w:rsidRPr="007E7990">
        <w:t>Individual DHB radiation therapy intervention rates range from 30</w:t>
      </w:r>
      <w:r w:rsidR="007E7990">
        <w:t> </w:t>
      </w:r>
      <w:r w:rsidRPr="007E7990">
        <w:t>to 45%, similar to the range of intervention rates seen by area within Australia and England.</w:t>
      </w:r>
    </w:p>
    <w:p w:rsidR="00F425CB" w:rsidRPr="007E7990" w:rsidRDefault="00F425CB" w:rsidP="007E7990"/>
    <w:p w:rsidR="00F425CB" w:rsidRPr="007E7990" w:rsidRDefault="00F425CB" w:rsidP="007E7990">
      <w:pPr>
        <w:keepLines/>
      </w:pPr>
      <w:r w:rsidRPr="007E7990">
        <w:lastRenderedPageBreak/>
        <w:t>The reasons for variation in access to radiation therapy by DHB are not clear.</w:t>
      </w:r>
      <w:r w:rsidR="007E7990" w:rsidRPr="007E7990">
        <w:t xml:space="preserve"> </w:t>
      </w:r>
      <w:r w:rsidRPr="007E7990">
        <w:t xml:space="preserve">There is no evidence of patients requiring radiation therapy being </w:t>
      </w:r>
      <w:r w:rsidR="007E7990" w:rsidRPr="007E7990">
        <w:t>‘</w:t>
      </w:r>
      <w:r w:rsidRPr="007E7990">
        <w:t>turned away</w:t>
      </w:r>
      <w:r w:rsidR="007E7990" w:rsidRPr="007E7990">
        <w:t>’</w:t>
      </w:r>
      <w:r w:rsidRPr="007E7990">
        <w:t xml:space="preserve"> by a cancer centre for reason of workforce or linac capacity shortages.</w:t>
      </w:r>
      <w:r w:rsidR="007E7990" w:rsidRPr="007E7990">
        <w:t xml:space="preserve"> </w:t>
      </w:r>
      <w:r w:rsidRPr="007E7990">
        <w:t>The health target for radiation therapy wait times is also being achieved nationally. The variation in access may relate to clinical practice by referrers, the cancer centre</w:t>
      </w:r>
      <w:r w:rsidR="007E7990" w:rsidRPr="007E7990">
        <w:t>’</w:t>
      </w:r>
      <w:r w:rsidRPr="007E7990">
        <w:t>s model of care, patient distance from cancer centre, patient choice, tumour type, ethnic group, deprivation level, and/or differences in reporting. Investigation of the reasons for significant variation in intervention rates will be important.</w:t>
      </w:r>
    </w:p>
    <w:p w:rsidR="00F425CB" w:rsidRPr="007E7990" w:rsidRDefault="00F425CB" w:rsidP="00590B5D"/>
    <w:p w:rsidR="00F425CB" w:rsidRPr="007E7990" w:rsidRDefault="00F425CB" w:rsidP="003F5EB0">
      <w:pPr>
        <w:pStyle w:val="Heading3"/>
      </w:pPr>
      <w:r w:rsidRPr="007E7990">
        <w:t>Variation in clinical practice</w:t>
      </w:r>
    </w:p>
    <w:p w:rsidR="00F425CB" w:rsidRPr="007E7990" w:rsidRDefault="00F425CB" w:rsidP="00590B5D">
      <w:r w:rsidRPr="007E7990">
        <w:t>In addition to variable intervention rates, cancer centres also vary significantly in their retreatment rates, treatment times and numbers of treatments per course.</w:t>
      </w:r>
      <w:r w:rsidR="007E7990" w:rsidRPr="007E7990">
        <w:t xml:space="preserve"> </w:t>
      </w:r>
      <w:r w:rsidRPr="007E7990">
        <w:t>A centre may offer 15</w:t>
      </w:r>
      <w:r w:rsidR="00590B5D">
        <w:t> </w:t>
      </w:r>
      <w:r w:rsidRPr="007E7990">
        <w:t>treatments in a course, while another delivers 25 treatments for the same cancer.</w:t>
      </w:r>
      <w:r w:rsidR="007E7990" w:rsidRPr="007E7990">
        <w:t xml:space="preserve"> </w:t>
      </w:r>
      <w:r w:rsidRPr="007E7990">
        <w:t>While some variation in clinical practice is expected, the possibilities of increased standardisation and centres learning from each other warrants further investigation.</w:t>
      </w:r>
      <w:r w:rsidR="007E7990" w:rsidRPr="007E7990">
        <w:t xml:space="preserve"> </w:t>
      </w:r>
      <w:r w:rsidRPr="007E7990">
        <w:t>There appear to be opportunities for operational efficiency gains.</w:t>
      </w:r>
    </w:p>
    <w:p w:rsidR="00F425CB" w:rsidRPr="007E7990" w:rsidRDefault="00F425CB" w:rsidP="00590B5D"/>
    <w:p w:rsidR="00F425CB" w:rsidRPr="007E7990" w:rsidRDefault="00F425CB" w:rsidP="003F5EB0">
      <w:pPr>
        <w:pStyle w:val="Heading3"/>
      </w:pPr>
      <w:r w:rsidRPr="007E7990">
        <w:t>Scenario modelling</w:t>
      </w:r>
    </w:p>
    <w:p w:rsidR="00F425CB" w:rsidRPr="007E7990" w:rsidRDefault="00F425CB" w:rsidP="00590B5D">
      <w:r w:rsidRPr="007E7990">
        <w:t>International expert opinion suggests that 45</w:t>
      </w:r>
      <w:r w:rsidR="00590B5D">
        <w:t>–</w:t>
      </w:r>
      <w:r w:rsidRPr="007E7990">
        <w:t>52% of people with cancer might benefit from radiation therapy at some stage in their treatment.</w:t>
      </w:r>
      <w:r w:rsidR="007E7990" w:rsidRPr="007E7990">
        <w:t xml:space="preserve"> </w:t>
      </w:r>
      <w:r w:rsidRPr="007E7990">
        <w:t xml:space="preserve">Scenarios modelled in </w:t>
      </w:r>
      <w:r w:rsidR="00D62047">
        <w:t xml:space="preserve">the </w:t>
      </w:r>
      <w:r w:rsidRPr="007E7990">
        <w:t>development of this Plan include maintaining the current DHB national average IR of 37%, and moving to 40%, 45% or 50%.</w:t>
      </w:r>
      <w:r w:rsidR="007E7990" w:rsidRPr="007E7990">
        <w:t xml:space="preserve"> </w:t>
      </w:r>
      <w:r w:rsidRPr="007E7990">
        <w:t>There is the potential for changes in technology and techniques to impact on IRs and productivity.</w:t>
      </w:r>
      <w:r w:rsidR="007E7990" w:rsidRPr="007E7990">
        <w:t xml:space="preserve"> </w:t>
      </w:r>
      <w:r w:rsidRPr="007E7990">
        <w:t>Future planning will need to adjust accordingly.</w:t>
      </w:r>
    </w:p>
    <w:p w:rsidR="00F425CB" w:rsidRPr="007E7990" w:rsidRDefault="00F425CB" w:rsidP="00590B5D"/>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701"/>
        <w:gridCol w:w="1984"/>
        <w:gridCol w:w="1236"/>
        <w:gridCol w:w="1275"/>
        <w:gridCol w:w="1600"/>
        <w:gridCol w:w="1560"/>
      </w:tblGrid>
      <w:tr w:rsidR="00F425CB" w:rsidRPr="00590B5D" w:rsidTr="00C73F47">
        <w:trPr>
          <w:cantSplit/>
        </w:trPr>
        <w:tc>
          <w:tcPr>
            <w:tcW w:w="1701" w:type="dxa"/>
            <w:shd w:val="clear" w:color="auto" w:fill="BDE2FF"/>
          </w:tcPr>
          <w:p w:rsidR="00F425CB" w:rsidRPr="00590B5D" w:rsidRDefault="00F425CB" w:rsidP="00590B5D">
            <w:pPr>
              <w:pStyle w:val="TableText"/>
              <w:rPr>
                <w:b/>
                <w:lang w:eastAsia="en-NZ"/>
              </w:rPr>
            </w:pPr>
            <w:r w:rsidRPr="00590B5D">
              <w:rPr>
                <w:b/>
                <w:lang w:eastAsia="en-NZ"/>
              </w:rPr>
              <w:t>Scenario</w:t>
            </w:r>
          </w:p>
        </w:tc>
        <w:tc>
          <w:tcPr>
            <w:tcW w:w="1984" w:type="dxa"/>
            <w:shd w:val="clear" w:color="auto" w:fill="BDE2FF"/>
          </w:tcPr>
          <w:p w:rsidR="00F425CB" w:rsidRPr="00590B5D" w:rsidRDefault="00F425CB" w:rsidP="00590B5D">
            <w:pPr>
              <w:pStyle w:val="TableText"/>
              <w:rPr>
                <w:b/>
                <w:lang w:eastAsia="en-NZ"/>
              </w:rPr>
            </w:pPr>
            <w:r w:rsidRPr="00590B5D">
              <w:rPr>
                <w:b/>
                <w:lang w:eastAsia="en-NZ"/>
              </w:rPr>
              <w:t>Rate</w:t>
            </w:r>
          </w:p>
        </w:tc>
        <w:tc>
          <w:tcPr>
            <w:tcW w:w="1236" w:type="dxa"/>
            <w:shd w:val="clear" w:color="auto" w:fill="BDE2FF"/>
          </w:tcPr>
          <w:p w:rsidR="00F425CB" w:rsidRPr="00590B5D" w:rsidRDefault="00F425CB" w:rsidP="00590B5D">
            <w:pPr>
              <w:pStyle w:val="TableText"/>
              <w:jc w:val="center"/>
              <w:rPr>
                <w:b/>
                <w:lang w:eastAsia="en-NZ"/>
              </w:rPr>
            </w:pPr>
            <w:r w:rsidRPr="00590B5D">
              <w:rPr>
                <w:b/>
                <w:lang w:eastAsia="en-NZ"/>
              </w:rPr>
              <w:t>Added linacs</w:t>
            </w:r>
          </w:p>
        </w:tc>
        <w:tc>
          <w:tcPr>
            <w:tcW w:w="1275" w:type="dxa"/>
            <w:shd w:val="clear" w:color="auto" w:fill="BDE2FF"/>
          </w:tcPr>
          <w:p w:rsidR="00F425CB" w:rsidRPr="00590B5D" w:rsidRDefault="00F425CB" w:rsidP="00590B5D">
            <w:pPr>
              <w:pStyle w:val="TableText"/>
              <w:jc w:val="center"/>
              <w:rPr>
                <w:b/>
                <w:lang w:eastAsia="en-NZ"/>
              </w:rPr>
            </w:pPr>
            <w:r w:rsidRPr="00590B5D">
              <w:rPr>
                <w:b/>
                <w:lang w:eastAsia="en-NZ"/>
              </w:rPr>
              <w:t>Total linacs in 2022</w:t>
            </w:r>
          </w:p>
        </w:tc>
        <w:tc>
          <w:tcPr>
            <w:tcW w:w="1600" w:type="dxa"/>
            <w:shd w:val="clear" w:color="auto" w:fill="BDE2FF"/>
          </w:tcPr>
          <w:p w:rsidR="00F425CB" w:rsidRPr="00590B5D" w:rsidRDefault="00F425CB" w:rsidP="00590B5D">
            <w:pPr>
              <w:pStyle w:val="TableText"/>
              <w:jc w:val="center"/>
              <w:rPr>
                <w:b/>
                <w:lang w:eastAsia="en-NZ"/>
              </w:rPr>
            </w:pPr>
            <w:r w:rsidRPr="00590B5D">
              <w:rPr>
                <w:b/>
                <w:lang w:eastAsia="en-NZ"/>
              </w:rPr>
              <w:t>Operating cost in 2022</w:t>
            </w:r>
          </w:p>
        </w:tc>
        <w:tc>
          <w:tcPr>
            <w:tcW w:w="1560" w:type="dxa"/>
            <w:shd w:val="clear" w:color="auto" w:fill="BDE2FF"/>
          </w:tcPr>
          <w:p w:rsidR="00F425CB" w:rsidRPr="00590B5D" w:rsidRDefault="00F425CB" w:rsidP="00590B5D">
            <w:pPr>
              <w:pStyle w:val="TableText"/>
              <w:jc w:val="center"/>
              <w:rPr>
                <w:b/>
                <w:lang w:eastAsia="en-NZ"/>
              </w:rPr>
            </w:pPr>
            <w:r w:rsidRPr="00590B5D">
              <w:rPr>
                <w:b/>
                <w:lang w:eastAsia="en-NZ"/>
              </w:rPr>
              <w:t>Capital costs 2013</w:t>
            </w:r>
            <w:r w:rsidR="00590B5D" w:rsidRPr="00590B5D">
              <w:rPr>
                <w:b/>
                <w:lang w:eastAsia="en-NZ"/>
              </w:rPr>
              <w:t>–</w:t>
            </w:r>
            <w:r w:rsidRPr="00590B5D">
              <w:rPr>
                <w:b/>
                <w:lang w:eastAsia="en-NZ"/>
              </w:rPr>
              <w:t>2022</w:t>
            </w:r>
          </w:p>
        </w:tc>
      </w:tr>
      <w:tr w:rsidR="00F425CB" w:rsidRPr="0021236A" w:rsidTr="00C73F47">
        <w:trPr>
          <w:cantSplit/>
        </w:trPr>
        <w:tc>
          <w:tcPr>
            <w:tcW w:w="1701" w:type="dxa"/>
          </w:tcPr>
          <w:p w:rsidR="00F425CB" w:rsidRPr="0021236A" w:rsidRDefault="00F425CB" w:rsidP="00590B5D">
            <w:pPr>
              <w:pStyle w:val="TableText"/>
            </w:pPr>
            <w:r w:rsidRPr="0021236A">
              <w:t>Base</w:t>
            </w:r>
          </w:p>
        </w:tc>
        <w:tc>
          <w:tcPr>
            <w:tcW w:w="1984" w:type="dxa"/>
          </w:tcPr>
          <w:p w:rsidR="00F425CB" w:rsidRPr="0021236A" w:rsidRDefault="00F425CB" w:rsidP="00590B5D">
            <w:pPr>
              <w:pStyle w:val="TableText"/>
            </w:pPr>
            <w:r w:rsidRPr="0021236A">
              <w:t>Current IR and RTR</w:t>
            </w:r>
          </w:p>
        </w:tc>
        <w:tc>
          <w:tcPr>
            <w:tcW w:w="1236" w:type="dxa"/>
          </w:tcPr>
          <w:p w:rsidR="00F425CB" w:rsidRPr="0021236A" w:rsidRDefault="00F425CB" w:rsidP="00590B5D">
            <w:pPr>
              <w:pStyle w:val="TableText"/>
              <w:tabs>
                <w:tab w:val="decimal" w:pos="602"/>
              </w:tabs>
              <w:rPr>
                <w:rFonts w:eastAsia="MS Gothic"/>
                <w:color w:val="404040"/>
              </w:rPr>
            </w:pPr>
            <w:r w:rsidRPr="0021236A">
              <w:t>8</w:t>
            </w:r>
          </w:p>
        </w:tc>
        <w:tc>
          <w:tcPr>
            <w:tcW w:w="1275" w:type="dxa"/>
          </w:tcPr>
          <w:p w:rsidR="00F425CB" w:rsidRPr="0021236A" w:rsidRDefault="00F425CB" w:rsidP="00590B5D">
            <w:pPr>
              <w:pStyle w:val="TableText"/>
              <w:jc w:val="center"/>
            </w:pPr>
            <w:r w:rsidRPr="0021236A">
              <w:t>3</w:t>
            </w:r>
            <w:r>
              <w:t>9</w:t>
            </w:r>
          </w:p>
        </w:tc>
        <w:tc>
          <w:tcPr>
            <w:tcW w:w="1600" w:type="dxa"/>
          </w:tcPr>
          <w:p w:rsidR="00F425CB" w:rsidRPr="0021236A" w:rsidRDefault="00F425CB" w:rsidP="00590B5D">
            <w:pPr>
              <w:pStyle w:val="TableText"/>
              <w:jc w:val="center"/>
            </w:pPr>
            <w:r w:rsidRPr="0021236A">
              <w:t>$144m</w:t>
            </w:r>
          </w:p>
        </w:tc>
        <w:tc>
          <w:tcPr>
            <w:tcW w:w="1560" w:type="dxa"/>
          </w:tcPr>
          <w:p w:rsidR="00F425CB" w:rsidRPr="0021236A" w:rsidRDefault="00F425CB" w:rsidP="00590B5D">
            <w:pPr>
              <w:pStyle w:val="TableText"/>
              <w:jc w:val="center"/>
            </w:pPr>
            <w:r w:rsidRPr="0021236A">
              <w:t>$236m</w:t>
            </w:r>
          </w:p>
        </w:tc>
      </w:tr>
      <w:tr w:rsidR="00F425CB" w:rsidRPr="0021236A" w:rsidTr="00C73F47">
        <w:trPr>
          <w:cantSplit/>
        </w:trPr>
        <w:tc>
          <w:tcPr>
            <w:tcW w:w="1701" w:type="dxa"/>
          </w:tcPr>
          <w:p w:rsidR="00F425CB" w:rsidRPr="0021236A" w:rsidRDefault="00F425CB" w:rsidP="00590B5D">
            <w:pPr>
              <w:pStyle w:val="TableText"/>
            </w:pPr>
            <w:r w:rsidRPr="0021236A">
              <w:t xml:space="preserve">Modest </w:t>
            </w:r>
            <w:r w:rsidR="00590B5D">
              <w:t>g</w:t>
            </w:r>
            <w:r w:rsidRPr="0021236A">
              <w:t>rowth</w:t>
            </w:r>
          </w:p>
        </w:tc>
        <w:tc>
          <w:tcPr>
            <w:tcW w:w="1984" w:type="dxa"/>
          </w:tcPr>
          <w:p w:rsidR="00F425CB" w:rsidRPr="0021236A" w:rsidRDefault="00F425CB" w:rsidP="00590B5D">
            <w:pPr>
              <w:pStyle w:val="TableText"/>
            </w:pPr>
            <w:r w:rsidRPr="0021236A">
              <w:t>40% IR</w:t>
            </w:r>
          </w:p>
        </w:tc>
        <w:tc>
          <w:tcPr>
            <w:tcW w:w="1236" w:type="dxa"/>
          </w:tcPr>
          <w:p w:rsidR="00F425CB" w:rsidRPr="0021236A" w:rsidRDefault="00F425CB" w:rsidP="00590B5D">
            <w:pPr>
              <w:pStyle w:val="TableText"/>
              <w:tabs>
                <w:tab w:val="decimal" w:pos="602"/>
              </w:tabs>
              <w:rPr>
                <w:rFonts w:eastAsia="MS Gothic"/>
                <w:color w:val="404040"/>
              </w:rPr>
            </w:pPr>
            <w:r>
              <w:t>10</w:t>
            </w:r>
          </w:p>
        </w:tc>
        <w:tc>
          <w:tcPr>
            <w:tcW w:w="1275" w:type="dxa"/>
          </w:tcPr>
          <w:p w:rsidR="00F425CB" w:rsidRPr="0021236A" w:rsidRDefault="00F425CB" w:rsidP="00590B5D">
            <w:pPr>
              <w:pStyle w:val="TableText"/>
              <w:jc w:val="center"/>
            </w:pPr>
            <w:r>
              <w:t>41</w:t>
            </w:r>
          </w:p>
        </w:tc>
        <w:tc>
          <w:tcPr>
            <w:tcW w:w="1600" w:type="dxa"/>
          </w:tcPr>
          <w:p w:rsidR="00F425CB" w:rsidRPr="0021236A" w:rsidRDefault="00F425CB" w:rsidP="00590B5D">
            <w:pPr>
              <w:pStyle w:val="TableText"/>
              <w:jc w:val="center"/>
            </w:pPr>
            <w:r w:rsidRPr="0021236A">
              <w:t>$15</w:t>
            </w:r>
            <w:r>
              <w:t>6</w:t>
            </w:r>
            <w:r w:rsidRPr="0021236A">
              <w:t>m</w:t>
            </w:r>
          </w:p>
        </w:tc>
        <w:tc>
          <w:tcPr>
            <w:tcW w:w="1560" w:type="dxa"/>
          </w:tcPr>
          <w:p w:rsidR="00F425CB" w:rsidRPr="0021236A" w:rsidRDefault="00F425CB" w:rsidP="00590B5D">
            <w:pPr>
              <w:pStyle w:val="TableText"/>
              <w:jc w:val="center"/>
            </w:pPr>
            <w:r w:rsidRPr="0021236A">
              <w:t>$</w:t>
            </w:r>
            <w:r>
              <w:t>258</w:t>
            </w:r>
            <w:r w:rsidRPr="0021236A">
              <w:t>m</w:t>
            </w:r>
          </w:p>
        </w:tc>
      </w:tr>
      <w:tr w:rsidR="00F425CB" w:rsidRPr="0021236A" w:rsidTr="00C73F47">
        <w:trPr>
          <w:cantSplit/>
        </w:trPr>
        <w:tc>
          <w:tcPr>
            <w:tcW w:w="1701" w:type="dxa"/>
          </w:tcPr>
          <w:p w:rsidR="00F425CB" w:rsidRPr="0021236A" w:rsidRDefault="00F425CB" w:rsidP="00590B5D">
            <w:pPr>
              <w:pStyle w:val="TableText"/>
            </w:pPr>
            <w:r w:rsidRPr="0021236A">
              <w:t>Growth</w:t>
            </w:r>
          </w:p>
        </w:tc>
        <w:tc>
          <w:tcPr>
            <w:tcW w:w="1984" w:type="dxa"/>
          </w:tcPr>
          <w:p w:rsidR="00F425CB" w:rsidRPr="0021236A" w:rsidRDefault="00F425CB" w:rsidP="00590B5D">
            <w:pPr>
              <w:pStyle w:val="TableText"/>
            </w:pPr>
            <w:r w:rsidRPr="0021236A">
              <w:t>45% IR</w:t>
            </w:r>
          </w:p>
        </w:tc>
        <w:tc>
          <w:tcPr>
            <w:tcW w:w="1236" w:type="dxa"/>
          </w:tcPr>
          <w:p w:rsidR="00F425CB" w:rsidRPr="0021236A" w:rsidRDefault="00F425CB" w:rsidP="00590B5D">
            <w:pPr>
              <w:pStyle w:val="TableText"/>
              <w:tabs>
                <w:tab w:val="decimal" w:pos="602"/>
              </w:tabs>
              <w:rPr>
                <w:rFonts w:eastAsia="MS Gothic"/>
                <w:color w:val="404040"/>
              </w:rPr>
            </w:pPr>
            <w:r>
              <w:t>17</w:t>
            </w:r>
          </w:p>
        </w:tc>
        <w:tc>
          <w:tcPr>
            <w:tcW w:w="1275" w:type="dxa"/>
          </w:tcPr>
          <w:p w:rsidR="00F425CB" w:rsidRPr="0021236A" w:rsidRDefault="00F425CB" w:rsidP="00590B5D">
            <w:pPr>
              <w:pStyle w:val="TableText"/>
              <w:jc w:val="center"/>
            </w:pPr>
            <w:r>
              <w:t>48</w:t>
            </w:r>
          </w:p>
        </w:tc>
        <w:tc>
          <w:tcPr>
            <w:tcW w:w="1600" w:type="dxa"/>
          </w:tcPr>
          <w:p w:rsidR="00F425CB" w:rsidRPr="0021236A" w:rsidRDefault="00F425CB" w:rsidP="00590B5D">
            <w:pPr>
              <w:pStyle w:val="TableText"/>
              <w:jc w:val="center"/>
            </w:pPr>
            <w:r w:rsidRPr="0021236A">
              <w:t>$1</w:t>
            </w:r>
            <w:r>
              <w:t>81</w:t>
            </w:r>
            <w:r w:rsidRPr="0021236A">
              <w:t>m</w:t>
            </w:r>
          </w:p>
        </w:tc>
        <w:tc>
          <w:tcPr>
            <w:tcW w:w="1560" w:type="dxa"/>
          </w:tcPr>
          <w:p w:rsidR="00F425CB" w:rsidRPr="0021236A" w:rsidRDefault="00F425CB" w:rsidP="00590B5D">
            <w:pPr>
              <w:pStyle w:val="TableText"/>
              <w:jc w:val="center"/>
            </w:pPr>
            <w:r w:rsidRPr="0021236A">
              <w:t>$</w:t>
            </w:r>
            <w:r>
              <w:t>3</w:t>
            </w:r>
            <w:r w:rsidRPr="0021236A">
              <w:t>2</w:t>
            </w:r>
            <w:r>
              <w:t>8</w:t>
            </w:r>
            <w:r w:rsidRPr="0021236A">
              <w:t>m</w:t>
            </w:r>
          </w:p>
        </w:tc>
      </w:tr>
      <w:tr w:rsidR="00F425CB" w:rsidRPr="0021236A" w:rsidTr="00C73F47">
        <w:trPr>
          <w:cantSplit/>
        </w:trPr>
        <w:tc>
          <w:tcPr>
            <w:tcW w:w="1701" w:type="dxa"/>
          </w:tcPr>
          <w:p w:rsidR="00F425CB" w:rsidRPr="0021236A" w:rsidRDefault="00F425CB" w:rsidP="00590B5D">
            <w:pPr>
              <w:pStyle w:val="TableText"/>
            </w:pPr>
            <w:r w:rsidRPr="0021236A">
              <w:t xml:space="preserve">Maximal </w:t>
            </w:r>
            <w:r w:rsidR="00590B5D">
              <w:t>g</w:t>
            </w:r>
            <w:r w:rsidRPr="0021236A">
              <w:t>rowth</w:t>
            </w:r>
          </w:p>
        </w:tc>
        <w:tc>
          <w:tcPr>
            <w:tcW w:w="1984" w:type="dxa"/>
          </w:tcPr>
          <w:p w:rsidR="00F425CB" w:rsidRPr="0021236A" w:rsidRDefault="00F425CB" w:rsidP="00590B5D">
            <w:pPr>
              <w:pStyle w:val="TableText"/>
            </w:pPr>
            <w:r w:rsidRPr="0021236A">
              <w:t>50% IR</w:t>
            </w:r>
          </w:p>
        </w:tc>
        <w:tc>
          <w:tcPr>
            <w:tcW w:w="1236" w:type="dxa"/>
          </w:tcPr>
          <w:p w:rsidR="00F425CB" w:rsidRPr="0021236A" w:rsidRDefault="00F425CB" w:rsidP="00590B5D">
            <w:pPr>
              <w:pStyle w:val="TableText"/>
              <w:tabs>
                <w:tab w:val="decimal" w:pos="602"/>
              </w:tabs>
              <w:rPr>
                <w:rFonts w:eastAsia="MS Gothic"/>
                <w:color w:val="404040"/>
              </w:rPr>
            </w:pPr>
            <w:r>
              <w:t>20</w:t>
            </w:r>
          </w:p>
        </w:tc>
        <w:tc>
          <w:tcPr>
            <w:tcW w:w="1275" w:type="dxa"/>
          </w:tcPr>
          <w:p w:rsidR="00F425CB" w:rsidRPr="0021236A" w:rsidRDefault="00F425CB" w:rsidP="00590B5D">
            <w:pPr>
              <w:pStyle w:val="TableText"/>
              <w:jc w:val="center"/>
            </w:pPr>
            <w:r>
              <w:t>51</w:t>
            </w:r>
          </w:p>
        </w:tc>
        <w:tc>
          <w:tcPr>
            <w:tcW w:w="1600" w:type="dxa"/>
          </w:tcPr>
          <w:p w:rsidR="00F425CB" w:rsidRPr="0021236A" w:rsidRDefault="00F425CB" w:rsidP="00590B5D">
            <w:pPr>
              <w:pStyle w:val="TableText"/>
              <w:jc w:val="center"/>
            </w:pPr>
            <w:r w:rsidRPr="0021236A">
              <w:t>$</w:t>
            </w:r>
            <w:r>
              <w:t>200</w:t>
            </w:r>
            <w:r w:rsidRPr="0021236A">
              <w:t>m</w:t>
            </w:r>
          </w:p>
        </w:tc>
        <w:tc>
          <w:tcPr>
            <w:tcW w:w="1560" w:type="dxa"/>
          </w:tcPr>
          <w:p w:rsidR="00F425CB" w:rsidRPr="0021236A" w:rsidRDefault="00F425CB" w:rsidP="00590B5D">
            <w:pPr>
              <w:pStyle w:val="TableText"/>
              <w:jc w:val="center"/>
            </w:pPr>
            <w:r w:rsidRPr="0021236A">
              <w:t>$</w:t>
            </w:r>
            <w:r>
              <w:t>361</w:t>
            </w:r>
            <w:r w:rsidRPr="0021236A">
              <w:t>m</w:t>
            </w:r>
          </w:p>
        </w:tc>
      </w:tr>
    </w:tbl>
    <w:p w:rsidR="00F425CB" w:rsidRDefault="00F425CB" w:rsidP="00590B5D">
      <w:pPr>
        <w:pStyle w:val="Note"/>
        <w:rPr>
          <w:i w:val="0"/>
        </w:rPr>
      </w:pPr>
      <w:r w:rsidRPr="006D65C4">
        <w:t xml:space="preserve">IR = </w:t>
      </w:r>
      <w:r>
        <w:t>i</w:t>
      </w:r>
      <w:r w:rsidRPr="006D65C4">
        <w:t xml:space="preserve">ntervention </w:t>
      </w:r>
      <w:r>
        <w:t>rate</w:t>
      </w:r>
      <w:r w:rsidR="007E7990">
        <w:rPr>
          <w:i w:val="0"/>
        </w:rPr>
        <w:t xml:space="preserve"> – </w:t>
      </w:r>
      <w:r w:rsidRPr="006D65C4">
        <w:t>% all cancer registrations with at l</w:t>
      </w:r>
      <w:r>
        <w:t>east one course of radiation therapy; RTR = retreatment rate. All costs in 2011/12 $</w:t>
      </w:r>
      <w:r w:rsidR="007E7990">
        <w:rPr>
          <w:i w:val="0"/>
        </w:rPr>
        <w:t xml:space="preserve"> – </w:t>
      </w:r>
      <w:proofErr w:type="spellStart"/>
      <w:r>
        <w:t>ie</w:t>
      </w:r>
      <w:proofErr w:type="spellEnd"/>
      <w:r>
        <w:t xml:space="preserve"> not inflation-adjusted; capital costs include 28 replacement linacs ($152m).</w:t>
      </w:r>
      <w:r w:rsidR="007E7990">
        <w:rPr>
          <w:i w:val="0"/>
        </w:rPr>
        <w:t xml:space="preserve"> </w:t>
      </w:r>
      <w:r>
        <w:t xml:space="preserve">The development of 2 linacs in Tauranga is assumed in the base, so is not included in the </w:t>
      </w:r>
      <w:r w:rsidR="007E7990">
        <w:rPr>
          <w:i w:val="0"/>
        </w:rPr>
        <w:t>‘</w:t>
      </w:r>
      <w:r>
        <w:t>added linac</w:t>
      </w:r>
      <w:r w:rsidR="007E7990">
        <w:rPr>
          <w:i w:val="0"/>
        </w:rPr>
        <w:t>’</w:t>
      </w:r>
      <w:r>
        <w:t xml:space="preserve"> column, </w:t>
      </w:r>
      <w:proofErr w:type="gramStart"/>
      <w:r>
        <w:t>nor</w:t>
      </w:r>
      <w:proofErr w:type="gramEnd"/>
      <w:r>
        <w:t xml:space="preserve"> in capital costs.</w:t>
      </w:r>
    </w:p>
    <w:p w:rsidR="00F425CB" w:rsidRPr="007E7990" w:rsidDel="00490B3C" w:rsidRDefault="00F425CB" w:rsidP="00590B5D"/>
    <w:p w:rsidR="007E7990" w:rsidRPr="007E7990" w:rsidRDefault="00F425CB" w:rsidP="00590B5D">
      <w:r w:rsidRPr="007E7990">
        <w:t>Significant increases in linac numbers are projected under current operating parameters.</w:t>
      </w:r>
      <w:r w:rsidR="007E7990" w:rsidRPr="007E7990">
        <w:t xml:space="preserve"> </w:t>
      </w:r>
      <w:r w:rsidRPr="007E7990">
        <w:t>If the current intervention and retreatment rates were maintained to 2022 (Base scenario), eight new linacs would be required over the next 10 years.</w:t>
      </w:r>
      <w:r w:rsidR="007E7990" w:rsidRPr="007E7990">
        <w:t xml:space="preserve"> </w:t>
      </w:r>
      <w:r w:rsidRPr="007E7990">
        <w:t>This is effectively the capacity growth due to the increases in expected cancer registrations.</w:t>
      </w:r>
      <w:r w:rsidR="007E7990" w:rsidRPr="007E7990">
        <w:t xml:space="preserve"> </w:t>
      </w:r>
      <w:r w:rsidRPr="007E7990">
        <w:t>The Growth scenario of moving to a 45% IR would see the need for 17 additional linacs over the next 10 years.</w:t>
      </w:r>
    </w:p>
    <w:p w:rsidR="00F425CB" w:rsidRPr="007E7990" w:rsidRDefault="00F425CB" w:rsidP="00590B5D"/>
    <w:p w:rsidR="00D62047" w:rsidRDefault="00F425CB" w:rsidP="00590B5D">
      <w:r w:rsidRPr="007E7990">
        <w:t>The Growth scenario is considered to provide the best foundation for DHB and national planning purposes – achieving a 45% national average IR by 2022.</w:t>
      </w:r>
      <w:r w:rsidR="007E7990" w:rsidRPr="007E7990">
        <w:t xml:space="preserve"> </w:t>
      </w:r>
    </w:p>
    <w:p w:rsidR="00D62047" w:rsidRDefault="00D62047" w:rsidP="00D62047">
      <w:r>
        <w:br w:type="page"/>
      </w:r>
    </w:p>
    <w:p w:rsidR="00F425CB" w:rsidRPr="007E7990" w:rsidRDefault="00F425CB" w:rsidP="00590B5D">
      <w:r w:rsidRPr="007E7990">
        <w:lastRenderedPageBreak/>
        <w:t>Several DHBs are already at or near 45% IR (Southern, Capital and Coast, Waikato), and a natural increase in the IR is expected at other DHBs due to:</w:t>
      </w:r>
    </w:p>
    <w:p w:rsidR="00F425CB" w:rsidRPr="007E7990" w:rsidRDefault="00590B5D" w:rsidP="00590B5D">
      <w:pPr>
        <w:pStyle w:val="Bullet"/>
      </w:pPr>
      <w:r>
        <w:t>m</w:t>
      </w:r>
      <w:r w:rsidR="00F425CB" w:rsidRPr="007E7990">
        <w:t>ultidisciplinary team meetings and tumour standards being implemented and embedded</w:t>
      </w:r>
    </w:p>
    <w:p w:rsidR="00F425CB" w:rsidRPr="007E7990" w:rsidRDefault="00590B5D" w:rsidP="00590B5D">
      <w:pPr>
        <w:pStyle w:val="Bullet"/>
      </w:pPr>
      <w:r>
        <w:t>n</w:t>
      </w:r>
      <w:r w:rsidR="00F425CB" w:rsidRPr="007E7990">
        <w:t>ew technologies and techniques being developed</w:t>
      </w:r>
    </w:p>
    <w:p w:rsidR="00F425CB" w:rsidRPr="007E7990" w:rsidRDefault="00590B5D" w:rsidP="00590B5D">
      <w:pPr>
        <w:pStyle w:val="Bullet"/>
      </w:pPr>
      <w:proofErr w:type="gramStart"/>
      <w:r>
        <w:t>c</w:t>
      </w:r>
      <w:r w:rsidR="00F425CB" w:rsidRPr="007E7990">
        <w:t>linical</w:t>
      </w:r>
      <w:proofErr w:type="gramEnd"/>
      <w:r w:rsidR="00F425CB" w:rsidRPr="007E7990">
        <w:t xml:space="preserve"> practice becoming more standardised across New Zealand.</w:t>
      </w:r>
    </w:p>
    <w:p w:rsidR="00F425CB" w:rsidRPr="007E7990" w:rsidRDefault="00F425CB" w:rsidP="00590B5D"/>
    <w:p w:rsidR="00F425CB" w:rsidRPr="007E7990" w:rsidRDefault="00F425CB" w:rsidP="003F5EB0">
      <w:pPr>
        <w:pStyle w:val="Heading3"/>
      </w:pPr>
      <w:r w:rsidRPr="007E7990">
        <w:t>Cost impacts</w:t>
      </w:r>
    </w:p>
    <w:p w:rsidR="00F425CB" w:rsidRPr="007E7990" w:rsidRDefault="00F425CB" w:rsidP="00590B5D">
      <w:r w:rsidRPr="007E7990">
        <w:t>The expected increase in cancer registrations through incidence changes and population growth is estimated to result in approximately $41 million extra in operating costs per year by 2022, bringing the total spend to $144 million (Base scenario).</w:t>
      </w:r>
      <w:r w:rsidR="007E7990" w:rsidRPr="007E7990">
        <w:t xml:space="preserve"> </w:t>
      </w:r>
      <w:r w:rsidRPr="007E7990">
        <w:t>Some or all of this increase may already be covered in the demographic adjustments to the DHB population-based-funding formula each year.</w:t>
      </w:r>
      <w:r w:rsidR="007E7990" w:rsidRPr="007E7990">
        <w:t xml:space="preserve"> </w:t>
      </w:r>
      <w:r w:rsidRPr="007E7990">
        <w:t>Moving to a 45% IR would require an extra $36 million in operating costs over the Base scenario ($77 million compared with $41 million).</w:t>
      </w:r>
    </w:p>
    <w:p w:rsidR="00F425CB" w:rsidRPr="007E7990" w:rsidRDefault="00F425CB" w:rsidP="00590B5D"/>
    <w:p w:rsidR="00F425CB" w:rsidRPr="007E7990" w:rsidRDefault="00F425CB" w:rsidP="003F5EB0">
      <w:pPr>
        <w:pStyle w:val="Heading3"/>
      </w:pPr>
      <w:r w:rsidRPr="007E7990">
        <w:t>Workforce</w:t>
      </w:r>
    </w:p>
    <w:p w:rsidR="007E7990" w:rsidRPr="007E7990" w:rsidRDefault="00F425CB" w:rsidP="00590B5D">
      <w:r w:rsidRPr="007E7990">
        <w:t>Planning for workforce requirements is perhaps the single most important aspect of selecting likely future scenarios.</w:t>
      </w:r>
      <w:r w:rsidR="007E7990" w:rsidRPr="007E7990">
        <w:t xml:space="preserve"> </w:t>
      </w:r>
      <w:r w:rsidRPr="007E7990">
        <w:t>There are three core workforce groups:</w:t>
      </w:r>
    </w:p>
    <w:p w:rsidR="007E7990" w:rsidRPr="007E7990" w:rsidRDefault="00590B5D" w:rsidP="00590B5D">
      <w:pPr>
        <w:pStyle w:val="Bullet"/>
      </w:pPr>
      <w:r>
        <w:t>r</w:t>
      </w:r>
      <w:r w:rsidR="00F425CB" w:rsidRPr="007E7990">
        <w:t>adiation oncologists, who are doctors who specialise in treating cancer with radiation therapy</w:t>
      </w:r>
    </w:p>
    <w:p w:rsidR="00F425CB" w:rsidRPr="007E7990" w:rsidRDefault="00590B5D" w:rsidP="00590B5D">
      <w:pPr>
        <w:pStyle w:val="Bullet"/>
      </w:pPr>
      <w:r>
        <w:t>m</w:t>
      </w:r>
      <w:r w:rsidR="00F425CB" w:rsidRPr="007E7990">
        <w:t>edical physicists, who are scientific specialists in the therapeutic application of radiation sources and the equipment involved</w:t>
      </w:r>
    </w:p>
    <w:p w:rsidR="007E7990" w:rsidRPr="007E7990" w:rsidRDefault="00590B5D" w:rsidP="00590B5D">
      <w:pPr>
        <w:pStyle w:val="Bullet"/>
      </w:pPr>
      <w:proofErr w:type="gramStart"/>
      <w:r>
        <w:t>r</w:t>
      </w:r>
      <w:r w:rsidR="00F425CB" w:rsidRPr="007E7990">
        <w:t>adiation</w:t>
      </w:r>
      <w:proofErr w:type="gramEnd"/>
      <w:r w:rsidR="00F425CB" w:rsidRPr="007E7990">
        <w:t xml:space="preserve"> therapists, who are allied health practitioners involved in planning and delivering the radiation treatments.</w:t>
      </w:r>
    </w:p>
    <w:p w:rsidR="00F425CB" w:rsidRPr="007E7990" w:rsidRDefault="00F425CB" w:rsidP="00590B5D"/>
    <w:p w:rsidR="007E7990" w:rsidRPr="007E7990" w:rsidRDefault="00F425CB" w:rsidP="00590B5D">
      <w:r w:rsidRPr="007E7990">
        <w:t>Each year New Zealand currently produces four net graduate radiation oncologists, three net graduate medical physicists, and 25 net graduate radiation therapists. The Base scenario shows that New Zealand is currently training sufficient radiation oncologists and radiation therapists to take into account changes in cancer incidence and population ageing.</w:t>
      </w:r>
      <w:r w:rsidR="007E7990" w:rsidRPr="007E7990">
        <w:t xml:space="preserve"> </w:t>
      </w:r>
      <w:r w:rsidRPr="007E7990">
        <w:t>However, New Zealand needs an additional three medical physicists per year just to keep up with the increasing cancer incidence and population ageing.</w:t>
      </w:r>
    </w:p>
    <w:p w:rsidR="00F425CB" w:rsidRPr="007E7990" w:rsidRDefault="00F425CB" w:rsidP="00590B5D"/>
    <w:p w:rsidR="00F425CB" w:rsidRPr="007E7990" w:rsidRDefault="00F425CB" w:rsidP="00590B5D">
      <w:r w:rsidRPr="007E7990">
        <w:t>Based on the current proportion of training output retained in the New Zealand health system, and planning for the Growth scenario</w:t>
      </w:r>
      <w:r w:rsidR="007E7990" w:rsidRPr="007E7990">
        <w:t>’</w:t>
      </w:r>
      <w:r w:rsidRPr="007E7990">
        <w:t>s 45% IR, by 2022 there will be a shortfall of seven radiation oncologists, 30 medical physicists, and 25 radiation therapists. If the medical physicist growth was achieved through increasing the training programme intake, nine graduates per year would be required (</w:t>
      </w:r>
      <w:proofErr w:type="spellStart"/>
      <w:r w:rsidRPr="007E7990">
        <w:t>ie</w:t>
      </w:r>
      <w:proofErr w:type="spellEnd"/>
      <w:r w:rsidRPr="007E7990">
        <w:t>, the existing three, plus another six). For sustainability there will need to be improved retention of existing staff across all workforce groups, and/or an increase in training places – most urgently for medical physicists.</w:t>
      </w:r>
    </w:p>
    <w:p w:rsidR="00F425CB" w:rsidRPr="007E7990" w:rsidRDefault="00F425CB" w:rsidP="00590B5D"/>
    <w:p w:rsidR="00F425CB" w:rsidRPr="007E7990" w:rsidRDefault="00F425CB" w:rsidP="003F5EB0">
      <w:pPr>
        <w:pStyle w:val="Heading3"/>
      </w:pPr>
      <w:r w:rsidRPr="007E7990">
        <w:lastRenderedPageBreak/>
        <w:t>Maximising performance</w:t>
      </w:r>
    </w:p>
    <w:p w:rsidR="007E7990" w:rsidRPr="007E7990" w:rsidRDefault="00F425CB" w:rsidP="00590B5D">
      <w:pPr>
        <w:keepLines/>
      </w:pPr>
      <w:r w:rsidRPr="007E7990">
        <w:t>The Model results show the increase in required linac numbers projected under current operating parameters.</w:t>
      </w:r>
      <w:r w:rsidR="007E7990" w:rsidRPr="007E7990">
        <w:t xml:space="preserve"> </w:t>
      </w:r>
      <w:r w:rsidRPr="007E7990">
        <w:t xml:space="preserve">Notable reductions to the projected increase of linacs occur if operational efficiency and </w:t>
      </w:r>
      <w:r w:rsidR="007E7990" w:rsidRPr="007E7990">
        <w:t>‘</w:t>
      </w:r>
      <w:r w:rsidRPr="007E7990">
        <w:t>tipping point</w:t>
      </w:r>
      <w:r w:rsidR="007E7990" w:rsidRPr="007E7990">
        <w:t>’</w:t>
      </w:r>
      <w:r w:rsidRPr="007E7990">
        <w:t xml:space="preserve"> assumptions are included.</w:t>
      </w:r>
      <w:r w:rsidR="007E7990" w:rsidRPr="007E7990">
        <w:t xml:space="preserve"> </w:t>
      </w:r>
      <w:r w:rsidRPr="007E7990">
        <w:t>The Model</w:t>
      </w:r>
      <w:r w:rsidR="007E7990" w:rsidRPr="007E7990">
        <w:t>’</w:t>
      </w:r>
      <w:r w:rsidRPr="007E7990">
        <w:t>s assumptions for meeting waiting time targets mean that each centre is expected to have the capacity to deal with its highest monthly totals in that year without needing to transfer patients elsewhere.</w:t>
      </w:r>
      <w:r w:rsidR="007E7990" w:rsidRPr="007E7990">
        <w:t xml:space="preserve"> </w:t>
      </w:r>
      <w:r w:rsidRPr="007E7990">
        <w:t>This means that one month</w:t>
      </w:r>
      <w:r w:rsidR="007E7990" w:rsidRPr="007E7990">
        <w:t>’</w:t>
      </w:r>
      <w:r w:rsidRPr="007E7990">
        <w:t xml:space="preserve">s overflow can </w:t>
      </w:r>
      <w:r w:rsidR="007E7990" w:rsidRPr="007E7990">
        <w:t>‘</w:t>
      </w:r>
      <w:r w:rsidRPr="007E7990">
        <w:t>tip the balance</w:t>
      </w:r>
      <w:r w:rsidR="007E7990" w:rsidRPr="007E7990">
        <w:t>’</w:t>
      </w:r>
      <w:r w:rsidRPr="007E7990">
        <w:t xml:space="preserve"> of needing more capacity.</w:t>
      </w:r>
      <w:r w:rsidR="007E7990" w:rsidRPr="007E7990">
        <w:t xml:space="preserve"> </w:t>
      </w:r>
      <w:r w:rsidRPr="007E7990">
        <w:t>The new build requirements can be delayed by incorporating measures such as using a centre</w:t>
      </w:r>
      <w:r w:rsidR="007E7990" w:rsidRPr="007E7990">
        <w:t>’</w:t>
      </w:r>
      <w:r w:rsidRPr="007E7990">
        <w:t>s linacs up to 10</w:t>
      </w:r>
      <w:r w:rsidR="00590B5D">
        <w:t> </w:t>
      </w:r>
      <w:r w:rsidRPr="007E7990">
        <w:t>hours a day in the busiest months (possibly 2</w:t>
      </w:r>
      <w:r w:rsidR="00590B5D">
        <w:t>–</w:t>
      </w:r>
      <w:r w:rsidRPr="007E7990">
        <w:t xml:space="preserve">3 months a year) prior to a new linac being commissioned, or </w:t>
      </w:r>
      <w:r w:rsidR="007E7990" w:rsidRPr="007E7990">
        <w:t>‘</w:t>
      </w:r>
      <w:r w:rsidRPr="007E7990">
        <w:t>subcontracting</w:t>
      </w:r>
      <w:r w:rsidR="007E7990" w:rsidRPr="007E7990">
        <w:t>’</w:t>
      </w:r>
      <w:r w:rsidRPr="007E7990">
        <w:t xml:space="preserve"> the equivalent overflow volumes to another centre for those months.</w:t>
      </w:r>
    </w:p>
    <w:p w:rsidR="00F425CB" w:rsidRPr="007E7990" w:rsidRDefault="00F425CB" w:rsidP="00590B5D"/>
    <w:p w:rsidR="00F425CB" w:rsidRPr="007E7990" w:rsidRDefault="00F425CB" w:rsidP="00590B5D">
      <w:r w:rsidRPr="007E7990">
        <w:t>The variability in treatment times and treatments per course noted above means that there are likely to be aspects of service operations that could be changed to achieve efficiency gains.</w:t>
      </w:r>
      <w:r w:rsidR="007E7990" w:rsidRPr="007E7990">
        <w:t xml:space="preserve"> </w:t>
      </w:r>
      <w:r w:rsidRPr="007E7990">
        <w:t>For example, cancer centre average treatment times range from 14 to 18.7 minutes (average 15.9</w:t>
      </w:r>
      <w:r w:rsidR="00590B5D">
        <w:t> </w:t>
      </w:r>
      <w:r w:rsidRPr="007E7990">
        <w:t>minutes).</w:t>
      </w:r>
      <w:r w:rsidR="007E7990" w:rsidRPr="007E7990">
        <w:t xml:space="preserve"> </w:t>
      </w:r>
      <w:r w:rsidRPr="007E7990">
        <w:t>Decreasing treatment time may produce an efficiency gain.</w:t>
      </w:r>
      <w:r w:rsidR="007E7990" w:rsidRPr="007E7990">
        <w:t xml:space="preserve"> </w:t>
      </w:r>
      <w:r w:rsidRPr="007E7990">
        <w:t>To model this, the Plan assumes a 1% per year (or 10% over 10 years) efficiency gain in treatment times, and/or treatments per course.</w:t>
      </w:r>
    </w:p>
    <w:p w:rsidR="00F425CB" w:rsidRPr="007E7990" w:rsidRDefault="00F425CB" w:rsidP="00590B5D"/>
    <w:p w:rsidR="00F425CB" w:rsidRPr="007E7990" w:rsidRDefault="00F425CB" w:rsidP="00590B5D">
      <w:r w:rsidRPr="007E7990">
        <w:t>Combining the operational gains and tipping point assumptions would reduce the Base scenario</w:t>
      </w:r>
      <w:r w:rsidR="007E7990" w:rsidRPr="007E7990">
        <w:t>’</w:t>
      </w:r>
      <w:r w:rsidRPr="007E7990">
        <w:t xml:space="preserve">s need to three additional linacs rather than the eight </w:t>
      </w:r>
      <w:proofErr w:type="gramStart"/>
      <w:r w:rsidRPr="007E7990">
        <w:t>forecast</w:t>
      </w:r>
      <w:proofErr w:type="gramEnd"/>
      <w:r w:rsidRPr="007E7990">
        <w:t>, and for the Growth scenario a reduction from 17 additional linacs to six.</w:t>
      </w:r>
      <w:r w:rsidR="007E7990" w:rsidRPr="007E7990">
        <w:t xml:space="preserve"> </w:t>
      </w:r>
      <w:r w:rsidRPr="007E7990">
        <w:t>The reduction has little effect on the operating costs noted above, as a similar volume of work is expected, but does have a strong effect on capital costs.</w:t>
      </w:r>
      <w:r w:rsidR="007E7990" w:rsidRPr="007E7990">
        <w:t xml:space="preserve"> </w:t>
      </w:r>
      <w:r w:rsidRPr="007E7990">
        <w:t>The overall capital investment over the 10 years is estimated at $217m, which includes $152</w:t>
      </w:r>
      <w:r w:rsidR="00504426">
        <w:t xml:space="preserve"> </w:t>
      </w:r>
      <w:r w:rsidRPr="007E7990">
        <w:t>m</w:t>
      </w:r>
      <w:r w:rsidR="00D62047">
        <w:t>illion</w:t>
      </w:r>
      <w:r w:rsidRPr="007E7990">
        <w:t xml:space="preserve"> for upgrades and replacement of 28 linacs over the 10-year period.</w:t>
      </w:r>
      <w:r w:rsidR="007E7990" w:rsidRPr="007E7990">
        <w:t xml:space="preserve"> </w:t>
      </w:r>
      <w:r w:rsidRPr="007E7990">
        <w:t>Without the efficiency and tipping point measures, the capital cost could be as high as $328m over the next 10 years, $111m</w:t>
      </w:r>
      <w:r w:rsidR="00D62047">
        <w:t>illion</w:t>
      </w:r>
      <w:r w:rsidRPr="007E7990">
        <w:t xml:space="preserve"> greater.</w:t>
      </w:r>
      <w:r w:rsidR="007E7990" w:rsidRPr="007E7990">
        <w:t xml:space="preserve"> </w:t>
      </w:r>
      <w:r w:rsidRPr="007E7990">
        <w:t>For the Base scenario, the operational efficiency assumptions reduce the number of linacs required over the next 10 years from eight to three, and reduce the capital costs by $53 million ($236 million less $183 million).</w:t>
      </w:r>
    </w:p>
    <w:p w:rsidR="00F425CB" w:rsidRPr="007E7990" w:rsidRDefault="00F425CB" w:rsidP="00590B5D"/>
    <w:p w:rsidR="00F425CB" w:rsidRDefault="00F425CB" w:rsidP="00590B5D">
      <w:r w:rsidRPr="007E7990">
        <w:t>The first builds suggested by the model for the Growth scenario (given the operational efficiency and tipping point assumptions) would come in 2016, nominally at MidCentral and Capital and Coast DHBs.</w:t>
      </w:r>
    </w:p>
    <w:p w:rsidR="00590B5D" w:rsidRPr="007E7990" w:rsidRDefault="00590B5D" w:rsidP="00590B5D"/>
    <w:tbl>
      <w:tblPr>
        <w:tblpPr w:leftFromText="180" w:rightFromText="180" w:vertAnchor="text" w:tblpXSpec="right" w:tblpY="1"/>
        <w:tblOverlap w:val="never"/>
        <w:tblW w:w="0" w:type="auto"/>
        <w:jc w:val="righ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59"/>
        <w:gridCol w:w="1687"/>
      </w:tblGrid>
      <w:tr w:rsidR="00590B5D" w:rsidRPr="00590B5D" w:rsidTr="00C73F47">
        <w:trPr>
          <w:cantSplit/>
          <w:jc w:val="right"/>
        </w:trPr>
        <w:tc>
          <w:tcPr>
            <w:tcW w:w="959" w:type="dxa"/>
            <w:shd w:val="clear" w:color="auto" w:fill="BDE2FF"/>
            <w:noWrap/>
          </w:tcPr>
          <w:p w:rsidR="00F425CB" w:rsidRPr="00590B5D" w:rsidRDefault="00590B5D" w:rsidP="00590B5D">
            <w:pPr>
              <w:pStyle w:val="TableText"/>
              <w:jc w:val="center"/>
              <w:rPr>
                <w:b/>
                <w:lang w:eastAsia="en-NZ"/>
              </w:rPr>
            </w:pPr>
            <w:r w:rsidRPr="00590B5D">
              <w:rPr>
                <w:b/>
                <w:lang w:eastAsia="en-NZ"/>
              </w:rPr>
              <w:t>P</w:t>
            </w:r>
            <w:r w:rsidR="00F425CB" w:rsidRPr="00590B5D">
              <w:rPr>
                <w:b/>
                <w:lang w:eastAsia="en-NZ"/>
              </w:rPr>
              <w:t>ossible year</w:t>
            </w:r>
          </w:p>
        </w:tc>
        <w:tc>
          <w:tcPr>
            <w:tcW w:w="1687" w:type="dxa"/>
            <w:shd w:val="clear" w:color="auto" w:fill="BDE2FF"/>
            <w:noWrap/>
          </w:tcPr>
          <w:p w:rsidR="00F425CB" w:rsidRPr="00590B5D" w:rsidRDefault="00F425CB" w:rsidP="00590B5D">
            <w:pPr>
              <w:pStyle w:val="TableText"/>
              <w:jc w:val="center"/>
              <w:rPr>
                <w:b/>
                <w:lang w:eastAsia="en-NZ"/>
              </w:rPr>
            </w:pPr>
            <w:r w:rsidRPr="00590B5D">
              <w:rPr>
                <w:b/>
                <w:lang w:eastAsia="en-NZ"/>
              </w:rPr>
              <w:t>Indicative new linac location</w:t>
            </w:r>
          </w:p>
        </w:tc>
      </w:tr>
      <w:tr w:rsidR="003F5EB0" w:rsidRPr="001C5653" w:rsidTr="00C73F47">
        <w:trPr>
          <w:cantSplit/>
          <w:jc w:val="right"/>
        </w:trPr>
        <w:tc>
          <w:tcPr>
            <w:tcW w:w="959" w:type="dxa"/>
            <w:shd w:val="clear" w:color="auto" w:fill="auto"/>
            <w:noWrap/>
          </w:tcPr>
          <w:p w:rsidR="00590B5D" w:rsidRPr="001C5653" w:rsidRDefault="00590B5D" w:rsidP="00590B5D">
            <w:pPr>
              <w:pStyle w:val="TableText"/>
              <w:jc w:val="center"/>
              <w:rPr>
                <w:color w:val="000000"/>
                <w:szCs w:val="18"/>
                <w:lang w:eastAsia="en-NZ"/>
              </w:rPr>
            </w:pPr>
            <w:r w:rsidRPr="001C5653">
              <w:rPr>
                <w:color w:val="000000"/>
                <w:szCs w:val="18"/>
                <w:lang w:eastAsia="en-NZ"/>
              </w:rPr>
              <w:t>2016</w:t>
            </w:r>
          </w:p>
        </w:tc>
        <w:tc>
          <w:tcPr>
            <w:tcW w:w="1687" w:type="dxa"/>
            <w:shd w:val="clear" w:color="auto" w:fill="auto"/>
            <w:noWrap/>
          </w:tcPr>
          <w:p w:rsidR="00590B5D" w:rsidRPr="001C5653" w:rsidRDefault="00590B5D" w:rsidP="003F5EB0">
            <w:pPr>
              <w:pStyle w:val="TableText"/>
              <w:rPr>
                <w:lang w:eastAsia="en-NZ"/>
              </w:rPr>
            </w:pPr>
            <w:r w:rsidRPr="001C5653">
              <w:rPr>
                <w:lang w:eastAsia="en-NZ"/>
              </w:rPr>
              <w:t>MidCentral</w:t>
            </w:r>
          </w:p>
          <w:p w:rsidR="00590B5D" w:rsidRPr="001C5653" w:rsidRDefault="00590B5D" w:rsidP="003F5EB0">
            <w:pPr>
              <w:pStyle w:val="TableText"/>
              <w:rPr>
                <w:lang w:eastAsia="en-NZ"/>
              </w:rPr>
            </w:pPr>
            <w:r w:rsidRPr="001C5653">
              <w:rPr>
                <w:lang w:eastAsia="en-NZ"/>
              </w:rPr>
              <w:t xml:space="preserve">Capital </w:t>
            </w:r>
            <w:r>
              <w:rPr>
                <w:lang w:eastAsia="en-NZ"/>
              </w:rPr>
              <w:t>and</w:t>
            </w:r>
            <w:r w:rsidRPr="001C5653">
              <w:rPr>
                <w:lang w:eastAsia="en-NZ"/>
              </w:rPr>
              <w:t xml:space="preserve"> Coast</w:t>
            </w:r>
          </w:p>
        </w:tc>
      </w:tr>
      <w:tr w:rsidR="003F5EB0" w:rsidRPr="001C5653" w:rsidTr="00C73F47">
        <w:trPr>
          <w:cantSplit/>
          <w:jc w:val="right"/>
        </w:trPr>
        <w:tc>
          <w:tcPr>
            <w:tcW w:w="959" w:type="dxa"/>
            <w:shd w:val="clear" w:color="auto" w:fill="auto"/>
            <w:noWrap/>
          </w:tcPr>
          <w:p w:rsidR="00590B5D" w:rsidRPr="001C5653" w:rsidRDefault="00590B5D" w:rsidP="00590B5D">
            <w:pPr>
              <w:pStyle w:val="TableText"/>
              <w:jc w:val="center"/>
              <w:rPr>
                <w:color w:val="000000"/>
                <w:szCs w:val="18"/>
                <w:lang w:eastAsia="en-NZ"/>
              </w:rPr>
            </w:pPr>
            <w:r w:rsidRPr="001C5653">
              <w:rPr>
                <w:color w:val="000000"/>
                <w:szCs w:val="18"/>
                <w:lang w:eastAsia="en-NZ"/>
              </w:rPr>
              <w:t>2017</w:t>
            </w:r>
          </w:p>
        </w:tc>
        <w:tc>
          <w:tcPr>
            <w:tcW w:w="1687" w:type="dxa"/>
            <w:shd w:val="clear" w:color="auto" w:fill="auto"/>
            <w:noWrap/>
          </w:tcPr>
          <w:p w:rsidR="00590B5D" w:rsidRPr="001C5653" w:rsidRDefault="00590B5D" w:rsidP="003F5EB0">
            <w:pPr>
              <w:pStyle w:val="TableText"/>
              <w:rPr>
                <w:lang w:eastAsia="en-NZ"/>
              </w:rPr>
            </w:pPr>
            <w:r w:rsidRPr="001C5653">
              <w:rPr>
                <w:lang w:eastAsia="en-NZ"/>
              </w:rPr>
              <w:t>Auckland</w:t>
            </w:r>
          </w:p>
          <w:p w:rsidR="00590B5D" w:rsidRPr="001C5653" w:rsidRDefault="00590B5D" w:rsidP="003F5EB0">
            <w:pPr>
              <w:pStyle w:val="TableText"/>
              <w:rPr>
                <w:lang w:eastAsia="en-NZ"/>
              </w:rPr>
            </w:pPr>
            <w:r w:rsidRPr="001C5653">
              <w:rPr>
                <w:lang w:eastAsia="en-NZ"/>
              </w:rPr>
              <w:t>ARO</w:t>
            </w:r>
          </w:p>
        </w:tc>
      </w:tr>
      <w:tr w:rsidR="00590B5D" w:rsidRPr="001C5653" w:rsidTr="00C73F47">
        <w:trPr>
          <w:cantSplit/>
          <w:jc w:val="right"/>
        </w:trPr>
        <w:tc>
          <w:tcPr>
            <w:tcW w:w="959" w:type="dxa"/>
            <w:shd w:val="clear" w:color="auto" w:fill="auto"/>
            <w:noWrap/>
          </w:tcPr>
          <w:p w:rsidR="00F425CB" w:rsidRPr="001C5653" w:rsidRDefault="00F425CB" w:rsidP="00590B5D">
            <w:pPr>
              <w:pStyle w:val="TableText"/>
              <w:jc w:val="center"/>
              <w:rPr>
                <w:color w:val="000000"/>
                <w:szCs w:val="18"/>
                <w:lang w:eastAsia="en-NZ"/>
              </w:rPr>
            </w:pPr>
            <w:r w:rsidRPr="001C5653">
              <w:rPr>
                <w:color w:val="000000"/>
                <w:szCs w:val="18"/>
                <w:lang w:eastAsia="en-NZ"/>
              </w:rPr>
              <w:t>2018</w:t>
            </w:r>
          </w:p>
        </w:tc>
        <w:tc>
          <w:tcPr>
            <w:tcW w:w="1687" w:type="dxa"/>
            <w:shd w:val="clear" w:color="auto" w:fill="auto"/>
            <w:noWrap/>
          </w:tcPr>
          <w:p w:rsidR="00F425CB" w:rsidRPr="001C5653" w:rsidRDefault="00F425CB" w:rsidP="003F5EB0">
            <w:pPr>
              <w:pStyle w:val="TableText"/>
              <w:rPr>
                <w:lang w:eastAsia="en-NZ"/>
              </w:rPr>
            </w:pPr>
            <w:r w:rsidRPr="001C5653">
              <w:rPr>
                <w:lang w:eastAsia="en-NZ"/>
              </w:rPr>
              <w:t>Canterbury</w:t>
            </w:r>
          </w:p>
        </w:tc>
      </w:tr>
      <w:tr w:rsidR="00590B5D" w:rsidRPr="001C5653" w:rsidTr="00C73F47">
        <w:trPr>
          <w:cantSplit/>
          <w:jc w:val="right"/>
        </w:trPr>
        <w:tc>
          <w:tcPr>
            <w:tcW w:w="959" w:type="dxa"/>
            <w:shd w:val="clear" w:color="auto" w:fill="auto"/>
            <w:noWrap/>
          </w:tcPr>
          <w:p w:rsidR="00F425CB" w:rsidRPr="001C5653" w:rsidRDefault="00F425CB" w:rsidP="00590B5D">
            <w:pPr>
              <w:pStyle w:val="TableText"/>
              <w:jc w:val="center"/>
              <w:rPr>
                <w:color w:val="000000"/>
                <w:szCs w:val="18"/>
                <w:lang w:eastAsia="en-NZ"/>
              </w:rPr>
            </w:pPr>
            <w:r w:rsidRPr="001C5653">
              <w:rPr>
                <w:color w:val="000000"/>
                <w:szCs w:val="18"/>
                <w:lang w:eastAsia="en-NZ"/>
              </w:rPr>
              <w:t>2022</w:t>
            </w:r>
          </w:p>
        </w:tc>
        <w:tc>
          <w:tcPr>
            <w:tcW w:w="1687" w:type="dxa"/>
            <w:shd w:val="clear" w:color="auto" w:fill="auto"/>
            <w:noWrap/>
          </w:tcPr>
          <w:p w:rsidR="00F425CB" w:rsidRPr="001C5653" w:rsidRDefault="00F425CB" w:rsidP="003F5EB0">
            <w:pPr>
              <w:pStyle w:val="TableText"/>
              <w:rPr>
                <w:lang w:eastAsia="en-NZ"/>
              </w:rPr>
            </w:pPr>
            <w:r w:rsidRPr="001C5653">
              <w:rPr>
                <w:lang w:eastAsia="en-NZ"/>
              </w:rPr>
              <w:t>Auckland</w:t>
            </w:r>
          </w:p>
        </w:tc>
      </w:tr>
    </w:tbl>
    <w:p w:rsidR="007E7990" w:rsidRPr="007E7990" w:rsidRDefault="00F425CB" w:rsidP="00590B5D">
      <w:r w:rsidRPr="007E7990">
        <w:t xml:space="preserve">The operational gains do not affect radiation oncologist requirements, but do have an effect on medical physicist and radiation therapist numbers, with </w:t>
      </w:r>
      <w:r w:rsidR="007E7990" w:rsidRPr="007E7990">
        <w:t>‘</w:t>
      </w:r>
      <w:r w:rsidRPr="007E7990">
        <w:t>savings</w:t>
      </w:r>
      <w:r w:rsidR="007E7990" w:rsidRPr="007E7990">
        <w:t>’</w:t>
      </w:r>
      <w:r w:rsidRPr="007E7990">
        <w:t xml:space="preserve"> of one to two medical physicists and four to five radiation therapists per year with each scenario.</w:t>
      </w:r>
      <w:r w:rsidR="007E7990" w:rsidRPr="007E7990">
        <w:t xml:space="preserve"> </w:t>
      </w:r>
      <w:r w:rsidRPr="007E7990">
        <w:t>For example, for the Growth scenario there is a suggested need for five additional medical physicists per year rather than six, and four radiation therapists per year rather than nine.</w:t>
      </w:r>
    </w:p>
    <w:p w:rsidR="00F425CB" w:rsidRPr="007E7990" w:rsidRDefault="00F425CB" w:rsidP="003F5EB0"/>
    <w:p w:rsidR="0021763B" w:rsidRDefault="00F425CB" w:rsidP="003F5EB0">
      <w:r w:rsidRPr="007E7990">
        <w:t>These potentially large impacts on capacity requirements mean that operational efficiency and the potential for tipping point actions will need careful consideration by the regional cancer networks and cancer centres.</w:t>
      </w:r>
    </w:p>
    <w:p w:rsidR="00F425CB" w:rsidRDefault="00F425CB" w:rsidP="003F5EB0">
      <w:pPr>
        <w:pStyle w:val="Heading1"/>
      </w:pPr>
      <w:r>
        <w:br w:type="page"/>
      </w:r>
      <w:bookmarkStart w:id="4" w:name="_Toc384202841"/>
      <w:r>
        <w:lastRenderedPageBreak/>
        <w:t>Recommendations</w:t>
      </w:r>
      <w:bookmarkEnd w:id="4"/>
    </w:p>
    <w:p w:rsidR="00F425CB" w:rsidRPr="007E7990" w:rsidRDefault="00F425CB" w:rsidP="003F5EB0">
      <w:pPr>
        <w:pStyle w:val="Heading3"/>
      </w:pPr>
      <w:r w:rsidRPr="007E7990">
        <w:t>Plan and Model development</w:t>
      </w:r>
    </w:p>
    <w:p w:rsidR="00F425CB" w:rsidRPr="007E7990" w:rsidRDefault="00D62047" w:rsidP="003F5EB0">
      <w:pPr>
        <w:pStyle w:val="Number"/>
      </w:pPr>
      <w:r>
        <w:t>The Ministry</w:t>
      </w:r>
      <w:r w:rsidR="00F425CB" w:rsidRPr="007E7990">
        <w:t xml:space="preserve"> should maintain the currency of the Plan and Model through regular review and updates.</w:t>
      </w:r>
    </w:p>
    <w:p w:rsidR="00F425CB" w:rsidRPr="007E7990" w:rsidRDefault="00F425CB" w:rsidP="003F5EB0">
      <w:pPr>
        <w:pStyle w:val="Number"/>
      </w:pPr>
      <w:r w:rsidRPr="007E7990">
        <w:t>The Ministry should ensure that future iterations of the Plan take a broader service perspective than the predominant capacity focus of this Plan.</w:t>
      </w:r>
      <w:r w:rsidR="007E7990" w:rsidRPr="007E7990">
        <w:t xml:space="preserve"> </w:t>
      </w:r>
      <w:r w:rsidRPr="007E7990">
        <w:t>The Ministry should also investigate how best to include consumer representation in the radiation oncology planning process</w:t>
      </w:r>
      <w:r w:rsidR="00D62047">
        <w:t>.</w:t>
      </w:r>
    </w:p>
    <w:p w:rsidR="00F425CB" w:rsidRPr="007E7990" w:rsidRDefault="00F425CB" w:rsidP="003F5EB0"/>
    <w:p w:rsidR="00F425CB" w:rsidRPr="007E7990" w:rsidRDefault="00F425CB" w:rsidP="003F5EB0">
      <w:pPr>
        <w:pStyle w:val="Heading3"/>
      </w:pPr>
      <w:r w:rsidRPr="007E7990">
        <w:t>Operating environment</w:t>
      </w:r>
    </w:p>
    <w:p w:rsidR="00F425CB" w:rsidRPr="007E7990" w:rsidRDefault="00F425CB" w:rsidP="003F5EB0">
      <w:pPr>
        <w:pStyle w:val="Number"/>
      </w:pPr>
      <w:r w:rsidRPr="007E7990">
        <w:t>The national radiation oncology service specification should be reviewed by the Ministry and DHBs to ensure it remains relevant.</w:t>
      </w:r>
    </w:p>
    <w:p w:rsidR="00F425CB" w:rsidRPr="007E7990" w:rsidRDefault="00F425CB" w:rsidP="003F5EB0"/>
    <w:p w:rsidR="00F425CB" w:rsidRPr="007E7990" w:rsidRDefault="00F425CB" w:rsidP="003F5EB0">
      <w:pPr>
        <w:pStyle w:val="Heading3"/>
      </w:pPr>
      <w:r w:rsidRPr="007E7990">
        <w:t>Access to radiation therapy</w:t>
      </w:r>
    </w:p>
    <w:p w:rsidR="00F425CB" w:rsidRPr="007E7990" w:rsidRDefault="00F425CB" w:rsidP="003F5EB0">
      <w:pPr>
        <w:pStyle w:val="Number"/>
      </w:pPr>
      <w:r w:rsidRPr="007E7990">
        <w:t>A national radiation therapy IR goal and individual DHB IR targets for accountability purposes should not be set at this time because of uncertainty as to the reasons for and impact of current variation. However, a national IR should be confirmed by the Ministry and DHBs for service and capacity planning purposes.</w:t>
      </w:r>
    </w:p>
    <w:p w:rsidR="007E7990" w:rsidRPr="007E7990" w:rsidRDefault="00F425CB" w:rsidP="003F5EB0">
      <w:pPr>
        <w:pStyle w:val="Number"/>
      </w:pPr>
      <w:r w:rsidRPr="007E7990">
        <w:t>The Growth scenario should be adopted by the Ministry and DHBs as the preferred scenario for planning purposes, meaning a national IR of 45% by 2022, and maintenance of current DHB retreatment volumes (national average 31% of treatments being retreatments).</w:t>
      </w:r>
    </w:p>
    <w:p w:rsidR="007E7990" w:rsidRPr="007E7990" w:rsidRDefault="00F425CB" w:rsidP="003F5EB0">
      <w:pPr>
        <w:pStyle w:val="Number"/>
      </w:pPr>
      <w:r w:rsidRPr="007E7990">
        <w:t>The Ministry</w:t>
      </w:r>
      <w:r w:rsidR="007E7990" w:rsidRPr="007E7990">
        <w:t>’</w:t>
      </w:r>
      <w:r w:rsidRPr="007E7990">
        <w:t>s Cancer Services Team should advise Health Workforce New Zealand of the Growth scenario</w:t>
      </w:r>
      <w:r w:rsidR="007E7990" w:rsidRPr="007E7990">
        <w:t>’</w:t>
      </w:r>
      <w:r w:rsidRPr="007E7990">
        <w:t>s implications for workforce capacity requirements, and in particular the need to improve retention rates and to urgently increase medical physicist training numbers and training places.</w:t>
      </w:r>
    </w:p>
    <w:p w:rsidR="00F425CB" w:rsidRPr="007E7990" w:rsidRDefault="00F425CB" w:rsidP="003F5EB0">
      <w:pPr>
        <w:pStyle w:val="Number"/>
      </w:pPr>
      <w:r w:rsidRPr="007E7990">
        <w:t>The Ministry</w:t>
      </w:r>
      <w:r w:rsidR="007E7990" w:rsidRPr="007E7990">
        <w:t>’</w:t>
      </w:r>
      <w:r w:rsidRPr="007E7990">
        <w:t>s Cancer Services Team should advise the Capital Investment Committee of the Growth scenario</w:t>
      </w:r>
      <w:r w:rsidR="007E7990" w:rsidRPr="007E7990">
        <w:t>’</w:t>
      </w:r>
      <w:r w:rsidRPr="007E7990">
        <w:t>s implications for capital expenditure – that is, an additional $64</w:t>
      </w:r>
      <w:r w:rsidR="00504426">
        <w:t xml:space="preserve"> </w:t>
      </w:r>
      <w:r w:rsidRPr="007E7990">
        <w:t>m</w:t>
      </w:r>
      <w:r w:rsidR="00D62047">
        <w:t>illion</w:t>
      </w:r>
      <w:r w:rsidRPr="007E7990">
        <w:t xml:space="preserve"> over and above the $152</w:t>
      </w:r>
      <w:r w:rsidR="00504426">
        <w:t xml:space="preserve"> </w:t>
      </w:r>
      <w:r w:rsidRPr="007E7990">
        <w:t>m</w:t>
      </w:r>
      <w:r w:rsidR="00D62047">
        <w:t>illion</w:t>
      </w:r>
      <w:r w:rsidRPr="007E7990">
        <w:t xml:space="preserve"> needed for existing equipment upgrades and replacement over the next 10 years.</w:t>
      </w:r>
    </w:p>
    <w:p w:rsidR="00F425CB" w:rsidRPr="007E7990" w:rsidRDefault="00F425CB" w:rsidP="003F5EB0">
      <w:pPr>
        <w:pStyle w:val="Number"/>
      </w:pPr>
      <w:r w:rsidRPr="007E7990">
        <w:t>DHB IRs and retreatment rates (RTRs) should be monitored nationally by the Radiation Oncology Work Group (ROWG), and by the regional cancer networks working with the DHBs and cancer centres. The regional</w:t>
      </w:r>
      <w:r w:rsidR="00D62047">
        <w:t xml:space="preserve"> cancer</w:t>
      </w:r>
      <w:r w:rsidRPr="007E7990">
        <w:t xml:space="preserve"> networks should be required to report to the Cancer Programme Steering Group on the acceptability of the regional or DHB variation in IR and RTR where this is more than 5 percentage points above or below the national average prevailing at the time of measurement, and the reasons for the variation.</w:t>
      </w:r>
    </w:p>
    <w:p w:rsidR="00F425CB" w:rsidRPr="007E7990" w:rsidRDefault="00F425CB" w:rsidP="003F5EB0"/>
    <w:p w:rsidR="00F425CB" w:rsidRPr="007E7990" w:rsidRDefault="00F425CB" w:rsidP="003F5EB0">
      <w:pPr>
        <w:pStyle w:val="Heading3"/>
      </w:pPr>
      <w:r w:rsidRPr="007E7990">
        <w:lastRenderedPageBreak/>
        <w:t>Use of robust information</w:t>
      </w:r>
    </w:p>
    <w:p w:rsidR="00F425CB" w:rsidRPr="007E7990" w:rsidRDefault="00F425CB" w:rsidP="003F5EB0">
      <w:pPr>
        <w:pStyle w:val="Number"/>
      </w:pPr>
      <w:r w:rsidRPr="007E7990">
        <w:t>An end-to-end review of the national radiation oncology KPIs should be undertaken by the Ministry, including:</w:t>
      </w:r>
    </w:p>
    <w:p w:rsidR="00F425CB" w:rsidRPr="007E7990" w:rsidRDefault="003F5EB0" w:rsidP="003F5EB0">
      <w:pPr>
        <w:pStyle w:val="Bullet"/>
        <w:tabs>
          <w:tab w:val="clear" w:pos="284"/>
          <w:tab w:val="num" w:pos="851"/>
        </w:tabs>
        <w:ind w:left="851"/>
      </w:pPr>
      <w:r>
        <w:t>p</w:t>
      </w:r>
      <w:r w:rsidR="00F425CB" w:rsidRPr="007E7990">
        <w:t>urpose of the collection</w:t>
      </w:r>
    </w:p>
    <w:p w:rsidR="007E7990" w:rsidRPr="007E7990" w:rsidRDefault="003F5EB0" w:rsidP="003F5EB0">
      <w:pPr>
        <w:pStyle w:val="Bullet"/>
        <w:ind w:left="851"/>
      </w:pPr>
      <w:r>
        <w:t>c</w:t>
      </w:r>
      <w:r w:rsidR="00F425CB" w:rsidRPr="007E7990">
        <w:t>onfirmation that the KPIs are fit-for-purpose</w:t>
      </w:r>
    </w:p>
    <w:p w:rsidR="00F425CB" w:rsidRPr="007E7990" w:rsidRDefault="003F5EB0" w:rsidP="003F5EB0">
      <w:pPr>
        <w:pStyle w:val="Bullet"/>
        <w:ind w:left="851"/>
      </w:pPr>
      <w:r>
        <w:t>b</w:t>
      </w:r>
      <w:r w:rsidR="00F425CB" w:rsidRPr="007E7990">
        <w:t>arriers to accurate reporting</w:t>
      </w:r>
    </w:p>
    <w:p w:rsidR="00F425CB" w:rsidRPr="007E7990" w:rsidRDefault="003F5EB0" w:rsidP="003F5EB0">
      <w:pPr>
        <w:pStyle w:val="Bullet"/>
        <w:ind w:left="851"/>
      </w:pPr>
      <w:proofErr w:type="gramStart"/>
      <w:r>
        <w:t>h</w:t>
      </w:r>
      <w:r w:rsidR="00F425CB" w:rsidRPr="007E7990">
        <w:t>ow</w:t>
      </w:r>
      <w:proofErr w:type="gramEnd"/>
      <w:r w:rsidR="00F425CB" w:rsidRPr="007E7990">
        <w:t xml:space="preserve"> use of the information for performance improvement and planning can be strengthened at local, regional and national levels.</w:t>
      </w:r>
    </w:p>
    <w:p w:rsidR="00F425CB" w:rsidRPr="007E7990" w:rsidRDefault="00F425CB" w:rsidP="003F5EB0"/>
    <w:p w:rsidR="00F425CB" w:rsidRPr="007E7990" w:rsidRDefault="00F425CB" w:rsidP="003F5EB0">
      <w:pPr>
        <w:pStyle w:val="Heading3"/>
      </w:pPr>
      <w:r w:rsidRPr="007E7990">
        <w:t>A high quality service</w:t>
      </w:r>
    </w:p>
    <w:p w:rsidR="00F425CB" w:rsidRPr="007E7990" w:rsidRDefault="00F425CB" w:rsidP="003F5EB0">
      <w:pPr>
        <w:pStyle w:val="Number"/>
      </w:pPr>
      <w:r w:rsidRPr="007E7990">
        <w:t>A set of radiation oncology service standards should be considered by the Ministry and DHBs for adoption in New Zealand, including identification of their cost implications related to promulgation, compliance and accreditation.</w:t>
      </w:r>
    </w:p>
    <w:p w:rsidR="00F425CB" w:rsidRPr="007E7990" w:rsidRDefault="00F425CB" w:rsidP="003F5EB0">
      <w:pPr>
        <w:pStyle w:val="Number"/>
      </w:pPr>
      <w:r w:rsidRPr="007E7990">
        <w:t>The Ministry and DHBs should encourage increased standardisation of clinical practice, with a focus on the treatment course for common tumour sites.</w:t>
      </w:r>
    </w:p>
    <w:p w:rsidR="00F425CB" w:rsidRPr="007E7990" w:rsidRDefault="00F425CB" w:rsidP="003F5EB0"/>
    <w:p w:rsidR="00F425CB" w:rsidRPr="007E7990" w:rsidRDefault="00F425CB" w:rsidP="003F5EB0">
      <w:pPr>
        <w:pStyle w:val="Heading3"/>
      </w:pPr>
      <w:r w:rsidRPr="007E7990">
        <w:t>Technology assessment</w:t>
      </w:r>
    </w:p>
    <w:p w:rsidR="007E7990" w:rsidRPr="007E7990" w:rsidRDefault="00F425CB" w:rsidP="003F5EB0">
      <w:pPr>
        <w:pStyle w:val="Number"/>
      </w:pPr>
      <w:r w:rsidRPr="007E7990">
        <w:t>The Ministry</w:t>
      </w:r>
      <w:r w:rsidR="007E7990" w:rsidRPr="007E7990">
        <w:t>’</w:t>
      </w:r>
      <w:r w:rsidRPr="007E7990">
        <w:t>s Cancer Services Team should discuss annually with the National Health Committee and National Health Board how a national approach to evaluation and implementation of new radiation therapy technologies and techniques could be maintained. The approach should be established for 2014/15.</w:t>
      </w:r>
    </w:p>
    <w:p w:rsidR="00F425CB" w:rsidRPr="007E7990" w:rsidRDefault="00F425CB" w:rsidP="003F5EB0"/>
    <w:p w:rsidR="00F425CB" w:rsidRPr="007E7990" w:rsidRDefault="00F425CB" w:rsidP="003F5EB0">
      <w:pPr>
        <w:pStyle w:val="Heading3"/>
      </w:pPr>
      <w:r w:rsidRPr="007E7990">
        <w:t>Securing investment</w:t>
      </w:r>
    </w:p>
    <w:p w:rsidR="00F425CB" w:rsidRPr="007E7990" w:rsidRDefault="00F425CB" w:rsidP="003F5EB0">
      <w:pPr>
        <w:pStyle w:val="Number"/>
      </w:pPr>
      <w:r w:rsidRPr="007E7990">
        <w:t>The Ministry and DHBs should use the Model to inform local, regional and national planning and business case development.</w:t>
      </w:r>
      <w:r w:rsidR="007E7990" w:rsidRPr="007E7990">
        <w:t xml:space="preserve"> </w:t>
      </w:r>
      <w:r w:rsidRPr="007E7990">
        <w:t>Consistent assumptions and metrics should be used in planning, based on the national KPI dataset and Model standardisation.</w:t>
      </w:r>
    </w:p>
    <w:p w:rsidR="00F425CB" w:rsidRPr="007E7990" w:rsidRDefault="00F425CB" w:rsidP="003F5EB0">
      <w:pPr>
        <w:pStyle w:val="Number"/>
      </w:pPr>
      <w:r w:rsidRPr="007E7990">
        <w:t>The Ministry and DHBs should place greater emphasis on benchmarking of radiation therapy services to inform identification at regional and national levels of opportunities for improved access and productivity.</w:t>
      </w:r>
    </w:p>
    <w:p w:rsidR="00F425CB" w:rsidRPr="007E7990" w:rsidRDefault="00F425CB" w:rsidP="003F5EB0"/>
    <w:p w:rsidR="00F425CB" w:rsidRPr="007E7990" w:rsidRDefault="00F425CB" w:rsidP="003F5EB0">
      <w:pPr>
        <w:pStyle w:val="Heading3"/>
      </w:pPr>
      <w:r w:rsidRPr="007E7990">
        <w:t>National planning and action</w:t>
      </w:r>
    </w:p>
    <w:p w:rsidR="00F425CB" w:rsidRPr="007E7990" w:rsidRDefault="00F425CB" w:rsidP="003F5EB0">
      <w:pPr>
        <w:pStyle w:val="Number"/>
      </w:pPr>
      <w:r w:rsidRPr="007E7990">
        <w:t>The Ministry should produce an annual national radiation oncology implementation plan, as part of the Cancer Programme.</w:t>
      </w:r>
    </w:p>
    <w:p w:rsidR="00F425CB" w:rsidRPr="0021763B" w:rsidRDefault="00F425CB" w:rsidP="003F5EB0"/>
    <w:p w:rsidR="00C86248" w:rsidRDefault="00C86248" w:rsidP="0086388B"/>
    <w:p w:rsidR="00C86248" w:rsidRDefault="00C86248">
      <w:pPr>
        <w:sectPr w:rsidR="00C86248" w:rsidSect="00D723CA">
          <w:headerReference w:type="even" r:id="rId17"/>
          <w:headerReference w:type="default" r:id="rId18"/>
          <w:footerReference w:type="even" r:id="rId19"/>
          <w:pgSz w:w="11907" w:h="16840" w:code="9"/>
          <w:pgMar w:top="1418" w:right="1134" w:bottom="1418" w:left="1134" w:header="425" w:footer="567" w:gutter="284"/>
          <w:pgNumType w:fmt="lowerRoman"/>
          <w:cols w:space="720"/>
        </w:sectPr>
      </w:pPr>
    </w:p>
    <w:p w:rsidR="0086388B" w:rsidRDefault="00F425CB" w:rsidP="00746944">
      <w:pPr>
        <w:pStyle w:val="Heading1"/>
      </w:pPr>
      <w:bookmarkStart w:id="5" w:name="_Toc384202842"/>
      <w:r>
        <w:lastRenderedPageBreak/>
        <w:t>1</w:t>
      </w:r>
      <w:r>
        <w:tab/>
        <w:t>Introduction</w:t>
      </w:r>
      <w:bookmarkEnd w:id="5"/>
    </w:p>
    <w:p w:rsidR="00746944" w:rsidRPr="0021236A" w:rsidRDefault="00746944" w:rsidP="00746944">
      <w:pPr>
        <w:pStyle w:val="Box"/>
      </w:pPr>
      <w:r w:rsidRPr="0021236A">
        <w:t>Section 1 of the Plan introduces its purpose, why radiation oncology is being planned nationally, the focus of the Plan, and how the Plan and associated Capacity Planning Model were developed.</w:t>
      </w:r>
    </w:p>
    <w:p w:rsidR="00F425CB" w:rsidRDefault="00F425CB" w:rsidP="00746944"/>
    <w:p w:rsidR="00F425CB" w:rsidRPr="007E7990" w:rsidRDefault="00F425CB" w:rsidP="00746944">
      <w:pPr>
        <w:pStyle w:val="Heading2"/>
      </w:pPr>
      <w:bookmarkStart w:id="6" w:name="_Toc376936335"/>
      <w:bookmarkStart w:id="7" w:name="_Toc384202843"/>
      <w:r w:rsidRPr="007E7990">
        <w:t>1.1</w:t>
      </w:r>
      <w:r w:rsidRPr="007E7990">
        <w:tab/>
        <w:t>Purpose of the Plan</w:t>
      </w:r>
      <w:bookmarkEnd w:id="6"/>
      <w:bookmarkEnd w:id="7"/>
    </w:p>
    <w:p w:rsidR="00F425CB" w:rsidRPr="007E7990" w:rsidRDefault="00F425CB" w:rsidP="00746944">
      <w:r w:rsidRPr="007E7990">
        <w:t>This</w:t>
      </w:r>
      <w:r w:rsidR="008C1D1C">
        <w:t xml:space="preserve"> Radiation Oncology</w:t>
      </w:r>
      <w:r w:rsidRPr="007E7990">
        <w:t xml:space="preserve"> National Linear Ac</w:t>
      </w:r>
      <w:r w:rsidR="0018347E">
        <w:t>celerator and Workforce</w:t>
      </w:r>
      <w:r w:rsidRPr="007E7990">
        <w:t xml:space="preserve"> Plan (</w:t>
      </w:r>
      <w:r w:rsidR="007E7990" w:rsidRPr="007E7990">
        <w:t>‘</w:t>
      </w:r>
      <w:r w:rsidRPr="007E7990">
        <w:t>the Plan</w:t>
      </w:r>
      <w:r w:rsidR="007E7990" w:rsidRPr="007E7990">
        <w:t>’</w:t>
      </w:r>
      <w:r w:rsidRPr="007E7990">
        <w:t>) is intended to inform a nationally coordinated approach to radiation oncology service and capacity development, within the context of the National Cancer Programme. The Plan builds on initial capacity planning of radiation therapy services published in 2012 by the regional cancer networks</w:t>
      </w:r>
      <w:r w:rsidR="00746944">
        <w:t>,</w:t>
      </w:r>
      <w:r w:rsidRPr="00746944">
        <w:rPr>
          <w:rStyle w:val="FootnoteReference"/>
        </w:rPr>
        <w:footnoteReference w:id="2"/>
      </w:r>
      <w:r w:rsidRPr="007E7990">
        <w:t xml:space="preserve"> and provides national guidance and a tool (the </w:t>
      </w:r>
      <w:r w:rsidR="007E7990" w:rsidRPr="007E7990">
        <w:t>‘</w:t>
      </w:r>
      <w:r w:rsidRPr="007E7990">
        <w:t>National Linear Accelerator and Workforce Capacity Model</w:t>
      </w:r>
      <w:r w:rsidR="007E7990" w:rsidRPr="007E7990">
        <w:t>’</w:t>
      </w:r>
      <w:r w:rsidRPr="007E7990">
        <w:t>) to support further development of local and regional service and capacity planning by DHBs.</w:t>
      </w:r>
      <w:r w:rsidR="007E7990" w:rsidRPr="007E7990">
        <w:t xml:space="preserve"> </w:t>
      </w:r>
      <w:r w:rsidRPr="007E7990">
        <w:t xml:space="preserve">In addition, the Plan will inform national decision-making by the Ministry </w:t>
      </w:r>
      <w:r w:rsidR="007173E0">
        <w:t xml:space="preserve">of Health (the Ministry) </w:t>
      </w:r>
      <w:r w:rsidRPr="007E7990">
        <w:t>and other central agencies on radiation oncology services over the next 5</w:t>
      </w:r>
      <w:r w:rsidR="00746944">
        <w:t>–</w:t>
      </w:r>
      <w:r w:rsidRPr="007E7990">
        <w:t>10 years.</w:t>
      </w:r>
    </w:p>
    <w:p w:rsidR="00F425CB" w:rsidRPr="007E7990" w:rsidRDefault="00F425CB" w:rsidP="00746944"/>
    <w:p w:rsidR="007E7990" w:rsidRPr="007E7990" w:rsidRDefault="00F425CB" w:rsidP="00746944">
      <w:r w:rsidRPr="007E7990">
        <w:t>This is New Zealand</w:t>
      </w:r>
      <w:r w:rsidR="007E7990" w:rsidRPr="007E7990">
        <w:t>’</w:t>
      </w:r>
      <w:r w:rsidRPr="007E7990">
        <w:t>s first dedicated national radiation oncology plan (although a Non-Surgical Cancer Plan developed in 2001</w:t>
      </w:r>
      <w:r w:rsidRPr="00746944">
        <w:rPr>
          <w:rStyle w:val="FootnoteReference"/>
        </w:rPr>
        <w:footnoteReference w:id="3"/>
      </w:r>
      <w:r w:rsidRPr="007E7990">
        <w:t xml:space="preserve"> did include coverage of radiation oncology).</w:t>
      </w:r>
      <w:r w:rsidR="007E7990" w:rsidRPr="007E7990">
        <w:t xml:space="preserve"> </w:t>
      </w:r>
      <w:r w:rsidRPr="007E7990">
        <w:t>The Plan focuses in particular on projected demand growth for radiation therapy, its implications for linear accelerator (</w:t>
      </w:r>
      <w:r w:rsidR="007E7990" w:rsidRPr="007E7990">
        <w:t>‘</w:t>
      </w:r>
      <w:r w:rsidRPr="007E7990">
        <w:t>linac</w:t>
      </w:r>
      <w:r w:rsidR="007E7990" w:rsidRPr="007E7990">
        <w:t>’</w:t>
      </w:r>
      <w:r w:rsidRPr="007E7990">
        <w:t>) and workforce capacity, and associated cost impacts.</w:t>
      </w:r>
      <w:r w:rsidR="007E7990" w:rsidRPr="007E7990">
        <w:t xml:space="preserve"> </w:t>
      </w:r>
      <w:r w:rsidRPr="007E7990">
        <w:t>It also considers issues arising from this capacity modelling, including:</w:t>
      </w:r>
    </w:p>
    <w:p w:rsidR="00F425CB" w:rsidRPr="007E7990" w:rsidRDefault="00746944" w:rsidP="00746944">
      <w:pPr>
        <w:pStyle w:val="Bullet"/>
      </w:pPr>
      <w:r>
        <w:t>v</w:t>
      </w:r>
      <w:r w:rsidR="00F425CB" w:rsidRPr="007E7990">
        <w:t>ariation in access to radiation therapy</w:t>
      </w:r>
    </w:p>
    <w:p w:rsidR="00F425CB" w:rsidRPr="007E7990" w:rsidRDefault="00746944" w:rsidP="00746944">
      <w:pPr>
        <w:pStyle w:val="Bullet"/>
      </w:pPr>
      <w:r>
        <w:t>r</w:t>
      </w:r>
      <w:r w:rsidR="00F425CB" w:rsidRPr="007E7990">
        <w:t>adiation therapy intervention rates</w:t>
      </w:r>
    </w:p>
    <w:p w:rsidR="00F425CB" w:rsidRPr="007E7990" w:rsidRDefault="00746944" w:rsidP="00746944">
      <w:pPr>
        <w:pStyle w:val="Bullet"/>
      </w:pPr>
      <w:r>
        <w:t>d</w:t>
      </w:r>
      <w:r w:rsidR="00F425CB" w:rsidRPr="007E7990">
        <w:t>evelopment of national benchmarking and standards to support performance and quality improvement</w:t>
      </w:r>
    </w:p>
    <w:p w:rsidR="00F425CB" w:rsidRPr="007E7990" w:rsidRDefault="00746944" w:rsidP="00746944">
      <w:pPr>
        <w:pStyle w:val="Bullet"/>
      </w:pPr>
      <w:r>
        <w:t>e</w:t>
      </w:r>
      <w:r w:rsidR="00F425CB" w:rsidRPr="007E7990">
        <w:t>valuation and uptake of new techniques and models of care</w:t>
      </w:r>
    </w:p>
    <w:p w:rsidR="00F425CB" w:rsidRPr="007E7990" w:rsidRDefault="00746944" w:rsidP="00746944">
      <w:pPr>
        <w:pStyle w:val="Bullet"/>
      </w:pPr>
      <w:proofErr w:type="gramStart"/>
      <w:r>
        <w:t>f</w:t>
      </w:r>
      <w:r w:rsidR="00F425CB" w:rsidRPr="007E7990">
        <w:t>ostering</w:t>
      </w:r>
      <w:proofErr w:type="gramEnd"/>
      <w:r w:rsidR="00F425CB" w:rsidRPr="007E7990">
        <w:t xml:space="preserve"> of national collaboration.</w:t>
      </w:r>
    </w:p>
    <w:p w:rsidR="007E7990" w:rsidRPr="007E7990" w:rsidRDefault="007E7990" w:rsidP="00746944"/>
    <w:p w:rsidR="007E7990" w:rsidRPr="007E7990" w:rsidRDefault="00F425CB" w:rsidP="00746944">
      <w:r w:rsidRPr="007E7990">
        <w:t>While the Plan focuses primarily on radiation therapy capacity, in practice radiation oncology is a complex multi-step process requiring a larger complement of equipment (including simulators and planning systems, and imaging) and alternate modalities (</w:t>
      </w:r>
      <w:proofErr w:type="spellStart"/>
      <w:r w:rsidRPr="007E7990">
        <w:t>eg</w:t>
      </w:r>
      <w:proofErr w:type="spellEnd"/>
      <w:r w:rsidRPr="007E7990">
        <w:t xml:space="preserve">, </w:t>
      </w:r>
      <w:proofErr w:type="spellStart"/>
      <w:r w:rsidRPr="007E7990">
        <w:t>kilovoltage</w:t>
      </w:r>
      <w:proofErr w:type="spellEnd"/>
      <w:r w:rsidRPr="007E7990">
        <w:t xml:space="preserve"> treatment, brachytherapy, stereotactic therapy), and close linkages with other cancer services and clinical support services.</w:t>
      </w:r>
    </w:p>
    <w:p w:rsidR="00F425CB" w:rsidRPr="007E7990" w:rsidRDefault="00F425CB" w:rsidP="00746944"/>
    <w:p w:rsidR="00F425CB" w:rsidRPr="007E7990" w:rsidRDefault="00F425CB" w:rsidP="00746944">
      <w:pPr>
        <w:pStyle w:val="Heading2"/>
      </w:pPr>
      <w:bookmarkStart w:id="8" w:name="_Toc376936336"/>
      <w:bookmarkStart w:id="9" w:name="_Toc384202844"/>
      <w:r w:rsidRPr="007E7990">
        <w:lastRenderedPageBreak/>
        <w:t>1.2</w:t>
      </w:r>
      <w:r w:rsidRPr="007E7990">
        <w:tab/>
        <w:t>Why national planning for radiation oncology?</w:t>
      </w:r>
      <w:bookmarkEnd w:id="8"/>
      <w:bookmarkEnd w:id="9"/>
    </w:p>
    <w:p w:rsidR="007E7990" w:rsidRPr="007E7990" w:rsidRDefault="00F425CB" w:rsidP="00746944">
      <w:r w:rsidRPr="007E7990">
        <w:t>To date planning for radiation oncology has been undertaken mostly at a local level by the cancer centres, and more recently at the regional level by the four cancer networks.</w:t>
      </w:r>
      <w:r w:rsidR="007E7990" w:rsidRPr="007E7990">
        <w:t xml:space="preserve"> </w:t>
      </w:r>
      <w:r w:rsidRPr="007E7990">
        <w:t>The decision to take a strategic national approach to planning of radiation oncology services has been made because:</w:t>
      </w:r>
    </w:p>
    <w:p w:rsidR="00F425CB" w:rsidRPr="007E7990" w:rsidRDefault="00746944" w:rsidP="00746944">
      <w:pPr>
        <w:pStyle w:val="Bullet"/>
      </w:pPr>
      <w:r>
        <w:t>r</w:t>
      </w:r>
      <w:r w:rsidR="00F425CB" w:rsidRPr="007E7990">
        <w:t>adiation oncology is highly capital intensive, in terms of the infrastructure costs in establishing and developing the specialist buildings, and the radiation therapy and imaging equipment</w:t>
      </w:r>
    </w:p>
    <w:p w:rsidR="00F425CB" w:rsidRPr="007E7990" w:rsidRDefault="00746944" w:rsidP="00746944">
      <w:pPr>
        <w:pStyle w:val="Bullet"/>
      </w:pPr>
      <w:r>
        <w:t>t</w:t>
      </w:r>
      <w:r w:rsidR="00F425CB" w:rsidRPr="007E7990">
        <w:t>he forecast significant growth in demand for radiation therapy will bring the need for an equivalent supply response, with investment required in increased workforce, linac and facility capacity – all of which have long lead times</w:t>
      </w:r>
    </w:p>
    <w:p w:rsidR="00F425CB" w:rsidRPr="007E7990" w:rsidRDefault="00746944" w:rsidP="00746944">
      <w:pPr>
        <w:pStyle w:val="Bullet"/>
      </w:pPr>
      <w:r>
        <w:t>t</w:t>
      </w:r>
      <w:r w:rsidR="00F425CB" w:rsidRPr="007E7990">
        <w:t>he catchment population required to support clinically and financially sustainable radiation oncology services and avoid duplication of high cost infrastructure means planning is best undertaken across DHBs and cancer centres</w:t>
      </w:r>
    </w:p>
    <w:p w:rsidR="00F425CB" w:rsidRPr="007E7990" w:rsidRDefault="00746944" w:rsidP="00746944">
      <w:pPr>
        <w:pStyle w:val="Bullet"/>
      </w:pPr>
      <w:r>
        <w:t>t</w:t>
      </w:r>
      <w:r w:rsidR="00F425CB" w:rsidRPr="007E7990">
        <w:t>he need to align the assumptions and methodologies used by DHBs in their radiation oncology service and capacity planning, and in particular to inform workforce planning which must occur at the national level</w:t>
      </w:r>
    </w:p>
    <w:p w:rsidR="00F425CB" w:rsidRPr="007E7990" w:rsidRDefault="00746944" w:rsidP="00746944">
      <w:pPr>
        <w:pStyle w:val="Bullet"/>
      </w:pPr>
      <w:r>
        <w:t>t</w:t>
      </w:r>
      <w:r w:rsidR="00F425CB" w:rsidRPr="007E7990">
        <w:t>he need to ensure access across DHBs and population groups for patients who would benefit from radiation therapy, and to minimise unwarranted access variation</w:t>
      </w:r>
    </w:p>
    <w:p w:rsidR="00F425CB" w:rsidRPr="007E7990" w:rsidRDefault="00746944" w:rsidP="00746944">
      <w:pPr>
        <w:pStyle w:val="Bullet"/>
      </w:pPr>
      <w:proofErr w:type="gramStart"/>
      <w:r>
        <w:t>t</w:t>
      </w:r>
      <w:r w:rsidR="00F425CB" w:rsidRPr="007E7990">
        <w:t>he</w:t>
      </w:r>
      <w:proofErr w:type="gramEnd"/>
      <w:r w:rsidR="00F425CB" w:rsidRPr="007E7990">
        <w:t xml:space="preserve"> opportunity to strengthen national collaboration between radiation oncology providers in their use of available capacity, sharing of knowledge and innovation for performance improvement, and planning across centres (for example, in the assessment and application of specialised technologies).</w:t>
      </w:r>
    </w:p>
    <w:p w:rsidR="00F425CB" w:rsidRPr="007E7990" w:rsidRDefault="00F425CB" w:rsidP="00746944">
      <w:pPr>
        <w:rPr>
          <w:highlight w:val="yellow"/>
        </w:rPr>
      </w:pPr>
    </w:p>
    <w:p w:rsidR="007E7990" w:rsidRPr="007E7990" w:rsidRDefault="00F425CB" w:rsidP="00746944">
      <w:r w:rsidRPr="007E7990">
        <w:t>The aims of national planning for radiation oncology services are to support:</w:t>
      </w:r>
    </w:p>
    <w:p w:rsidR="00F425CB" w:rsidRPr="007E7990" w:rsidRDefault="00746944" w:rsidP="00746944">
      <w:pPr>
        <w:pStyle w:val="Bullet"/>
      </w:pPr>
      <w:r>
        <w:t>p</w:t>
      </w:r>
      <w:r w:rsidR="00F425CB" w:rsidRPr="007E7990">
        <w:t>rovision of high quality services, including timely and equitable access to radiation therapy for all patients for whom it is clinically appropriate</w:t>
      </w:r>
    </w:p>
    <w:p w:rsidR="007E7990" w:rsidRPr="007E7990" w:rsidRDefault="00746944" w:rsidP="00746944">
      <w:pPr>
        <w:pStyle w:val="Bullet"/>
      </w:pPr>
      <w:r>
        <w:t>d</w:t>
      </w:r>
      <w:r w:rsidR="00F425CB" w:rsidRPr="007E7990">
        <w:t>evelopment of the linac and workforce capacity required to meet future cancer incidence and radiation therapy intervention rates, including effective linkage of local, regional and national planning and decision-making within the framework of the Cancer Control Programme</w:t>
      </w:r>
    </w:p>
    <w:p w:rsidR="00F425CB" w:rsidRPr="007E7990" w:rsidRDefault="00746944" w:rsidP="00746944">
      <w:pPr>
        <w:pStyle w:val="Bullet"/>
      </w:pPr>
      <w:r>
        <w:t>i</w:t>
      </w:r>
      <w:r w:rsidR="00F425CB" w:rsidRPr="007E7990">
        <w:t>mproved service performance through adoption of innovative approaches to patient care and resource use, and agreed quality standards</w:t>
      </w:r>
    </w:p>
    <w:p w:rsidR="00F425CB" w:rsidRPr="007E7990" w:rsidRDefault="00746944" w:rsidP="00746944">
      <w:pPr>
        <w:pStyle w:val="Bullet"/>
      </w:pPr>
      <w:proofErr w:type="gramStart"/>
      <w:r>
        <w:t>p</w:t>
      </w:r>
      <w:r w:rsidR="00F425CB" w:rsidRPr="007E7990">
        <w:t>lanned</w:t>
      </w:r>
      <w:proofErr w:type="gramEnd"/>
      <w:r w:rsidR="00F425CB" w:rsidRPr="007E7990">
        <w:t xml:space="preserve"> evaluation and uptake of effective new techniques and technologies, and development of sub-specialisation by cancer centres where appropriate.</w:t>
      </w:r>
    </w:p>
    <w:p w:rsidR="00F425CB" w:rsidRPr="007E7990" w:rsidRDefault="00F425CB" w:rsidP="00746944"/>
    <w:p w:rsidR="00F425CB" w:rsidRPr="007E7990" w:rsidRDefault="00F425CB" w:rsidP="00746944">
      <w:pPr>
        <w:pStyle w:val="Heading2"/>
      </w:pPr>
      <w:bookmarkStart w:id="10" w:name="_Toc376936337"/>
      <w:bookmarkStart w:id="11" w:name="_Toc384202845"/>
      <w:r w:rsidRPr="007E7990">
        <w:lastRenderedPageBreak/>
        <w:t>1.3</w:t>
      </w:r>
      <w:r w:rsidRPr="007E7990">
        <w:tab/>
        <w:t>Focus of this Plan</w:t>
      </w:r>
      <w:bookmarkEnd w:id="10"/>
      <w:bookmarkEnd w:id="11"/>
    </w:p>
    <w:p w:rsidR="00F425CB" w:rsidRPr="007E7990" w:rsidRDefault="007173E0" w:rsidP="00746944">
      <w:pPr>
        <w:keepLines/>
      </w:pPr>
      <w:r>
        <w:t>The focus of this first</w:t>
      </w:r>
      <w:r w:rsidR="00F425CB" w:rsidRPr="007E7990">
        <w:t xml:space="preserve"> Radiation Oncology </w:t>
      </w:r>
      <w:r>
        <w:t xml:space="preserve">National Linear Accelerator and Workforce </w:t>
      </w:r>
      <w:r w:rsidR="00F425CB" w:rsidRPr="007E7990">
        <w:t>Plan</w:t>
      </w:r>
      <w:r>
        <w:t xml:space="preserve"> (the Plan)</w:t>
      </w:r>
      <w:r w:rsidR="00F425CB" w:rsidRPr="007E7990">
        <w:t xml:space="preserve"> is linked strongly to the development and application of the accompanying National Linear Accelerator and Workforce Capacity Model (</w:t>
      </w:r>
      <w:r w:rsidR="007E7990" w:rsidRPr="007E7990">
        <w:t>‘</w:t>
      </w:r>
      <w:r w:rsidR="00F425CB" w:rsidRPr="007E7990">
        <w:t>the Model</w:t>
      </w:r>
      <w:r w:rsidR="007E7990" w:rsidRPr="007E7990">
        <w:t>’</w:t>
      </w:r>
      <w:r w:rsidR="00F425CB" w:rsidRPr="007E7990">
        <w:t>).</w:t>
      </w:r>
      <w:r w:rsidR="007E7990" w:rsidRPr="007E7990">
        <w:t xml:space="preserve"> </w:t>
      </w:r>
      <w:r w:rsidR="00F425CB" w:rsidRPr="007E7990">
        <w:t>The Plan describes key elements of the national operating environment for radiation oncology, and progress to date with local, regional and national planning and service delivery.</w:t>
      </w:r>
      <w:r w:rsidR="007E7990" w:rsidRPr="007E7990">
        <w:t xml:space="preserve"> </w:t>
      </w:r>
      <w:r w:rsidR="00F425CB" w:rsidRPr="007E7990">
        <w:t>It then considers the outputs of the Model in respect of future demand for radiation therapy, and the implications of this for linac and workforce capacity, and for service operational and capital costs.</w:t>
      </w:r>
    </w:p>
    <w:p w:rsidR="00F425CB" w:rsidRPr="00710629" w:rsidRDefault="00F425CB" w:rsidP="00746944"/>
    <w:p w:rsidR="00F425CB" w:rsidRPr="007E7990" w:rsidRDefault="00F425CB" w:rsidP="00746944">
      <w:r w:rsidRPr="007E7990">
        <w:t xml:space="preserve">The Plan provides a national view, and is intended </w:t>
      </w:r>
      <w:r w:rsidR="007173E0">
        <w:t xml:space="preserve">to be supportive of DHB-led </w:t>
      </w:r>
      <w:r w:rsidRPr="007E7990">
        <w:t>service and capital planning and decision-making at local and regional levels.</w:t>
      </w:r>
      <w:r w:rsidR="007E7990" w:rsidRPr="007E7990">
        <w:t xml:space="preserve"> </w:t>
      </w:r>
      <w:r w:rsidRPr="007E7990">
        <w:t>In presenting a scenario of future demand and supply at national and regional levels, the Plan is based on:</w:t>
      </w:r>
    </w:p>
    <w:p w:rsidR="00F425CB" w:rsidRPr="007E7990" w:rsidRDefault="00746944" w:rsidP="00746944">
      <w:pPr>
        <w:pStyle w:val="Bullet"/>
      </w:pPr>
      <w:r>
        <w:t>c</w:t>
      </w:r>
      <w:r w:rsidR="00F425CB" w:rsidRPr="007E7990">
        <w:t>urrent capacity</w:t>
      </w:r>
    </w:p>
    <w:p w:rsidR="00F425CB" w:rsidRPr="007E7990" w:rsidRDefault="00746944" w:rsidP="00746944">
      <w:pPr>
        <w:pStyle w:val="Bullet"/>
      </w:pPr>
      <w:r>
        <w:t>f</w:t>
      </w:r>
      <w:r w:rsidR="00F425CB" w:rsidRPr="007E7990">
        <w:t>orecast cancer incidence</w:t>
      </w:r>
    </w:p>
    <w:p w:rsidR="00F425CB" w:rsidRPr="007E7990" w:rsidRDefault="00746944" w:rsidP="00746944">
      <w:pPr>
        <w:pStyle w:val="Bullet"/>
      </w:pPr>
      <w:r>
        <w:t>d</w:t>
      </w:r>
      <w:r w:rsidR="00F425CB" w:rsidRPr="007E7990">
        <w:t>emographic projections</w:t>
      </w:r>
    </w:p>
    <w:p w:rsidR="00F425CB" w:rsidRPr="007E7990" w:rsidRDefault="00746944" w:rsidP="00746944">
      <w:pPr>
        <w:pStyle w:val="Bullet"/>
      </w:pPr>
      <w:r>
        <w:t>a</w:t>
      </w:r>
      <w:r w:rsidR="00F425CB" w:rsidRPr="007E7990">
        <w:t xml:space="preserve"> national intervention rate</w:t>
      </w:r>
    </w:p>
    <w:p w:rsidR="00F425CB" w:rsidRPr="007E7990" w:rsidRDefault="00746944" w:rsidP="00746944">
      <w:pPr>
        <w:pStyle w:val="Bullet"/>
      </w:pPr>
      <w:r>
        <w:t>c</w:t>
      </w:r>
      <w:r w:rsidR="00F425CB" w:rsidRPr="007E7990">
        <w:t xml:space="preserve">urrent referral patterns, modified to reflect the redirection of </w:t>
      </w:r>
      <w:proofErr w:type="spellStart"/>
      <w:r w:rsidR="00F425CB" w:rsidRPr="007E7990">
        <w:t>Tairawhiti</w:t>
      </w:r>
      <w:proofErr w:type="spellEnd"/>
      <w:r w:rsidR="00F425CB" w:rsidRPr="007E7990">
        <w:t xml:space="preserve"> patient demand to Waikato, and development of the Tauranga radiation therapy service</w:t>
      </w:r>
    </w:p>
    <w:p w:rsidR="00F425CB" w:rsidRPr="007E7990" w:rsidRDefault="00746944" w:rsidP="00746944">
      <w:pPr>
        <w:pStyle w:val="Bullet"/>
      </w:pPr>
      <w:proofErr w:type="gramStart"/>
      <w:r>
        <w:t>c</w:t>
      </w:r>
      <w:r w:rsidR="00F425CB" w:rsidRPr="007E7990">
        <w:t>onsideration</w:t>
      </w:r>
      <w:proofErr w:type="gramEnd"/>
      <w:r w:rsidR="00F425CB" w:rsidRPr="007E7990">
        <w:t xml:space="preserve"> of both public and private capacity.</w:t>
      </w:r>
    </w:p>
    <w:p w:rsidR="00F425CB" w:rsidRPr="007E7990" w:rsidRDefault="00F425CB" w:rsidP="00746944"/>
    <w:p w:rsidR="00F425CB" w:rsidRPr="007E7990" w:rsidRDefault="00F425CB" w:rsidP="00746944">
      <w:r w:rsidRPr="007E7990">
        <w:t>The Plan concentrates on the external beam radiation therapy dimension of the radiation oncology service – the linear accelerators and key staff groups.</w:t>
      </w:r>
      <w:r w:rsidR="007E7990" w:rsidRPr="007E7990">
        <w:t xml:space="preserve"> </w:t>
      </w:r>
      <w:r w:rsidRPr="007E7990">
        <w:t>Aspects that are not specifically covered include other staff groups such as radiation oncology nursing, and other service dimensions such as brachytherapy, superficial treatments, stereotactic services, and detail such as courses by major tumour types or specialties such as head and neck or child cancers (see also Section 2.5 below).</w:t>
      </w:r>
      <w:r w:rsidR="007E7990" w:rsidRPr="007E7990">
        <w:t xml:space="preserve"> </w:t>
      </w:r>
      <w:r w:rsidRPr="007E7990">
        <w:t>Overall workforce needs for each cancer centre remain the preserve of local and regional planning</w:t>
      </w:r>
      <w:r w:rsidR="007E7990" w:rsidRPr="007E7990">
        <w:t xml:space="preserve"> </w:t>
      </w:r>
      <w:r w:rsidRPr="007E7990">
        <w:t>an</w:t>
      </w:r>
      <w:r w:rsidR="007173E0">
        <w:t>d were outside the scope of the</w:t>
      </w:r>
      <w:r w:rsidRPr="007E7990">
        <w:t xml:space="preserve"> Plan.</w:t>
      </w:r>
    </w:p>
    <w:p w:rsidR="00F425CB" w:rsidRPr="007E7990" w:rsidRDefault="00F425CB" w:rsidP="00746944"/>
    <w:p w:rsidR="00F425CB" w:rsidRPr="007E7990" w:rsidRDefault="00F425CB" w:rsidP="00746944">
      <w:pPr>
        <w:pStyle w:val="Heading2"/>
      </w:pPr>
      <w:bookmarkStart w:id="12" w:name="_Toc376936338"/>
      <w:bookmarkStart w:id="13" w:name="_Toc384202846"/>
      <w:r w:rsidRPr="007E7990">
        <w:t>1.4</w:t>
      </w:r>
      <w:r w:rsidRPr="007E7990">
        <w:tab/>
        <w:t>Planning process</w:t>
      </w:r>
      <w:bookmarkEnd w:id="12"/>
      <w:bookmarkEnd w:id="13"/>
    </w:p>
    <w:p w:rsidR="007E7990" w:rsidRPr="007E7990" w:rsidRDefault="007173E0" w:rsidP="00746944">
      <w:r>
        <w:t>The</w:t>
      </w:r>
      <w:r w:rsidR="00F425CB" w:rsidRPr="007E7990">
        <w:t xml:space="preserve"> Plan was developed under the aegis of the National Cancer Programme, and overseen by a Project Steering Group chaired by </w:t>
      </w:r>
      <w:r w:rsidR="00F425CB" w:rsidRPr="007E7990">
        <w:rPr>
          <w:color w:val="19242C"/>
        </w:rPr>
        <w:t>Dr Andrew Simpson,</w:t>
      </w:r>
      <w:r w:rsidR="00F425CB" w:rsidRPr="007E7990">
        <w:rPr>
          <w:rFonts w:ascii="MS Gothic" w:eastAsia="MS Gothic" w:hAnsi="MS Gothic" w:cs="MS Gothic"/>
          <w:color w:val="19242C"/>
        </w:rPr>
        <w:t xml:space="preserve"> </w:t>
      </w:r>
      <w:r w:rsidR="00F425CB" w:rsidRPr="007E7990">
        <w:rPr>
          <w:color w:val="19242C"/>
        </w:rPr>
        <w:t>National Clinical Director of the Cancer Programme, and</w:t>
      </w:r>
      <w:r w:rsidR="00F425CB" w:rsidRPr="007E7990">
        <w:t xml:space="preserve"> with membership from the Ministry of Health, DHBs and the private radiation therapy sector (</w:t>
      </w:r>
      <w:proofErr w:type="gramStart"/>
      <w:r w:rsidR="00F425CB" w:rsidRPr="007E7990">
        <w:t>see</w:t>
      </w:r>
      <w:proofErr w:type="gramEnd"/>
      <w:r w:rsidR="00F425CB" w:rsidRPr="007E7990">
        <w:t xml:space="preserve"> Appendix 1).</w:t>
      </w:r>
    </w:p>
    <w:p w:rsidR="00F425CB" w:rsidRPr="007E7990" w:rsidRDefault="00F425CB" w:rsidP="00746944"/>
    <w:p w:rsidR="00F425CB" w:rsidRPr="007E7990" w:rsidRDefault="00F425CB" w:rsidP="00746944">
      <w:r w:rsidRPr="007E7990">
        <w:t>Development of the Model was guided by an Expert Advisory Group (see Appendix 1) comprising members of the Radiation Oncology Working Group (ROWG) from both public and private radiation therapy sectors.</w:t>
      </w:r>
      <w:r w:rsidR="007E7990" w:rsidRPr="007E7990">
        <w:t xml:space="preserve"> </w:t>
      </w:r>
      <w:r w:rsidRPr="007E7990">
        <w:t>The Model was informed by the four regional radiation oncology capacity plans.</w:t>
      </w:r>
    </w:p>
    <w:p w:rsidR="00F425CB" w:rsidRPr="007E7990" w:rsidRDefault="00F425CB" w:rsidP="00F425CB"/>
    <w:p w:rsidR="00F425CB" w:rsidRPr="007E7990" w:rsidRDefault="00F425CB" w:rsidP="00746944">
      <w:r w:rsidRPr="007E7990">
        <w:t>Finalisation of the Plan followed consultation with the sector on a draft, including engagement with the groups noted in Appendix 2.</w:t>
      </w:r>
    </w:p>
    <w:p w:rsidR="00F425CB" w:rsidRPr="007E7990" w:rsidRDefault="00F425CB" w:rsidP="00746944"/>
    <w:p w:rsidR="007E7990" w:rsidRPr="007E7990" w:rsidRDefault="00F425CB" w:rsidP="00746944">
      <w:r w:rsidRPr="007E7990">
        <w:lastRenderedPageBreak/>
        <w:t>The Model and Plan were authored by Health Partners Consulting Group for the Ministry of Health.</w:t>
      </w:r>
    </w:p>
    <w:p w:rsidR="00F425CB" w:rsidRPr="007E7990" w:rsidRDefault="00F425CB" w:rsidP="00746944"/>
    <w:p w:rsidR="00746944" w:rsidRPr="007E7990" w:rsidRDefault="00746944" w:rsidP="00746944">
      <w:pPr>
        <w:pStyle w:val="BoxHeading"/>
      </w:pPr>
      <w:r w:rsidRPr="007E7990">
        <w:t>Recommendations: Plan and Model development</w:t>
      </w:r>
    </w:p>
    <w:p w:rsidR="00746944" w:rsidRPr="007E7990" w:rsidDel="00BD4668" w:rsidRDefault="007173E0" w:rsidP="00746944">
      <w:pPr>
        <w:pStyle w:val="Boxnumber"/>
      </w:pPr>
      <w:r>
        <w:t xml:space="preserve">The </w:t>
      </w:r>
      <w:r w:rsidR="00746944" w:rsidRPr="007E7990">
        <w:t>Health should maintain the currency of the Plan and Model through regular review and updates.</w:t>
      </w:r>
    </w:p>
    <w:p w:rsidR="00746944" w:rsidRPr="00862AEF" w:rsidRDefault="00746944" w:rsidP="00746944">
      <w:pPr>
        <w:pStyle w:val="Boxnumber"/>
      </w:pPr>
      <w:r w:rsidRPr="007E7990">
        <w:t>The Ministry should ensure that future iterations of the Plan take a broader service perspective than the predominant capacity focus of this Plan. The Ministry should investigate how best to include consumer representation in the radiation oncology planning process.</w:t>
      </w:r>
    </w:p>
    <w:p w:rsidR="00F425CB" w:rsidRPr="007E7990" w:rsidRDefault="00F425CB" w:rsidP="00862AEF"/>
    <w:p w:rsidR="00F425CB" w:rsidRPr="007E7990" w:rsidRDefault="00BE23DD" w:rsidP="00862AEF">
      <w:pPr>
        <w:pStyle w:val="Heading3"/>
      </w:pPr>
      <w:r>
        <w:br w:type="page"/>
      </w:r>
      <w:r w:rsidR="00F425CB" w:rsidRPr="007E7990">
        <w:lastRenderedPageBreak/>
        <w:t>A brief description of radiation therapy</w:t>
      </w:r>
    </w:p>
    <w:p w:rsidR="00862AEF" w:rsidRPr="007E7990" w:rsidRDefault="00862AEF" w:rsidP="00862AEF">
      <w:pPr>
        <w:pStyle w:val="Box"/>
      </w:pPr>
      <w:r w:rsidRPr="007E7990">
        <w:t>Radiation therapy is one of the main treatments for cancer, and is both clinically and technically complex. It is used as part of an overall treatment plan, generally in conjunction with surgery and chemotherapy. The treatment regimen selected for a patient with cancer depends on a number of factors including the type of cancer; location and grade of the tumour, and spread of the cancer; patient health and age; availability of accommodation and transport, and of a carer or support network to assist the patient; and patient choice. International expert opinion suggests that 45</w:t>
      </w:r>
      <w:r>
        <w:t>–</w:t>
      </w:r>
      <w:r w:rsidRPr="007E7990">
        <w:t>52% of people with cancer would benefit from radiation therapy.</w:t>
      </w:r>
    </w:p>
    <w:p w:rsidR="00862AEF" w:rsidRPr="007E7990" w:rsidRDefault="00862AEF" w:rsidP="00862AEF">
      <w:pPr>
        <w:pStyle w:val="Box"/>
      </w:pPr>
      <w:r w:rsidRPr="007E7990">
        <w:t>Radiation therapy uses ionising radiation to destroy or damage cancer cells so they cannot multiply. Radical radiation therapy is given to try to cure a cancer, as a stand-alone treatment; to shrink a cancer before surgery; to reduce the risk of a cancer coming back after surgery; and/or to complement or enhance the effects of chemotherapy. Palliative radiation therapy is used to control symptoms and improve quality of life if a cancer is too advanced to cure.</w:t>
      </w:r>
    </w:p>
    <w:p w:rsidR="00862AEF" w:rsidRPr="007E7990" w:rsidRDefault="00862AEF" w:rsidP="00862AEF">
      <w:pPr>
        <w:pStyle w:val="Box"/>
      </w:pPr>
      <w:r w:rsidRPr="007E7990">
        <w:t>Radiation therapy may be delivered externally using a linac, or internally as brachytherapy (which involves the placement of implanted radioactive materials inside the body, in, or near, the cancer). The delivery of radiation therapy is very precise in order to limit harm to surrounding healthy tissues. For this reason, treatment for individual patients is carefully planned using imaging systems such as computed tomography (CT), magnetic resonance imaging (MRI) and positron emission tomography (PET), and is given in many fractions over a course, allowing healthy tissue to recover between treatments. The course may last for up to 5</w:t>
      </w:r>
      <w:r>
        <w:t>–</w:t>
      </w:r>
      <w:r w:rsidRPr="007E7990">
        <w:t>8 weeks, and treatments given up to 5 days each week over that period.</w:t>
      </w:r>
    </w:p>
    <w:p w:rsidR="00862AEF" w:rsidRPr="007E7990" w:rsidRDefault="00862AEF" w:rsidP="00862AEF">
      <w:pPr>
        <w:pStyle w:val="Box"/>
      </w:pPr>
      <w:r w:rsidRPr="007E7990">
        <w:t>Linacs have a high capital cost, must be replaced at regular intervals (approximately every 10</w:t>
      </w:r>
      <w:r>
        <w:t> </w:t>
      </w:r>
      <w:r w:rsidRPr="007E7990">
        <w:t>years), and require custom-built facilities (‘bunkers’) that ensure staff are protected from radiation. The linac is a mature technology, although developments in medical imaging have produced a range of new linac techniques to deliver more precise dose delivery for radical treatments, and fractionation has become more sophisticated. (These new techniques are discussed further in Section 5.3.)</w:t>
      </w:r>
    </w:p>
    <w:p w:rsidR="00862AEF" w:rsidRPr="007E7990" w:rsidRDefault="00862AEF" w:rsidP="00862AEF">
      <w:pPr>
        <w:pStyle w:val="Box"/>
      </w:pPr>
      <w:r w:rsidRPr="007E7990">
        <w:t>Radiation oncology requires a highly specialised workforce working in a multi-disciplinary team, with core team members being the radiation oncologist, radiation therapist, and medical physicist (see Section 3.3).</w:t>
      </w:r>
    </w:p>
    <w:p w:rsidR="00862AEF" w:rsidRPr="007E7990" w:rsidRDefault="00862AEF" w:rsidP="00862AEF">
      <w:pPr>
        <w:pStyle w:val="Box"/>
      </w:pPr>
      <w:r w:rsidRPr="007E7990">
        <w:t>Given the common use of radiation therapy as part of a combination treatment, radiation oncology exists within a wider cancer service that make</w:t>
      </w:r>
      <w:r w:rsidR="00F37BF9">
        <w:t>s use of multi</w:t>
      </w:r>
      <w:r w:rsidRPr="007E7990">
        <w:t>disciplinary meetings (MDMs) to plan and monitor patient treatment. Disciplines within a comprehensive cancer service can include medical oncology, paediatric oncology, surgical oncology, clinical haematology, and palliative care.</w:t>
      </w:r>
    </w:p>
    <w:p w:rsidR="00862AEF" w:rsidRDefault="00862AEF" w:rsidP="00BE23DD">
      <w:pPr>
        <w:pStyle w:val="Box"/>
      </w:pPr>
      <w:r w:rsidRPr="007E7990">
        <w:t>Radiation therapy is usually an outpatient treatment, but is centralised because of the technology required. Patients have multiple doses or fractions of treatment over an extended period. Together these two factors require radiation oncology services to have a large population catchment and wide referral network, and to provide support for travel and accommodation of</w:t>
      </w:r>
      <w:r w:rsidR="00F37BF9">
        <w:t xml:space="preserve"> patients and their families/</w:t>
      </w:r>
      <w:proofErr w:type="spellStart"/>
      <w:r w:rsidR="00F37BF9">
        <w:t>wh</w:t>
      </w:r>
      <w:r w:rsidR="00F37BF9">
        <w:rPr>
          <w:rFonts w:cs="Arial"/>
        </w:rPr>
        <w:t>ā</w:t>
      </w:r>
      <w:r w:rsidRPr="007E7990">
        <w:t>nau</w:t>
      </w:r>
      <w:proofErr w:type="spellEnd"/>
      <w:r w:rsidRPr="007E7990">
        <w:t>. Because of the large catchment area, the radiation oncology service will usually provide outreach clinics to improve access for patients living in rural and smaller urban areas, and link strongly with local specialist and primary health care services.</w:t>
      </w:r>
    </w:p>
    <w:p w:rsidR="00F425CB" w:rsidRPr="007E7990" w:rsidRDefault="00862AEF" w:rsidP="00862AEF">
      <w:pPr>
        <w:pStyle w:val="Heading1"/>
      </w:pPr>
      <w:bookmarkStart w:id="14" w:name="_Toc376936339"/>
      <w:r>
        <w:br w:type="page"/>
      </w:r>
      <w:bookmarkStart w:id="15" w:name="_Toc384202847"/>
      <w:r w:rsidR="00F425CB" w:rsidRPr="007E7990">
        <w:lastRenderedPageBreak/>
        <w:t>2</w:t>
      </w:r>
      <w:r w:rsidR="00F425CB" w:rsidRPr="007E7990">
        <w:tab/>
        <w:t>Operating environment</w:t>
      </w:r>
      <w:bookmarkEnd w:id="14"/>
      <w:bookmarkEnd w:id="15"/>
    </w:p>
    <w:p w:rsidR="005133E9" w:rsidRPr="007E7990" w:rsidRDefault="005133E9" w:rsidP="005133E9">
      <w:pPr>
        <w:pStyle w:val="Box"/>
      </w:pPr>
      <w:r w:rsidRPr="007E7990">
        <w:t>Section 2 describes the context within which radiation oncology services operate in New</w:t>
      </w:r>
      <w:r>
        <w:t> </w:t>
      </w:r>
      <w:r w:rsidRPr="007E7990">
        <w:t>Zealand, including cancer incidence and impact; the Cancer Control Strategy and Cancer Programme; national health sector agencies with an interest in radiation oncology; national service development initiatives; the regional cancer networks; and radiation therapy service configuration.</w:t>
      </w:r>
    </w:p>
    <w:p w:rsidR="00F425CB" w:rsidRPr="007E7990" w:rsidRDefault="00F425CB" w:rsidP="005133E9"/>
    <w:p w:rsidR="00F425CB" w:rsidRPr="007E7990" w:rsidRDefault="00F425CB" w:rsidP="005133E9">
      <w:pPr>
        <w:pStyle w:val="Heading2"/>
      </w:pPr>
      <w:bookmarkStart w:id="16" w:name="_Toc376936340"/>
      <w:bookmarkStart w:id="17" w:name="_Toc384202848"/>
      <w:r w:rsidRPr="007E7990">
        <w:t>2.1</w:t>
      </w:r>
      <w:r w:rsidRPr="007E7990">
        <w:tab/>
        <w:t>Cancer in New Zealand</w:t>
      </w:r>
      <w:bookmarkEnd w:id="16"/>
      <w:bookmarkEnd w:id="17"/>
    </w:p>
    <w:p w:rsidR="00F425CB" w:rsidRPr="007E7990" w:rsidRDefault="00F425CB" w:rsidP="005133E9">
      <w:r w:rsidRPr="007E7990">
        <w:t>Cancer is the leading cause of death in New Zealand (30%)</w:t>
      </w:r>
      <w:r w:rsidR="005133E9">
        <w:t>,</w:t>
      </w:r>
      <w:r w:rsidRPr="005133E9">
        <w:rPr>
          <w:rStyle w:val="FootnoteReference"/>
        </w:rPr>
        <w:footnoteReference w:id="4"/>
      </w:r>
      <w:r w:rsidRPr="007E7990">
        <w:t xml:space="preserve"> and a major cause of hospitalisation.</w:t>
      </w:r>
      <w:r w:rsidR="007E7990" w:rsidRPr="007E7990">
        <w:t xml:space="preserve"> </w:t>
      </w:r>
      <w:r w:rsidRPr="007E7990">
        <w:t>Cancer incidence and mortality rates are higher for Māori</w:t>
      </w:r>
      <w:r w:rsidRPr="007E7990" w:rsidDel="008E122A">
        <w:t xml:space="preserve"> </w:t>
      </w:r>
      <w:r w:rsidRPr="007E7990">
        <w:t>than non-Māori.</w:t>
      </w:r>
      <w:r w:rsidR="007E7990" w:rsidRPr="007E7990">
        <w:t xml:space="preserve"> </w:t>
      </w:r>
      <w:r w:rsidRPr="007E7990">
        <w:t>Māori are also more likely to have their cancer detected at a later stage of disease progression.</w:t>
      </w:r>
      <w:r w:rsidR="007E7990" w:rsidRPr="007E7990">
        <w:t xml:space="preserve"> </w:t>
      </w:r>
      <w:r w:rsidRPr="007E7990">
        <w:t>Residents of more socioeconomically deprived areas are more likely to develop cancer, are less likely to have their cancer detected early, and have poorer survival than residents of less deprived areas.</w:t>
      </w:r>
    </w:p>
    <w:p w:rsidR="007F4C55" w:rsidRDefault="007F4C55" w:rsidP="005133E9"/>
    <w:p w:rsidR="00F425CB" w:rsidRPr="007E7990" w:rsidRDefault="007F4C55" w:rsidP="005133E9">
      <w:r w:rsidRPr="007F4C55">
        <w:t xml:space="preserve">While the overall cancer registration </w:t>
      </w:r>
      <w:r w:rsidRPr="007F4C55">
        <w:rPr>
          <w:i/>
        </w:rPr>
        <w:t>rate</w:t>
      </w:r>
      <w:r w:rsidRPr="007F4C55">
        <w:t xml:space="preserve"> in New Zealand is generally </w:t>
      </w:r>
      <w:r>
        <w:t>decreasing</w:t>
      </w:r>
      <w:r w:rsidR="00F425CB" w:rsidRPr="007E7990">
        <w:t xml:space="preserve">, New Zealand has an increasing </w:t>
      </w:r>
      <w:r w:rsidR="00F425CB" w:rsidRPr="007E7990">
        <w:rPr>
          <w:i/>
          <w:iCs/>
        </w:rPr>
        <w:t xml:space="preserve">number </w:t>
      </w:r>
      <w:r w:rsidR="00F425CB" w:rsidRPr="007E7990">
        <w:t>of people who are developing cancer, mainly because of population growth and ageing.</w:t>
      </w:r>
      <w:r w:rsidR="007E7990" w:rsidRPr="007E7990">
        <w:t xml:space="preserve"> </w:t>
      </w:r>
      <w:r w:rsidR="00F425CB" w:rsidRPr="007E7990">
        <w:t>The total number of cancer registrations is projected to increase by approximately 30% between 2012 and 2022.</w:t>
      </w:r>
    </w:p>
    <w:p w:rsidR="00F425CB" w:rsidRPr="007E7990" w:rsidRDefault="00F425CB" w:rsidP="005133E9"/>
    <w:p w:rsidR="007E7990" w:rsidRPr="007E7990" w:rsidRDefault="00F425CB" w:rsidP="005133E9">
      <w:r w:rsidRPr="007E7990">
        <w:t>People with cancer are surviving longer, and being treated for longer.</w:t>
      </w:r>
      <w:r w:rsidR="007E7990" w:rsidRPr="007E7990">
        <w:t xml:space="preserve"> </w:t>
      </w:r>
      <w:r w:rsidR="00F37BF9">
        <w:t>However, M</w:t>
      </w:r>
      <w:r w:rsidR="00F37BF9">
        <w:rPr>
          <w:rFonts w:cs="Arial"/>
        </w:rPr>
        <w:t>ā</w:t>
      </w:r>
      <w:r w:rsidRPr="007E7990">
        <w:t xml:space="preserve">ori </w:t>
      </w:r>
      <w:r w:rsidR="00F37BF9">
        <w:t>are benefitting less than non-M</w:t>
      </w:r>
      <w:r w:rsidR="00F37BF9">
        <w:rPr>
          <w:rFonts w:cs="Arial"/>
        </w:rPr>
        <w:t>ā</w:t>
      </w:r>
      <w:r w:rsidRPr="007E7990">
        <w:t>ori from this gain.</w:t>
      </w:r>
    </w:p>
    <w:p w:rsidR="00F425CB" w:rsidRPr="007E7990" w:rsidRDefault="00F425CB" w:rsidP="005133E9"/>
    <w:p w:rsidR="00F425CB" w:rsidRPr="007E7990" w:rsidRDefault="00F425CB" w:rsidP="005133E9">
      <w:r w:rsidRPr="007E7990">
        <w:t>The Organisation for Economic Cooperation and Development (OECD) Health Care Quality Indicators Data 2009 used three cancers as indicators of how well countries were delivering cancer care (breast, cervical and colorectal cancer).</w:t>
      </w:r>
      <w:r w:rsidR="007E7990" w:rsidRPr="007E7990">
        <w:t xml:space="preserve"> </w:t>
      </w:r>
      <w:r w:rsidRPr="007E7990">
        <w:t>The indicators showed New Zealand</w:t>
      </w:r>
      <w:r w:rsidR="007E7990" w:rsidRPr="007E7990">
        <w:t>’</w:t>
      </w:r>
      <w:r w:rsidRPr="007E7990">
        <w:t>s relative survival ratios for all three cancers were above the OECD average.</w:t>
      </w:r>
      <w:r w:rsidR="007E7990" w:rsidRPr="007E7990">
        <w:t xml:space="preserve"> </w:t>
      </w:r>
      <w:r w:rsidRPr="007E7990">
        <w:t>The OECD data also showed improved survival rates for patients with breast and cervical cancer from 2002 to 2007 compared to 1997 to 2002 (the data was unavailable for colorectal cancer).</w:t>
      </w:r>
    </w:p>
    <w:p w:rsidR="00F425CB" w:rsidRPr="007E7990" w:rsidRDefault="00F425CB" w:rsidP="005133E9"/>
    <w:p w:rsidR="007E7990" w:rsidRPr="007E7990" w:rsidRDefault="00F425CB" w:rsidP="005133E9">
      <w:r w:rsidRPr="007E7990">
        <w:t>International studies suggest that the costs of treating cancer in New Zealand are increasing at a faster rate than overall health spending, due mainly to the effect of population ageing, plus adoption of new treatment technologies.</w:t>
      </w:r>
      <w:r w:rsidR="007E7990" w:rsidRPr="007E7990">
        <w:t xml:space="preserve"> </w:t>
      </w:r>
      <w:r w:rsidRPr="007E7990">
        <w:t>The Ministry estimates public expenditure on cancer treatment services will increase by 23% between 2008 and 2021, based on current models of care and cancer incidence</w:t>
      </w:r>
      <w:r w:rsidR="005133E9">
        <w:t>.</w:t>
      </w:r>
      <w:r w:rsidRPr="005133E9">
        <w:rPr>
          <w:rStyle w:val="FootnoteReference"/>
        </w:rPr>
        <w:footnoteReference w:id="5"/>
      </w:r>
    </w:p>
    <w:p w:rsidR="00F425CB" w:rsidRPr="007E7990" w:rsidRDefault="00F425CB" w:rsidP="005133E9"/>
    <w:p w:rsidR="00F425CB" w:rsidRPr="007E7990" w:rsidRDefault="00F425CB" w:rsidP="005133E9">
      <w:pPr>
        <w:pStyle w:val="Heading2"/>
      </w:pPr>
      <w:bookmarkStart w:id="18" w:name="_Toc376936341"/>
      <w:bookmarkStart w:id="19" w:name="_Toc384202849"/>
      <w:r w:rsidRPr="007E7990">
        <w:lastRenderedPageBreak/>
        <w:t>2.2</w:t>
      </w:r>
      <w:r w:rsidRPr="007E7990">
        <w:tab/>
        <w:t>Cancer Control Strategy</w:t>
      </w:r>
      <w:bookmarkEnd w:id="18"/>
      <w:bookmarkEnd w:id="19"/>
    </w:p>
    <w:p w:rsidR="007E7990" w:rsidRPr="007E7990" w:rsidRDefault="00F425CB" w:rsidP="005133E9">
      <w:r w:rsidRPr="007E7990">
        <w:t>The New Zealand</w:t>
      </w:r>
      <w:r w:rsidR="007E7990" w:rsidRPr="007E7990">
        <w:t>’</w:t>
      </w:r>
      <w:r w:rsidRPr="007E7990">
        <w:t>s Cancer Control Strategy was developed in 2003 with the purpose of reducing the incidence and impact of cancer, and inequalities associated with cancer.</w:t>
      </w:r>
    </w:p>
    <w:p w:rsidR="00F425CB" w:rsidRPr="007E7990" w:rsidRDefault="00F425CB" w:rsidP="005133E9"/>
    <w:p w:rsidR="00F425CB" w:rsidRPr="007E7990" w:rsidRDefault="00F425CB" w:rsidP="005133E9">
      <w:pPr>
        <w:rPr>
          <w:color w:val="000000"/>
        </w:rPr>
      </w:pPr>
      <w:r w:rsidRPr="007E7990">
        <w:t>The Ministry, DHBs, regional cancer networks, primary health organisations (PHOs), non</w:t>
      </w:r>
      <w:r w:rsidR="005133E9">
        <w:noBreakHyphen/>
      </w:r>
      <w:r w:rsidRPr="007E7990">
        <w:t>governmental organisations (NGOs) and consumer groups all have a role in implementing government priorities wi</w:t>
      </w:r>
      <w:r w:rsidR="00F37BF9">
        <w:t xml:space="preserve">thin the </w:t>
      </w:r>
      <w:r w:rsidRPr="007E7990">
        <w:t xml:space="preserve">Cancer Programme. </w:t>
      </w:r>
      <w:r w:rsidRPr="007E7990">
        <w:rPr>
          <w:color w:val="000000"/>
        </w:rPr>
        <w:t>The Ministry provides national leadership for the Cancer Programme, including:</w:t>
      </w:r>
    </w:p>
    <w:p w:rsidR="007E7990" w:rsidRPr="007E7990" w:rsidRDefault="005133E9" w:rsidP="005133E9">
      <w:pPr>
        <w:pStyle w:val="Bullet"/>
      </w:pPr>
      <w:r>
        <w:t>p</w:t>
      </w:r>
      <w:r w:rsidR="00F425CB" w:rsidRPr="007E7990">
        <w:t>olicy development across the cancer control continuum</w:t>
      </w:r>
    </w:p>
    <w:p w:rsidR="007E7990" w:rsidRPr="007E7990" w:rsidRDefault="005133E9" w:rsidP="005133E9">
      <w:pPr>
        <w:pStyle w:val="Bullet"/>
      </w:pPr>
      <w:r>
        <w:t>m</w:t>
      </w:r>
      <w:r w:rsidR="00F425CB" w:rsidRPr="007E7990">
        <w:t>onitoring of DHB performance</w:t>
      </w:r>
    </w:p>
    <w:p w:rsidR="007E7990" w:rsidRPr="007E7990" w:rsidRDefault="005133E9" w:rsidP="005133E9">
      <w:pPr>
        <w:pStyle w:val="Bullet"/>
      </w:pPr>
      <w:r>
        <w:t>i</w:t>
      </w:r>
      <w:r w:rsidR="00F425CB" w:rsidRPr="007E7990">
        <w:t>mplementation of national programmes (</w:t>
      </w:r>
      <w:proofErr w:type="spellStart"/>
      <w:r w:rsidR="00F425CB" w:rsidRPr="007E7990">
        <w:t>eg</w:t>
      </w:r>
      <w:proofErr w:type="spellEnd"/>
      <w:r w:rsidR="0010690F">
        <w:t>,</w:t>
      </w:r>
      <w:r w:rsidR="00F425CB" w:rsidRPr="007E7990">
        <w:t xml:space="preserve"> screening)</w:t>
      </w:r>
    </w:p>
    <w:p w:rsidR="007E7990" w:rsidRPr="007E7990" w:rsidRDefault="005133E9" w:rsidP="005133E9">
      <w:pPr>
        <w:pStyle w:val="Bullet"/>
      </w:pPr>
      <w:r>
        <w:t>m</w:t>
      </w:r>
      <w:r w:rsidR="00F425CB" w:rsidRPr="007E7990">
        <w:t>anagement of the Cancer Registry and data analysis</w:t>
      </w:r>
    </w:p>
    <w:p w:rsidR="00F425CB" w:rsidRPr="007E7990" w:rsidRDefault="005133E9" w:rsidP="005133E9">
      <w:pPr>
        <w:pStyle w:val="Bullet"/>
        <w:rPr>
          <w:color w:val="061C2D"/>
        </w:rPr>
      </w:pPr>
      <w:proofErr w:type="gramStart"/>
      <w:r>
        <w:t>n</w:t>
      </w:r>
      <w:r w:rsidR="00F425CB" w:rsidRPr="007E7990">
        <w:t>ational</w:t>
      </w:r>
      <w:proofErr w:type="gramEnd"/>
      <w:r w:rsidR="00F425CB" w:rsidRPr="007E7990">
        <w:t xml:space="preserve"> service and capital planning.</w:t>
      </w:r>
    </w:p>
    <w:p w:rsidR="00F425CB" w:rsidRPr="007E7990" w:rsidRDefault="00F425CB" w:rsidP="005133E9"/>
    <w:p w:rsidR="00F425CB" w:rsidRPr="007E7990" w:rsidRDefault="00F425CB" w:rsidP="005133E9">
      <w:r w:rsidRPr="007E7990">
        <w:t>The Cancer Programme covers Ministry, DHB and regional cancer network activity across the cancer continuum to implemen</w:t>
      </w:r>
      <w:r w:rsidR="00F37BF9">
        <w:t>t the New Zealand Cancer</w:t>
      </w:r>
      <w:r w:rsidRPr="007E7990">
        <w:t xml:space="preserve"> priorities.</w:t>
      </w:r>
      <w:r w:rsidR="007E7990" w:rsidRPr="007E7990">
        <w:t xml:space="preserve"> </w:t>
      </w:r>
      <w:r w:rsidRPr="007E7990">
        <w:t>The need for a National Radiation Oncology Plan was identifi</w:t>
      </w:r>
      <w:r w:rsidR="00F37BF9">
        <w:t>ed in the 2012/13 Cancer Programme</w:t>
      </w:r>
      <w:r w:rsidRPr="007E7990">
        <w:t xml:space="preserve"> work programme.</w:t>
      </w:r>
    </w:p>
    <w:p w:rsidR="00F425CB" w:rsidRPr="007E7990" w:rsidRDefault="00F425CB" w:rsidP="005133E9"/>
    <w:p w:rsidR="00F425CB" w:rsidRPr="007E7990" w:rsidRDefault="00F425CB" w:rsidP="005133E9">
      <w:pPr>
        <w:pStyle w:val="Figure"/>
      </w:pPr>
      <w:bookmarkStart w:id="20" w:name="_Toc384202907"/>
      <w:r w:rsidRPr="007E7990">
        <w:lastRenderedPageBreak/>
        <w:t xml:space="preserve">Figure </w:t>
      </w:r>
      <w:r w:rsidR="005133E9">
        <w:t>1:</w:t>
      </w:r>
      <w:r w:rsidR="007E7990" w:rsidRPr="007E7990">
        <w:t xml:space="preserve"> </w:t>
      </w:r>
      <w:r w:rsidRPr="007E7990">
        <w:t>The focus of the Cancer Programme in 2013/14</w:t>
      </w:r>
      <w:bookmarkEnd w:id="20"/>
    </w:p>
    <w:p w:rsidR="005133E9" w:rsidRPr="007E7990" w:rsidRDefault="00790E10" w:rsidP="005133E9">
      <w:r>
        <w:rPr>
          <w:noProof/>
          <w:lang w:eastAsia="en-NZ"/>
        </w:rPr>
        <w:drawing>
          <wp:inline distT="0" distB="0" distL="0" distR="0">
            <wp:extent cx="5943600" cy="6410325"/>
            <wp:effectExtent l="0" t="0" r="0" b="9525"/>
            <wp:docPr id="1" name="Picture 2" descr="Figure 1: The focus of the Cancer Programme in 2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The focus of the Cancer Programme in 2013/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410325"/>
                    </a:xfrm>
                    <a:prstGeom prst="rect">
                      <a:avLst/>
                    </a:prstGeom>
                    <a:noFill/>
                    <a:ln>
                      <a:noFill/>
                    </a:ln>
                  </pic:spPr>
                </pic:pic>
              </a:graphicData>
            </a:graphic>
          </wp:inline>
        </w:drawing>
      </w:r>
    </w:p>
    <w:p w:rsidR="00F425CB" w:rsidRPr="007E7990" w:rsidRDefault="00F425CB" w:rsidP="005133E9"/>
    <w:p w:rsidR="007E7990" w:rsidRPr="007E7990" w:rsidRDefault="00F425CB" w:rsidP="005133E9">
      <w:r w:rsidRPr="007E7990">
        <w:t>The Ministry has established the Cancer Treatment Advisory Group (CTAG) to provide clinical advice on cancer treatment to the Cancer Programme Steering Group.</w:t>
      </w:r>
      <w:r w:rsidR="007E7990" w:rsidRPr="007E7990">
        <w:t xml:space="preserve"> </w:t>
      </w:r>
      <w:r w:rsidRPr="007E7990">
        <w:t>In turn, CTAG establishes and coordinates groups to provide advice on specialist areas within cancer services.</w:t>
      </w:r>
      <w:r w:rsidR="007E7990" w:rsidRPr="007E7990">
        <w:t xml:space="preserve"> </w:t>
      </w:r>
      <w:r w:rsidRPr="007E7990">
        <w:t>One of these is the Radiation Oncology Working Group (ROWG).</w:t>
      </w:r>
    </w:p>
    <w:p w:rsidR="00F425CB" w:rsidRPr="007E7990" w:rsidRDefault="00F425CB" w:rsidP="005133E9"/>
    <w:p w:rsidR="0064180E" w:rsidRDefault="00F425CB" w:rsidP="005133E9">
      <w:r w:rsidRPr="007E7990">
        <w:t>ROWG</w:t>
      </w:r>
      <w:r w:rsidR="007E7990" w:rsidRPr="007E7990">
        <w:t>’</w:t>
      </w:r>
      <w:r w:rsidRPr="007E7990">
        <w:t>s members include the clinical directors of the radiation therapy services of the six cancer centres; a representative from each private radiation oncology service; lead M</w:t>
      </w:r>
      <w:r w:rsidR="0064180E">
        <w:t>edical Physicist</w:t>
      </w:r>
      <w:r w:rsidRPr="007E7990">
        <w:t>s and R</w:t>
      </w:r>
      <w:r w:rsidR="0064180E">
        <w:t xml:space="preserve">adiation </w:t>
      </w:r>
      <w:r w:rsidRPr="007E7990">
        <w:t>T</w:t>
      </w:r>
      <w:r w:rsidR="0064180E">
        <w:t>herapist</w:t>
      </w:r>
      <w:r w:rsidRPr="007E7990">
        <w:t>s; a cancer centre manager; and an oncology nurse.</w:t>
      </w:r>
      <w:r w:rsidR="007E7990" w:rsidRPr="007E7990">
        <w:t xml:space="preserve"> </w:t>
      </w:r>
    </w:p>
    <w:p w:rsidR="0064180E" w:rsidRDefault="0064180E" w:rsidP="0064180E">
      <w:r>
        <w:br w:type="page"/>
      </w:r>
    </w:p>
    <w:p w:rsidR="00F425CB" w:rsidRPr="007E7990" w:rsidRDefault="00F425CB" w:rsidP="005133E9">
      <w:r w:rsidRPr="007E7990">
        <w:lastRenderedPageBreak/>
        <w:t>ROWG has a mandate to provide expert clinical advice on:</w:t>
      </w:r>
    </w:p>
    <w:p w:rsidR="00F425CB" w:rsidRPr="007E7990" w:rsidRDefault="005133E9" w:rsidP="005133E9">
      <w:pPr>
        <w:pStyle w:val="Bullet"/>
      </w:pPr>
      <w:r>
        <w:t>a</w:t>
      </w:r>
      <w:r w:rsidR="0064180E">
        <w:t>chievement of the S</w:t>
      </w:r>
      <w:r w:rsidR="00F425CB" w:rsidRPr="007E7990">
        <w:t>hor</w:t>
      </w:r>
      <w:r w:rsidR="0064180E">
        <w:t>ter waits for cancer treatment health t</w:t>
      </w:r>
      <w:r w:rsidR="00F425CB" w:rsidRPr="007E7990">
        <w:t>arget, including monitoring performance and advising on relevant clinical and service delivery issues</w:t>
      </w:r>
    </w:p>
    <w:p w:rsidR="00F425CB" w:rsidRPr="007E7990" w:rsidRDefault="005133E9" w:rsidP="005133E9">
      <w:pPr>
        <w:pStyle w:val="Bullet"/>
      </w:pPr>
      <w:r>
        <w:t>s</w:t>
      </w:r>
      <w:r w:rsidR="00F425CB" w:rsidRPr="007E7990">
        <w:t>pecific areas that relate to cancer treatment, such as clinical effectiveness, service improvement, service development, treatment guidelines, and service standards</w:t>
      </w:r>
    </w:p>
    <w:p w:rsidR="00F425CB" w:rsidRPr="007E7990" w:rsidRDefault="005133E9" w:rsidP="005133E9">
      <w:pPr>
        <w:pStyle w:val="Bullet"/>
      </w:pPr>
      <w:r>
        <w:t>t</w:t>
      </w:r>
      <w:r w:rsidR="00F425CB" w:rsidRPr="007E7990">
        <w:t>echnology change for cancer treatment as part of the Cancer Programme</w:t>
      </w:r>
      <w:r w:rsidR="007E7990" w:rsidRPr="007E7990">
        <w:t>’</w:t>
      </w:r>
      <w:r w:rsidR="00F425CB" w:rsidRPr="007E7990">
        <w:t>s horizon scanning function</w:t>
      </w:r>
    </w:p>
    <w:p w:rsidR="007E7990" w:rsidRPr="007E7990" w:rsidRDefault="005133E9" w:rsidP="005133E9">
      <w:pPr>
        <w:pStyle w:val="Bullet"/>
      </w:pPr>
      <w:proofErr w:type="gramStart"/>
      <w:r>
        <w:t>s</w:t>
      </w:r>
      <w:r w:rsidR="00F425CB" w:rsidRPr="007E7990">
        <w:t>ervices/initiatives</w:t>
      </w:r>
      <w:proofErr w:type="gramEnd"/>
      <w:r w:rsidR="00F425CB" w:rsidRPr="007E7990">
        <w:t xml:space="preserve"> for prioritisation to be considered as part of strategic and annual planning and prioritisation processes.</w:t>
      </w:r>
    </w:p>
    <w:p w:rsidR="00F425CB" w:rsidRDefault="00F425CB" w:rsidP="005133E9"/>
    <w:p w:rsidR="00F425CB" w:rsidRPr="003D1172" w:rsidRDefault="00F425CB" w:rsidP="005133E9">
      <w:pPr>
        <w:pStyle w:val="Heading2"/>
        <w:rPr>
          <w:bCs/>
          <w:szCs w:val="28"/>
        </w:rPr>
      </w:pPr>
      <w:bookmarkStart w:id="21" w:name="_Toc376936342"/>
      <w:bookmarkStart w:id="22" w:name="_Toc384202850"/>
      <w:r w:rsidRPr="007E7990">
        <w:t>2.3</w:t>
      </w:r>
      <w:r w:rsidRPr="007E7990">
        <w:tab/>
        <w:t>Recent changes to the New Zealand health system</w:t>
      </w:r>
      <w:bookmarkEnd w:id="21"/>
      <w:bookmarkEnd w:id="22"/>
    </w:p>
    <w:p w:rsidR="00F425CB" w:rsidRPr="007E7990" w:rsidRDefault="0064180E" w:rsidP="005133E9">
      <w:r>
        <w:t>The</w:t>
      </w:r>
      <w:r w:rsidR="00F425CB" w:rsidRPr="007E7990">
        <w:t xml:space="preserve"> Plan links with the current and potential roles of a number of national agencies, as described in Appendix 3.</w:t>
      </w:r>
    </w:p>
    <w:p w:rsidR="00F425CB" w:rsidRPr="007E7990" w:rsidRDefault="00F425CB" w:rsidP="005133E9"/>
    <w:p w:rsidR="00F425CB" w:rsidRPr="007E7990" w:rsidRDefault="00F425CB" w:rsidP="005133E9">
      <w:pPr>
        <w:pStyle w:val="Heading2"/>
      </w:pPr>
      <w:bookmarkStart w:id="23" w:name="_Toc376936343"/>
      <w:bookmarkStart w:id="24" w:name="_Toc384202851"/>
      <w:r w:rsidRPr="007E7990">
        <w:t>2.4</w:t>
      </w:r>
      <w:r w:rsidRPr="007E7990">
        <w:tab/>
        <w:t>National service development to date</w:t>
      </w:r>
      <w:bookmarkEnd w:id="23"/>
      <w:bookmarkEnd w:id="24"/>
    </w:p>
    <w:p w:rsidR="00F425CB" w:rsidRPr="007E7990" w:rsidRDefault="00F425CB" w:rsidP="005133E9">
      <w:r w:rsidRPr="007E7990">
        <w:t>Foundational elements of a national radiation oncology framework for New Zealand have been developed over the past 15 years, and are discussed below.</w:t>
      </w:r>
    </w:p>
    <w:p w:rsidR="00F425CB" w:rsidRPr="007E7990" w:rsidRDefault="00F425CB" w:rsidP="005133E9"/>
    <w:p w:rsidR="00F425CB" w:rsidRPr="007E7990" w:rsidRDefault="00F425CB" w:rsidP="005133E9">
      <w:pPr>
        <w:pStyle w:val="Heading3"/>
      </w:pPr>
      <w:bookmarkStart w:id="25" w:name="_Toc367372281"/>
      <w:bookmarkStart w:id="26" w:name="_Toc376936344"/>
      <w:r w:rsidRPr="007E7990">
        <w:t>2.4.1</w:t>
      </w:r>
      <w:r w:rsidRPr="007E7990">
        <w:tab/>
        <w:t>National principles</w:t>
      </w:r>
      <w:bookmarkEnd w:id="25"/>
      <w:bookmarkEnd w:id="26"/>
    </w:p>
    <w:p w:rsidR="00F425CB" w:rsidRPr="007E7990" w:rsidRDefault="00F425CB" w:rsidP="005133E9">
      <w:r w:rsidRPr="007E7990">
        <w:t>The Ministry and DHBs defined overarching national principles at the time of development of two national protocols (see below).</w:t>
      </w:r>
      <w:r w:rsidR="007E7990" w:rsidRPr="007E7990">
        <w:t xml:space="preserve"> </w:t>
      </w:r>
      <w:r w:rsidRPr="007E7990">
        <w:t>These principles, which provide an important foundation for national planning, are:</w:t>
      </w:r>
    </w:p>
    <w:p w:rsidR="00F425CB" w:rsidRPr="007E7990" w:rsidRDefault="005133E9" w:rsidP="005133E9">
      <w:pPr>
        <w:pStyle w:val="Bullet"/>
      </w:pPr>
      <w:r>
        <w:t>e</w:t>
      </w:r>
      <w:r w:rsidR="00F425CB" w:rsidRPr="007E7990">
        <w:t>quitable access for all New Zealanders to publicly funded radiation oncology services</w:t>
      </w:r>
    </w:p>
    <w:p w:rsidR="00F425CB" w:rsidRPr="007E7990" w:rsidRDefault="005133E9" w:rsidP="005133E9">
      <w:pPr>
        <w:pStyle w:val="Bullet"/>
      </w:pPr>
      <w:r>
        <w:t>r</w:t>
      </w:r>
      <w:r w:rsidR="00F425CB" w:rsidRPr="007E7990">
        <w:t>adiation oncology treatment for all New Zealanders to be commenced within nationally agreed waiting times targets</w:t>
      </w:r>
    </w:p>
    <w:p w:rsidR="00F425CB" w:rsidRPr="007E7990" w:rsidRDefault="005133E9" w:rsidP="005133E9">
      <w:pPr>
        <w:pStyle w:val="Bullet"/>
      </w:pPr>
      <w:r>
        <w:t>r</w:t>
      </w:r>
      <w:r w:rsidR="00F425CB" w:rsidRPr="007E7990">
        <w:t>adiation oncology treatment for all New Zealanders to be provided to meet internationally accepted quality standards</w:t>
      </w:r>
    </w:p>
    <w:p w:rsidR="00F425CB" w:rsidRPr="007E7990" w:rsidRDefault="005133E9" w:rsidP="005133E9">
      <w:pPr>
        <w:pStyle w:val="Bullet"/>
      </w:pPr>
      <w:proofErr w:type="gramStart"/>
      <w:r>
        <w:t>r</w:t>
      </w:r>
      <w:r w:rsidR="00F425CB" w:rsidRPr="007E7990">
        <w:t>adiation</w:t>
      </w:r>
      <w:proofErr w:type="gramEnd"/>
      <w:r w:rsidR="00F425CB" w:rsidRPr="007E7990">
        <w:t xml:space="preserve"> oncology treatment for all New Zealanders to be provided in accord with the Code of Health and Disability Services Consumers</w:t>
      </w:r>
      <w:r w:rsidR="007E7990" w:rsidRPr="007E7990">
        <w:t>’</w:t>
      </w:r>
      <w:r w:rsidR="00F425CB" w:rsidRPr="007E7990">
        <w:t xml:space="preserve"> Rights.</w:t>
      </w:r>
    </w:p>
    <w:p w:rsidR="00F425CB" w:rsidRPr="007E7990" w:rsidRDefault="00F425CB" w:rsidP="005133E9"/>
    <w:p w:rsidR="00F425CB" w:rsidRPr="007E7990" w:rsidRDefault="00F425CB" w:rsidP="005133E9">
      <w:r w:rsidRPr="007E7990">
        <w:t>The protocol guiding public use of private capacity (see below) also contained further prin</w:t>
      </w:r>
      <w:r w:rsidR="0064180E">
        <w:t>ciples of significance for the</w:t>
      </w:r>
      <w:r w:rsidRPr="007E7990">
        <w:t xml:space="preserve"> Plan:</w:t>
      </w:r>
    </w:p>
    <w:p w:rsidR="00F425CB" w:rsidRPr="007E7990" w:rsidRDefault="005133E9" w:rsidP="005133E9">
      <w:pPr>
        <w:pStyle w:val="Bullet"/>
      </w:pPr>
      <w:r>
        <w:t>a</w:t>
      </w:r>
      <w:r w:rsidR="00F425CB" w:rsidRPr="007E7990">
        <w:t>ccess to radiation oncology services will be available through the public sector to meet population need</w:t>
      </w:r>
    </w:p>
    <w:p w:rsidR="00F425CB" w:rsidRPr="007E7990" w:rsidRDefault="005133E9" w:rsidP="005133E9">
      <w:pPr>
        <w:pStyle w:val="Bullet"/>
      </w:pPr>
      <w:r>
        <w:t>u</w:t>
      </w:r>
      <w:r w:rsidR="00F425CB" w:rsidRPr="007E7990">
        <w:t>se of private facilities to meet public service obligations must ensure equitable access for all New Zealanders through publicly funded services</w:t>
      </w:r>
    </w:p>
    <w:p w:rsidR="007E7990" w:rsidRPr="007E7990" w:rsidRDefault="005133E9" w:rsidP="005133E9">
      <w:pPr>
        <w:pStyle w:val="Bullet"/>
      </w:pPr>
      <w:proofErr w:type="gramStart"/>
      <w:r>
        <w:t>p</w:t>
      </w:r>
      <w:r w:rsidR="00F425CB" w:rsidRPr="007E7990">
        <w:t>lanning</w:t>
      </w:r>
      <w:proofErr w:type="gramEnd"/>
      <w:r w:rsidR="00F425CB" w:rsidRPr="007E7990">
        <w:t xml:space="preserve"> of future public radiation oncology services should ensure equal access for all New</w:t>
      </w:r>
      <w:r>
        <w:t> </w:t>
      </w:r>
      <w:r w:rsidR="00F425CB" w:rsidRPr="007E7990">
        <w:t>Zealanders to these services, through provision of sustainable public radiation oncology infrastructure.</w:t>
      </w:r>
    </w:p>
    <w:p w:rsidR="00F425CB" w:rsidRDefault="00F425CB" w:rsidP="005133E9">
      <w:bookmarkStart w:id="27" w:name="_Toc367372282"/>
    </w:p>
    <w:p w:rsidR="00F425CB" w:rsidRPr="007E7990" w:rsidRDefault="00F425CB" w:rsidP="005133E9">
      <w:pPr>
        <w:pStyle w:val="Heading3"/>
      </w:pPr>
      <w:bookmarkStart w:id="28" w:name="_Toc376936345"/>
      <w:r w:rsidRPr="007E7990">
        <w:t>2.4.2</w:t>
      </w:r>
      <w:r w:rsidRPr="007E7990">
        <w:tab/>
        <w:t>National protocols</w:t>
      </w:r>
      <w:bookmarkEnd w:id="27"/>
      <w:bookmarkEnd w:id="28"/>
    </w:p>
    <w:p w:rsidR="00F425CB" w:rsidRPr="007E7990" w:rsidRDefault="00F425CB" w:rsidP="005133E9">
      <w:r w:rsidRPr="007E7990">
        <w:t>Two interlinked protocols</w:t>
      </w:r>
      <w:r w:rsidRPr="005133E9">
        <w:rPr>
          <w:rStyle w:val="FootnoteReference"/>
        </w:rPr>
        <w:footnoteReference w:id="6"/>
      </w:r>
      <w:r w:rsidRPr="007E7990">
        <w:t xml:space="preserve"> were developed by the New Zealand Cancer Treatment Working Party (and approved by the Cancer Control Implementation Steering Group) to guide radiation oncology service provision.</w:t>
      </w:r>
      <w:r w:rsidR="007E7990" w:rsidRPr="007E7990">
        <w:t xml:space="preserve"> </w:t>
      </w:r>
      <w:r w:rsidRPr="007E7990">
        <w:t>These protocols and their implications for national planning are:</w:t>
      </w:r>
    </w:p>
    <w:p w:rsidR="00F425CB" w:rsidRPr="007E7990" w:rsidRDefault="00F425CB" w:rsidP="005133E9">
      <w:pPr>
        <w:pStyle w:val="Bullet"/>
      </w:pPr>
      <w:r w:rsidRPr="007E7990">
        <w:rPr>
          <w:i/>
          <w:iCs/>
        </w:rPr>
        <w:t>Sharing of public radiation oncology capacity between cancer centres</w:t>
      </w:r>
      <w:r w:rsidRPr="007E7990">
        <w:t>:</w:t>
      </w:r>
      <w:r w:rsidR="007E7990" w:rsidRPr="007E7990">
        <w:t xml:space="preserve"> </w:t>
      </w:r>
      <w:r w:rsidRPr="007E7990">
        <w:t>This recognises that public linac capacity develops in steps reflecting installation of new machines and availability of staff, and that meeting the waiting time target may require short-medium term sharing of capacity between cancer centres – which is preferred over utilisation of private or overseas capacity.</w:t>
      </w:r>
      <w:r w:rsidR="007E7990" w:rsidRPr="007E7990">
        <w:t xml:space="preserve"> </w:t>
      </w:r>
      <w:r w:rsidRPr="007E7990">
        <w:t>Sharing of spare linac and/or workforce capacity will include agreement on patient referral/transfer protocols and tumour management pathways.</w:t>
      </w:r>
      <w:r w:rsidR="007E7990" w:rsidRPr="007E7990">
        <w:t xml:space="preserve"> </w:t>
      </w:r>
      <w:r w:rsidRPr="007E7990">
        <w:t>Centres will take a shared strategic approach to linac capacity planning to ensure complementary development.</w:t>
      </w:r>
      <w:r w:rsidR="007E7990" w:rsidRPr="007E7990">
        <w:t xml:space="preserve"> </w:t>
      </w:r>
      <w:r w:rsidRPr="007E7990">
        <w:t>Patients will be given a choice of referral or remaining on a local wait list, and are to be supported in their travel and accommodation needs when accessing another centre.</w:t>
      </w:r>
    </w:p>
    <w:p w:rsidR="007E7990" w:rsidRPr="007E7990" w:rsidRDefault="00F425CB" w:rsidP="005133E9">
      <w:pPr>
        <w:pStyle w:val="Bullet"/>
      </w:pPr>
      <w:r w:rsidRPr="007E7990">
        <w:rPr>
          <w:i/>
          <w:iCs/>
        </w:rPr>
        <w:t>Public interface with private radiation oncology services</w:t>
      </w:r>
      <w:r w:rsidRPr="007E7990">
        <w:t>:</w:t>
      </w:r>
      <w:r w:rsidR="007E7990" w:rsidRPr="007E7990">
        <w:t xml:space="preserve"> </w:t>
      </w:r>
      <w:r w:rsidRPr="007E7990">
        <w:t>This complements the first protocol, and ensures that publicly funded use of the private sector does not distort equity of access and follows public prioritisation criteria; is used temporarily and only when capacity at a neighbouring DHB cancer centre is not available; and is based on guidelines, treatment protocols, and clinical audit.</w:t>
      </w:r>
      <w:r w:rsidR="007E7990" w:rsidRPr="007E7990">
        <w:t xml:space="preserve"> </w:t>
      </w:r>
      <w:r w:rsidRPr="007E7990">
        <w:t>Patients are to be fully informed about treatment options, and the relationship between public and private services.</w:t>
      </w:r>
    </w:p>
    <w:p w:rsidR="00F425CB" w:rsidRPr="007E7990" w:rsidRDefault="00F425CB" w:rsidP="005157C2"/>
    <w:p w:rsidR="00F425CB" w:rsidRPr="007E7990" w:rsidRDefault="00F425CB" w:rsidP="005157C2">
      <w:pPr>
        <w:pStyle w:val="Heading3"/>
      </w:pPr>
      <w:bookmarkStart w:id="29" w:name="_Toc367372283"/>
      <w:bookmarkStart w:id="30" w:name="_Toc376936346"/>
      <w:r w:rsidRPr="007E7990">
        <w:t>2.4.3</w:t>
      </w:r>
      <w:r w:rsidRPr="007E7990">
        <w:tab/>
        <w:t>National radiation oncology service specification</w:t>
      </w:r>
      <w:bookmarkEnd w:id="29"/>
      <w:bookmarkEnd w:id="30"/>
    </w:p>
    <w:p w:rsidR="007E7990" w:rsidRPr="007E7990" w:rsidRDefault="00F425CB" w:rsidP="005157C2">
      <w:r w:rsidRPr="007E7990">
        <w:t>A national service specification for radiation oncology has been published in the National Service Framework Library, and was last updated in 2001.</w:t>
      </w:r>
      <w:r w:rsidR="007E7990" w:rsidRPr="007E7990">
        <w:t xml:space="preserve"> </w:t>
      </w:r>
      <w:r w:rsidRPr="007E7990">
        <w:t>A notable feature of the service specification of relevance for the Model and Plan is inclusion of workforce ratios required at that time.</w:t>
      </w:r>
    </w:p>
    <w:p w:rsidR="00F425CB" w:rsidRPr="007E7990" w:rsidRDefault="00F425CB" w:rsidP="005157C2"/>
    <w:p w:rsidR="00F425CB" w:rsidRPr="007E7990" w:rsidRDefault="00F425CB" w:rsidP="005157C2">
      <w:pPr>
        <w:pStyle w:val="Heading3"/>
      </w:pPr>
      <w:bookmarkStart w:id="31" w:name="_Toc376936347"/>
      <w:bookmarkStart w:id="32" w:name="_Toc367372284"/>
      <w:r w:rsidRPr="007E7990">
        <w:t>2.4.4</w:t>
      </w:r>
      <w:r w:rsidRPr="007E7990">
        <w:tab/>
        <w:t>Faster cancer treatment</w:t>
      </w:r>
      <w:bookmarkEnd w:id="31"/>
      <w:bookmarkEnd w:id="32"/>
    </w:p>
    <w:p w:rsidR="007E7990" w:rsidRPr="007E7990" w:rsidRDefault="00F425CB" w:rsidP="005157C2">
      <w:r w:rsidRPr="007E7990">
        <w:t>The Government is committed to Better, Sooner, More Convenient Health Care.</w:t>
      </w:r>
      <w:r w:rsidR="007E7990" w:rsidRPr="007E7990">
        <w:t xml:space="preserve"> </w:t>
      </w:r>
      <w:r w:rsidRPr="007E7990">
        <w:t>For the National Cancer Programme this means improving access to, and shorter waiting times for cancer treatment.</w:t>
      </w:r>
      <w:r w:rsidR="007E7990" w:rsidRPr="007E7990">
        <w:t xml:space="preserve"> </w:t>
      </w:r>
      <w:r w:rsidRPr="007E7990">
        <w:t>Streamlined pathways of care that are based on well-coordinated services are crucial to timely diagnosis and management of cancer.</w:t>
      </w:r>
      <w:r w:rsidR="007E7990" w:rsidRPr="007E7990">
        <w:t xml:space="preserve"> </w:t>
      </w:r>
      <w:r w:rsidRPr="007E7990">
        <w:t>This programme takes a patient pathway approach that covers surgical and non-surgical cancer treatment.</w:t>
      </w:r>
      <w:r w:rsidR="007E7990" w:rsidRPr="007E7990">
        <w:t xml:space="preserve"> </w:t>
      </w:r>
      <w:r w:rsidRPr="007E7990">
        <w:t>The programme aims to improve services so that over time, all patients will have access to the same quality care within the same timeframes, no matter where they live.</w:t>
      </w:r>
    </w:p>
    <w:p w:rsidR="00F425CB" w:rsidRPr="007E7990" w:rsidRDefault="00F425CB" w:rsidP="005157C2"/>
    <w:p w:rsidR="0064180E" w:rsidRDefault="0064180E" w:rsidP="005157C2">
      <w:r>
        <w:t>DHBs</w:t>
      </w:r>
      <w:r w:rsidR="00F425CB" w:rsidRPr="007E7990">
        <w:t xml:space="preserve"> are now routinely collecting and reporting information on patients who have been referred urgently with a high-suspicion of cancer.</w:t>
      </w:r>
      <w:r w:rsidR="007E7990" w:rsidRPr="007E7990">
        <w:t xml:space="preserve"> </w:t>
      </w:r>
    </w:p>
    <w:p w:rsidR="0064180E" w:rsidRDefault="0064180E" w:rsidP="0064180E">
      <w:r>
        <w:br w:type="page"/>
      </w:r>
    </w:p>
    <w:p w:rsidR="007E7990" w:rsidRPr="007E7990" w:rsidRDefault="0064180E" w:rsidP="005157C2">
      <w:r>
        <w:lastRenderedPageBreak/>
        <w:t>DHB</w:t>
      </w:r>
      <w:r w:rsidR="00F425CB" w:rsidRPr="007E7990">
        <w:t>s will measure their performance against a set o</w:t>
      </w:r>
      <w:r>
        <w:t xml:space="preserve">f measures known as the </w:t>
      </w:r>
      <w:proofErr w:type="gramStart"/>
      <w:r>
        <w:t>Faster</w:t>
      </w:r>
      <w:proofErr w:type="gramEnd"/>
      <w:r>
        <w:t xml:space="preserve"> cancer t</w:t>
      </w:r>
      <w:r w:rsidR="00F425CB" w:rsidRPr="007E7990">
        <w:t>reatment indicators.</w:t>
      </w:r>
      <w:r w:rsidR="007E7990" w:rsidRPr="007E7990">
        <w:t xml:space="preserve"> </w:t>
      </w:r>
      <w:r w:rsidR="00F425CB" w:rsidRPr="007E7990">
        <w:t>These indicators are:</w:t>
      </w:r>
    </w:p>
    <w:p w:rsidR="007E7990" w:rsidRPr="007E7990" w:rsidRDefault="00F425CB" w:rsidP="005157C2">
      <w:pPr>
        <w:pStyle w:val="Bullet"/>
      </w:pPr>
      <w:r w:rsidRPr="007E7990">
        <w:t>62</w:t>
      </w:r>
      <w:r w:rsidR="005157C2">
        <w:t>-</w:t>
      </w:r>
      <w:r w:rsidRPr="007E7990">
        <w:t>day indicator: all patients referred urgently with a high-suspicion of cancer receive their first treatment (or other management) within 62 days of the referral being received by the hospital</w:t>
      </w:r>
    </w:p>
    <w:p w:rsidR="007E7990" w:rsidRPr="007E7990" w:rsidRDefault="00F425CB" w:rsidP="005157C2">
      <w:pPr>
        <w:pStyle w:val="Bullet"/>
      </w:pPr>
      <w:r w:rsidRPr="007E7990">
        <w:t>31</w:t>
      </w:r>
      <w:r w:rsidR="005157C2">
        <w:t>-</w:t>
      </w:r>
      <w:r w:rsidRPr="007E7990">
        <w:t>day indicator: all patients with a confirmed diagnosis of cancer receive their first cancer treatment (or other management) within 31 days of a decision-to-treat.</w:t>
      </w:r>
    </w:p>
    <w:p w:rsidR="00F425CB" w:rsidRPr="007E7990" w:rsidRDefault="00F425CB" w:rsidP="005157C2"/>
    <w:p w:rsidR="00F425CB" w:rsidRPr="007E7990" w:rsidRDefault="0064180E" w:rsidP="005157C2">
      <w:r>
        <w:t>A national health t</w:t>
      </w:r>
      <w:r w:rsidR="00F425CB" w:rsidRPr="007E7990">
        <w:t>arget has been in place for access to radiation therapy since 2008.</w:t>
      </w:r>
      <w:r w:rsidR="007E7990" w:rsidRPr="007E7990">
        <w:t xml:space="preserve"> </w:t>
      </w:r>
      <w:r>
        <w:t>Initially the t</w:t>
      </w:r>
      <w:r w:rsidR="00F425CB" w:rsidRPr="007E7990">
        <w:t>arget was for patients needing radiation treatment to have this within 8 weeks of first specialist radiation oncology assessment.</w:t>
      </w:r>
      <w:r w:rsidR="007E7990" w:rsidRPr="007E7990">
        <w:t xml:space="preserve"> </w:t>
      </w:r>
      <w:r w:rsidR="00F425CB" w:rsidRPr="007E7990">
        <w:t>This maximum waiting time has since been reduced to 6 weeks and then 4 weeks.</w:t>
      </w:r>
    </w:p>
    <w:p w:rsidR="00F425CB" w:rsidRPr="007E7990" w:rsidRDefault="00F425CB" w:rsidP="005157C2"/>
    <w:p w:rsidR="00F425CB" w:rsidRPr="007E7990" w:rsidRDefault="0064180E" w:rsidP="005157C2">
      <w:r>
        <w:t>From 2012/13 the t</w:t>
      </w:r>
      <w:r w:rsidR="00F425CB" w:rsidRPr="007E7990">
        <w:t xml:space="preserve">arget was redefined as: </w:t>
      </w:r>
      <w:r w:rsidR="00F425CB" w:rsidRPr="005157C2">
        <w:rPr>
          <w:i/>
        </w:rPr>
        <w:t xml:space="preserve">all patients, ready-for-treatment, </w:t>
      </w:r>
      <w:proofErr w:type="gramStart"/>
      <w:r w:rsidR="00F425CB" w:rsidRPr="005157C2">
        <w:rPr>
          <w:i/>
        </w:rPr>
        <w:t>wait</w:t>
      </w:r>
      <w:proofErr w:type="gramEnd"/>
      <w:r w:rsidR="00F425CB" w:rsidRPr="005157C2">
        <w:rPr>
          <w:i/>
        </w:rPr>
        <w:t xml:space="preserve"> less than 4</w:t>
      </w:r>
      <w:r w:rsidR="005157C2">
        <w:rPr>
          <w:i/>
        </w:rPr>
        <w:t> </w:t>
      </w:r>
      <w:r w:rsidR="00F425CB" w:rsidRPr="005157C2">
        <w:rPr>
          <w:i/>
        </w:rPr>
        <w:t>weeks for radiotherapy or chemotherapy</w:t>
      </w:r>
      <w:r w:rsidR="00F425CB" w:rsidRPr="007E7990">
        <w:t>.</w:t>
      </w:r>
    </w:p>
    <w:p w:rsidR="00F425CB" w:rsidRPr="007E7990" w:rsidRDefault="00F425CB" w:rsidP="005157C2"/>
    <w:p w:rsidR="00F425CB" w:rsidRPr="007E7990" w:rsidRDefault="00F425CB" w:rsidP="005157C2">
      <w:pPr>
        <w:pStyle w:val="Heading3"/>
      </w:pPr>
      <w:bookmarkStart w:id="33" w:name="_Toc367372285"/>
      <w:bookmarkStart w:id="34" w:name="_Toc376936348"/>
      <w:r w:rsidRPr="007E7990">
        <w:t>2.4.5</w:t>
      </w:r>
      <w:r w:rsidRPr="007E7990">
        <w:tab/>
        <w:t>National radiation oncology dataset</w:t>
      </w:r>
      <w:bookmarkEnd w:id="33"/>
      <w:bookmarkEnd w:id="34"/>
    </w:p>
    <w:p w:rsidR="00F425CB" w:rsidRPr="007E7990" w:rsidRDefault="00F425CB" w:rsidP="005157C2">
      <w:r w:rsidRPr="007E7990">
        <w:t>Si</w:t>
      </w:r>
      <w:r w:rsidR="0064180E">
        <w:t>nce 2008, the Ministry</w:t>
      </w:r>
      <w:r w:rsidRPr="007E7990">
        <w:t xml:space="preserve"> has supported the public and private radiation therapy services to develop and report a consistent set of Key Performance Indicators (KPIs).</w:t>
      </w:r>
      <w:r w:rsidR="007E7990" w:rsidRPr="007E7990">
        <w:t xml:space="preserve"> </w:t>
      </w:r>
      <w:r w:rsidRPr="007E7990">
        <w:t>This data has been collated nationally, and fed back to the services and ROWG.</w:t>
      </w:r>
      <w:r w:rsidR="007E7990" w:rsidRPr="007E7990">
        <w:t xml:space="preserve"> </w:t>
      </w:r>
      <w:r w:rsidRPr="007E7990">
        <w:t>Issues relating to reporting and review of the KPIs are discussed further in Section 5.2.</w:t>
      </w:r>
    </w:p>
    <w:p w:rsidR="00F425CB" w:rsidRPr="007E7990" w:rsidRDefault="00F425CB" w:rsidP="005157C2">
      <w:bookmarkStart w:id="35" w:name="_Toc367372286"/>
    </w:p>
    <w:p w:rsidR="00F425CB" w:rsidRPr="007E7990" w:rsidRDefault="00F425CB" w:rsidP="005157C2">
      <w:pPr>
        <w:pStyle w:val="Heading3"/>
      </w:pPr>
      <w:bookmarkStart w:id="36" w:name="_Toc376936349"/>
      <w:r w:rsidRPr="007E7990">
        <w:t>2.4.6</w:t>
      </w:r>
      <w:r w:rsidRPr="007E7990">
        <w:tab/>
        <w:t>National radiation oncology prices</w:t>
      </w:r>
      <w:bookmarkEnd w:id="35"/>
      <w:bookmarkEnd w:id="36"/>
    </w:p>
    <w:p w:rsidR="00F425CB" w:rsidRPr="007E7990" w:rsidRDefault="00F425CB" w:rsidP="005157C2">
      <w:r w:rsidRPr="007E7990">
        <w:t>As part of the National Pricing Programme (NPP) to set annual Inter-District Flow (IDF) prices, 14</w:t>
      </w:r>
      <w:r w:rsidR="005157C2">
        <w:t> </w:t>
      </w:r>
      <w:r w:rsidRPr="007E7990">
        <w:t>DHBs with costing systems that meet national requirements report purchase unit cost and volume infor</w:t>
      </w:r>
      <w:r w:rsidR="0007247E">
        <w:t>mation to the Ministry</w:t>
      </w:r>
      <w:r w:rsidRPr="007E7990">
        <w:t>.</w:t>
      </w:r>
      <w:r w:rsidR="007E7990" w:rsidRPr="007E7990">
        <w:t xml:space="preserve"> </w:t>
      </w:r>
      <w:r w:rsidRPr="007E7990">
        <w:t>Four cancer centres (Auckland, Hamilton, Wellington and Christchurch) report radiation oncology purchase unit cost and volume information.</w:t>
      </w:r>
      <w:r w:rsidR="007E7990" w:rsidRPr="007E7990">
        <w:t xml:space="preserve"> </w:t>
      </w:r>
      <w:r w:rsidRPr="007E7990">
        <w:t>The Model associated with this Plan uses four NPP purchase units:</w:t>
      </w:r>
    </w:p>
    <w:p w:rsidR="00F425CB" w:rsidRPr="007E7990" w:rsidRDefault="005157C2" w:rsidP="005157C2">
      <w:pPr>
        <w:pStyle w:val="Bullet"/>
      </w:pPr>
      <w:r>
        <w:t>r</w:t>
      </w:r>
      <w:r w:rsidR="00F425CB" w:rsidRPr="007E7990">
        <w:t>adiation oncology first attendance (FSAs)</w:t>
      </w:r>
    </w:p>
    <w:p w:rsidR="00F425CB" w:rsidRPr="007E7990" w:rsidRDefault="005157C2" w:rsidP="005157C2">
      <w:pPr>
        <w:pStyle w:val="Bullet"/>
      </w:pPr>
      <w:r>
        <w:t>r</w:t>
      </w:r>
      <w:r w:rsidR="00F425CB" w:rsidRPr="007E7990">
        <w:t>adiation oncology subsequent attendance</w:t>
      </w:r>
    </w:p>
    <w:p w:rsidR="00F425CB" w:rsidRPr="007E7990" w:rsidRDefault="005157C2" w:rsidP="005157C2">
      <w:pPr>
        <w:pStyle w:val="Bullet"/>
      </w:pPr>
      <w:r>
        <w:t>r</w:t>
      </w:r>
      <w:r w:rsidR="00F425CB" w:rsidRPr="007E7990">
        <w:t>adiation therapy (Megavoltage) attendance</w:t>
      </w:r>
    </w:p>
    <w:p w:rsidR="00F425CB" w:rsidRPr="007E7990" w:rsidRDefault="005157C2" w:rsidP="005157C2">
      <w:pPr>
        <w:pStyle w:val="Bullet"/>
      </w:pPr>
      <w:r>
        <w:t>r</w:t>
      </w:r>
      <w:r w:rsidR="00F425CB" w:rsidRPr="007E7990">
        <w:t>adiation therapy (</w:t>
      </w:r>
      <w:proofErr w:type="spellStart"/>
      <w:r w:rsidR="00F425CB" w:rsidRPr="007E7990">
        <w:t>Orthovoltage</w:t>
      </w:r>
      <w:proofErr w:type="spellEnd"/>
      <w:r w:rsidR="00F425CB" w:rsidRPr="007E7990">
        <w:t>) attendance</w:t>
      </w:r>
    </w:p>
    <w:p w:rsidR="00F425CB" w:rsidRPr="007E7990" w:rsidRDefault="00F425CB" w:rsidP="005157C2">
      <w:pPr>
        <w:pStyle w:val="Bullet"/>
      </w:pPr>
      <w:proofErr w:type="gramStart"/>
      <w:r w:rsidRPr="007E7990">
        <w:t>and</w:t>
      </w:r>
      <w:proofErr w:type="gramEnd"/>
      <w:r w:rsidRPr="007E7990">
        <w:t xml:space="preserve"> 2011/12 cost and volume information reported against these purchase units and cost categories (described further in Section 4.2.6).</w:t>
      </w:r>
    </w:p>
    <w:p w:rsidR="00F425CB" w:rsidRPr="007E7990" w:rsidRDefault="00F425CB" w:rsidP="005157C2"/>
    <w:p w:rsidR="00F425CB" w:rsidRPr="007E7990" w:rsidRDefault="00F425CB" w:rsidP="005157C2">
      <w:pPr>
        <w:pStyle w:val="Heading2"/>
      </w:pPr>
      <w:bookmarkStart w:id="37" w:name="_Toc376936350"/>
      <w:bookmarkStart w:id="38" w:name="_Toc384202852"/>
      <w:r w:rsidRPr="007E7990">
        <w:lastRenderedPageBreak/>
        <w:t>2.5</w:t>
      </w:r>
      <w:r w:rsidRPr="007E7990">
        <w:tab/>
        <w:t>Regional cancer networks and radiation therapy planning</w:t>
      </w:r>
      <w:bookmarkEnd w:id="37"/>
      <w:bookmarkEnd w:id="38"/>
    </w:p>
    <w:p w:rsidR="00F425CB" w:rsidRPr="007E7990" w:rsidRDefault="00F425CB" w:rsidP="005157C2">
      <w:pPr>
        <w:keepNext/>
      </w:pPr>
      <w:r w:rsidRPr="007E7990">
        <w:t>Formal regional structures have been established to work across DHB, provider and consumer organisational boundaries to promote cooperation and collaboration in cancer service planning and delivery. Network configuration follows geographical coverage areas, a</w:t>
      </w:r>
      <w:r w:rsidR="0007247E">
        <w:t>nd patient flows to the</w:t>
      </w:r>
      <w:r w:rsidRPr="007E7990">
        <w:t xml:space="preserve"> cancer centres.</w:t>
      </w:r>
    </w:p>
    <w:p w:rsidR="00F425CB" w:rsidRPr="007E7990" w:rsidRDefault="00F425CB" w:rsidP="005157C2"/>
    <w:p w:rsidR="007E7990" w:rsidRPr="007E7990" w:rsidRDefault="00F425CB" w:rsidP="005157C2">
      <w:r w:rsidRPr="007E7990">
        <w:rPr>
          <w:color w:val="061C2D"/>
        </w:rPr>
        <w:t xml:space="preserve">The four regional cancer networks all published linac capacity plans in 2012 using </w:t>
      </w:r>
      <w:r w:rsidRPr="007E7990">
        <w:t>an initial modelling tool developed for the Ministry, and are at varying stages in considering the workforce impacts of their predicted demand growth, and in undertaking radiation oncology service planning</w:t>
      </w:r>
      <w:r w:rsidR="005157C2">
        <w:t>.</w:t>
      </w:r>
      <w:r w:rsidRPr="005157C2">
        <w:rPr>
          <w:rStyle w:val="FootnoteReference"/>
        </w:rPr>
        <w:footnoteReference w:id="7"/>
      </w:r>
    </w:p>
    <w:p w:rsidR="00F425CB" w:rsidRPr="007E7990" w:rsidRDefault="00F425CB" w:rsidP="005157C2"/>
    <w:p w:rsidR="00F425CB" w:rsidRPr="007E7990" w:rsidRDefault="00F425CB" w:rsidP="005157C2">
      <w:r w:rsidRPr="007E7990">
        <w:t>Areas identified by the regional networks for inclusion in future radiation oncology service planning include:</w:t>
      </w:r>
    </w:p>
    <w:p w:rsidR="00F425CB" w:rsidRPr="007E7990" w:rsidRDefault="005157C2" w:rsidP="005157C2">
      <w:pPr>
        <w:pStyle w:val="Bullet"/>
      </w:pPr>
      <w:r>
        <w:t>m</w:t>
      </w:r>
      <w:r w:rsidR="00F425CB" w:rsidRPr="007E7990">
        <w:t>odel of care (including outreach and satellite services)</w:t>
      </w:r>
    </w:p>
    <w:p w:rsidR="00F425CB" w:rsidRPr="007E7990" w:rsidRDefault="005157C2" w:rsidP="005157C2">
      <w:pPr>
        <w:pStyle w:val="Bullet"/>
      </w:pPr>
      <w:r>
        <w:t>st</w:t>
      </w:r>
      <w:r w:rsidR="00F425CB" w:rsidRPr="007E7990">
        <w:t>rategies to lift intervention rates</w:t>
      </w:r>
    </w:p>
    <w:p w:rsidR="00F425CB" w:rsidRPr="007E7990" w:rsidRDefault="005157C2" w:rsidP="005157C2">
      <w:pPr>
        <w:pStyle w:val="Bullet"/>
      </w:pPr>
      <w:r>
        <w:t>g</w:t>
      </w:r>
      <w:r w:rsidR="00F425CB" w:rsidRPr="007E7990">
        <w:t>overnance</w:t>
      </w:r>
    </w:p>
    <w:p w:rsidR="00F425CB" w:rsidRPr="007E7990" w:rsidRDefault="005157C2" w:rsidP="005157C2">
      <w:pPr>
        <w:pStyle w:val="Bullet"/>
      </w:pPr>
      <w:r>
        <w:t>c</w:t>
      </w:r>
      <w:r w:rsidR="00F425CB" w:rsidRPr="007E7990">
        <w:t>apacity planning for other treatments (</w:t>
      </w:r>
      <w:proofErr w:type="spellStart"/>
      <w:r w:rsidR="00F425CB" w:rsidRPr="007E7990">
        <w:t>eg</w:t>
      </w:r>
      <w:proofErr w:type="spellEnd"/>
      <w:r w:rsidR="00F425CB" w:rsidRPr="007E7990">
        <w:t>, brachytherapy) and support services (</w:t>
      </w:r>
      <w:proofErr w:type="spellStart"/>
      <w:r w:rsidR="00F425CB" w:rsidRPr="007E7990">
        <w:t>eg</w:t>
      </w:r>
      <w:proofErr w:type="spellEnd"/>
      <w:r w:rsidR="00F425CB" w:rsidRPr="007E7990">
        <w:t>, imaging)</w:t>
      </w:r>
    </w:p>
    <w:p w:rsidR="00F425CB" w:rsidRPr="007E7990" w:rsidRDefault="005157C2" w:rsidP="005157C2">
      <w:pPr>
        <w:pStyle w:val="Bullet"/>
      </w:pPr>
      <w:r>
        <w:t>l</w:t>
      </w:r>
      <w:r w:rsidR="00F425CB" w:rsidRPr="007E7990">
        <w:t>inkage of forecasts with contracted IDF volumes</w:t>
      </w:r>
    </w:p>
    <w:p w:rsidR="00F425CB" w:rsidRPr="007E7990" w:rsidRDefault="005157C2" w:rsidP="005157C2">
      <w:pPr>
        <w:pStyle w:val="Bullet"/>
      </w:pPr>
      <w:r>
        <w:t>p</w:t>
      </w:r>
      <w:r w:rsidR="00F425CB" w:rsidRPr="007E7990">
        <w:t>atient accommodation</w:t>
      </w:r>
    </w:p>
    <w:p w:rsidR="00F425CB" w:rsidRPr="007E7990" w:rsidRDefault="005157C2" w:rsidP="005157C2">
      <w:pPr>
        <w:pStyle w:val="Bullet"/>
      </w:pPr>
      <w:r>
        <w:t>p</w:t>
      </w:r>
      <w:r w:rsidR="00F425CB" w:rsidRPr="007E7990">
        <w:t>rivate sector impacts and relationships</w:t>
      </w:r>
    </w:p>
    <w:p w:rsidR="00F425CB" w:rsidRPr="007E7990" w:rsidRDefault="005157C2" w:rsidP="005157C2">
      <w:pPr>
        <w:pStyle w:val="Bullet"/>
      </w:pPr>
      <w:r>
        <w:t>l</w:t>
      </w:r>
      <w:r w:rsidR="00F425CB" w:rsidRPr="007E7990">
        <w:t>inkage of radiation therapy with other cancer treatments, including through development of tumour</w:t>
      </w:r>
      <w:r w:rsidR="0007247E">
        <w:t xml:space="preserve"> care pathways and use of multi</w:t>
      </w:r>
      <w:r w:rsidR="00F425CB" w:rsidRPr="007E7990">
        <w:t>disciplinary meetings (MDMs)</w:t>
      </w:r>
    </w:p>
    <w:p w:rsidR="00F425CB" w:rsidRPr="007E7990" w:rsidDel="00E02CAC" w:rsidRDefault="005157C2" w:rsidP="005157C2">
      <w:pPr>
        <w:pStyle w:val="Bullet"/>
      </w:pPr>
      <w:r>
        <w:t>b</w:t>
      </w:r>
      <w:r w:rsidR="00F425CB" w:rsidRPr="007E7990">
        <w:t>uilding public understanding of radiation therapy</w:t>
      </w:r>
    </w:p>
    <w:p w:rsidR="00F425CB" w:rsidRPr="007E7990" w:rsidRDefault="005157C2" w:rsidP="005157C2">
      <w:pPr>
        <w:pStyle w:val="Bullet"/>
      </w:pPr>
      <w:proofErr w:type="gramStart"/>
      <w:r>
        <w:t>p</w:t>
      </w:r>
      <w:r w:rsidR="00F425CB" w:rsidRPr="007E7990">
        <w:t>romoting</w:t>
      </w:r>
      <w:proofErr w:type="gramEnd"/>
      <w:r w:rsidR="00F425CB" w:rsidRPr="007E7990">
        <w:t xml:space="preserve"> research.</w:t>
      </w:r>
    </w:p>
    <w:p w:rsidR="00F425CB" w:rsidRPr="007E7990" w:rsidRDefault="00F425CB" w:rsidP="005157C2"/>
    <w:p w:rsidR="005157C2" w:rsidRPr="007E7990" w:rsidRDefault="005157C2" w:rsidP="005157C2">
      <w:pPr>
        <w:pStyle w:val="BoxHeading"/>
      </w:pPr>
      <w:r w:rsidRPr="007E7990">
        <w:t>Recommendations: Operating environment</w:t>
      </w:r>
    </w:p>
    <w:p w:rsidR="005157C2" w:rsidRDefault="005157C2" w:rsidP="005157C2">
      <w:pPr>
        <w:pStyle w:val="Boxnumber"/>
      </w:pPr>
      <w:r w:rsidRPr="007E7990">
        <w:t>The national radiation oncology service specification should be reviewed by the Ministry and DHBs</w:t>
      </w:r>
      <w:r>
        <w:t xml:space="preserve"> to ensure it remains relevant.</w:t>
      </w:r>
    </w:p>
    <w:p w:rsidR="005157C2" w:rsidRPr="005157C2" w:rsidRDefault="005157C2" w:rsidP="005157C2"/>
    <w:p w:rsidR="00F425CB" w:rsidRPr="007E7990" w:rsidRDefault="005157C2" w:rsidP="005157C2">
      <w:pPr>
        <w:pStyle w:val="Heading1"/>
      </w:pPr>
      <w:bookmarkStart w:id="39" w:name="_Toc376936351"/>
      <w:r>
        <w:br w:type="page"/>
      </w:r>
      <w:bookmarkStart w:id="40" w:name="_Toc384202853"/>
      <w:r w:rsidR="00F425CB" w:rsidRPr="007E7990">
        <w:lastRenderedPageBreak/>
        <w:t>3</w:t>
      </w:r>
      <w:r w:rsidR="00F425CB" w:rsidRPr="007E7990">
        <w:tab/>
        <w:t>Current radiation therapy services</w:t>
      </w:r>
      <w:bookmarkEnd w:id="39"/>
      <w:bookmarkEnd w:id="40"/>
    </w:p>
    <w:p w:rsidR="00794C8B" w:rsidRPr="0021236A" w:rsidRDefault="00794C8B" w:rsidP="00794C8B">
      <w:pPr>
        <w:pStyle w:val="Box"/>
      </w:pPr>
      <w:r w:rsidRPr="0021236A">
        <w:t xml:space="preserve">Section 3 describes the current configuration, capacity and workforce of </w:t>
      </w:r>
      <w:r>
        <w:t>radiation therapy services in New Zealand.</w:t>
      </w:r>
    </w:p>
    <w:p w:rsidR="00F425CB" w:rsidRPr="007E7990" w:rsidRDefault="00F425CB" w:rsidP="00794C8B"/>
    <w:p w:rsidR="00F425CB" w:rsidRPr="007E7990" w:rsidRDefault="00F425CB" w:rsidP="00794C8B">
      <w:pPr>
        <w:pStyle w:val="Heading2"/>
      </w:pPr>
      <w:bookmarkStart w:id="41" w:name="_Toc376936352"/>
      <w:bookmarkStart w:id="42" w:name="_Toc384202854"/>
      <w:r w:rsidRPr="007E7990">
        <w:t>3.1</w:t>
      </w:r>
      <w:r w:rsidRPr="007E7990">
        <w:tab/>
        <w:t>Current configuration</w:t>
      </w:r>
      <w:bookmarkEnd w:id="41"/>
      <w:bookmarkEnd w:id="42"/>
    </w:p>
    <w:p w:rsidR="00F425CB" w:rsidRPr="007E7990" w:rsidRDefault="00F425CB" w:rsidP="00794C8B">
      <w:r w:rsidRPr="007E7990">
        <w:t>Historically New Zealand has had six cancer centres offering multiple treatment modalities (including radiation therapy) across a wide range of tumour types.</w:t>
      </w:r>
      <w:r w:rsidR="007E7990" w:rsidRPr="007E7990">
        <w:t xml:space="preserve"> </w:t>
      </w:r>
      <w:r w:rsidRPr="007E7990">
        <w:t>The cancer centres, which are focal points for cancer treatment and care, training, continuing education and research, are located in:</w:t>
      </w:r>
    </w:p>
    <w:p w:rsidR="00F425CB" w:rsidRPr="007E7990" w:rsidRDefault="00F425CB" w:rsidP="00794C8B">
      <w:pPr>
        <w:pStyle w:val="Bullet"/>
      </w:pPr>
      <w:r w:rsidRPr="007E7990">
        <w:t>Auckland (Auckland DHB)</w:t>
      </w:r>
    </w:p>
    <w:p w:rsidR="00F425CB" w:rsidRPr="007E7990" w:rsidRDefault="00F425CB" w:rsidP="00794C8B">
      <w:pPr>
        <w:pStyle w:val="Bullet"/>
      </w:pPr>
      <w:r w:rsidRPr="007E7990">
        <w:t>Hamilton (Waikato DHB)</w:t>
      </w:r>
    </w:p>
    <w:p w:rsidR="00F425CB" w:rsidRPr="007E7990" w:rsidRDefault="00F425CB" w:rsidP="00794C8B">
      <w:pPr>
        <w:pStyle w:val="Bullet"/>
      </w:pPr>
      <w:proofErr w:type="spellStart"/>
      <w:r w:rsidRPr="007E7990">
        <w:t>Palmerston</w:t>
      </w:r>
      <w:proofErr w:type="spellEnd"/>
      <w:r w:rsidRPr="007E7990">
        <w:t xml:space="preserve"> North (</w:t>
      </w:r>
      <w:proofErr w:type="spellStart"/>
      <w:r w:rsidRPr="007E7990">
        <w:t>MidCentral</w:t>
      </w:r>
      <w:proofErr w:type="spellEnd"/>
      <w:r w:rsidRPr="007E7990">
        <w:t xml:space="preserve"> DHB)</w:t>
      </w:r>
    </w:p>
    <w:p w:rsidR="00F425CB" w:rsidRPr="007E7990" w:rsidRDefault="00F425CB" w:rsidP="00794C8B">
      <w:pPr>
        <w:pStyle w:val="Bullet"/>
      </w:pPr>
      <w:r w:rsidRPr="007E7990">
        <w:t>Wellington (Capital and Coast DHB)</w:t>
      </w:r>
    </w:p>
    <w:p w:rsidR="00F425CB" w:rsidRPr="007E7990" w:rsidRDefault="00F425CB" w:rsidP="00794C8B">
      <w:pPr>
        <w:pStyle w:val="Bullet"/>
      </w:pPr>
      <w:r w:rsidRPr="007E7990">
        <w:t>Christchurch (Canterbury DHB)</w:t>
      </w:r>
    </w:p>
    <w:p w:rsidR="00F425CB" w:rsidRPr="007E7990" w:rsidRDefault="00F425CB" w:rsidP="00794C8B">
      <w:pPr>
        <w:pStyle w:val="Bullet"/>
      </w:pPr>
      <w:r w:rsidRPr="007E7990">
        <w:t>Dunedin (Southern DHB).</w:t>
      </w:r>
    </w:p>
    <w:p w:rsidR="00F425CB" w:rsidRPr="007E7990" w:rsidRDefault="00F425CB" w:rsidP="00794C8B"/>
    <w:p w:rsidR="00F425CB" w:rsidRPr="007E7990" w:rsidRDefault="00F425CB" w:rsidP="00794C8B">
      <w:r w:rsidRPr="007E7990">
        <w:t>Over recent years provision of radiation therapy services has widened with the development of private radiation therapy units in:</w:t>
      </w:r>
    </w:p>
    <w:p w:rsidR="00F425CB" w:rsidRPr="007E7990" w:rsidRDefault="00F425CB" w:rsidP="00794C8B">
      <w:pPr>
        <w:pStyle w:val="Bullet"/>
      </w:pPr>
      <w:r w:rsidRPr="007E7990">
        <w:t xml:space="preserve">Auckland, with Auckland Radiation Oncology as a partnership between </w:t>
      </w:r>
      <w:proofErr w:type="spellStart"/>
      <w:r w:rsidRPr="007E7990">
        <w:t>MercyAscot</w:t>
      </w:r>
      <w:proofErr w:type="spellEnd"/>
      <w:r w:rsidRPr="007E7990">
        <w:t xml:space="preserve"> and Southern Cross hospitals</w:t>
      </w:r>
    </w:p>
    <w:p w:rsidR="007E7990" w:rsidRPr="007E7990" w:rsidRDefault="00F425CB" w:rsidP="00794C8B">
      <w:pPr>
        <w:pStyle w:val="Bullet"/>
      </w:pPr>
      <w:r w:rsidRPr="007E7990">
        <w:t>Christchurch, at the St George</w:t>
      </w:r>
      <w:r w:rsidR="007E7990" w:rsidRPr="007E7990">
        <w:t>’</w:t>
      </w:r>
      <w:r w:rsidRPr="007E7990">
        <w:t>s Cancer Care Centre.</w:t>
      </w:r>
    </w:p>
    <w:p w:rsidR="00794C8B" w:rsidRDefault="00794C8B" w:rsidP="00794C8B"/>
    <w:p w:rsidR="007E7990" w:rsidRPr="007E7990" w:rsidRDefault="00F425CB" w:rsidP="00794C8B">
      <w:r w:rsidRPr="007E7990">
        <w:t>In addition a private radiation therapy service is being developed at Tauranga Hospital, serving both privately and publicly funded patients.</w:t>
      </w:r>
      <w:r w:rsidR="007E7990" w:rsidRPr="007E7990">
        <w:t xml:space="preserve"> </w:t>
      </w:r>
      <w:r w:rsidRPr="007E7990">
        <w:t>It will be operational from 2014 as the Kathleen Kilgour Centre.</w:t>
      </w:r>
    </w:p>
    <w:p w:rsidR="00F425CB" w:rsidRPr="007E7990" w:rsidRDefault="00F425CB" w:rsidP="00794C8B">
      <w:bookmarkStart w:id="43" w:name="_Ref366740341"/>
    </w:p>
    <w:p w:rsidR="00F425CB" w:rsidRPr="007E7990" w:rsidRDefault="00F425CB" w:rsidP="00794C8B">
      <w:pPr>
        <w:pStyle w:val="Table"/>
      </w:pPr>
      <w:bookmarkStart w:id="44" w:name="_Ref367372402"/>
      <w:bookmarkStart w:id="45" w:name="_Toc384202876"/>
      <w:bookmarkEnd w:id="43"/>
      <w:r w:rsidRPr="007E7990">
        <w:lastRenderedPageBreak/>
        <w:t xml:space="preserve">Table </w:t>
      </w:r>
      <w:r w:rsidR="00794C8B">
        <w:t>1</w:t>
      </w:r>
      <w:bookmarkEnd w:id="44"/>
      <w:r w:rsidR="00794C8B">
        <w:t>:</w:t>
      </w:r>
      <w:r w:rsidR="007E7990" w:rsidRPr="007E7990">
        <w:t xml:space="preserve"> </w:t>
      </w:r>
      <w:r w:rsidRPr="007E7990">
        <w:t>Radiation therapy locations and activity (2012 and 2014)</w:t>
      </w:r>
      <w:bookmarkEnd w:id="45"/>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410"/>
        <w:gridCol w:w="1389"/>
        <w:gridCol w:w="1389"/>
        <w:gridCol w:w="1389"/>
        <w:gridCol w:w="1389"/>
        <w:gridCol w:w="1390"/>
      </w:tblGrid>
      <w:tr w:rsidR="00F425CB" w:rsidRPr="00794C8B" w:rsidTr="00C73F47">
        <w:trPr>
          <w:cantSplit/>
        </w:trPr>
        <w:tc>
          <w:tcPr>
            <w:tcW w:w="2410" w:type="dxa"/>
            <w:shd w:val="clear" w:color="auto" w:fill="BDE2FF"/>
          </w:tcPr>
          <w:p w:rsidR="00F425CB" w:rsidRPr="00794C8B" w:rsidRDefault="00F425CB" w:rsidP="00794C8B">
            <w:pPr>
              <w:pStyle w:val="TableText"/>
              <w:keepNext/>
              <w:rPr>
                <w:b/>
                <w:lang w:eastAsia="en-NZ"/>
              </w:rPr>
            </w:pPr>
            <w:r w:rsidRPr="00794C8B">
              <w:rPr>
                <w:b/>
                <w:lang w:eastAsia="en-NZ"/>
              </w:rPr>
              <w:t>Centre</w:t>
            </w:r>
          </w:p>
        </w:tc>
        <w:tc>
          <w:tcPr>
            <w:tcW w:w="1389" w:type="dxa"/>
            <w:shd w:val="clear" w:color="auto" w:fill="BDE2FF"/>
          </w:tcPr>
          <w:p w:rsidR="00F425CB" w:rsidRPr="00794C8B" w:rsidRDefault="00F425CB" w:rsidP="00794C8B">
            <w:pPr>
              <w:pStyle w:val="TableText"/>
              <w:keepNext/>
              <w:jc w:val="center"/>
              <w:rPr>
                <w:b/>
                <w:lang w:eastAsia="en-NZ"/>
              </w:rPr>
            </w:pPr>
            <w:r w:rsidRPr="00794C8B">
              <w:rPr>
                <w:b/>
                <w:lang w:eastAsia="en-NZ"/>
              </w:rPr>
              <w:t>Public/ private</w:t>
            </w:r>
          </w:p>
        </w:tc>
        <w:tc>
          <w:tcPr>
            <w:tcW w:w="1389" w:type="dxa"/>
            <w:shd w:val="clear" w:color="auto" w:fill="BDE2FF"/>
          </w:tcPr>
          <w:p w:rsidR="00F425CB" w:rsidRPr="00794C8B" w:rsidRDefault="00F425CB" w:rsidP="00794C8B">
            <w:pPr>
              <w:pStyle w:val="TableText"/>
              <w:keepNext/>
              <w:jc w:val="center"/>
              <w:rPr>
                <w:b/>
                <w:lang w:eastAsia="en-NZ"/>
              </w:rPr>
            </w:pPr>
            <w:r w:rsidRPr="00794C8B">
              <w:rPr>
                <w:b/>
                <w:lang w:eastAsia="en-NZ"/>
              </w:rPr>
              <w:t>Total linacs</w:t>
            </w:r>
          </w:p>
        </w:tc>
        <w:tc>
          <w:tcPr>
            <w:tcW w:w="1389" w:type="dxa"/>
            <w:shd w:val="clear" w:color="auto" w:fill="BDE2FF"/>
          </w:tcPr>
          <w:p w:rsidR="00F425CB" w:rsidRPr="00794C8B" w:rsidRDefault="00F425CB" w:rsidP="00794C8B">
            <w:pPr>
              <w:pStyle w:val="TableText"/>
              <w:keepNext/>
              <w:jc w:val="center"/>
              <w:rPr>
                <w:b/>
                <w:lang w:eastAsia="en-NZ"/>
              </w:rPr>
            </w:pPr>
            <w:r w:rsidRPr="00794C8B">
              <w:rPr>
                <w:b/>
                <w:lang w:eastAsia="en-NZ"/>
              </w:rPr>
              <w:t>Active linacs*</w:t>
            </w:r>
          </w:p>
        </w:tc>
        <w:tc>
          <w:tcPr>
            <w:tcW w:w="1389" w:type="dxa"/>
            <w:shd w:val="clear" w:color="auto" w:fill="BDE2FF"/>
          </w:tcPr>
          <w:p w:rsidR="00F425CB" w:rsidRPr="00794C8B" w:rsidRDefault="00F425CB" w:rsidP="00794C8B">
            <w:pPr>
              <w:pStyle w:val="TableText"/>
              <w:keepNext/>
              <w:jc w:val="center"/>
              <w:rPr>
                <w:b/>
                <w:lang w:eastAsia="en-NZ"/>
              </w:rPr>
            </w:pPr>
            <w:r w:rsidRPr="00794C8B">
              <w:rPr>
                <w:b/>
                <w:lang w:eastAsia="en-NZ"/>
              </w:rPr>
              <w:t>Courses in 2012</w:t>
            </w:r>
          </w:p>
        </w:tc>
        <w:tc>
          <w:tcPr>
            <w:tcW w:w="1390" w:type="dxa"/>
            <w:shd w:val="clear" w:color="auto" w:fill="BDE2FF"/>
          </w:tcPr>
          <w:p w:rsidR="00F425CB" w:rsidRPr="00794C8B" w:rsidRDefault="00F425CB" w:rsidP="00794C8B">
            <w:pPr>
              <w:pStyle w:val="TableText"/>
              <w:keepNext/>
              <w:jc w:val="center"/>
              <w:rPr>
                <w:b/>
                <w:lang w:eastAsia="en-NZ"/>
              </w:rPr>
            </w:pPr>
            <w:r w:rsidRPr="00794C8B">
              <w:rPr>
                <w:b/>
                <w:lang w:eastAsia="en-NZ"/>
              </w:rPr>
              <w:t>Courses per linac</w:t>
            </w:r>
          </w:p>
        </w:tc>
      </w:tr>
      <w:tr w:rsidR="00F425CB" w:rsidRPr="0021236A" w:rsidTr="00C73F47">
        <w:trPr>
          <w:cantSplit/>
        </w:trPr>
        <w:tc>
          <w:tcPr>
            <w:tcW w:w="2410" w:type="dxa"/>
            <w:shd w:val="clear" w:color="000000" w:fill="F2F2F2"/>
            <w:noWrap/>
          </w:tcPr>
          <w:p w:rsidR="00F425CB" w:rsidRPr="003C6296" w:rsidRDefault="00F425CB" w:rsidP="00794C8B">
            <w:pPr>
              <w:pStyle w:val="TableText"/>
              <w:keepNext/>
              <w:rPr>
                <w:color w:val="000000"/>
                <w:lang w:eastAsia="en-NZ"/>
              </w:rPr>
            </w:pPr>
            <w:r w:rsidRPr="003C6296">
              <w:rPr>
                <w:color w:val="000000"/>
                <w:lang w:eastAsia="en-NZ"/>
              </w:rPr>
              <w:t xml:space="preserve">Auckland </w:t>
            </w:r>
            <w:r>
              <w:rPr>
                <w:color w:val="000000"/>
                <w:lang w:eastAsia="en-NZ"/>
              </w:rPr>
              <w:t>DHB</w:t>
            </w:r>
          </w:p>
        </w:tc>
        <w:tc>
          <w:tcPr>
            <w:tcW w:w="1389" w:type="dxa"/>
            <w:noWrap/>
          </w:tcPr>
          <w:p w:rsidR="00F425CB" w:rsidRPr="003C6296" w:rsidRDefault="00F425CB" w:rsidP="00794C8B">
            <w:pPr>
              <w:pStyle w:val="TableText"/>
              <w:keepNext/>
              <w:ind w:left="284"/>
              <w:rPr>
                <w:color w:val="000000"/>
                <w:lang w:eastAsia="en-NZ"/>
              </w:rPr>
            </w:pPr>
            <w:r w:rsidRPr="003C6296">
              <w:rPr>
                <w:color w:val="000000"/>
                <w:lang w:eastAsia="en-NZ"/>
              </w:rPr>
              <w:t>Public</w:t>
            </w:r>
          </w:p>
        </w:tc>
        <w:tc>
          <w:tcPr>
            <w:tcW w:w="1389" w:type="dxa"/>
            <w:noWrap/>
          </w:tcPr>
          <w:p w:rsidR="00F425CB" w:rsidRPr="003C6296" w:rsidRDefault="00F425CB" w:rsidP="00794C8B">
            <w:pPr>
              <w:pStyle w:val="TableText"/>
              <w:keepNext/>
              <w:tabs>
                <w:tab w:val="decimal" w:pos="609"/>
              </w:tabs>
              <w:rPr>
                <w:color w:val="000000"/>
                <w:lang w:eastAsia="en-NZ"/>
              </w:rPr>
            </w:pPr>
            <w:r w:rsidRPr="003C6296">
              <w:rPr>
                <w:color w:val="000000"/>
                <w:lang w:eastAsia="en-NZ"/>
              </w:rPr>
              <w:t>6</w:t>
            </w:r>
          </w:p>
        </w:tc>
        <w:tc>
          <w:tcPr>
            <w:tcW w:w="1389" w:type="dxa"/>
            <w:noWrap/>
          </w:tcPr>
          <w:p w:rsidR="00F425CB" w:rsidRPr="003C6296" w:rsidRDefault="00F425CB" w:rsidP="00794C8B">
            <w:pPr>
              <w:pStyle w:val="TableText"/>
              <w:keepNext/>
              <w:tabs>
                <w:tab w:val="decimal" w:pos="516"/>
              </w:tabs>
              <w:rPr>
                <w:color w:val="000000"/>
                <w:lang w:eastAsia="en-NZ"/>
              </w:rPr>
            </w:pPr>
            <w:r w:rsidRPr="003C6296">
              <w:rPr>
                <w:color w:val="000000"/>
                <w:lang w:eastAsia="en-NZ"/>
              </w:rPr>
              <w:t>6</w:t>
            </w:r>
          </w:p>
        </w:tc>
        <w:tc>
          <w:tcPr>
            <w:tcW w:w="1389" w:type="dxa"/>
            <w:noWrap/>
          </w:tcPr>
          <w:p w:rsidR="00F425CB" w:rsidRPr="003C6296" w:rsidRDefault="00F425CB" w:rsidP="00794C8B">
            <w:pPr>
              <w:pStyle w:val="TableText"/>
              <w:keepNext/>
              <w:tabs>
                <w:tab w:val="decimal" w:pos="828"/>
              </w:tabs>
              <w:rPr>
                <w:color w:val="000000"/>
                <w:lang w:eastAsia="en-NZ"/>
              </w:rPr>
            </w:pPr>
            <w:r w:rsidRPr="003C6296">
              <w:rPr>
                <w:color w:val="000000"/>
                <w:lang w:eastAsia="en-NZ"/>
              </w:rPr>
              <w:t>3,072</w:t>
            </w:r>
          </w:p>
        </w:tc>
        <w:tc>
          <w:tcPr>
            <w:tcW w:w="1390" w:type="dxa"/>
            <w:noWrap/>
          </w:tcPr>
          <w:p w:rsidR="00F425CB" w:rsidRPr="003C6296" w:rsidRDefault="00F425CB" w:rsidP="00794C8B">
            <w:pPr>
              <w:pStyle w:val="TableText"/>
              <w:keepNext/>
              <w:jc w:val="center"/>
              <w:rPr>
                <w:color w:val="000000"/>
                <w:lang w:eastAsia="en-NZ"/>
              </w:rPr>
            </w:pPr>
            <w:r w:rsidRPr="003C6296">
              <w:rPr>
                <w:color w:val="000000"/>
                <w:lang w:eastAsia="en-NZ"/>
              </w:rPr>
              <w:t>512</w:t>
            </w:r>
          </w:p>
        </w:tc>
      </w:tr>
      <w:tr w:rsidR="00F425CB" w:rsidRPr="0021236A" w:rsidTr="00C73F47">
        <w:trPr>
          <w:cantSplit/>
        </w:trPr>
        <w:tc>
          <w:tcPr>
            <w:tcW w:w="2410" w:type="dxa"/>
            <w:shd w:val="clear" w:color="000000" w:fill="F2F2F2"/>
            <w:noWrap/>
          </w:tcPr>
          <w:p w:rsidR="00F425CB" w:rsidRPr="003C6296" w:rsidRDefault="00F425CB" w:rsidP="00794C8B">
            <w:pPr>
              <w:pStyle w:val="TableText"/>
              <w:keepNext/>
              <w:rPr>
                <w:color w:val="000000"/>
                <w:lang w:eastAsia="en-NZ"/>
              </w:rPr>
            </w:pPr>
            <w:r w:rsidRPr="003C6296">
              <w:rPr>
                <w:color w:val="000000"/>
                <w:lang w:eastAsia="en-NZ"/>
              </w:rPr>
              <w:t>Auckland Radiation Oncology</w:t>
            </w:r>
          </w:p>
        </w:tc>
        <w:tc>
          <w:tcPr>
            <w:tcW w:w="1389" w:type="dxa"/>
            <w:noWrap/>
          </w:tcPr>
          <w:p w:rsidR="00F425CB" w:rsidRPr="003C6296" w:rsidRDefault="00F425CB" w:rsidP="00794C8B">
            <w:pPr>
              <w:pStyle w:val="TableText"/>
              <w:keepNext/>
              <w:ind w:left="284"/>
              <w:rPr>
                <w:color w:val="000000"/>
                <w:lang w:eastAsia="en-NZ"/>
              </w:rPr>
            </w:pPr>
            <w:r w:rsidRPr="003C6296">
              <w:rPr>
                <w:color w:val="000000"/>
                <w:lang w:eastAsia="en-NZ"/>
              </w:rPr>
              <w:t>Private</w:t>
            </w:r>
          </w:p>
        </w:tc>
        <w:tc>
          <w:tcPr>
            <w:tcW w:w="1389" w:type="dxa"/>
            <w:noWrap/>
          </w:tcPr>
          <w:p w:rsidR="00F425CB" w:rsidRPr="003C6296" w:rsidRDefault="00F425CB" w:rsidP="00794C8B">
            <w:pPr>
              <w:pStyle w:val="TableText"/>
              <w:keepNext/>
              <w:tabs>
                <w:tab w:val="decimal" w:pos="609"/>
              </w:tabs>
              <w:rPr>
                <w:color w:val="000000"/>
                <w:lang w:eastAsia="en-NZ"/>
              </w:rPr>
            </w:pPr>
            <w:r w:rsidRPr="003C6296">
              <w:rPr>
                <w:color w:val="000000"/>
                <w:lang w:eastAsia="en-NZ"/>
              </w:rPr>
              <w:t>3</w:t>
            </w:r>
          </w:p>
        </w:tc>
        <w:tc>
          <w:tcPr>
            <w:tcW w:w="1389" w:type="dxa"/>
            <w:noWrap/>
          </w:tcPr>
          <w:p w:rsidR="00F425CB" w:rsidRPr="003C6296" w:rsidRDefault="00F425CB" w:rsidP="00794C8B">
            <w:pPr>
              <w:pStyle w:val="TableText"/>
              <w:keepNext/>
              <w:tabs>
                <w:tab w:val="decimal" w:pos="516"/>
              </w:tabs>
              <w:rPr>
                <w:color w:val="000000"/>
                <w:lang w:eastAsia="en-NZ"/>
              </w:rPr>
            </w:pPr>
            <w:r w:rsidRPr="003C6296">
              <w:rPr>
                <w:color w:val="000000"/>
                <w:lang w:eastAsia="en-NZ"/>
              </w:rPr>
              <w:t>2</w:t>
            </w:r>
          </w:p>
        </w:tc>
        <w:tc>
          <w:tcPr>
            <w:tcW w:w="1389" w:type="dxa"/>
            <w:noWrap/>
          </w:tcPr>
          <w:p w:rsidR="00F425CB" w:rsidRPr="003C6296" w:rsidRDefault="00F425CB" w:rsidP="00794C8B">
            <w:pPr>
              <w:pStyle w:val="TableText"/>
              <w:keepNext/>
              <w:tabs>
                <w:tab w:val="decimal" w:pos="828"/>
              </w:tabs>
              <w:rPr>
                <w:color w:val="000000"/>
                <w:lang w:eastAsia="en-NZ"/>
              </w:rPr>
            </w:pPr>
            <w:r w:rsidRPr="003C6296">
              <w:rPr>
                <w:color w:val="000000"/>
                <w:lang w:eastAsia="en-NZ"/>
              </w:rPr>
              <w:t>722</w:t>
            </w:r>
          </w:p>
        </w:tc>
        <w:tc>
          <w:tcPr>
            <w:tcW w:w="1390" w:type="dxa"/>
            <w:noWrap/>
          </w:tcPr>
          <w:p w:rsidR="00F425CB" w:rsidRPr="003C6296" w:rsidRDefault="00F425CB" w:rsidP="00794C8B">
            <w:pPr>
              <w:pStyle w:val="TableText"/>
              <w:keepNext/>
              <w:jc w:val="center"/>
              <w:rPr>
                <w:color w:val="000000"/>
                <w:lang w:eastAsia="en-NZ"/>
              </w:rPr>
            </w:pPr>
            <w:r w:rsidRPr="003C6296">
              <w:rPr>
                <w:color w:val="000000"/>
                <w:lang w:eastAsia="en-NZ"/>
              </w:rPr>
              <w:t>361</w:t>
            </w:r>
          </w:p>
        </w:tc>
      </w:tr>
      <w:tr w:rsidR="00F425CB" w:rsidRPr="0021236A" w:rsidTr="00C73F47">
        <w:trPr>
          <w:cantSplit/>
        </w:trPr>
        <w:tc>
          <w:tcPr>
            <w:tcW w:w="2410" w:type="dxa"/>
            <w:shd w:val="clear" w:color="000000" w:fill="F2F2F2"/>
            <w:noWrap/>
          </w:tcPr>
          <w:p w:rsidR="00F425CB" w:rsidRPr="003C6296" w:rsidRDefault="00F425CB" w:rsidP="00794C8B">
            <w:pPr>
              <w:pStyle w:val="TableText"/>
              <w:keepNext/>
              <w:rPr>
                <w:color w:val="000000"/>
                <w:lang w:eastAsia="en-NZ"/>
              </w:rPr>
            </w:pPr>
            <w:r w:rsidRPr="003C6296">
              <w:rPr>
                <w:color w:val="000000"/>
                <w:lang w:eastAsia="en-NZ"/>
              </w:rPr>
              <w:t xml:space="preserve">Waikato </w:t>
            </w:r>
            <w:r>
              <w:rPr>
                <w:color w:val="000000"/>
                <w:lang w:eastAsia="en-NZ"/>
              </w:rPr>
              <w:t>DHB</w:t>
            </w:r>
          </w:p>
        </w:tc>
        <w:tc>
          <w:tcPr>
            <w:tcW w:w="1389" w:type="dxa"/>
            <w:noWrap/>
          </w:tcPr>
          <w:p w:rsidR="00F425CB" w:rsidRPr="003C6296" w:rsidRDefault="00F425CB" w:rsidP="00794C8B">
            <w:pPr>
              <w:pStyle w:val="TableText"/>
              <w:keepNext/>
              <w:ind w:left="284"/>
              <w:rPr>
                <w:color w:val="000000"/>
                <w:lang w:eastAsia="en-NZ"/>
              </w:rPr>
            </w:pPr>
            <w:r w:rsidRPr="003C6296">
              <w:rPr>
                <w:color w:val="000000"/>
                <w:lang w:eastAsia="en-NZ"/>
              </w:rPr>
              <w:t>Public</w:t>
            </w:r>
          </w:p>
        </w:tc>
        <w:tc>
          <w:tcPr>
            <w:tcW w:w="1389" w:type="dxa"/>
            <w:noWrap/>
          </w:tcPr>
          <w:p w:rsidR="00F425CB" w:rsidRPr="003C6296" w:rsidRDefault="00F425CB" w:rsidP="00794C8B">
            <w:pPr>
              <w:pStyle w:val="TableText"/>
              <w:keepNext/>
              <w:tabs>
                <w:tab w:val="decimal" w:pos="609"/>
              </w:tabs>
              <w:rPr>
                <w:color w:val="000000"/>
                <w:lang w:eastAsia="en-NZ"/>
              </w:rPr>
            </w:pPr>
            <w:r w:rsidRPr="003C6296">
              <w:rPr>
                <w:color w:val="000000"/>
                <w:lang w:eastAsia="en-NZ"/>
              </w:rPr>
              <w:t>4</w:t>
            </w:r>
          </w:p>
        </w:tc>
        <w:tc>
          <w:tcPr>
            <w:tcW w:w="1389" w:type="dxa"/>
            <w:noWrap/>
          </w:tcPr>
          <w:p w:rsidR="00F425CB" w:rsidRPr="003C6296" w:rsidRDefault="00F425CB" w:rsidP="00794C8B">
            <w:pPr>
              <w:pStyle w:val="TableText"/>
              <w:keepNext/>
              <w:tabs>
                <w:tab w:val="decimal" w:pos="516"/>
              </w:tabs>
              <w:rPr>
                <w:color w:val="000000"/>
                <w:lang w:eastAsia="en-NZ"/>
              </w:rPr>
            </w:pPr>
            <w:r w:rsidRPr="003C6296">
              <w:rPr>
                <w:color w:val="000000"/>
                <w:lang w:eastAsia="en-NZ"/>
              </w:rPr>
              <w:t>4</w:t>
            </w:r>
          </w:p>
        </w:tc>
        <w:tc>
          <w:tcPr>
            <w:tcW w:w="1389" w:type="dxa"/>
            <w:noWrap/>
          </w:tcPr>
          <w:p w:rsidR="00F425CB" w:rsidRPr="003C6296" w:rsidRDefault="00F425CB" w:rsidP="00794C8B">
            <w:pPr>
              <w:pStyle w:val="TableText"/>
              <w:keepNext/>
              <w:tabs>
                <w:tab w:val="decimal" w:pos="828"/>
              </w:tabs>
              <w:rPr>
                <w:color w:val="000000"/>
                <w:lang w:eastAsia="en-NZ"/>
              </w:rPr>
            </w:pPr>
            <w:r w:rsidRPr="003C6296">
              <w:rPr>
                <w:color w:val="000000"/>
                <w:lang w:eastAsia="en-NZ"/>
              </w:rPr>
              <w:t>1,910</w:t>
            </w:r>
          </w:p>
        </w:tc>
        <w:tc>
          <w:tcPr>
            <w:tcW w:w="1390" w:type="dxa"/>
            <w:noWrap/>
          </w:tcPr>
          <w:p w:rsidR="00F425CB" w:rsidRPr="003C6296" w:rsidRDefault="00F425CB" w:rsidP="00794C8B">
            <w:pPr>
              <w:pStyle w:val="TableText"/>
              <w:keepNext/>
              <w:jc w:val="center"/>
              <w:rPr>
                <w:color w:val="000000"/>
                <w:lang w:eastAsia="en-NZ"/>
              </w:rPr>
            </w:pPr>
            <w:r w:rsidRPr="003C6296">
              <w:rPr>
                <w:color w:val="000000"/>
                <w:lang w:eastAsia="en-NZ"/>
              </w:rPr>
              <w:t>478</w:t>
            </w:r>
          </w:p>
        </w:tc>
      </w:tr>
      <w:tr w:rsidR="00F425CB" w:rsidRPr="0021236A" w:rsidTr="00C73F47">
        <w:trPr>
          <w:cantSplit/>
        </w:trPr>
        <w:tc>
          <w:tcPr>
            <w:tcW w:w="2410" w:type="dxa"/>
            <w:shd w:val="clear" w:color="000000" w:fill="F2F2F2"/>
            <w:noWrap/>
          </w:tcPr>
          <w:p w:rsidR="00F425CB" w:rsidRPr="00AE5888" w:rsidRDefault="00F425CB" w:rsidP="00794C8B">
            <w:pPr>
              <w:pStyle w:val="TableText"/>
              <w:keepNext/>
              <w:rPr>
                <w:i/>
                <w:color w:val="000000"/>
                <w:lang w:eastAsia="en-NZ"/>
              </w:rPr>
            </w:pPr>
            <w:r w:rsidRPr="00AE5888">
              <w:rPr>
                <w:i/>
                <w:color w:val="000000"/>
                <w:lang w:eastAsia="en-NZ"/>
              </w:rPr>
              <w:t>Kathleen Kilgour Centre</w:t>
            </w:r>
          </w:p>
        </w:tc>
        <w:tc>
          <w:tcPr>
            <w:tcW w:w="1389" w:type="dxa"/>
            <w:noWrap/>
          </w:tcPr>
          <w:p w:rsidR="00F425CB" w:rsidRPr="00AE5888" w:rsidRDefault="00F425CB" w:rsidP="00794C8B">
            <w:pPr>
              <w:pStyle w:val="TableText"/>
              <w:keepNext/>
              <w:ind w:left="284"/>
              <w:rPr>
                <w:i/>
                <w:color w:val="000000"/>
                <w:lang w:eastAsia="en-NZ"/>
              </w:rPr>
            </w:pPr>
            <w:r w:rsidRPr="00AE5888">
              <w:rPr>
                <w:i/>
                <w:color w:val="000000"/>
                <w:lang w:eastAsia="en-NZ"/>
              </w:rPr>
              <w:t>Private</w:t>
            </w:r>
          </w:p>
        </w:tc>
        <w:tc>
          <w:tcPr>
            <w:tcW w:w="1389" w:type="dxa"/>
            <w:noWrap/>
          </w:tcPr>
          <w:p w:rsidR="00F425CB" w:rsidRPr="00AE5888" w:rsidRDefault="00F425CB" w:rsidP="00794C8B">
            <w:pPr>
              <w:pStyle w:val="TableText"/>
              <w:keepNext/>
              <w:jc w:val="center"/>
              <w:rPr>
                <w:i/>
                <w:color w:val="000000"/>
                <w:lang w:eastAsia="en-NZ"/>
              </w:rPr>
            </w:pPr>
            <w:r w:rsidRPr="00AE5888">
              <w:rPr>
                <w:i/>
                <w:color w:val="000000"/>
                <w:lang w:eastAsia="en-NZ"/>
              </w:rPr>
              <w:t>2</w:t>
            </w:r>
            <w:r w:rsidR="007E7990">
              <w:rPr>
                <w:i/>
                <w:color w:val="000000"/>
                <w:lang w:eastAsia="en-NZ"/>
              </w:rPr>
              <w:t xml:space="preserve"> </w:t>
            </w:r>
            <w:r w:rsidRPr="00AE5888">
              <w:rPr>
                <w:i/>
                <w:color w:val="000000"/>
                <w:lang w:eastAsia="en-NZ"/>
              </w:rPr>
              <w:t>(2014)</w:t>
            </w:r>
          </w:p>
        </w:tc>
        <w:tc>
          <w:tcPr>
            <w:tcW w:w="1389" w:type="dxa"/>
            <w:noWrap/>
          </w:tcPr>
          <w:p w:rsidR="00F425CB" w:rsidRPr="00AE5888" w:rsidRDefault="00F425CB" w:rsidP="00794C8B">
            <w:pPr>
              <w:pStyle w:val="TableText"/>
              <w:keepNext/>
              <w:jc w:val="center"/>
              <w:rPr>
                <w:i/>
                <w:color w:val="000000"/>
                <w:lang w:eastAsia="en-NZ"/>
              </w:rPr>
            </w:pPr>
            <w:r w:rsidRPr="00AE5888">
              <w:rPr>
                <w:i/>
                <w:color w:val="000000"/>
                <w:lang w:eastAsia="en-NZ"/>
              </w:rPr>
              <w:t>2</w:t>
            </w:r>
            <w:r w:rsidR="007E7990">
              <w:rPr>
                <w:i/>
                <w:color w:val="000000"/>
                <w:lang w:eastAsia="en-NZ"/>
              </w:rPr>
              <w:t xml:space="preserve"> </w:t>
            </w:r>
            <w:r w:rsidRPr="00AE5888">
              <w:rPr>
                <w:i/>
                <w:color w:val="000000"/>
                <w:lang w:eastAsia="en-NZ"/>
              </w:rPr>
              <w:t>(2014)</w:t>
            </w:r>
          </w:p>
        </w:tc>
        <w:tc>
          <w:tcPr>
            <w:tcW w:w="1389" w:type="dxa"/>
            <w:noWrap/>
          </w:tcPr>
          <w:p w:rsidR="00F425CB" w:rsidRPr="003C6296" w:rsidRDefault="00F425CB" w:rsidP="00794C8B">
            <w:pPr>
              <w:pStyle w:val="TableText"/>
              <w:keepNext/>
              <w:tabs>
                <w:tab w:val="decimal" w:pos="828"/>
              </w:tabs>
              <w:rPr>
                <w:color w:val="000000"/>
                <w:lang w:eastAsia="en-NZ"/>
              </w:rPr>
            </w:pPr>
          </w:p>
        </w:tc>
        <w:tc>
          <w:tcPr>
            <w:tcW w:w="1390" w:type="dxa"/>
            <w:noWrap/>
          </w:tcPr>
          <w:p w:rsidR="00F425CB" w:rsidRPr="003C6296" w:rsidRDefault="00F425CB" w:rsidP="00794C8B">
            <w:pPr>
              <w:pStyle w:val="TableText"/>
              <w:keepNext/>
              <w:jc w:val="center"/>
              <w:rPr>
                <w:color w:val="000000"/>
                <w:lang w:eastAsia="en-NZ"/>
              </w:rPr>
            </w:pPr>
          </w:p>
        </w:tc>
      </w:tr>
      <w:tr w:rsidR="00F425CB" w:rsidRPr="0021236A" w:rsidTr="00C73F47">
        <w:trPr>
          <w:cantSplit/>
        </w:trPr>
        <w:tc>
          <w:tcPr>
            <w:tcW w:w="2410" w:type="dxa"/>
            <w:shd w:val="clear" w:color="000000" w:fill="F2F2F2"/>
            <w:noWrap/>
          </w:tcPr>
          <w:p w:rsidR="00F425CB" w:rsidRPr="003C6296" w:rsidRDefault="00F425CB" w:rsidP="00794C8B">
            <w:pPr>
              <w:pStyle w:val="TableText"/>
              <w:keepNext/>
              <w:rPr>
                <w:color w:val="000000"/>
                <w:lang w:eastAsia="en-NZ"/>
              </w:rPr>
            </w:pPr>
            <w:r>
              <w:rPr>
                <w:color w:val="000000"/>
                <w:lang w:eastAsia="en-NZ"/>
              </w:rPr>
              <w:t>MidCentral DHB</w:t>
            </w:r>
          </w:p>
        </w:tc>
        <w:tc>
          <w:tcPr>
            <w:tcW w:w="1389" w:type="dxa"/>
            <w:noWrap/>
          </w:tcPr>
          <w:p w:rsidR="00F425CB" w:rsidRPr="003C6296" w:rsidRDefault="00F425CB" w:rsidP="00794C8B">
            <w:pPr>
              <w:pStyle w:val="TableText"/>
              <w:keepNext/>
              <w:ind w:left="284"/>
              <w:rPr>
                <w:color w:val="000000"/>
                <w:lang w:eastAsia="en-NZ"/>
              </w:rPr>
            </w:pPr>
            <w:r w:rsidRPr="003C6296">
              <w:rPr>
                <w:color w:val="000000"/>
                <w:lang w:eastAsia="en-NZ"/>
              </w:rPr>
              <w:t>Public</w:t>
            </w:r>
          </w:p>
        </w:tc>
        <w:tc>
          <w:tcPr>
            <w:tcW w:w="1389" w:type="dxa"/>
            <w:noWrap/>
          </w:tcPr>
          <w:p w:rsidR="00F425CB" w:rsidRPr="003C6296" w:rsidRDefault="00F425CB" w:rsidP="00794C8B">
            <w:pPr>
              <w:pStyle w:val="TableText"/>
              <w:keepNext/>
              <w:tabs>
                <w:tab w:val="decimal" w:pos="609"/>
              </w:tabs>
              <w:rPr>
                <w:color w:val="000000"/>
                <w:lang w:eastAsia="en-NZ"/>
              </w:rPr>
            </w:pPr>
            <w:r w:rsidRPr="003C6296">
              <w:rPr>
                <w:color w:val="000000"/>
                <w:lang w:eastAsia="en-NZ"/>
              </w:rPr>
              <w:t>4</w:t>
            </w:r>
          </w:p>
        </w:tc>
        <w:tc>
          <w:tcPr>
            <w:tcW w:w="1389" w:type="dxa"/>
            <w:noWrap/>
          </w:tcPr>
          <w:p w:rsidR="00F425CB" w:rsidRPr="003C6296" w:rsidRDefault="00F425CB" w:rsidP="00794C8B">
            <w:pPr>
              <w:pStyle w:val="TableText"/>
              <w:keepNext/>
              <w:tabs>
                <w:tab w:val="decimal" w:pos="516"/>
              </w:tabs>
              <w:rPr>
                <w:color w:val="000000"/>
                <w:lang w:eastAsia="en-NZ"/>
              </w:rPr>
            </w:pPr>
            <w:r>
              <w:rPr>
                <w:color w:val="000000"/>
                <w:lang w:eastAsia="en-NZ"/>
              </w:rPr>
              <w:t>3.5</w:t>
            </w:r>
          </w:p>
        </w:tc>
        <w:tc>
          <w:tcPr>
            <w:tcW w:w="1389" w:type="dxa"/>
            <w:noWrap/>
          </w:tcPr>
          <w:p w:rsidR="00F425CB" w:rsidRPr="003C6296" w:rsidRDefault="00F425CB" w:rsidP="00794C8B">
            <w:pPr>
              <w:pStyle w:val="TableText"/>
              <w:keepNext/>
              <w:tabs>
                <w:tab w:val="decimal" w:pos="828"/>
              </w:tabs>
              <w:rPr>
                <w:color w:val="000000"/>
                <w:lang w:eastAsia="en-NZ"/>
              </w:rPr>
            </w:pPr>
            <w:r w:rsidRPr="003C6296">
              <w:rPr>
                <w:color w:val="000000"/>
                <w:lang w:eastAsia="en-NZ"/>
              </w:rPr>
              <w:t>1,</w:t>
            </w:r>
            <w:r>
              <w:rPr>
                <w:color w:val="000000"/>
                <w:lang w:eastAsia="en-NZ"/>
              </w:rPr>
              <w:t>480</w:t>
            </w:r>
          </w:p>
        </w:tc>
        <w:tc>
          <w:tcPr>
            <w:tcW w:w="1390" w:type="dxa"/>
            <w:noWrap/>
          </w:tcPr>
          <w:p w:rsidR="00F425CB" w:rsidRPr="003C6296" w:rsidRDefault="00F425CB" w:rsidP="00794C8B">
            <w:pPr>
              <w:pStyle w:val="TableText"/>
              <w:keepNext/>
              <w:jc w:val="center"/>
              <w:rPr>
                <w:color w:val="000000"/>
                <w:lang w:eastAsia="en-NZ"/>
              </w:rPr>
            </w:pPr>
            <w:r>
              <w:rPr>
                <w:color w:val="000000"/>
                <w:lang w:eastAsia="en-NZ"/>
              </w:rPr>
              <w:t>422</w:t>
            </w:r>
          </w:p>
        </w:tc>
      </w:tr>
      <w:tr w:rsidR="00F425CB" w:rsidRPr="0021236A" w:rsidTr="00C73F47">
        <w:trPr>
          <w:cantSplit/>
        </w:trPr>
        <w:tc>
          <w:tcPr>
            <w:tcW w:w="2410" w:type="dxa"/>
            <w:shd w:val="clear" w:color="000000" w:fill="F2F2F2"/>
            <w:noWrap/>
          </w:tcPr>
          <w:p w:rsidR="00F425CB" w:rsidRPr="003C6296" w:rsidRDefault="00F425CB" w:rsidP="00794C8B">
            <w:pPr>
              <w:pStyle w:val="TableText"/>
              <w:keepNext/>
              <w:rPr>
                <w:color w:val="000000"/>
                <w:lang w:eastAsia="en-NZ"/>
              </w:rPr>
            </w:pPr>
            <w:r>
              <w:rPr>
                <w:color w:val="000000"/>
                <w:lang w:eastAsia="en-NZ"/>
              </w:rPr>
              <w:t>Capital and Coast DHB</w:t>
            </w:r>
          </w:p>
        </w:tc>
        <w:tc>
          <w:tcPr>
            <w:tcW w:w="1389" w:type="dxa"/>
            <w:noWrap/>
          </w:tcPr>
          <w:p w:rsidR="00F425CB" w:rsidRPr="003C6296" w:rsidRDefault="00F425CB" w:rsidP="00794C8B">
            <w:pPr>
              <w:pStyle w:val="TableText"/>
              <w:keepNext/>
              <w:ind w:left="284"/>
              <w:rPr>
                <w:color w:val="000000"/>
                <w:lang w:eastAsia="en-NZ"/>
              </w:rPr>
            </w:pPr>
            <w:r w:rsidRPr="003C6296">
              <w:rPr>
                <w:color w:val="000000"/>
                <w:lang w:eastAsia="en-NZ"/>
              </w:rPr>
              <w:t>Public</w:t>
            </w:r>
          </w:p>
        </w:tc>
        <w:tc>
          <w:tcPr>
            <w:tcW w:w="1389" w:type="dxa"/>
            <w:noWrap/>
          </w:tcPr>
          <w:p w:rsidR="00F425CB" w:rsidRPr="003C6296" w:rsidRDefault="00F425CB" w:rsidP="00794C8B">
            <w:pPr>
              <w:pStyle w:val="TableText"/>
              <w:keepNext/>
              <w:tabs>
                <w:tab w:val="decimal" w:pos="609"/>
              </w:tabs>
              <w:rPr>
                <w:color w:val="000000"/>
                <w:lang w:eastAsia="en-NZ"/>
              </w:rPr>
            </w:pPr>
            <w:r w:rsidRPr="003C6296">
              <w:rPr>
                <w:color w:val="000000"/>
                <w:lang w:eastAsia="en-NZ"/>
              </w:rPr>
              <w:t>3</w:t>
            </w:r>
          </w:p>
        </w:tc>
        <w:tc>
          <w:tcPr>
            <w:tcW w:w="1389" w:type="dxa"/>
            <w:noWrap/>
          </w:tcPr>
          <w:p w:rsidR="00F425CB" w:rsidRPr="003C6296" w:rsidRDefault="00F425CB" w:rsidP="00794C8B">
            <w:pPr>
              <w:pStyle w:val="TableText"/>
              <w:keepNext/>
              <w:tabs>
                <w:tab w:val="decimal" w:pos="516"/>
              </w:tabs>
              <w:rPr>
                <w:color w:val="000000"/>
                <w:lang w:eastAsia="en-NZ"/>
              </w:rPr>
            </w:pPr>
            <w:r w:rsidRPr="003C6296">
              <w:rPr>
                <w:color w:val="000000"/>
                <w:lang w:eastAsia="en-NZ"/>
              </w:rPr>
              <w:t>3</w:t>
            </w:r>
          </w:p>
        </w:tc>
        <w:tc>
          <w:tcPr>
            <w:tcW w:w="1389" w:type="dxa"/>
            <w:noWrap/>
          </w:tcPr>
          <w:p w:rsidR="00F425CB" w:rsidRPr="003C6296" w:rsidRDefault="00F425CB" w:rsidP="00794C8B">
            <w:pPr>
              <w:pStyle w:val="TableText"/>
              <w:keepNext/>
              <w:tabs>
                <w:tab w:val="decimal" w:pos="828"/>
              </w:tabs>
              <w:rPr>
                <w:color w:val="000000"/>
                <w:lang w:eastAsia="en-NZ"/>
              </w:rPr>
            </w:pPr>
            <w:r w:rsidRPr="003C6296">
              <w:rPr>
                <w:color w:val="000000"/>
                <w:lang w:eastAsia="en-NZ"/>
              </w:rPr>
              <w:t>1,456</w:t>
            </w:r>
          </w:p>
        </w:tc>
        <w:tc>
          <w:tcPr>
            <w:tcW w:w="1390" w:type="dxa"/>
            <w:noWrap/>
          </w:tcPr>
          <w:p w:rsidR="00F425CB" w:rsidRPr="003C6296" w:rsidRDefault="00F425CB" w:rsidP="00794C8B">
            <w:pPr>
              <w:pStyle w:val="TableText"/>
              <w:keepNext/>
              <w:jc w:val="center"/>
              <w:rPr>
                <w:color w:val="000000"/>
                <w:lang w:eastAsia="en-NZ"/>
              </w:rPr>
            </w:pPr>
            <w:r w:rsidRPr="003C6296">
              <w:rPr>
                <w:color w:val="000000"/>
                <w:lang w:eastAsia="en-NZ"/>
              </w:rPr>
              <w:t>485</w:t>
            </w:r>
          </w:p>
        </w:tc>
      </w:tr>
      <w:tr w:rsidR="00F425CB" w:rsidRPr="0021236A" w:rsidTr="00C73F47">
        <w:trPr>
          <w:cantSplit/>
        </w:trPr>
        <w:tc>
          <w:tcPr>
            <w:tcW w:w="2410" w:type="dxa"/>
            <w:shd w:val="clear" w:color="000000" w:fill="F2F2F2"/>
            <w:noWrap/>
          </w:tcPr>
          <w:p w:rsidR="00F425CB" w:rsidRPr="003C6296" w:rsidRDefault="00F425CB" w:rsidP="00794C8B">
            <w:pPr>
              <w:pStyle w:val="TableText"/>
              <w:keepNext/>
              <w:rPr>
                <w:color w:val="000000"/>
                <w:lang w:eastAsia="en-NZ"/>
              </w:rPr>
            </w:pPr>
            <w:r w:rsidRPr="003C6296">
              <w:rPr>
                <w:color w:val="000000"/>
                <w:lang w:eastAsia="en-NZ"/>
              </w:rPr>
              <w:t xml:space="preserve">Canterbury </w:t>
            </w:r>
            <w:r>
              <w:rPr>
                <w:color w:val="000000"/>
                <w:lang w:eastAsia="en-NZ"/>
              </w:rPr>
              <w:t>DHB</w:t>
            </w:r>
          </w:p>
        </w:tc>
        <w:tc>
          <w:tcPr>
            <w:tcW w:w="1389" w:type="dxa"/>
            <w:noWrap/>
          </w:tcPr>
          <w:p w:rsidR="00F425CB" w:rsidRPr="003C6296" w:rsidRDefault="00F425CB" w:rsidP="00794C8B">
            <w:pPr>
              <w:pStyle w:val="TableText"/>
              <w:keepNext/>
              <w:ind w:left="284"/>
              <w:rPr>
                <w:color w:val="000000"/>
                <w:lang w:eastAsia="en-NZ"/>
              </w:rPr>
            </w:pPr>
            <w:r w:rsidRPr="003C6296">
              <w:rPr>
                <w:color w:val="000000"/>
                <w:lang w:eastAsia="en-NZ"/>
              </w:rPr>
              <w:t>Public</w:t>
            </w:r>
          </w:p>
        </w:tc>
        <w:tc>
          <w:tcPr>
            <w:tcW w:w="1389" w:type="dxa"/>
            <w:noWrap/>
          </w:tcPr>
          <w:p w:rsidR="00F425CB" w:rsidRPr="003C6296" w:rsidRDefault="00F425CB" w:rsidP="00794C8B">
            <w:pPr>
              <w:pStyle w:val="TableText"/>
              <w:keepNext/>
              <w:tabs>
                <w:tab w:val="decimal" w:pos="609"/>
              </w:tabs>
              <w:rPr>
                <w:color w:val="000000"/>
                <w:lang w:eastAsia="en-NZ"/>
              </w:rPr>
            </w:pPr>
            <w:r w:rsidRPr="003C6296">
              <w:rPr>
                <w:color w:val="000000"/>
                <w:lang w:eastAsia="en-NZ"/>
              </w:rPr>
              <w:t>4</w:t>
            </w:r>
          </w:p>
        </w:tc>
        <w:tc>
          <w:tcPr>
            <w:tcW w:w="1389" w:type="dxa"/>
            <w:noWrap/>
          </w:tcPr>
          <w:p w:rsidR="00F425CB" w:rsidRPr="003C6296" w:rsidRDefault="00F425CB" w:rsidP="00794C8B">
            <w:pPr>
              <w:pStyle w:val="TableText"/>
              <w:keepNext/>
              <w:tabs>
                <w:tab w:val="decimal" w:pos="516"/>
              </w:tabs>
              <w:rPr>
                <w:color w:val="000000"/>
                <w:lang w:eastAsia="en-NZ"/>
              </w:rPr>
            </w:pPr>
            <w:r w:rsidRPr="003C6296">
              <w:rPr>
                <w:color w:val="000000"/>
                <w:lang w:eastAsia="en-NZ"/>
              </w:rPr>
              <w:t>4</w:t>
            </w:r>
          </w:p>
        </w:tc>
        <w:tc>
          <w:tcPr>
            <w:tcW w:w="1389" w:type="dxa"/>
            <w:noWrap/>
          </w:tcPr>
          <w:p w:rsidR="00F425CB" w:rsidRPr="003C6296" w:rsidRDefault="00F425CB" w:rsidP="00794C8B">
            <w:pPr>
              <w:pStyle w:val="TableText"/>
              <w:keepNext/>
              <w:tabs>
                <w:tab w:val="decimal" w:pos="828"/>
              </w:tabs>
              <w:rPr>
                <w:color w:val="000000"/>
                <w:lang w:eastAsia="en-NZ"/>
              </w:rPr>
            </w:pPr>
            <w:r w:rsidRPr="003C6296">
              <w:rPr>
                <w:color w:val="000000"/>
                <w:lang w:eastAsia="en-NZ"/>
              </w:rPr>
              <w:t>1,830</w:t>
            </w:r>
          </w:p>
        </w:tc>
        <w:tc>
          <w:tcPr>
            <w:tcW w:w="1390" w:type="dxa"/>
            <w:noWrap/>
          </w:tcPr>
          <w:p w:rsidR="00F425CB" w:rsidRPr="003C6296" w:rsidRDefault="00F425CB" w:rsidP="00794C8B">
            <w:pPr>
              <w:pStyle w:val="TableText"/>
              <w:keepNext/>
              <w:jc w:val="center"/>
              <w:rPr>
                <w:color w:val="000000"/>
                <w:lang w:eastAsia="en-NZ"/>
              </w:rPr>
            </w:pPr>
            <w:r w:rsidRPr="003C6296">
              <w:rPr>
                <w:color w:val="000000"/>
                <w:lang w:eastAsia="en-NZ"/>
              </w:rPr>
              <w:t>458</w:t>
            </w:r>
          </w:p>
        </w:tc>
      </w:tr>
      <w:tr w:rsidR="00F425CB" w:rsidRPr="0021236A" w:rsidTr="00C73F47">
        <w:trPr>
          <w:cantSplit/>
        </w:trPr>
        <w:tc>
          <w:tcPr>
            <w:tcW w:w="2410" w:type="dxa"/>
            <w:shd w:val="clear" w:color="000000" w:fill="F2F2F2"/>
            <w:noWrap/>
          </w:tcPr>
          <w:p w:rsidR="00F425CB" w:rsidRPr="003C6296" w:rsidRDefault="00F425CB" w:rsidP="00794C8B">
            <w:pPr>
              <w:pStyle w:val="TableText"/>
              <w:rPr>
                <w:color w:val="000000"/>
                <w:lang w:eastAsia="en-NZ"/>
              </w:rPr>
            </w:pPr>
            <w:r w:rsidRPr="003C6296">
              <w:rPr>
                <w:color w:val="000000"/>
                <w:lang w:eastAsia="en-NZ"/>
              </w:rPr>
              <w:t>St George</w:t>
            </w:r>
            <w:r w:rsidR="007E7990">
              <w:rPr>
                <w:color w:val="000000"/>
                <w:lang w:eastAsia="en-NZ"/>
              </w:rPr>
              <w:t>’</w:t>
            </w:r>
            <w:r w:rsidRPr="003C6296">
              <w:rPr>
                <w:color w:val="000000"/>
                <w:lang w:eastAsia="en-NZ"/>
              </w:rPr>
              <w:t xml:space="preserve">s </w:t>
            </w:r>
            <w:r>
              <w:rPr>
                <w:color w:val="000000"/>
                <w:lang w:eastAsia="en-NZ"/>
              </w:rPr>
              <w:t xml:space="preserve">Cancer Care </w:t>
            </w:r>
            <w:r w:rsidRPr="003C6296">
              <w:rPr>
                <w:color w:val="000000"/>
                <w:lang w:eastAsia="en-NZ"/>
              </w:rPr>
              <w:t>Centre</w:t>
            </w:r>
          </w:p>
        </w:tc>
        <w:tc>
          <w:tcPr>
            <w:tcW w:w="1389" w:type="dxa"/>
            <w:noWrap/>
          </w:tcPr>
          <w:p w:rsidR="00F425CB" w:rsidRPr="003C6296" w:rsidRDefault="00F425CB" w:rsidP="00794C8B">
            <w:pPr>
              <w:pStyle w:val="TableText"/>
              <w:ind w:left="284"/>
              <w:rPr>
                <w:color w:val="000000"/>
                <w:lang w:eastAsia="en-NZ"/>
              </w:rPr>
            </w:pPr>
            <w:r w:rsidRPr="003C6296">
              <w:rPr>
                <w:color w:val="000000"/>
                <w:lang w:eastAsia="en-NZ"/>
              </w:rPr>
              <w:t>Private</w:t>
            </w:r>
          </w:p>
        </w:tc>
        <w:tc>
          <w:tcPr>
            <w:tcW w:w="1389" w:type="dxa"/>
            <w:noWrap/>
          </w:tcPr>
          <w:p w:rsidR="00F425CB" w:rsidRPr="003C6296" w:rsidRDefault="00F425CB" w:rsidP="00794C8B">
            <w:pPr>
              <w:pStyle w:val="TableText"/>
              <w:tabs>
                <w:tab w:val="decimal" w:pos="609"/>
              </w:tabs>
              <w:rPr>
                <w:color w:val="000000"/>
                <w:lang w:eastAsia="en-NZ"/>
              </w:rPr>
            </w:pPr>
            <w:r w:rsidRPr="003C6296">
              <w:rPr>
                <w:color w:val="000000"/>
                <w:lang w:eastAsia="en-NZ"/>
              </w:rPr>
              <w:t>2</w:t>
            </w:r>
          </w:p>
        </w:tc>
        <w:tc>
          <w:tcPr>
            <w:tcW w:w="1389" w:type="dxa"/>
            <w:noWrap/>
          </w:tcPr>
          <w:p w:rsidR="00F425CB" w:rsidRPr="003C6296" w:rsidRDefault="00F425CB" w:rsidP="00794C8B">
            <w:pPr>
              <w:pStyle w:val="TableText"/>
              <w:tabs>
                <w:tab w:val="decimal" w:pos="516"/>
              </w:tabs>
              <w:rPr>
                <w:color w:val="000000"/>
                <w:lang w:eastAsia="en-NZ"/>
              </w:rPr>
            </w:pPr>
            <w:r w:rsidRPr="003C6296">
              <w:rPr>
                <w:color w:val="000000"/>
                <w:lang w:eastAsia="en-NZ"/>
              </w:rPr>
              <w:t>1</w:t>
            </w:r>
          </w:p>
        </w:tc>
        <w:tc>
          <w:tcPr>
            <w:tcW w:w="1389" w:type="dxa"/>
            <w:noWrap/>
          </w:tcPr>
          <w:p w:rsidR="00F425CB" w:rsidRPr="003C6296" w:rsidRDefault="00F425CB" w:rsidP="00794C8B">
            <w:pPr>
              <w:pStyle w:val="TableText"/>
              <w:tabs>
                <w:tab w:val="decimal" w:pos="828"/>
              </w:tabs>
              <w:rPr>
                <w:color w:val="000000"/>
                <w:lang w:eastAsia="en-NZ"/>
              </w:rPr>
            </w:pPr>
            <w:r w:rsidRPr="003C6296">
              <w:rPr>
                <w:color w:val="000000"/>
                <w:lang w:eastAsia="en-NZ"/>
              </w:rPr>
              <w:t>313</w:t>
            </w:r>
          </w:p>
        </w:tc>
        <w:tc>
          <w:tcPr>
            <w:tcW w:w="1390" w:type="dxa"/>
            <w:noWrap/>
          </w:tcPr>
          <w:p w:rsidR="00F425CB" w:rsidRPr="003C6296" w:rsidRDefault="00F425CB" w:rsidP="00794C8B">
            <w:pPr>
              <w:pStyle w:val="TableText"/>
              <w:jc w:val="center"/>
              <w:rPr>
                <w:color w:val="000000"/>
                <w:lang w:eastAsia="en-NZ"/>
              </w:rPr>
            </w:pPr>
            <w:r w:rsidRPr="003C6296">
              <w:rPr>
                <w:color w:val="000000"/>
                <w:lang w:eastAsia="en-NZ"/>
              </w:rPr>
              <w:t>313</w:t>
            </w:r>
          </w:p>
        </w:tc>
      </w:tr>
      <w:tr w:rsidR="00F425CB" w:rsidRPr="0021236A" w:rsidTr="00C73F47">
        <w:trPr>
          <w:cantSplit/>
        </w:trPr>
        <w:tc>
          <w:tcPr>
            <w:tcW w:w="2410" w:type="dxa"/>
            <w:shd w:val="clear" w:color="000000" w:fill="F2F2F2"/>
            <w:noWrap/>
          </w:tcPr>
          <w:p w:rsidR="00F425CB" w:rsidRPr="003C6296" w:rsidRDefault="00F425CB" w:rsidP="00794C8B">
            <w:pPr>
              <w:pStyle w:val="TableText"/>
              <w:rPr>
                <w:color w:val="000000"/>
                <w:lang w:eastAsia="en-NZ"/>
              </w:rPr>
            </w:pPr>
            <w:r>
              <w:rPr>
                <w:color w:val="000000"/>
                <w:lang w:eastAsia="en-NZ"/>
              </w:rPr>
              <w:t>Southern DHB</w:t>
            </w:r>
          </w:p>
        </w:tc>
        <w:tc>
          <w:tcPr>
            <w:tcW w:w="1389" w:type="dxa"/>
            <w:noWrap/>
          </w:tcPr>
          <w:p w:rsidR="00F425CB" w:rsidRPr="003C6296" w:rsidRDefault="00F425CB" w:rsidP="00794C8B">
            <w:pPr>
              <w:pStyle w:val="TableText"/>
              <w:ind w:left="284"/>
              <w:rPr>
                <w:color w:val="000000"/>
                <w:lang w:eastAsia="en-NZ"/>
              </w:rPr>
            </w:pPr>
            <w:r w:rsidRPr="003C6296">
              <w:rPr>
                <w:color w:val="000000"/>
                <w:lang w:eastAsia="en-NZ"/>
              </w:rPr>
              <w:t>Public</w:t>
            </w:r>
          </w:p>
        </w:tc>
        <w:tc>
          <w:tcPr>
            <w:tcW w:w="1389" w:type="dxa"/>
            <w:noWrap/>
          </w:tcPr>
          <w:p w:rsidR="00F425CB" w:rsidRPr="003C6296" w:rsidRDefault="00F425CB" w:rsidP="00794C8B">
            <w:pPr>
              <w:pStyle w:val="TableText"/>
              <w:tabs>
                <w:tab w:val="decimal" w:pos="609"/>
              </w:tabs>
              <w:rPr>
                <w:color w:val="000000"/>
                <w:lang w:eastAsia="en-NZ"/>
              </w:rPr>
            </w:pPr>
            <w:r w:rsidRPr="003C6296">
              <w:rPr>
                <w:color w:val="000000"/>
                <w:lang w:eastAsia="en-NZ"/>
              </w:rPr>
              <w:t>3</w:t>
            </w:r>
          </w:p>
        </w:tc>
        <w:tc>
          <w:tcPr>
            <w:tcW w:w="1389" w:type="dxa"/>
            <w:noWrap/>
          </w:tcPr>
          <w:p w:rsidR="00F425CB" w:rsidRPr="003C6296" w:rsidRDefault="00F425CB" w:rsidP="00794C8B">
            <w:pPr>
              <w:pStyle w:val="TableText"/>
              <w:tabs>
                <w:tab w:val="decimal" w:pos="516"/>
              </w:tabs>
              <w:rPr>
                <w:color w:val="000000"/>
                <w:lang w:eastAsia="en-NZ"/>
              </w:rPr>
            </w:pPr>
            <w:r>
              <w:rPr>
                <w:color w:val="000000"/>
                <w:lang w:eastAsia="en-NZ"/>
              </w:rPr>
              <w:t>2</w:t>
            </w:r>
            <w:r w:rsidR="00794C8B">
              <w:rPr>
                <w:color w:val="000000"/>
                <w:lang w:eastAsia="en-NZ"/>
              </w:rPr>
              <w:t>.</w:t>
            </w:r>
            <w:r>
              <w:rPr>
                <w:color w:val="000000"/>
                <w:lang w:eastAsia="en-NZ"/>
              </w:rPr>
              <w:t>5</w:t>
            </w:r>
          </w:p>
        </w:tc>
        <w:tc>
          <w:tcPr>
            <w:tcW w:w="1389" w:type="dxa"/>
            <w:noWrap/>
          </w:tcPr>
          <w:p w:rsidR="00F425CB" w:rsidRPr="003C6296" w:rsidRDefault="00F425CB" w:rsidP="00794C8B">
            <w:pPr>
              <w:pStyle w:val="TableText"/>
              <w:tabs>
                <w:tab w:val="decimal" w:pos="828"/>
              </w:tabs>
              <w:rPr>
                <w:color w:val="000000"/>
                <w:lang w:eastAsia="en-NZ"/>
              </w:rPr>
            </w:pPr>
            <w:r w:rsidRPr="003C6296">
              <w:rPr>
                <w:color w:val="000000"/>
                <w:lang w:eastAsia="en-NZ"/>
              </w:rPr>
              <w:t>1,093</w:t>
            </w:r>
          </w:p>
        </w:tc>
        <w:tc>
          <w:tcPr>
            <w:tcW w:w="1390" w:type="dxa"/>
            <w:noWrap/>
          </w:tcPr>
          <w:p w:rsidR="00F425CB" w:rsidRPr="003C6296" w:rsidRDefault="00F425CB" w:rsidP="00794C8B">
            <w:pPr>
              <w:pStyle w:val="TableText"/>
              <w:jc w:val="center"/>
              <w:rPr>
                <w:color w:val="000000"/>
                <w:lang w:eastAsia="en-NZ"/>
              </w:rPr>
            </w:pPr>
            <w:r>
              <w:rPr>
                <w:color w:val="000000"/>
                <w:lang w:eastAsia="en-NZ"/>
              </w:rPr>
              <w:t>437</w:t>
            </w:r>
          </w:p>
        </w:tc>
      </w:tr>
      <w:tr w:rsidR="00F425CB" w:rsidRPr="00794C8B" w:rsidTr="00C73F47">
        <w:trPr>
          <w:cantSplit/>
        </w:trPr>
        <w:tc>
          <w:tcPr>
            <w:tcW w:w="2410" w:type="dxa"/>
            <w:noWrap/>
          </w:tcPr>
          <w:p w:rsidR="00F425CB" w:rsidRPr="00794C8B" w:rsidRDefault="00F425CB" w:rsidP="00794C8B">
            <w:pPr>
              <w:pStyle w:val="TableText"/>
              <w:rPr>
                <w:b/>
                <w:color w:val="000000"/>
                <w:lang w:eastAsia="en-NZ"/>
              </w:rPr>
            </w:pPr>
            <w:r w:rsidRPr="00794C8B">
              <w:rPr>
                <w:b/>
                <w:color w:val="000000"/>
                <w:lang w:eastAsia="en-NZ"/>
              </w:rPr>
              <w:t>Total 2012</w:t>
            </w:r>
          </w:p>
        </w:tc>
        <w:tc>
          <w:tcPr>
            <w:tcW w:w="1389" w:type="dxa"/>
            <w:noWrap/>
          </w:tcPr>
          <w:p w:rsidR="00F425CB" w:rsidRPr="00794C8B" w:rsidRDefault="00F425CB" w:rsidP="00794C8B">
            <w:pPr>
              <w:pStyle w:val="TableText"/>
              <w:ind w:left="284"/>
              <w:rPr>
                <w:b/>
                <w:color w:val="000000"/>
                <w:lang w:eastAsia="en-NZ"/>
              </w:rPr>
            </w:pPr>
          </w:p>
        </w:tc>
        <w:tc>
          <w:tcPr>
            <w:tcW w:w="1389" w:type="dxa"/>
            <w:noWrap/>
          </w:tcPr>
          <w:p w:rsidR="00F425CB" w:rsidRPr="00794C8B" w:rsidRDefault="00F425CB" w:rsidP="00794C8B">
            <w:pPr>
              <w:pStyle w:val="TableText"/>
              <w:tabs>
                <w:tab w:val="decimal" w:pos="609"/>
              </w:tabs>
              <w:rPr>
                <w:b/>
                <w:color w:val="000000"/>
                <w:lang w:eastAsia="en-NZ"/>
              </w:rPr>
            </w:pPr>
            <w:r w:rsidRPr="00794C8B">
              <w:rPr>
                <w:b/>
                <w:color w:val="000000"/>
                <w:lang w:eastAsia="en-NZ"/>
              </w:rPr>
              <w:t>29</w:t>
            </w:r>
          </w:p>
        </w:tc>
        <w:tc>
          <w:tcPr>
            <w:tcW w:w="1389" w:type="dxa"/>
            <w:noWrap/>
          </w:tcPr>
          <w:p w:rsidR="00F425CB" w:rsidRPr="00794C8B" w:rsidRDefault="00F425CB" w:rsidP="00794C8B">
            <w:pPr>
              <w:pStyle w:val="TableText"/>
              <w:tabs>
                <w:tab w:val="decimal" w:pos="516"/>
              </w:tabs>
              <w:rPr>
                <w:b/>
                <w:color w:val="000000"/>
                <w:lang w:eastAsia="en-NZ"/>
              </w:rPr>
            </w:pPr>
            <w:r w:rsidRPr="00794C8B">
              <w:rPr>
                <w:b/>
                <w:color w:val="000000"/>
                <w:lang w:eastAsia="en-NZ"/>
              </w:rPr>
              <w:t>26.5</w:t>
            </w:r>
          </w:p>
        </w:tc>
        <w:tc>
          <w:tcPr>
            <w:tcW w:w="1389" w:type="dxa"/>
            <w:noWrap/>
          </w:tcPr>
          <w:p w:rsidR="00F425CB" w:rsidRPr="00794C8B" w:rsidRDefault="00F425CB" w:rsidP="00794C8B">
            <w:pPr>
              <w:pStyle w:val="TableText"/>
              <w:tabs>
                <w:tab w:val="decimal" w:pos="828"/>
              </w:tabs>
              <w:rPr>
                <w:b/>
                <w:color w:val="000000"/>
                <w:lang w:eastAsia="en-NZ"/>
              </w:rPr>
            </w:pPr>
            <w:r w:rsidRPr="00794C8B">
              <w:rPr>
                <w:b/>
                <w:color w:val="000000"/>
                <w:lang w:eastAsia="en-NZ"/>
              </w:rPr>
              <w:t>11,876</w:t>
            </w:r>
          </w:p>
        </w:tc>
        <w:tc>
          <w:tcPr>
            <w:tcW w:w="1390" w:type="dxa"/>
            <w:noWrap/>
          </w:tcPr>
          <w:p w:rsidR="00F425CB" w:rsidRPr="00794C8B" w:rsidRDefault="00F425CB" w:rsidP="00794C8B">
            <w:pPr>
              <w:pStyle w:val="TableText"/>
              <w:jc w:val="center"/>
              <w:rPr>
                <w:b/>
                <w:color w:val="000000"/>
                <w:lang w:eastAsia="en-NZ"/>
              </w:rPr>
            </w:pPr>
            <w:r w:rsidRPr="00794C8B">
              <w:rPr>
                <w:b/>
                <w:color w:val="000000"/>
                <w:lang w:eastAsia="en-NZ"/>
              </w:rPr>
              <w:t>448</w:t>
            </w:r>
          </w:p>
        </w:tc>
      </w:tr>
      <w:tr w:rsidR="00F425CB" w:rsidRPr="00794C8B" w:rsidTr="00C73F47">
        <w:trPr>
          <w:cantSplit/>
        </w:trPr>
        <w:tc>
          <w:tcPr>
            <w:tcW w:w="2410" w:type="dxa"/>
            <w:noWrap/>
          </w:tcPr>
          <w:p w:rsidR="00F425CB" w:rsidRPr="00794C8B" w:rsidRDefault="00F425CB" w:rsidP="00794C8B">
            <w:pPr>
              <w:pStyle w:val="TableText"/>
              <w:rPr>
                <w:b/>
                <w:color w:val="000000"/>
                <w:lang w:eastAsia="en-NZ"/>
              </w:rPr>
            </w:pPr>
            <w:r w:rsidRPr="00794C8B">
              <w:rPr>
                <w:b/>
                <w:color w:val="000000"/>
                <w:lang w:eastAsia="en-NZ"/>
              </w:rPr>
              <w:t>Total in 2014</w:t>
            </w:r>
          </w:p>
        </w:tc>
        <w:tc>
          <w:tcPr>
            <w:tcW w:w="1389" w:type="dxa"/>
            <w:noWrap/>
          </w:tcPr>
          <w:p w:rsidR="00F425CB" w:rsidRPr="00794C8B" w:rsidRDefault="00F425CB" w:rsidP="00794C8B">
            <w:pPr>
              <w:pStyle w:val="TableText"/>
              <w:ind w:left="284"/>
              <w:rPr>
                <w:b/>
                <w:color w:val="000000"/>
                <w:lang w:eastAsia="en-NZ"/>
              </w:rPr>
            </w:pPr>
          </w:p>
        </w:tc>
        <w:tc>
          <w:tcPr>
            <w:tcW w:w="1389" w:type="dxa"/>
            <w:noWrap/>
          </w:tcPr>
          <w:p w:rsidR="00F425CB" w:rsidRPr="00794C8B" w:rsidRDefault="00F425CB" w:rsidP="00794C8B">
            <w:pPr>
              <w:pStyle w:val="TableText"/>
              <w:tabs>
                <w:tab w:val="decimal" w:pos="609"/>
              </w:tabs>
              <w:rPr>
                <w:b/>
                <w:color w:val="000000"/>
                <w:lang w:eastAsia="en-NZ"/>
              </w:rPr>
            </w:pPr>
            <w:r w:rsidRPr="00794C8B">
              <w:rPr>
                <w:b/>
                <w:color w:val="000000"/>
                <w:lang w:eastAsia="en-NZ"/>
              </w:rPr>
              <w:t>31</w:t>
            </w:r>
          </w:p>
        </w:tc>
        <w:tc>
          <w:tcPr>
            <w:tcW w:w="1389" w:type="dxa"/>
            <w:noWrap/>
          </w:tcPr>
          <w:p w:rsidR="00F425CB" w:rsidRPr="00794C8B" w:rsidRDefault="00F425CB" w:rsidP="00794C8B">
            <w:pPr>
              <w:pStyle w:val="TableText"/>
              <w:tabs>
                <w:tab w:val="decimal" w:pos="516"/>
              </w:tabs>
              <w:rPr>
                <w:b/>
                <w:color w:val="000000"/>
                <w:lang w:eastAsia="en-NZ"/>
              </w:rPr>
            </w:pPr>
            <w:r w:rsidRPr="00794C8B">
              <w:rPr>
                <w:b/>
                <w:color w:val="000000"/>
                <w:lang w:eastAsia="en-NZ"/>
              </w:rPr>
              <w:t>28.5</w:t>
            </w:r>
          </w:p>
        </w:tc>
        <w:tc>
          <w:tcPr>
            <w:tcW w:w="1389" w:type="dxa"/>
            <w:noWrap/>
          </w:tcPr>
          <w:p w:rsidR="00F425CB" w:rsidRPr="00794C8B" w:rsidRDefault="00F425CB" w:rsidP="00794C8B">
            <w:pPr>
              <w:pStyle w:val="TableText"/>
              <w:tabs>
                <w:tab w:val="decimal" w:pos="828"/>
              </w:tabs>
              <w:rPr>
                <w:b/>
                <w:color w:val="000000"/>
                <w:lang w:eastAsia="en-NZ"/>
              </w:rPr>
            </w:pPr>
          </w:p>
        </w:tc>
        <w:tc>
          <w:tcPr>
            <w:tcW w:w="1390" w:type="dxa"/>
            <w:noWrap/>
          </w:tcPr>
          <w:p w:rsidR="00F425CB" w:rsidRPr="00794C8B" w:rsidRDefault="00F425CB" w:rsidP="00794C8B">
            <w:pPr>
              <w:pStyle w:val="TableText"/>
              <w:jc w:val="center"/>
              <w:rPr>
                <w:b/>
                <w:color w:val="000000"/>
                <w:lang w:eastAsia="en-NZ"/>
              </w:rPr>
            </w:pPr>
          </w:p>
        </w:tc>
      </w:tr>
    </w:tbl>
    <w:p w:rsidR="00F425CB" w:rsidRPr="007E7990" w:rsidRDefault="00F425CB" w:rsidP="00794C8B">
      <w:pPr>
        <w:pStyle w:val="Note"/>
        <w:ind w:left="284" w:hanging="284"/>
      </w:pPr>
      <w:r w:rsidRPr="007E7990">
        <w:rPr>
          <w:sz w:val="20"/>
        </w:rPr>
        <w:t>*</w:t>
      </w:r>
      <w:r w:rsidR="00794C8B">
        <w:rPr>
          <w:sz w:val="20"/>
        </w:rPr>
        <w:tab/>
      </w:r>
      <w:r w:rsidR="007E7990" w:rsidRPr="007E7990">
        <w:rPr>
          <w:sz w:val="20"/>
        </w:rPr>
        <w:t>‘</w:t>
      </w:r>
      <w:r w:rsidRPr="007E7990">
        <w:t>Total</w:t>
      </w:r>
      <w:r w:rsidR="007E7990" w:rsidRPr="007E7990">
        <w:t>’</w:t>
      </w:r>
      <w:r w:rsidRPr="007E7990">
        <w:t xml:space="preserve"> linacs refers to the number that are installed and operational, </w:t>
      </w:r>
      <w:r w:rsidR="007E7990" w:rsidRPr="007E7990">
        <w:t>‘</w:t>
      </w:r>
      <w:r w:rsidRPr="007E7990">
        <w:t>active</w:t>
      </w:r>
      <w:r w:rsidR="007E7990" w:rsidRPr="007E7990">
        <w:t>’</w:t>
      </w:r>
      <w:r w:rsidRPr="007E7990">
        <w:t xml:space="preserve"> the number effectively utilised based on that centre</w:t>
      </w:r>
      <w:r w:rsidR="007E7990" w:rsidRPr="007E7990">
        <w:t>’</w:t>
      </w:r>
      <w:r w:rsidRPr="007E7990">
        <w:t>s normal operating configuration in 2012.</w:t>
      </w:r>
      <w:r w:rsidR="007E7990" w:rsidRPr="007E7990">
        <w:t xml:space="preserve"> </w:t>
      </w:r>
      <w:r w:rsidRPr="007E7990">
        <w:t>Kathleen Kilgour Centre (Tauranga) linacs are expected to be operational July 2014.</w:t>
      </w:r>
      <w:r w:rsidR="007E7990" w:rsidRPr="007E7990">
        <w:t xml:space="preserve"> </w:t>
      </w:r>
      <w:r w:rsidRPr="007E7990">
        <w:t>Courses per linac based on the active linac figure (average is 410 if based on total linacs).</w:t>
      </w:r>
    </w:p>
    <w:p w:rsidR="00F425CB" w:rsidRPr="007E7990" w:rsidRDefault="00F425CB" w:rsidP="00794C8B"/>
    <w:p w:rsidR="00F425CB" w:rsidRPr="007E7990" w:rsidRDefault="00F425CB" w:rsidP="00794C8B">
      <w:r w:rsidRPr="007E7990">
        <w:t>Current linac locations and activity for both public and private providers are shown in</w:t>
      </w:r>
      <w:r w:rsidR="00794C8B">
        <w:t xml:space="preserve"> Table 1</w:t>
      </w:r>
      <w:r w:rsidRPr="007E7990">
        <w:t>.</w:t>
      </w:r>
      <w:r w:rsidR="007E7990" w:rsidRPr="007E7990">
        <w:t xml:space="preserve"> </w:t>
      </w:r>
      <w:r w:rsidRPr="007E7990">
        <w:t>Radiation therapy treatments provided in New Zealand</w:t>
      </w:r>
      <w:r w:rsidR="007E7990" w:rsidRPr="007E7990">
        <w:t>’</w:t>
      </w:r>
      <w:r w:rsidRPr="007E7990">
        <w:t>s private sector are reported within the national KPI data collection (and hence are able to be included in the Model – see Section 5.1.5 for further discussion on the inclusion of privately-funded volumes).</w:t>
      </w:r>
      <w:r w:rsidR="007E7990" w:rsidRPr="007E7990">
        <w:t xml:space="preserve"> </w:t>
      </w:r>
      <w:r w:rsidRPr="007E7990">
        <w:t>Overall 11,876 courses of external beam radiation therapy were given in 2012, 448 per active linac.</w:t>
      </w:r>
      <w:r w:rsidR="007E7990" w:rsidRPr="007E7990">
        <w:t xml:space="preserve"> </w:t>
      </w:r>
      <w:r w:rsidRPr="007E7990">
        <w:t>By comparison, Australia plans on 414 courses per linac per year</w:t>
      </w:r>
      <w:r w:rsidR="00794C8B">
        <w:t>,</w:t>
      </w:r>
      <w:r w:rsidRPr="00794C8B">
        <w:rPr>
          <w:rStyle w:val="FootnoteReference"/>
        </w:rPr>
        <w:footnoteReference w:id="8"/>
      </w:r>
      <w:r w:rsidRPr="007E7990">
        <w:t xml:space="preserve"> a level exceeded by all New Zealand DHB cancer centres.</w:t>
      </w:r>
      <w:r w:rsidR="007E7990" w:rsidRPr="007E7990">
        <w:t xml:space="preserve"> </w:t>
      </w:r>
      <w:r w:rsidRPr="007E7990">
        <w:t>The 11,876 courses involved 176,047 attendances for treatment – an average of 14.8 attendances per course.</w:t>
      </w:r>
      <w:r w:rsidRPr="007E7990">
        <w:rPr>
          <w:rStyle w:val="FootnoteReference"/>
        </w:rPr>
        <w:footnoteReference w:id="9"/>
      </w:r>
    </w:p>
    <w:p w:rsidR="00F425CB" w:rsidRDefault="00F425CB" w:rsidP="00794C8B"/>
    <w:p w:rsidR="00F425CB" w:rsidRPr="007E7990" w:rsidRDefault="00794C8B" w:rsidP="00F425CB">
      <w:r>
        <w:t>Table 2</w:t>
      </w:r>
      <w:r w:rsidR="00F425CB" w:rsidRPr="007E7990">
        <w:t xml:space="preserve"> compares current linac capacity to indicative DHB cancer centre catchment populations and estimated cancer registrations.</w:t>
      </w:r>
      <w:r w:rsidR="007E7990" w:rsidRPr="007E7990">
        <w:t xml:space="preserve"> </w:t>
      </w:r>
      <w:r w:rsidR="00F425CB" w:rsidRPr="007E7990">
        <w:t>It shows that the South Island has greater capacity relative to population and estimated cancer registrations.</w:t>
      </w:r>
      <w:r w:rsidR="007E7990" w:rsidRPr="007E7990">
        <w:t xml:space="preserve"> </w:t>
      </w:r>
      <w:r w:rsidR="00F425CB" w:rsidRPr="007E7990">
        <w:t>Waikato currently has the least capacity based on registrations per linac, but this will change with the planned radiation therapy service establishment in Tauranga from 2014.</w:t>
      </w:r>
      <w:r w:rsidR="007E7990" w:rsidRPr="007E7990">
        <w:t xml:space="preserve"> </w:t>
      </w:r>
      <w:r w:rsidR="00F425CB" w:rsidRPr="007E7990">
        <w:t xml:space="preserve">On average Australia </w:t>
      </w:r>
      <w:proofErr w:type="gramStart"/>
      <w:r w:rsidR="00F425CB" w:rsidRPr="007E7990">
        <w:t>has</w:t>
      </w:r>
      <w:proofErr w:type="gramEnd"/>
      <w:r w:rsidR="00F425CB" w:rsidRPr="007E7990">
        <w:t xml:space="preserve"> 135,000 persons per linac</w:t>
      </w:r>
      <w:r>
        <w:t>,</w:t>
      </w:r>
      <w:r w:rsidR="00F425CB" w:rsidRPr="00794C8B">
        <w:rPr>
          <w:rStyle w:val="FootnoteReference"/>
        </w:rPr>
        <w:footnoteReference w:id="10"/>
      </w:r>
      <w:r w:rsidR="00F425CB" w:rsidRPr="007E7990">
        <w:t xml:space="preserve"> a slightly higher capacity than New Zealand</w:t>
      </w:r>
      <w:r w:rsidR="007E7990" w:rsidRPr="007E7990">
        <w:t>’</w:t>
      </w:r>
      <w:r w:rsidR="00F425CB" w:rsidRPr="007E7990">
        <w:t>s 153,000, while the UK has less supplied capacity at 197,000 people per linac</w:t>
      </w:r>
      <w:r>
        <w:t>.</w:t>
      </w:r>
      <w:r w:rsidR="00F425CB" w:rsidRPr="00794C8B">
        <w:rPr>
          <w:rStyle w:val="FootnoteReference"/>
        </w:rPr>
        <w:footnoteReference w:id="11"/>
      </w:r>
    </w:p>
    <w:p w:rsidR="00F425CB" w:rsidRDefault="00F425CB" w:rsidP="00794C8B"/>
    <w:p w:rsidR="00F425CB" w:rsidRPr="007E7990" w:rsidRDefault="00F425CB" w:rsidP="00794C8B">
      <w:pPr>
        <w:pStyle w:val="Table"/>
      </w:pPr>
      <w:bookmarkStart w:id="46" w:name="_Ref367191647"/>
      <w:bookmarkStart w:id="47" w:name="_Toc384202877"/>
      <w:r w:rsidRPr="007E7990">
        <w:lastRenderedPageBreak/>
        <w:t xml:space="preserve">Table </w:t>
      </w:r>
      <w:r w:rsidR="00794C8B">
        <w:t>2</w:t>
      </w:r>
      <w:bookmarkEnd w:id="46"/>
      <w:r w:rsidR="00794C8B">
        <w:t>:</w:t>
      </w:r>
      <w:r w:rsidR="007E7990" w:rsidRPr="007E7990">
        <w:t xml:space="preserve"> </w:t>
      </w:r>
      <w:r w:rsidRPr="007E7990">
        <w:t>Linac capacity relative to indicative radiation therapy centre catchment populations and estimated cancer registrations in 2012</w:t>
      </w:r>
      <w:bookmarkEnd w:id="47"/>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969"/>
        <w:gridCol w:w="1000"/>
        <w:gridCol w:w="1276"/>
        <w:gridCol w:w="1276"/>
        <w:gridCol w:w="1417"/>
        <w:gridCol w:w="1418"/>
      </w:tblGrid>
      <w:tr w:rsidR="00F425CB" w:rsidRPr="00794C8B" w:rsidTr="00C73F47">
        <w:trPr>
          <w:cantSplit/>
        </w:trPr>
        <w:tc>
          <w:tcPr>
            <w:tcW w:w="2969" w:type="dxa"/>
            <w:shd w:val="clear" w:color="auto" w:fill="BDE2FF"/>
            <w:noWrap/>
          </w:tcPr>
          <w:p w:rsidR="00F425CB" w:rsidRPr="00794C8B" w:rsidRDefault="00F425CB" w:rsidP="00794C8B">
            <w:pPr>
              <w:pStyle w:val="TableText"/>
              <w:rPr>
                <w:b/>
                <w:lang w:eastAsia="en-NZ"/>
              </w:rPr>
            </w:pPr>
            <w:r w:rsidRPr="00794C8B">
              <w:rPr>
                <w:b/>
                <w:lang w:eastAsia="en-NZ"/>
              </w:rPr>
              <w:t>Centre (DHB)</w:t>
            </w:r>
          </w:p>
        </w:tc>
        <w:tc>
          <w:tcPr>
            <w:tcW w:w="1000" w:type="dxa"/>
            <w:shd w:val="clear" w:color="auto" w:fill="BDE2FF"/>
            <w:noWrap/>
          </w:tcPr>
          <w:p w:rsidR="00F425CB" w:rsidRPr="00794C8B" w:rsidRDefault="00F425CB" w:rsidP="00794C8B">
            <w:pPr>
              <w:pStyle w:val="TableText"/>
              <w:jc w:val="center"/>
              <w:rPr>
                <w:b/>
                <w:lang w:eastAsia="en-NZ"/>
              </w:rPr>
            </w:pPr>
            <w:r w:rsidRPr="00794C8B">
              <w:rPr>
                <w:b/>
                <w:lang w:eastAsia="en-NZ"/>
              </w:rPr>
              <w:t>Number of linacs</w:t>
            </w:r>
            <w:r w:rsidR="00794C8B">
              <w:rPr>
                <w:b/>
                <w:lang w:eastAsia="en-NZ"/>
              </w:rPr>
              <w:br/>
            </w:r>
            <w:r w:rsidR="00794C8B" w:rsidRPr="00794C8B">
              <w:rPr>
                <w:b/>
                <w:lang w:eastAsia="en-NZ"/>
              </w:rPr>
              <w:br/>
            </w:r>
            <w:r w:rsidRPr="00794C8B">
              <w:rPr>
                <w:b/>
                <w:lang w:eastAsia="en-NZ"/>
              </w:rPr>
              <w:t>(2012)</w:t>
            </w:r>
          </w:p>
        </w:tc>
        <w:tc>
          <w:tcPr>
            <w:tcW w:w="1276" w:type="dxa"/>
            <w:shd w:val="clear" w:color="auto" w:fill="BDE2FF"/>
            <w:noWrap/>
          </w:tcPr>
          <w:p w:rsidR="00F425CB" w:rsidRPr="00794C8B" w:rsidRDefault="00F425CB" w:rsidP="00794C8B">
            <w:pPr>
              <w:pStyle w:val="TableText"/>
              <w:jc w:val="center"/>
              <w:rPr>
                <w:b/>
                <w:lang w:eastAsia="en-NZ"/>
              </w:rPr>
            </w:pPr>
            <w:r w:rsidRPr="00794C8B">
              <w:rPr>
                <w:b/>
                <w:lang w:eastAsia="en-NZ"/>
              </w:rPr>
              <w:t>Catchment population</w:t>
            </w:r>
            <w:r w:rsidR="00794C8B">
              <w:rPr>
                <w:b/>
                <w:lang w:eastAsia="en-NZ"/>
              </w:rPr>
              <w:br/>
            </w:r>
            <w:r w:rsidR="00794C8B" w:rsidRPr="00794C8B">
              <w:rPr>
                <w:b/>
                <w:lang w:eastAsia="en-NZ"/>
              </w:rPr>
              <w:br/>
            </w:r>
            <w:r w:rsidRPr="00794C8B">
              <w:rPr>
                <w:b/>
                <w:lang w:eastAsia="en-NZ"/>
              </w:rPr>
              <w:t>(2012)</w:t>
            </w:r>
          </w:p>
        </w:tc>
        <w:tc>
          <w:tcPr>
            <w:tcW w:w="1276" w:type="dxa"/>
            <w:shd w:val="clear" w:color="auto" w:fill="BDE2FF"/>
            <w:noWrap/>
          </w:tcPr>
          <w:p w:rsidR="00F425CB" w:rsidRPr="00794C8B" w:rsidRDefault="00F425CB" w:rsidP="00794C8B">
            <w:pPr>
              <w:pStyle w:val="TableText"/>
              <w:jc w:val="center"/>
              <w:rPr>
                <w:b/>
                <w:lang w:eastAsia="en-NZ"/>
              </w:rPr>
            </w:pPr>
            <w:r w:rsidRPr="00794C8B">
              <w:rPr>
                <w:b/>
                <w:lang w:eastAsia="en-NZ"/>
              </w:rPr>
              <w:t xml:space="preserve">Population per linac </w:t>
            </w:r>
            <w:r w:rsidR="00794C8B" w:rsidRPr="00794C8B">
              <w:rPr>
                <w:b/>
                <w:lang w:eastAsia="en-NZ"/>
              </w:rPr>
              <w:t>’000</w:t>
            </w:r>
          </w:p>
        </w:tc>
        <w:tc>
          <w:tcPr>
            <w:tcW w:w="1417" w:type="dxa"/>
            <w:shd w:val="clear" w:color="auto" w:fill="BDE2FF"/>
            <w:noWrap/>
          </w:tcPr>
          <w:p w:rsidR="00F425CB" w:rsidRPr="00794C8B" w:rsidRDefault="00F425CB" w:rsidP="00794C8B">
            <w:pPr>
              <w:pStyle w:val="TableText"/>
              <w:jc w:val="center"/>
              <w:rPr>
                <w:b/>
                <w:lang w:eastAsia="en-NZ"/>
              </w:rPr>
            </w:pPr>
            <w:r w:rsidRPr="00794C8B">
              <w:rPr>
                <w:b/>
                <w:lang w:eastAsia="en-NZ"/>
              </w:rPr>
              <w:t>Estimated cancer registrations</w:t>
            </w:r>
            <w:r w:rsidR="00794C8B" w:rsidRPr="00794C8B">
              <w:rPr>
                <w:b/>
                <w:lang w:eastAsia="en-NZ"/>
              </w:rPr>
              <w:br/>
            </w:r>
            <w:r w:rsidRPr="00794C8B">
              <w:rPr>
                <w:b/>
                <w:lang w:eastAsia="en-NZ"/>
              </w:rPr>
              <w:t>(2012)</w:t>
            </w:r>
          </w:p>
        </w:tc>
        <w:tc>
          <w:tcPr>
            <w:tcW w:w="1418" w:type="dxa"/>
            <w:shd w:val="clear" w:color="auto" w:fill="BDE2FF"/>
            <w:noWrap/>
          </w:tcPr>
          <w:p w:rsidR="00F425CB" w:rsidRPr="00794C8B" w:rsidRDefault="00F425CB" w:rsidP="00794C8B">
            <w:pPr>
              <w:pStyle w:val="TableText"/>
              <w:jc w:val="center"/>
              <w:rPr>
                <w:b/>
                <w:lang w:eastAsia="en-NZ"/>
              </w:rPr>
            </w:pPr>
            <w:r w:rsidRPr="00794C8B">
              <w:rPr>
                <w:b/>
                <w:lang w:eastAsia="en-NZ"/>
              </w:rPr>
              <w:t>Registrations per linac</w:t>
            </w:r>
          </w:p>
        </w:tc>
      </w:tr>
      <w:tr w:rsidR="00F425CB" w:rsidRPr="0021236A" w:rsidTr="00C73F47">
        <w:trPr>
          <w:cantSplit/>
        </w:trPr>
        <w:tc>
          <w:tcPr>
            <w:tcW w:w="2969" w:type="dxa"/>
            <w:noWrap/>
          </w:tcPr>
          <w:p w:rsidR="00F425CB" w:rsidRPr="001C7A7D" w:rsidRDefault="00F425CB" w:rsidP="00794C8B">
            <w:pPr>
              <w:pStyle w:val="TableText"/>
              <w:rPr>
                <w:lang w:eastAsia="en-NZ"/>
              </w:rPr>
            </w:pPr>
            <w:r w:rsidRPr="0021236A">
              <w:t>Auckland (incl</w:t>
            </w:r>
            <w:r w:rsidR="00794C8B">
              <w:t>uding</w:t>
            </w:r>
            <w:r w:rsidRPr="0021236A">
              <w:t xml:space="preserve"> ARO)</w:t>
            </w:r>
          </w:p>
        </w:tc>
        <w:tc>
          <w:tcPr>
            <w:tcW w:w="1000" w:type="dxa"/>
            <w:noWrap/>
          </w:tcPr>
          <w:p w:rsidR="00F425CB" w:rsidRPr="0021236A" w:rsidRDefault="00F425CB" w:rsidP="00794C8B">
            <w:pPr>
              <w:pStyle w:val="TableText"/>
              <w:tabs>
                <w:tab w:val="decimal" w:pos="467"/>
              </w:tabs>
              <w:rPr>
                <w:color w:val="000000"/>
              </w:rPr>
            </w:pPr>
            <w:r w:rsidRPr="0021236A">
              <w:rPr>
                <w:color w:val="000000"/>
              </w:rPr>
              <w:t>9</w:t>
            </w:r>
          </w:p>
        </w:tc>
        <w:tc>
          <w:tcPr>
            <w:tcW w:w="1276" w:type="dxa"/>
            <w:noWrap/>
          </w:tcPr>
          <w:p w:rsidR="00F425CB" w:rsidRPr="0021236A" w:rsidRDefault="00F425CB" w:rsidP="00794C8B">
            <w:pPr>
              <w:pStyle w:val="TableText"/>
              <w:tabs>
                <w:tab w:val="decimal" w:pos="885"/>
              </w:tabs>
              <w:rPr>
                <w:lang w:eastAsia="en-NZ"/>
              </w:rPr>
            </w:pPr>
            <w:r w:rsidRPr="0021236A">
              <w:rPr>
                <w:lang w:eastAsia="en-NZ"/>
              </w:rPr>
              <w:t>1,678,820</w:t>
            </w:r>
          </w:p>
        </w:tc>
        <w:tc>
          <w:tcPr>
            <w:tcW w:w="1276" w:type="dxa"/>
            <w:noWrap/>
          </w:tcPr>
          <w:p w:rsidR="00F425CB" w:rsidRPr="0021236A" w:rsidRDefault="00F425CB" w:rsidP="00794C8B">
            <w:pPr>
              <w:pStyle w:val="TableText"/>
              <w:jc w:val="center"/>
              <w:rPr>
                <w:lang w:eastAsia="en-NZ"/>
              </w:rPr>
            </w:pPr>
            <w:r w:rsidRPr="0021236A">
              <w:rPr>
                <w:color w:val="000000"/>
              </w:rPr>
              <w:t>187</w:t>
            </w:r>
          </w:p>
        </w:tc>
        <w:tc>
          <w:tcPr>
            <w:tcW w:w="1417" w:type="dxa"/>
            <w:noWrap/>
          </w:tcPr>
          <w:p w:rsidR="00F425CB" w:rsidRPr="0021236A" w:rsidRDefault="00F425CB" w:rsidP="00794C8B">
            <w:pPr>
              <w:pStyle w:val="TableText"/>
              <w:tabs>
                <w:tab w:val="decimal" w:pos="884"/>
              </w:tabs>
            </w:pPr>
            <w:r w:rsidRPr="0021236A">
              <w:t>7,297</w:t>
            </w:r>
          </w:p>
        </w:tc>
        <w:tc>
          <w:tcPr>
            <w:tcW w:w="1418" w:type="dxa"/>
            <w:noWrap/>
          </w:tcPr>
          <w:p w:rsidR="00F425CB" w:rsidRPr="0021236A" w:rsidRDefault="00F425CB" w:rsidP="00794C8B">
            <w:pPr>
              <w:pStyle w:val="TableText"/>
              <w:jc w:val="center"/>
              <w:rPr>
                <w:color w:val="000000"/>
              </w:rPr>
            </w:pPr>
            <w:r w:rsidRPr="0021236A">
              <w:rPr>
                <w:color w:val="000000"/>
              </w:rPr>
              <w:t>811</w:t>
            </w:r>
          </w:p>
        </w:tc>
      </w:tr>
      <w:tr w:rsidR="00F425CB" w:rsidRPr="0021236A" w:rsidTr="00C73F47">
        <w:trPr>
          <w:cantSplit/>
        </w:trPr>
        <w:tc>
          <w:tcPr>
            <w:tcW w:w="2969" w:type="dxa"/>
            <w:noWrap/>
          </w:tcPr>
          <w:p w:rsidR="00F425CB" w:rsidRPr="001C7A7D" w:rsidRDefault="00F425CB" w:rsidP="00794C8B">
            <w:pPr>
              <w:pStyle w:val="TableText"/>
              <w:rPr>
                <w:lang w:eastAsia="en-NZ"/>
              </w:rPr>
            </w:pPr>
            <w:r w:rsidRPr="0021236A">
              <w:t>Waikato</w:t>
            </w:r>
          </w:p>
        </w:tc>
        <w:tc>
          <w:tcPr>
            <w:tcW w:w="1000" w:type="dxa"/>
            <w:noWrap/>
          </w:tcPr>
          <w:p w:rsidR="00F425CB" w:rsidRPr="0021236A" w:rsidRDefault="00F425CB" w:rsidP="00794C8B">
            <w:pPr>
              <w:pStyle w:val="TableText"/>
              <w:tabs>
                <w:tab w:val="decimal" w:pos="467"/>
              </w:tabs>
              <w:rPr>
                <w:color w:val="000000"/>
              </w:rPr>
            </w:pPr>
            <w:r w:rsidRPr="0021236A">
              <w:rPr>
                <w:color w:val="000000"/>
              </w:rPr>
              <w:t>4</w:t>
            </w:r>
          </w:p>
        </w:tc>
        <w:tc>
          <w:tcPr>
            <w:tcW w:w="1276" w:type="dxa"/>
            <w:noWrap/>
          </w:tcPr>
          <w:p w:rsidR="00F425CB" w:rsidRPr="0021236A" w:rsidRDefault="00F425CB" w:rsidP="00794C8B">
            <w:pPr>
              <w:pStyle w:val="TableText"/>
              <w:tabs>
                <w:tab w:val="decimal" w:pos="885"/>
              </w:tabs>
              <w:rPr>
                <w:lang w:eastAsia="en-NZ"/>
              </w:rPr>
            </w:pPr>
            <w:r w:rsidRPr="0021236A">
              <w:rPr>
                <w:lang w:eastAsia="en-NZ"/>
              </w:rPr>
              <w:t>732,565</w:t>
            </w:r>
          </w:p>
        </w:tc>
        <w:tc>
          <w:tcPr>
            <w:tcW w:w="1276" w:type="dxa"/>
            <w:noWrap/>
          </w:tcPr>
          <w:p w:rsidR="00F425CB" w:rsidRPr="0021236A" w:rsidRDefault="00F425CB" w:rsidP="00794C8B">
            <w:pPr>
              <w:pStyle w:val="TableText"/>
              <w:jc w:val="center"/>
              <w:rPr>
                <w:lang w:eastAsia="en-NZ"/>
              </w:rPr>
            </w:pPr>
            <w:r w:rsidRPr="0021236A">
              <w:rPr>
                <w:color w:val="000000"/>
              </w:rPr>
              <w:t>183</w:t>
            </w:r>
          </w:p>
        </w:tc>
        <w:tc>
          <w:tcPr>
            <w:tcW w:w="1417" w:type="dxa"/>
            <w:noWrap/>
          </w:tcPr>
          <w:p w:rsidR="00F425CB" w:rsidRPr="0021236A" w:rsidRDefault="00F425CB" w:rsidP="00794C8B">
            <w:pPr>
              <w:pStyle w:val="TableText"/>
              <w:tabs>
                <w:tab w:val="decimal" w:pos="884"/>
              </w:tabs>
            </w:pPr>
            <w:r w:rsidRPr="0021236A">
              <w:t>3,877</w:t>
            </w:r>
          </w:p>
        </w:tc>
        <w:tc>
          <w:tcPr>
            <w:tcW w:w="1418" w:type="dxa"/>
            <w:noWrap/>
          </w:tcPr>
          <w:p w:rsidR="00F425CB" w:rsidRPr="0021236A" w:rsidRDefault="00F425CB" w:rsidP="00794C8B">
            <w:pPr>
              <w:pStyle w:val="TableText"/>
              <w:jc w:val="center"/>
              <w:rPr>
                <w:color w:val="000000"/>
              </w:rPr>
            </w:pPr>
            <w:r w:rsidRPr="0021236A">
              <w:rPr>
                <w:color w:val="000000"/>
              </w:rPr>
              <w:t>969</w:t>
            </w:r>
          </w:p>
        </w:tc>
      </w:tr>
      <w:tr w:rsidR="00F425CB" w:rsidRPr="0021236A" w:rsidTr="00C73F47">
        <w:trPr>
          <w:cantSplit/>
        </w:trPr>
        <w:tc>
          <w:tcPr>
            <w:tcW w:w="2969" w:type="dxa"/>
            <w:noWrap/>
          </w:tcPr>
          <w:p w:rsidR="00F425CB" w:rsidRPr="001C7A7D" w:rsidRDefault="00F425CB" w:rsidP="00794C8B">
            <w:pPr>
              <w:pStyle w:val="TableText"/>
              <w:rPr>
                <w:lang w:eastAsia="en-NZ"/>
              </w:rPr>
            </w:pPr>
            <w:r w:rsidRPr="0021236A">
              <w:t>MidCentral</w:t>
            </w:r>
          </w:p>
        </w:tc>
        <w:tc>
          <w:tcPr>
            <w:tcW w:w="1000" w:type="dxa"/>
            <w:noWrap/>
          </w:tcPr>
          <w:p w:rsidR="00F425CB" w:rsidRPr="0021236A" w:rsidRDefault="00F425CB" w:rsidP="00794C8B">
            <w:pPr>
              <w:pStyle w:val="TableText"/>
              <w:tabs>
                <w:tab w:val="decimal" w:pos="467"/>
              </w:tabs>
              <w:rPr>
                <w:color w:val="000000"/>
              </w:rPr>
            </w:pPr>
            <w:r w:rsidRPr="0021236A">
              <w:rPr>
                <w:color w:val="000000"/>
              </w:rPr>
              <w:t>4</w:t>
            </w:r>
          </w:p>
        </w:tc>
        <w:tc>
          <w:tcPr>
            <w:tcW w:w="1276" w:type="dxa"/>
            <w:noWrap/>
          </w:tcPr>
          <w:p w:rsidR="00F425CB" w:rsidRPr="0021236A" w:rsidRDefault="00F425CB" w:rsidP="00794C8B">
            <w:pPr>
              <w:pStyle w:val="TableText"/>
              <w:tabs>
                <w:tab w:val="decimal" w:pos="885"/>
              </w:tabs>
              <w:rPr>
                <w:lang w:eastAsia="en-NZ"/>
              </w:rPr>
            </w:pPr>
            <w:r w:rsidRPr="0021236A">
              <w:rPr>
                <w:lang w:eastAsia="en-NZ"/>
              </w:rPr>
              <w:t>498,335</w:t>
            </w:r>
          </w:p>
        </w:tc>
        <w:tc>
          <w:tcPr>
            <w:tcW w:w="1276" w:type="dxa"/>
            <w:noWrap/>
          </w:tcPr>
          <w:p w:rsidR="00F425CB" w:rsidRPr="0021236A" w:rsidRDefault="00F425CB" w:rsidP="00794C8B">
            <w:pPr>
              <w:pStyle w:val="TableText"/>
              <w:jc w:val="center"/>
              <w:rPr>
                <w:lang w:eastAsia="en-NZ"/>
              </w:rPr>
            </w:pPr>
            <w:r w:rsidRPr="0021236A">
              <w:rPr>
                <w:color w:val="000000"/>
              </w:rPr>
              <w:t>125</w:t>
            </w:r>
          </w:p>
        </w:tc>
        <w:tc>
          <w:tcPr>
            <w:tcW w:w="1417" w:type="dxa"/>
            <w:noWrap/>
          </w:tcPr>
          <w:p w:rsidR="00F425CB" w:rsidRPr="0021236A" w:rsidRDefault="00F425CB" w:rsidP="00794C8B">
            <w:pPr>
              <w:pStyle w:val="TableText"/>
              <w:tabs>
                <w:tab w:val="decimal" w:pos="884"/>
              </w:tabs>
            </w:pPr>
            <w:r w:rsidRPr="0021236A">
              <w:t>2,820</w:t>
            </w:r>
          </w:p>
        </w:tc>
        <w:tc>
          <w:tcPr>
            <w:tcW w:w="1418" w:type="dxa"/>
            <w:noWrap/>
          </w:tcPr>
          <w:p w:rsidR="00F425CB" w:rsidRPr="0021236A" w:rsidRDefault="00F425CB" w:rsidP="00794C8B">
            <w:pPr>
              <w:pStyle w:val="TableText"/>
              <w:jc w:val="center"/>
              <w:rPr>
                <w:color w:val="000000"/>
              </w:rPr>
            </w:pPr>
            <w:r w:rsidRPr="0021236A">
              <w:rPr>
                <w:color w:val="000000"/>
              </w:rPr>
              <w:t>705</w:t>
            </w:r>
          </w:p>
        </w:tc>
      </w:tr>
      <w:tr w:rsidR="00F425CB" w:rsidRPr="0021236A" w:rsidTr="00C73F47">
        <w:trPr>
          <w:cantSplit/>
        </w:trPr>
        <w:tc>
          <w:tcPr>
            <w:tcW w:w="2969" w:type="dxa"/>
            <w:noWrap/>
          </w:tcPr>
          <w:p w:rsidR="00F425CB" w:rsidRPr="001C7A7D" w:rsidRDefault="00F425CB" w:rsidP="00794C8B">
            <w:pPr>
              <w:pStyle w:val="TableText"/>
              <w:rPr>
                <w:lang w:eastAsia="en-NZ"/>
              </w:rPr>
            </w:pPr>
            <w:r w:rsidRPr="0021236A">
              <w:t>Capital and Coast</w:t>
            </w:r>
          </w:p>
        </w:tc>
        <w:tc>
          <w:tcPr>
            <w:tcW w:w="1000" w:type="dxa"/>
            <w:noWrap/>
          </w:tcPr>
          <w:p w:rsidR="00F425CB" w:rsidRPr="0021236A" w:rsidRDefault="00F425CB" w:rsidP="00794C8B">
            <w:pPr>
              <w:pStyle w:val="TableText"/>
              <w:tabs>
                <w:tab w:val="decimal" w:pos="467"/>
              </w:tabs>
              <w:rPr>
                <w:color w:val="000000"/>
              </w:rPr>
            </w:pPr>
            <w:r w:rsidRPr="0021236A">
              <w:rPr>
                <w:color w:val="000000"/>
              </w:rPr>
              <w:t>3</w:t>
            </w:r>
          </w:p>
        </w:tc>
        <w:tc>
          <w:tcPr>
            <w:tcW w:w="1276" w:type="dxa"/>
            <w:noWrap/>
          </w:tcPr>
          <w:p w:rsidR="00F425CB" w:rsidRPr="0021236A" w:rsidRDefault="00F425CB" w:rsidP="00794C8B">
            <w:pPr>
              <w:pStyle w:val="TableText"/>
              <w:tabs>
                <w:tab w:val="decimal" w:pos="885"/>
              </w:tabs>
              <w:rPr>
                <w:lang w:eastAsia="en-NZ"/>
              </w:rPr>
            </w:pPr>
            <w:r w:rsidRPr="0021236A">
              <w:rPr>
                <w:lang w:eastAsia="en-NZ"/>
              </w:rPr>
              <w:t>481,985</w:t>
            </w:r>
          </w:p>
        </w:tc>
        <w:tc>
          <w:tcPr>
            <w:tcW w:w="1276" w:type="dxa"/>
            <w:noWrap/>
          </w:tcPr>
          <w:p w:rsidR="00F425CB" w:rsidRPr="0021236A" w:rsidRDefault="00F425CB" w:rsidP="00794C8B">
            <w:pPr>
              <w:pStyle w:val="TableText"/>
              <w:jc w:val="center"/>
              <w:rPr>
                <w:lang w:eastAsia="en-NZ"/>
              </w:rPr>
            </w:pPr>
            <w:r w:rsidRPr="0021236A">
              <w:rPr>
                <w:color w:val="000000"/>
              </w:rPr>
              <w:t>161</w:t>
            </w:r>
          </w:p>
        </w:tc>
        <w:tc>
          <w:tcPr>
            <w:tcW w:w="1417" w:type="dxa"/>
            <w:noWrap/>
          </w:tcPr>
          <w:p w:rsidR="00F425CB" w:rsidRPr="0021236A" w:rsidRDefault="00F425CB" w:rsidP="00794C8B">
            <w:pPr>
              <w:pStyle w:val="TableText"/>
              <w:tabs>
                <w:tab w:val="decimal" w:pos="884"/>
              </w:tabs>
            </w:pPr>
            <w:r w:rsidRPr="0021236A">
              <w:t>2,545</w:t>
            </w:r>
          </w:p>
        </w:tc>
        <w:tc>
          <w:tcPr>
            <w:tcW w:w="1418" w:type="dxa"/>
            <w:noWrap/>
          </w:tcPr>
          <w:p w:rsidR="00F425CB" w:rsidRPr="0021236A" w:rsidRDefault="00F425CB" w:rsidP="00794C8B">
            <w:pPr>
              <w:pStyle w:val="TableText"/>
              <w:jc w:val="center"/>
              <w:rPr>
                <w:color w:val="000000"/>
              </w:rPr>
            </w:pPr>
            <w:r w:rsidRPr="0021236A">
              <w:rPr>
                <w:color w:val="000000"/>
              </w:rPr>
              <w:t>848</w:t>
            </w:r>
          </w:p>
        </w:tc>
      </w:tr>
      <w:tr w:rsidR="00F425CB" w:rsidRPr="0021236A" w:rsidTr="00C73F47">
        <w:trPr>
          <w:cantSplit/>
        </w:trPr>
        <w:tc>
          <w:tcPr>
            <w:tcW w:w="2969" w:type="dxa"/>
            <w:noWrap/>
          </w:tcPr>
          <w:p w:rsidR="00F425CB" w:rsidRPr="001C7A7D" w:rsidRDefault="00F425CB" w:rsidP="00794C8B">
            <w:pPr>
              <w:pStyle w:val="TableText"/>
              <w:rPr>
                <w:lang w:eastAsia="en-NZ"/>
              </w:rPr>
            </w:pPr>
            <w:r w:rsidRPr="0021236A">
              <w:t>Canterbury (incl</w:t>
            </w:r>
            <w:r w:rsidR="00794C8B">
              <w:t>uding</w:t>
            </w:r>
            <w:r w:rsidRPr="0021236A">
              <w:t xml:space="preserve"> St Georges)</w:t>
            </w:r>
          </w:p>
        </w:tc>
        <w:tc>
          <w:tcPr>
            <w:tcW w:w="1000" w:type="dxa"/>
            <w:noWrap/>
          </w:tcPr>
          <w:p w:rsidR="00F425CB" w:rsidRPr="0021236A" w:rsidRDefault="00F425CB" w:rsidP="00794C8B">
            <w:pPr>
              <w:pStyle w:val="TableText"/>
              <w:tabs>
                <w:tab w:val="decimal" w:pos="467"/>
              </w:tabs>
              <w:rPr>
                <w:color w:val="000000"/>
              </w:rPr>
            </w:pPr>
            <w:r w:rsidRPr="0021236A">
              <w:rPr>
                <w:color w:val="000000"/>
              </w:rPr>
              <w:t>6</w:t>
            </w:r>
          </w:p>
        </w:tc>
        <w:tc>
          <w:tcPr>
            <w:tcW w:w="1276" w:type="dxa"/>
            <w:noWrap/>
          </w:tcPr>
          <w:p w:rsidR="00F425CB" w:rsidRPr="0021236A" w:rsidRDefault="00F425CB" w:rsidP="00794C8B">
            <w:pPr>
              <w:pStyle w:val="TableText"/>
              <w:tabs>
                <w:tab w:val="decimal" w:pos="885"/>
              </w:tabs>
              <w:rPr>
                <w:lang w:eastAsia="en-NZ"/>
              </w:rPr>
            </w:pPr>
            <w:r w:rsidRPr="0021236A">
              <w:rPr>
                <w:lang w:eastAsia="en-NZ"/>
              </w:rPr>
              <w:t>733,625</w:t>
            </w:r>
          </w:p>
        </w:tc>
        <w:tc>
          <w:tcPr>
            <w:tcW w:w="1276" w:type="dxa"/>
            <w:noWrap/>
          </w:tcPr>
          <w:p w:rsidR="00F425CB" w:rsidRPr="0021236A" w:rsidRDefault="00F425CB" w:rsidP="00794C8B">
            <w:pPr>
              <w:pStyle w:val="TableText"/>
              <w:jc w:val="center"/>
              <w:rPr>
                <w:lang w:eastAsia="en-NZ"/>
              </w:rPr>
            </w:pPr>
            <w:r w:rsidRPr="0021236A">
              <w:rPr>
                <w:color w:val="000000"/>
              </w:rPr>
              <w:t>122</w:t>
            </w:r>
          </w:p>
        </w:tc>
        <w:tc>
          <w:tcPr>
            <w:tcW w:w="1417" w:type="dxa"/>
            <w:noWrap/>
          </w:tcPr>
          <w:p w:rsidR="00F425CB" w:rsidRPr="0021236A" w:rsidRDefault="00F425CB" w:rsidP="00794C8B">
            <w:pPr>
              <w:pStyle w:val="TableText"/>
              <w:tabs>
                <w:tab w:val="decimal" w:pos="884"/>
              </w:tabs>
            </w:pPr>
            <w:r w:rsidRPr="0021236A">
              <w:t>3,826</w:t>
            </w:r>
          </w:p>
        </w:tc>
        <w:tc>
          <w:tcPr>
            <w:tcW w:w="1418" w:type="dxa"/>
            <w:noWrap/>
          </w:tcPr>
          <w:p w:rsidR="00F425CB" w:rsidRPr="0021236A" w:rsidRDefault="00F425CB" w:rsidP="00794C8B">
            <w:pPr>
              <w:pStyle w:val="TableText"/>
              <w:jc w:val="center"/>
              <w:rPr>
                <w:color w:val="000000"/>
              </w:rPr>
            </w:pPr>
            <w:r w:rsidRPr="0021236A">
              <w:rPr>
                <w:color w:val="000000"/>
              </w:rPr>
              <w:t>638</w:t>
            </w:r>
          </w:p>
        </w:tc>
      </w:tr>
      <w:tr w:rsidR="00F425CB" w:rsidRPr="0021236A" w:rsidTr="00C73F47">
        <w:trPr>
          <w:cantSplit/>
        </w:trPr>
        <w:tc>
          <w:tcPr>
            <w:tcW w:w="2969" w:type="dxa"/>
            <w:tcBorders>
              <w:bottom w:val="single" w:sz="4" w:space="0" w:color="A6A6A6"/>
            </w:tcBorders>
            <w:noWrap/>
          </w:tcPr>
          <w:p w:rsidR="00F425CB" w:rsidRPr="001C7A7D" w:rsidRDefault="00F425CB" w:rsidP="00794C8B">
            <w:pPr>
              <w:pStyle w:val="TableText"/>
              <w:rPr>
                <w:lang w:eastAsia="en-NZ"/>
              </w:rPr>
            </w:pPr>
            <w:r w:rsidRPr="0021236A">
              <w:t>Southern</w:t>
            </w:r>
          </w:p>
        </w:tc>
        <w:tc>
          <w:tcPr>
            <w:tcW w:w="1000" w:type="dxa"/>
            <w:tcBorders>
              <w:bottom w:val="single" w:sz="4" w:space="0" w:color="A6A6A6"/>
            </w:tcBorders>
            <w:noWrap/>
          </w:tcPr>
          <w:p w:rsidR="00F425CB" w:rsidRPr="00834695" w:rsidRDefault="00F425CB" w:rsidP="00794C8B">
            <w:pPr>
              <w:pStyle w:val="TableText"/>
              <w:tabs>
                <w:tab w:val="decimal" w:pos="467"/>
              </w:tabs>
              <w:rPr>
                <w:i/>
                <w:color w:val="000000"/>
              </w:rPr>
            </w:pPr>
            <w:r w:rsidRPr="00834695">
              <w:rPr>
                <w:i/>
                <w:color w:val="000000"/>
              </w:rPr>
              <w:t>3</w:t>
            </w:r>
          </w:p>
        </w:tc>
        <w:tc>
          <w:tcPr>
            <w:tcW w:w="1276" w:type="dxa"/>
            <w:tcBorders>
              <w:bottom w:val="single" w:sz="4" w:space="0" w:color="A6A6A6"/>
            </w:tcBorders>
            <w:noWrap/>
          </w:tcPr>
          <w:p w:rsidR="00F425CB" w:rsidRPr="0021236A" w:rsidRDefault="00F425CB" w:rsidP="00794C8B">
            <w:pPr>
              <w:pStyle w:val="TableText"/>
              <w:tabs>
                <w:tab w:val="decimal" w:pos="885"/>
              </w:tabs>
              <w:rPr>
                <w:lang w:eastAsia="en-NZ"/>
              </w:rPr>
            </w:pPr>
            <w:r w:rsidRPr="0021236A">
              <w:rPr>
                <w:lang w:eastAsia="en-NZ"/>
              </w:rPr>
              <w:t>307,485</w:t>
            </w:r>
          </w:p>
        </w:tc>
        <w:tc>
          <w:tcPr>
            <w:tcW w:w="1276" w:type="dxa"/>
            <w:tcBorders>
              <w:bottom w:val="single" w:sz="4" w:space="0" w:color="A6A6A6"/>
            </w:tcBorders>
            <w:noWrap/>
          </w:tcPr>
          <w:p w:rsidR="00F425CB" w:rsidRPr="0021236A" w:rsidRDefault="00F425CB" w:rsidP="00794C8B">
            <w:pPr>
              <w:pStyle w:val="TableText"/>
              <w:jc w:val="center"/>
              <w:rPr>
                <w:lang w:eastAsia="en-NZ"/>
              </w:rPr>
            </w:pPr>
            <w:r w:rsidRPr="0021236A">
              <w:rPr>
                <w:color w:val="000000"/>
              </w:rPr>
              <w:t>102</w:t>
            </w:r>
          </w:p>
        </w:tc>
        <w:tc>
          <w:tcPr>
            <w:tcW w:w="1417" w:type="dxa"/>
            <w:tcBorders>
              <w:bottom w:val="single" w:sz="4" w:space="0" w:color="A6A6A6"/>
            </w:tcBorders>
            <w:noWrap/>
          </w:tcPr>
          <w:p w:rsidR="00F425CB" w:rsidRPr="0021236A" w:rsidRDefault="00F425CB" w:rsidP="00794C8B">
            <w:pPr>
              <w:pStyle w:val="TableText"/>
              <w:tabs>
                <w:tab w:val="decimal" w:pos="884"/>
              </w:tabs>
            </w:pPr>
            <w:r w:rsidRPr="0021236A">
              <w:t>1,527</w:t>
            </w:r>
          </w:p>
        </w:tc>
        <w:tc>
          <w:tcPr>
            <w:tcW w:w="1418" w:type="dxa"/>
            <w:tcBorders>
              <w:bottom w:val="single" w:sz="4" w:space="0" w:color="A6A6A6"/>
            </w:tcBorders>
            <w:noWrap/>
          </w:tcPr>
          <w:p w:rsidR="00F425CB" w:rsidRPr="0021236A" w:rsidRDefault="00F425CB" w:rsidP="00794C8B">
            <w:pPr>
              <w:pStyle w:val="TableText"/>
              <w:jc w:val="center"/>
              <w:rPr>
                <w:color w:val="000000"/>
              </w:rPr>
            </w:pPr>
            <w:r w:rsidRPr="0021236A">
              <w:rPr>
                <w:color w:val="000000"/>
              </w:rPr>
              <w:t>509</w:t>
            </w:r>
          </w:p>
        </w:tc>
      </w:tr>
      <w:tr w:rsidR="00F425CB" w:rsidRPr="0021236A" w:rsidTr="00C73F47">
        <w:trPr>
          <w:cantSplit/>
        </w:trPr>
        <w:tc>
          <w:tcPr>
            <w:tcW w:w="2969" w:type="dxa"/>
            <w:shd w:val="clear" w:color="auto" w:fill="D9D9D9"/>
            <w:noWrap/>
          </w:tcPr>
          <w:p w:rsidR="00F425CB" w:rsidRPr="0021236A" w:rsidRDefault="00F425CB" w:rsidP="00794C8B">
            <w:pPr>
              <w:pStyle w:val="TableText"/>
              <w:rPr>
                <w:lang w:eastAsia="en-NZ"/>
              </w:rPr>
            </w:pPr>
            <w:r w:rsidRPr="0021236A">
              <w:rPr>
                <w:lang w:eastAsia="en-NZ"/>
              </w:rPr>
              <w:t>New Zealand</w:t>
            </w:r>
          </w:p>
        </w:tc>
        <w:tc>
          <w:tcPr>
            <w:tcW w:w="1000" w:type="dxa"/>
            <w:shd w:val="clear" w:color="auto" w:fill="D9D9D9"/>
            <w:noWrap/>
          </w:tcPr>
          <w:p w:rsidR="00F425CB" w:rsidRPr="0021236A" w:rsidRDefault="00F425CB" w:rsidP="00794C8B">
            <w:pPr>
              <w:pStyle w:val="TableText"/>
              <w:tabs>
                <w:tab w:val="decimal" w:pos="467"/>
              </w:tabs>
              <w:rPr>
                <w:color w:val="000000"/>
              </w:rPr>
            </w:pPr>
            <w:r w:rsidRPr="0021236A">
              <w:rPr>
                <w:color w:val="000000"/>
              </w:rPr>
              <w:t>29</w:t>
            </w:r>
          </w:p>
        </w:tc>
        <w:tc>
          <w:tcPr>
            <w:tcW w:w="1276" w:type="dxa"/>
            <w:shd w:val="clear" w:color="auto" w:fill="D9D9D9"/>
            <w:noWrap/>
          </w:tcPr>
          <w:p w:rsidR="00F425CB" w:rsidRPr="0021236A" w:rsidRDefault="00F425CB" w:rsidP="00794C8B">
            <w:pPr>
              <w:pStyle w:val="TableText"/>
              <w:tabs>
                <w:tab w:val="decimal" w:pos="885"/>
              </w:tabs>
              <w:rPr>
                <w:lang w:eastAsia="en-NZ"/>
              </w:rPr>
            </w:pPr>
            <w:r w:rsidRPr="0021236A">
              <w:rPr>
                <w:lang w:eastAsia="en-NZ"/>
              </w:rPr>
              <w:t>4,432,815</w:t>
            </w:r>
          </w:p>
        </w:tc>
        <w:tc>
          <w:tcPr>
            <w:tcW w:w="1276" w:type="dxa"/>
            <w:shd w:val="clear" w:color="auto" w:fill="D9D9D9"/>
            <w:noWrap/>
          </w:tcPr>
          <w:p w:rsidR="00F425CB" w:rsidRPr="0021236A" w:rsidRDefault="00F425CB" w:rsidP="00794C8B">
            <w:pPr>
              <w:pStyle w:val="TableText"/>
              <w:jc w:val="center"/>
              <w:rPr>
                <w:lang w:eastAsia="en-NZ"/>
              </w:rPr>
            </w:pPr>
            <w:r w:rsidRPr="0021236A">
              <w:rPr>
                <w:color w:val="000000"/>
              </w:rPr>
              <w:t>153</w:t>
            </w:r>
          </w:p>
        </w:tc>
        <w:tc>
          <w:tcPr>
            <w:tcW w:w="1417" w:type="dxa"/>
            <w:shd w:val="clear" w:color="auto" w:fill="D9D9D9"/>
            <w:noWrap/>
          </w:tcPr>
          <w:p w:rsidR="00F425CB" w:rsidRPr="0021236A" w:rsidRDefault="00F425CB" w:rsidP="00794C8B">
            <w:pPr>
              <w:pStyle w:val="TableText"/>
              <w:tabs>
                <w:tab w:val="decimal" w:pos="884"/>
              </w:tabs>
              <w:rPr>
                <w:lang w:eastAsia="en-NZ"/>
              </w:rPr>
            </w:pPr>
            <w:r w:rsidRPr="0021236A">
              <w:rPr>
                <w:lang w:eastAsia="en-NZ"/>
              </w:rPr>
              <w:t>21,934</w:t>
            </w:r>
          </w:p>
        </w:tc>
        <w:tc>
          <w:tcPr>
            <w:tcW w:w="1418" w:type="dxa"/>
            <w:shd w:val="clear" w:color="auto" w:fill="D9D9D9"/>
            <w:noWrap/>
          </w:tcPr>
          <w:p w:rsidR="00F425CB" w:rsidRPr="0021236A" w:rsidRDefault="00F425CB" w:rsidP="00794C8B">
            <w:pPr>
              <w:pStyle w:val="TableText"/>
              <w:jc w:val="center"/>
              <w:rPr>
                <w:color w:val="000000"/>
              </w:rPr>
            </w:pPr>
            <w:r w:rsidRPr="0021236A">
              <w:rPr>
                <w:color w:val="000000"/>
              </w:rPr>
              <w:t>756</w:t>
            </w:r>
          </w:p>
        </w:tc>
      </w:tr>
      <w:tr w:rsidR="00F425CB" w:rsidRPr="0021236A" w:rsidTr="00C73F47">
        <w:trPr>
          <w:cantSplit/>
        </w:trPr>
        <w:tc>
          <w:tcPr>
            <w:tcW w:w="2969" w:type="dxa"/>
            <w:noWrap/>
          </w:tcPr>
          <w:p w:rsidR="00F425CB" w:rsidRPr="0021236A" w:rsidRDefault="00F425CB" w:rsidP="00794C8B">
            <w:pPr>
              <w:pStyle w:val="TableText"/>
              <w:rPr>
                <w:i/>
                <w:iCs/>
                <w:color w:val="000000"/>
              </w:rPr>
            </w:pPr>
            <w:r w:rsidRPr="0021236A">
              <w:rPr>
                <w:i/>
                <w:iCs/>
                <w:color w:val="000000"/>
              </w:rPr>
              <w:t>Waikato + Tauranga (2014)</w:t>
            </w:r>
          </w:p>
        </w:tc>
        <w:tc>
          <w:tcPr>
            <w:tcW w:w="1000" w:type="dxa"/>
            <w:noWrap/>
          </w:tcPr>
          <w:p w:rsidR="00F425CB" w:rsidRPr="0021236A" w:rsidRDefault="00F425CB" w:rsidP="00794C8B">
            <w:pPr>
              <w:pStyle w:val="TableText"/>
              <w:tabs>
                <w:tab w:val="decimal" w:pos="467"/>
              </w:tabs>
              <w:rPr>
                <w:color w:val="000000"/>
              </w:rPr>
            </w:pPr>
            <w:r>
              <w:rPr>
                <w:color w:val="000000"/>
              </w:rPr>
              <w:t>6</w:t>
            </w:r>
          </w:p>
        </w:tc>
        <w:tc>
          <w:tcPr>
            <w:tcW w:w="1276" w:type="dxa"/>
            <w:noWrap/>
          </w:tcPr>
          <w:p w:rsidR="00F425CB" w:rsidRPr="0021236A" w:rsidRDefault="00F425CB" w:rsidP="00794C8B">
            <w:pPr>
              <w:pStyle w:val="TableText"/>
              <w:tabs>
                <w:tab w:val="decimal" w:pos="885"/>
              </w:tabs>
              <w:rPr>
                <w:i/>
                <w:iCs/>
                <w:color w:val="000000"/>
              </w:rPr>
            </w:pPr>
            <w:r w:rsidRPr="0021236A">
              <w:rPr>
                <w:i/>
                <w:iCs/>
                <w:color w:val="000000"/>
              </w:rPr>
              <w:t>732,565</w:t>
            </w:r>
          </w:p>
        </w:tc>
        <w:tc>
          <w:tcPr>
            <w:tcW w:w="1276" w:type="dxa"/>
            <w:noWrap/>
          </w:tcPr>
          <w:p w:rsidR="00F425CB" w:rsidRPr="0021236A" w:rsidRDefault="00F425CB" w:rsidP="00794C8B">
            <w:pPr>
              <w:pStyle w:val="TableText"/>
              <w:jc w:val="center"/>
              <w:rPr>
                <w:i/>
                <w:iCs/>
                <w:color w:val="000000"/>
              </w:rPr>
            </w:pPr>
            <w:r w:rsidRPr="0021236A">
              <w:rPr>
                <w:color w:val="000000"/>
              </w:rPr>
              <w:t>1</w:t>
            </w:r>
            <w:r>
              <w:rPr>
                <w:color w:val="000000"/>
              </w:rPr>
              <w:t>22</w:t>
            </w:r>
          </w:p>
        </w:tc>
        <w:tc>
          <w:tcPr>
            <w:tcW w:w="1417" w:type="dxa"/>
            <w:noWrap/>
          </w:tcPr>
          <w:p w:rsidR="00F425CB" w:rsidRPr="0021236A" w:rsidRDefault="00F425CB" w:rsidP="00794C8B">
            <w:pPr>
              <w:pStyle w:val="TableText"/>
              <w:tabs>
                <w:tab w:val="decimal" w:pos="884"/>
              </w:tabs>
              <w:rPr>
                <w:i/>
                <w:iCs/>
                <w:color w:val="000000"/>
              </w:rPr>
            </w:pPr>
            <w:r w:rsidRPr="0021236A">
              <w:rPr>
                <w:i/>
                <w:iCs/>
                <w:color w:val="000000"/>
              </w:rPr>
              <w:t>3,877</w:t>
            </w:r>
          </w:p>
        </w:tc>
        <w:tc>
          <w:tcPr>
            <w:tcW w:w="1418" w:type="dxa"/>
            <w:noWrap/>
          </w:tcPr>
          <w:p w:rsidR="00F425CB" w:rsidRPr="0021236A" w:rsidRDefault="00F425CB" w:rsidP="00794C8B">
            <w:pPr>
              <w:pStyle w:val="TableText"/>
              <w:jc w:val="center"/>
              <w:rPr>
                <w:color w:val="000000"/>
              </w:rPr>
            </w:pPr>
            <w:r>
              <w:rPr>
                <w:color w:val="000000"/>
              </w:rPr>
              <w:t>646</w:t>
            </w:r>
          </w:p>
        </w:tc>
      </w:tr>
    </w:tbl>
    <w:p w:rsidR="00F425CB" w:rsidRDefault="00F425CB" w:rsidP="00794C8B">
      <w:pPr>
        <w:pStyle w:val="Note"/>
      </w:pPr>
      <w:r w:rsidRPr="00FB314B">
        <w:t>Notes: The cancer registration column total is slightly different to New Zealand due to a small number of registrations being unallocated to a DHB of domicile.</w:t>
      </w:r>
      <w:r w:rsidR="007E7990">
        <w:t xml:space="preserve"> </w:t>
      </w:r>
      <w:r w:rsidRPr="00FB314B">
        <w:t xml:space="preserve">Population </w:t>
      </w:r>
      <w:r w:rsidR="007E7990">
        <w:t>‘</w:t>
      </w:r>
      <w:r w:rsidRPr="00FB314B">
        <w:t>catchments</w:t>
      </w:r>
      <w:r w:rsidR="007E7990">
        <w:t>’</w:t>
      </w:r>
      <w:r w:rsidRPr="00FB314B">
        <w:t xml:space="preserve"> for the purposes of this table have Nelson-Marlborough DHB split between Capital and Coast and Canterbury, and </w:t>
      </w:r>
      <w:proofErr w:type="spellStart"/>
      <w:r w:rsidRPr="00FB314B">
        <w:t>Tairawhiti</w:t>
      </w:r>
      <w:proofErr w:type="spellEnd"/>
      <w:r w:rsidRPr="00FB314B">
        <w:t xml:space="preserve"> is allocated to Waikato.</w:t>
      </w:r>
      <w:r w:rsidR="007E7990">
        <w:t xml:space="preserve"> </w:t>
      </w:r>
      <w:r w:rsidRPr="00FB314B">
        <w:t>Two linacs are planned for Tauranga</w:t>
      </w:r>
      <w:r w:rsidR="007E7990">
        <w:t>’</w:t>
      </w:r>
      <w:r>
        <w:t>s Kathleen Kilgour Centre</w:t>
      </w:r>
      <w:r w:rsidRPr="00FB314B">
        <w:t xml:space="preserve"> for 2014.</w:t>
      </w:r>
      <w:r w:rsidR="007E7990">
        <w:t xml:space="preserve"> </w:t>
      </w:r>
      <w:r>
        <w:t>While Southern has three linacs installed, only two operated for nine months of 2012.</w:t>
      </w:r>
    </w:p>
    <w:p w:rsidR="00F425CB" w:rsidRPr="00FB314B" w:rsidRDefault="00F425CB" w:rsidP="006F2148"/>
    <w:p w:rsidR="00F425CB" w:rsidRPr="007E7990" w:rsidRDefault="00F425CB" w:rsidP="006F2148">
      <w:r w:rsidRPr="007E7990">
        <w:t>Treatment courses are divided into those delivering treatment for the first time, and those for people having their second or subsequent courses for the same cancer (</w:t>
      </w:r>
      <w:r w:rsidR="006F2148">
        <w:t>Table 3</w:t>
      </w:r>
      <w:r w:rsidRPr="007E7990">
        <w:t>).</w:t>
      </w:r>
      <w:r w:rsidR="007E7990" w:rsidRPr="007E7990">
        <w:t xml:space="preserve"> </w:t>
      </w:r>
      <w:r w:rsidRPr="007E7990">
        <w:t>Overall 31% of all courses delivered were retreatments, including 32% of courses in the public sector and 17% of courses in the private.</w:t>
      </w:r>
      <w:r w:rsidR="007E7990" w:rsidRPr="007E7990">
        <w:t xml:space="preserve"> </w:t>
      </w:r>
      <w:r w:rsidRPr="007E7990">
        <w:t>Retreatment courses tend to be for palliative care and usually have fewer treatments per course than first courses.</w:t>
      </w:r>
      <w:r w:rsidR="007E7990" w:rsidRPr="007E7990">
        <w:t xml:space="preserve"> </w:t>
      </w:r>
      <w:r w:rsidRPr="007E7990">
        <w:t>Privately funded radiation therapy made up 8.7% of all courses delivered in 2012 in New Zealand, including 10.5% of first treatments and 4.8% of retreatments.</w:t>
      </w:r>
    </w:p>
    <w:p w:rsidR="00F425CB" w:rsidRPr="007E7990" w:rsidRDefault="00F425CB" w:rsidP="006F2148"/>
    <w:p w:rsidR="00F425CB" w:rsidRPr="007E7990" w:rsidRDefault="00F425CB" w:rsidP="006F2148">
      <w:pPr>
        <w:pStyle w:val="Table"/>
      </w:pPr>
      <w:bookmarkStart w:id="48" w:name="_Ref367196474"/>
      <w:bookmarkStart w:id="49" w:name="_Ref367372438"/>
      <w:bookmarkStart w:id="50" w:name="_Ref367454621"/>
      <w:bookmarkStart w:id="51" w:name="_Toc384202878"/>
      <w:r w:rsidRPr="007E7990">
        <w:t xml:space="preserve">Table </w:t>
      </w:r>
      <w:r w:rsidR="006F2148">
        <w:t>3:</w:t>
      </w:r>
      <w:bookmarkEnd w:id="48"/>
      <w:bookmarkEnd w:id="49"/>
      <w:r w:rsidR="007E7990" w:rsidRPr="007E7990">
        <w:t xml:space="preserve"> </w:t>
      </w:r>
      <w:r w:rsidRPr="007E7990">
        <w:t>Radiation therapy courses delivered in 2012 in New Zealand</w:t>
      </w:r>
      <w:bookmarkEnd w:id="50"/>
      <w:bookmarkEnd w:id="51"/>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843"/>
        <w:gridCol w:w="1134"/>
        <w:gridCol w:w="1559"/>
        <w:gridCol w:w="1134"/>
        <w:gridCol w:w="1353"/>
        <w:gridCol w:w="2333"/>
      </w:tblGrid>
      <w:tr w:rsidR="00F425CB" w:rsidRPr="006F2148" w:rsidTr="00C73F47">
        <w:trPr>
          <w:cantSplit/>
        </w:trPr>
        <w:tc>
          <w:tcPr>
            <w:tcW w:w="1843" w:type="dxa"/>
            <w:shd w:val="clear" w:color="auto" w:fill="BDE2FF"/>
            <w:noWrap/>
          </w:tcPr>
          <w:p w:rsidR="00F425CB" w:rsidRPr="006F2148" w:rsidRDefault="00F425CB" w:rsidP="006F2148">
            <w:pPr>
              <w:pStyle w:val="TableText"/>
              <w:rPr>
                <w:b/>
              </w:rPr>
            </w:pPr>
          </w:p>
        </w:tc>
        <w:tc>
          <w:tcPr>
            <w:tcW w:w="1134" w:type="dxa"/>
            <w:shd w:val="clear" w:color="auto" w:fill="BDE2FF"/>
            <w:noWrap/>
          </w:tcPr>
          <w:p w:rsidR="00F425CB" w:rsidRPr="006F2148" w:rsidRDefault="00F425CB" w:rsidP="006F2148">
            <w:pPr>
              <w:pStyle w:val="TableText"/>
              <w:jc w:val="center"/>
              <w:rPr>
                <w:b/>
              </w:rPr>
            </w:pPr>
            <w:r w:rsidRPr="006F2148">
              <w:rPr>
                <w:b/>
              </w:rPr>
              <w:t>First course</w:t>
            </w:r>
          </w:p>
        </w:tc>
        <w:tc>
          <w:tcPr>
            <w:tcW w:w="1559" w:type="dxa"/>
            <w:shd w:val="clear" w:color="auto" w:fill="BDE2FF"/>
            <w:noWrap/>
          </w:tcPr>
          <w:p w:rsidR="00F425CB" w:rsidRPr="006F2148" w:rsidRDefault="00F425CB" w:rsidP="006F2148">
            <w:pPr>
              <w:pStyle w:val="TableText"/>
              <w:jc w:val="center"/>
              <w:rPr>
                <w:b/>
              </w:rPr>
            </w:pPr>
            <w:r w:rsidRPr="006F2148">
              <w:rPr>
                <w:b/>
              </w:rPr>
              <w:t>Retreatment</w:t>
            </w:r>
          </w:p>
        </w:tc>
        <w:tc>
          <w:tcPr>
            <w:tcW w:w="1134" w:type="dxa"/>
            <w:shd w:val="clear" w:color="auto" w:fill="BDE2FF"/>
            <w:noWrap/>
          </w:tcPr>
          <w:p w:rsidR="00F425CB" w:rsidRPr="006F2148" w:rsidRDefault="00F425CB" w:rsidP="006F2148">
            <w:pPr>
              <w:pStyle w:val="TableText"/>
              <w:jc w:val="center"/>
              <w:rPr>
                <w:b/>
              </w:rPr>
            </w:pPr>
            <w:r w:rsidRPr="006F2148">
              <w:rPr>
                <w:b/>
              </w:rPr>
              <w:t>Total</w:t>
            </w:r>
          </w:p>
        </w:tc>
        <w:tc>
          <w:tcPr>
            <w:tcW w:w="1353" w:type="dxa"/>
            <w:shd w:val="clear" w:color="auto" w:fill="BDE2FF"/>
          </w:tcPr>
          <w:p w:rsidR="00F425CB" w:rsidRPr="006F2148" w:rsidRDefault="00F425CB" w:rsidP="006F2148">
            <w:pPr>
              <w:pStyle w:val="TableText"/>
              <w:jc w:val="center"/>
              <w:rPr>
                <w:b/>
              </w:rPr>
            </w:pPr>
            <w:r w:rsidRPr="006F2148">
              <w:rPr>
                <w:b/>
              </w:rPr>
              <w:t xml:space="preserve">% </w:t>
            </w:r>
            <w:r w:rsidR="006F2148">
              <w:rPr>
                <w:b/>
              </w:rPr>
              <w:t>r</w:t>
            </w:r>
            <w:r w:rsidRPr="006F2148">
              <w:rPr>
                <w:b/>
              </w:rPr>
              <w:t>etreatment</w:t>
            </w:r>
          </w:p>
        </w:tc>
        <w:tc>
          <w:tcPr>
            <w:tcW w:w="2333" w:type="dxa"/>
            <w:shd w:val="clear" w:color="auto" w:fill="BDE2FF"/>
          </w:tcPr>
          <w:p w:rsidR="00F425CB" w:rsidRPr="006F2148" w:rsidRDefault="00F425CB" w:rsidP="006F2148">
            <w:pPr>
              <w:pStyle w:val="TableText"/>
              <w:jc w:val="center"/>
              <w:rPr>
                <w:b/>
              </w:rPr>
            </w:pPr>
            <w:r w:rsidRPr="006F2148">
              <w:rPr>
                <w:b/>
              </w:rPr>
              <w:t>First as a % of estimated registrations</w:t>
            </w:r>
          </w:p>
        </w:tc>
      </w:tr>
      <w:tr w:rsidR="00F425CB" w:rsidRPr="0021236A" w:rsidTr="00C73F47">
        <w:trPr>
          <w:cantSplit/>
        </w:trPr>
        <w:tc>
          <w:tcPr>
            <w:tcW w:w="1843" w:type="dxa"/>
            <w:noWrap/>
          </w:tcPr>
          <w:p w:rsidR="00F425CB" w:rsidRPr="0021236A" w:rsidRDefault="00F425CB" w:rsidP="006F2148">
            <w:pPr>
              <w:pStyle w:val="TableText"/>
            </w:pPr>
            <w:r w:rsidRPr="0021236A">
              <w:t>Publicly funded</w:t>
            </w:r>
          </w:p>
        </w:tc>
        <w:tc>
          <w:tcPr>
            <w:tcW w:w="1134" w:type="dxa"/>
            <w:noWrap/>
          </w:tcPr>
          <w:p w:rsidR="00F425CB" w:rsidRPr="0021236A" w:rsidRDefault="00F425CB" w:rsidP="006F2148">
            <w:pPr>
              <w:pStyle w:val="TableText"/>
              <w:tabs>
                <w:tab w:val="decimal" w:pos="654"/>
              </w:tabs>
            </w:pPr>
            <w:r w:rsidRPr="0021236A">
              <w:t>7,346</w:t>
            </w:r>
          </w:p>
        </w:tc>
        <w:tc>
          <w:tcPr>
            <w:tcW w:w="1559" w:type="dxa"/>
            <w:noWrap/>
          </w:tcPr>
          <w:p w:rsidR="00F425CB" w:rsidRPr="0021236A" w:rsidRDefault="00F425CB" w:rsidP="006F2148">
            <w:pPr>
              <w:pStyle w:val="TableText"/>
              <w:tabs>
                <w:tab w:val="decimal" w:pos="881"/>
              </w:tabs>
            </w:pPr>
            <w:r w:rsidRPr="0021236A">
              <w:t>3,495</w:t>
            </w:r>
          </w:p>
        </w:tc>
        <w:tc>
          <w:tcPr>
            <w:tcW w:w="1134" w:type="dxa"/>
            <w:noWrap/>
          </w:tcPr>
          <w:p w:rsidR="00F425CB" w:rsidRPr="0021236A" w:rsidRDefault="00F425CB" w:rsidP="006F2148">
            <w:pPr>
              <w:pStyle w:val="TableText"/>
              <w:tabs>
                <w:tab w:val="decimal" w:pos="743"/>
              </w:tabs>
            </w:pPr>
            <w:r w:rsidRPr="0021236A">
              <w:t>10,841</w:t>
            </w:r>
          </w:p>
        </w:tc>
        <w:tc>
          <w:tcPr>
            <w:tcW w:w="1353" w:type="dxa"/>
          </w:tcPr>
          <w:p w:rsidR="00F425CB" w:rsidRPr="0021236A" w:rsidRDefault="00F425CB" w:rsidP="006F2148">
            <w:pPr>
              <w:pStyle w:val="TableText"/>
              <w:jc w:val="center"/>
            </w:pPr>
            <w:r w:rsidRPr="0021236A">
              <w:t>32%</w:t>
            </w:r>
          </w:p>
        </w:tc>
        <w:tc>
          <w:tcPr>
            <w:tcW w:w="2333" w:type="dxa"/>
          </w:tcPr>
          <w:p w:rsidR="00F425CB" w:rsidRPr="0021236A" w:rsidRDefault="00F425CB" w:rsidP="006F2148">
            <w:pPr>
              <w:pStyle w:val="TableText"/>
              <w:tabs>
                <w:tab w:val="decimal" w:pos="1155"/>
              </w:tabs>
            </w:pPr>
            <w:r w:rsidRPr="0021236A">
              <w:t>33.5%</w:t>
            </w:r>
          </w:p>
        </w:tc>
      </w:tr>
      <w:tr w:rsidR="00F425CB" w:rsidRPr="0021236A" w:rsidTr="00C73F47">
        <w:trPr>
          <w:cantSplit/>
        </w:trPr>
        <w:tc>
          <w:tcPr>
            <w:tcW w:w="1843" w:type="dxa"/>
            <w:noWrap/>
          </w:tcPr>
          <w:p w:rsidR="00F425CB" w:rsidRPr="0021236A" w:rsidRDefault="00F425CB" w:rsidP="006F2148">
            <w:pPr>
              <w:pStyle w:val="TableText"/>
            </w:pPr>
            <w:r w:rsidRPr="0021236A">
              <w:t>Privately funded</w:t>
            </w:r>
          </w:p>
        </w:tc>
        <w:tc>
          <w:tcPr>
            <w:tcW w:w="1134" w:type="dxa"/>
            <w:noWrap/>
          </w:tcPr>
          <w:p w:rsidR="00F425CB" w:rsidRPr="0021236A" w:rsidRDefault="00F425CB" w:rsidP="006F2148">
            <w:pPr>
              <w:pStyle w:val="TableText"/>
              <w:tabs>
                <w:tab w:val="decimal" w:pos="654"/>
              </w:tabs>
            </w:pPr>
            <w:r w:rsidRPr="0021236A">
              <w:t>860</w:t>
            </w:r>
          </w:p>
        </w:tc>
        <w:tc>
          <w:tcPr>
            <w:tcW w:w="1559" w:type="dxa"/>
            <w:noWrap/>
          </w:tcPr>
          <w:p w:rsidR="00F425CB" w:rsidRPr="0021236A" w:rsidRDefault="00F425CB" w:rsidP="006F2148">
            <w:pPr>
              <w:pStyle w:val="TableText"/>
              <w:tabs>
                <w:tab w:val="decimal" w:pos="881"/>
              </w:tabs>
            </w:pPr>
            <w:r w:rsidRPr="0021236A">
              <w:t>175</w:t>
            </w:r>
          </w:p>
        </w:tc>
        <w:tc>
          <w:tcPr>
            <w:tcW w:w="1134" w:type="dxa"/>
            <w:noWrap/>
          </w:tcPr>
          <w:p w:rsidR="00F425CB" w:rsidRPr="0021236A" w:rsidRDefault="00F425CB" w:rsidP="006F2148">
            <w:pPr>
              <w:pStyle w:val="TableText"/>
              <w:tabs>
                <w:tab w:val="decimal" w:pos="743"/>
              </w:tabs>
            </w:pPr>
            <w:r w:rsidRPr="0021236A">
              <w:t>1035</w:t>
            </w:r>
          </w:p>
        </w:tc>
        <w:tc>
          <w:tcPr>
            <w:tcW w:w="1353" w:type="dxa"/>
          </w:tcPr>
          <w:p w:rsidR="00F425CB" w:rsidRPr="0021236A" w:rsidRDefault="00F425CB" w:rsidP="006F2148">
            <w:pPr>
              <w:pStyle w:val="TableText"/>
              <w:jc w:val="center"/>
            </w:pPr>
            <w:r w:rsidRPr="0021236A">
              <w:t>17%</w:t>
            </w:r>
          </w:p>
        </w:tc>
        <w:tc>
          <w:tcPr>
            <w:tcW w:w="2333" w:type="dxa"/>
          </w:tcPr>
          <w:p w:rsidR="00F425CB" w:rsidRPr="0021236A" w:rsidRDefault="00F425CB" w:rsidP="006F2148">
            <w:pPr>
              <w:pStyle w:val="TableText"/>
              <w:tabs>
                <w:tab w:val="decimal" w:pos="1155"/>
              </w:tabs>
            </w:pPr>
            <w:r w:rsidRPr="0021236A">
              <w:t>3.9%</w:t>
            </w:r>
          </w:p>
        </w:tc>
      </w:tr>
      <w:tr w:rsidR="00F425CB" w:rsidRPr="006F2148" w:rsidTr="00C73F47">
        <w:trPr>
          <w:cantSplit/>
        </w:trPr>
        <w:tc>
          <w:tcPr>
            <w:tcW w:w="1843" w:type="dxa"/>
            <w:noWrap/>
          </w:tcPr>
          <w:p w:rsidR="00F425CB" w:rsidRPr="006F2148" w:rsidRDefault="00F425CB" w:rsidP="006F2148">
            <w:pPr>
              <w:pStyle w:val="TableText"/>
              <w:rPr>
                <w:b/>
              </w:rPr>
            </w:pPr>
            <w:r w:rsidRPr="006F2148">
              <w:rPr>
                <w:b/>
              </w:rPr>
              <w:t>Total</w:t>
            </w:r>
          </w:p>
        </w:tc>
        <w:tc>
          <w:tcPr>
            <w:tcW w:w="1134" w:type="dxa"/>
            <w:noWrap/>
          </w:tcPr>
          <w:p w:rsidR="00F425CB" w:rsidRPr="006F2148" w:rsidRDefault="00F425CB" w:rsidP="006F2148">
            <w:pPr>
              <w:pStyle w:val="TableText"/>
              <w:tabs>
                <w:tab w:val="decimal" w:pos="654"/>
              </w:tabs>
              <w:rPr>
                <w:b/>
              </w:rPr>
            </w:pPr>
            <w:r w:rsidRPr="006F2148">
              <w:rPr>
                <w:b/>
              </w:rPr>
              <w:t>8,206</w:t>
            </w:r>
          </w:p>
        </w:tc>
        <w:tc>
          <w:tcPr>
            <w:tcW w:w="1559" w:type="dxa"/>
            <w:noWrap/>
          </w:tcPr>
          <w:p w:rsidR="00F425CB" w:rsidRPr="006F2148" w:rsidRDefault="00F425CB" w:rsidP="006F2148">
            <w:pPr>
              <w:pStyle w:val="TableText"/>
              <w:tabs>
                <w:tab w:val="decimal" w:pos="881"/>
              </w:tabs>
              <w:rPr>
                <w:b/>
              </w:rPr>
            </w:pPr>
            <w:r w:rsidRPr="006F2148">
              <w:rPr>
                <w:b/>
              </w:rPr>
              <w:t>3,670</w:t>
            </w:r>
          </w:p>
        </w:tc>
        <w:tc>
          <w:tcPr>
            <w:tcW w:w="1134" w:type="dxa"/>
            <w:noWrap/>
          </w:tcPr>
          <w:p w:rsidR="00F425CB" w:rsidRPr="006F2148" w:rsidRDefault="00F425CB" w:rsidP="006F2148">
            <w:pPr>
              <w:pStyle w:val="TableText"/>
              <w:tabs>
                <w:tab w:val="decimal" w:pos="743"/>
              </w:tabs>
              <w:rPr>
                <w:b/>
              </w:rPr>
            </w:pPr>
            <w:r w:rsidRPr="006F2148">
              <w:rPr>
                <w:b/>
              </w:rPr>
              <w:t>11,876</w:t>
            </w:r>
          </w:p>
        </w:tc>
        <w:tc>
          <w:tcPr>
            <w:tcW w:w="1353" w:type="dxa"/>
          </w:tcPr>
          <w:p w:rsidR="00F425CB" w:rsidRPr="006F2148" w:rsidRDefault="00F425CB" w:rsidP="006F2148">
            <w:pPr>
              <w:pStyle w:val="TableText"/>
              <w:jc w:val="center"/>
              <w:rPr>
                <w:b/>
              </w:rPr>
            </w:pPr>
            <w:r w:rsidRPr="006F2148">
              <w:rPr>
                <w:b/>
              </w:rPr>
              <w:t>31%</w:t>
            </w:r>
          </w:p>
        </w:tc>
        <w:tc>
          <w:tcPr>
            <w:tcW w:w="2333" w:type="dxa"/>
          </w:tcPr>
          <w:p w:rsidR="00F425CB" w:rsidRPr="006F2148" w:rsidRDefault="00F425CB" w:rsidP="006F2148">
            <w:pPr>
              <w:pStyle w:val="TableText"/>
              <w:tabs>
                <w:tab w:val="decimal" w:pos="1155"/>
              </w:tabs>
              <w:rPr>
                <w:b/>
              </w:rPr>
            </w:pPr>
            <w:r w:rsidRPr="006F2148">
              <w:rPr>
                <w:b/>
              </w:rPr>
              <w:t>37.4%</w:t>
            </w:r>
          </w:p>
        </w:tc>
      </w:tr>
      <w:tr w:rsidR="00F425CB" w:rsidRPr="0021236A" w:rsidTr="00C73F47">
        <w:trPr>
          <w:cantSplit/>
        </w:trPr>
        <w:tc>
          <w:tcPr>
            <w:tcW w:w="1843" w:type="dxa"/>
            <w:noWrap/>
          </w:tcPr>
          <w:p w:rsidR="00F425CB" w:rsidRPr="0021236A" w:rsidRDefault="00F425CB" w:rsidP="006F2148">
            <w:pPr>
              <w:pStyle w:val="TableText"/>
            </w:pPr>
            <w:r w:rsidRPr="0021236A">
              <w:t>% Private</w:t>
            </w:r>
          </w:p>
        </w:tc>
        <w:tc>
          <w:tcPr>
            <w:tcW w:w="1134" w:type="dxa"/>
            <w:noWrap/>
          </w:tcPr>
          <w:p w:rsidR="00F425CB" w:rsidRPr="0021236A" w:rsidRDefault="00F425CB" w:rsidP="006F2148">
            <w:pPr>
              <w:pStyle w:val="TableText"/>
              <w:jc w:val="center"/>
            </w:pPr>
            <w:r w:rsidRPr="0021236A">
              <w:t>10.5%</w:t>
            </w:r>
          </w:p>
        </w:tc>
        <w:tc>
          <w:tcPr>
            <w:tcW w:w="1559" w:type="dxa"/>
            <w:noWrap/>
          </w:tcPr>
          <w:p w:rsidR="00F425CB" w:rsidRPr="0021236A" w:rsidRDefault="00F425CB" w:rsidP="006F2148">
            <w:pPr>
              <w:pStyle w:val="TableText"/>
              <w:jc w:val="center"/>
            </w:pPr>
            <w:r w:rsidRPr="0021236A">
              <w:t>4.8%</w:t>
            </w:r>
          </w:p>
        </w:tc>
        <w:tc>
          <w:tcPr>
            <w:tcW w:w="1134" w:type="dxa"/>
            <w:noWrap/>
          </w:tcPr>
          <w:p w:rsidR="00F425CB" w:rsidRPr="0021236A" w:rsidRDefault="00F425CB" w:rsidP="006F2148">
            <w:pPr>
              <w:pStyle w:val="TableText"/>
              <w:jc w:val="center"/>
            </w:pPr>
            <w:r w:rsidRPr="0021236A">
              <w:t>8.7%</w:t>
            </w:r>
          </w:p>
        </w:tc>
        <w:tc>
          <w:tcPr>
            <w:tcW w:w="1353" w:type="dxa"/>
          </w:tcPr>
          <w:p w:rsidR="00F425CB" w:rsidRPr="0021236A" w:rsidRDefault="00F425CB" w:rsidP="006F2148">
            <w:pPr>
              <w:pStyle w:val="TableText"/>
              <w:jc w:val="center"/>
            </w:pPr>
          </w:p>
        </w:tc>
        <w:tc>
          <w:tcPr>
            <w:tcW w:w="2333" w:type="dxa"/>
          </w:tcPr>
          <w:p w:rsidR="00F425CB" w:rsidRPr="0021236A" w:rsidRDefault="00F425CB" w:rsidP="006F2148">
            <w:pPr>
              <w:pStyle w:val="TableText"/>
              <w:tabs>
                <w:tab w:val="decimal" w:pos="1155"/>
              </w:tabs>
            </w:pPr>
          </w:p>
        </w:tc>
      </w:tr>
    </w:tbl>
    <w:p w:rsidR="00F425CB" w:rsidRPr="007E7990" w:rsidRDefault="00F425CB" w:rsidP="006F2148"/>
    <w:p w:rsidR="00F425CB" w:rsidRPr="007E7990" w:rsidRDefault="00F425CB" w:rsidP="006F2148">
      <w:r w:rsidRPr="007E7990">
        <w:t xml:space="preserve">The final column of </w:t>
      </w:r>
      <w:r w:rsidR="006F2148">
        <w:t>Table 3</w:t>
      </w:r>
      <w:r w:rsidRPr="007E7990">
        <w:t xml:space="preserve"> displays a key metric for radiation oncology, known as the radiation therapy utilisation rate or intervention rate (IR), with the latter being the term used in this Plan.</w:t>
      </w:r>
      <w:r w:rsidR="007E7990" w:rsidRPr="007E7990">
        <w:t xml:space="preserve"> </w:t>
      </w:r>
      <w:r w:rsidRPr="007E7990">
        <w:t>This is defined as the proportion of all people with cancer (</w:t>
      </w:r>
      <w:proofErr w:type="spellStart"/>
      <w:r w:rsidRPr="007E7990">
        <w:t>ie</w:t>
      </w:r>
      <w:proofErr w:type="spellEnd"/>
      <w:r w:rsidRPr="007E7990">
        <w:t>, those having had a cancer registration) who receive at least one course of radiation therapy during their care.</w:t>
      </w:r>
      <w:r w:rsidR="007E7990" w:rsidRPr="007E7990">
        <w:t xml:space="preserve"> </w:t>
      </w:r>
      <w:r w:rsidRPr="007E7990">
        <w:t>The current national average of 37% is similar to that seen in Australia and the UK (see Section 5.1.3).</w:t>
      </w:r>
      <w:r w:rsidR="007E7990" w:rsidRPr="007E7990">
        <w:t xml:space="preserve"> </w:t>
      </w:r>
      <w:r w:rsidRPr="007E7990">
        <w:t xml:space="preserve">Internationally, the desired (or </w:t>
      </w:r>
      <w:r w:rsidR="007E7990" w:rsidRPr="007E7990">
        <w:t>‘</w:t>
      </w:r>
      <w:r w:rsidRPr="007E7990">
        <w:t>optimal</w:t>
      </w:r>
      <w:r w:rsidR="007E7990" w:rsidRPr="007E7990">
        <w:t>’</w:t>
      </w:r>
      <w:r w:rsidRPr="007E7990">
        <w:t>) IR is seen as the outcome of best clinical practice in use of radiation therapy for cancer treatment, and becomes a key variable in deciding on possible future planning scenarios.</w:t>
      </w:r>
      <w:r w:rsidR="007E7990" w:rsidRPr="007E7990">
        <w:t xml:space="preserve"> </w:t>
      </w:r>
      <w:r w:rsidRPr="007E7990">
        <w:t>This is discussed further in Section 5.1.3.</w:t>
      </w:r>
    </w:p>
    <w:p w:rsidR="00F425CB" w:rsidRPr="007E7990" w:rsidRDefault="00F425CB" w:rsidP="006F2148"/>
    <w:p w:rsidR="00F425CB" w:rsidRPr="007E7990" w:rsidRDefault="00F425CB" w:rsidP="006F2148">
      <w:pPr>
        <w:pStyle w:val="Heading2"/>
      </w:pPr>
      <w:bookmarkStart w:id="52" w:name="_Toc376936353"/>
      <w:bookmarkStart w:id="53" w:name="_Toc384202855"/>
      <w:r w:rsidRPr="007E7990">
        <w:lastRenderedPageBreak/>
        <w:t>3.2</w:t>
      </w:r>
      <w:r w:rsidRPr="007E7990">
        <w:tab/>
        <w:t>Courses by DHB</w:t>
      </w:r>
      <w:bookmarkEnd w:id="52"/>
      <w:bookmarkEnd w:id="53"/>
    </w:p>
    <w:p w:rsidR="007E7990" w:rsidRPr="007E7990" w:rsidRDefault="00F425CB" w:rsidP="00553048">
      <w:r w:rsidRPr="007E7990">
        <w:t xml:space="preserve">The number of courses delivered by DHB is shown in </w:t>
      </w:r>
      <w:r w:rsidR="00553048">
        <w:t>Table 4</w:t>
      </w:r>
      <w:r w:rsidRPr="007E7990">
        <w:t xml:space="preserve"> along with the calculated intervention (IR) and retreatment rates (RTR).</w:t>
      </w:r>
    </w:p>
    <w:p w:rsidR="00F425CB" w:rsidRPr="007E7990" w:rsidRDefault="00F425CB" w:rsidP="00553048"/>
    <w:p w:rsidR="00F425CB" w:rsidRPr="007E7990" w:rsidRDefault="00F425CB" w:rsidP="00553048">
      <w:r w:rsidRPr="007E7990">
        <w:t xml:space="preserve">Estimated IRs by DHB for 2012 </w:t>
      </w:r>
      <w:proofErr w:type="gramStart"/>
      <w:r w:rsidRPr="007E7990">
        <w:t>vary</w:t>
      </w:r>
      <w:proofErr w:type="gramEnd"/>
      <w:r w:rsidRPr="007E7990">
        <w:t xml:space="preserve"> from 27% to 45%.</w:t>
      </w:r>
      <w:r w:rsidR="007E7990" w:rsidRPr="007E7990">
        <w:t xml:space="preserve"> </w:t>
      </w:r>
      <w:r w:rsidRPr="007E7990">
        <w:t>In practice, a DHB</w:t>
      </w:r>
      <w:r w:rsidR="007E7990" w:rsidRPr="007E7990">
        <w:t>’</w:t>
      </w:r>
      <w:r w:rsidRPr="007E7990">
        <w:t>s actual IR level in any one year will be based on the mix of tumours in that year, treatment modalities available, local clinical practice, and patient choice.</w:t>
      </w:r>
      <w:r w:rsidR="007E7990" w:rsidRPr="007E7990">
        <w:t xml:space="preserve"> </w:t>
      </w:r>
      <w:r w:rsidRPr="007E7990">
        <w:t>This variation is discussed further in Section 5.1.1.</w:t>
      </w:r>
      <w:r w:rsidR="007E7990" w:rsidRPr="007E7990">
        <w:t xml:space="preserve"> </w:t>
      </w:r>
      <w:r w:rsidRPr="007E7990">
        <w:t>The IR has likely to have increased in most DHBs over the past 10 years, although precise figures are not available</w:t>
      </w:r>
      <w:r w:rsidR="00553048">
        <w:t>.</w:t>
      </w:r>
      <w:r w:rsidRPr="00553048">
        <w:rPr>
          <w:rStyle w:val="FootnoteReference"/>
        </w:rPr>
        <w:footnoteReference w:id="12"/>
      </w:r>
      <w:r w:rsidR="007E7990" w:rsidRPr="007E7990">
        <w:t xml:space="preserve"> </w:t>
      </w:r>
      <w:r w:rsidRPr="007E7990">
        <w:t>RTRs also vary significantly, from 22% to 41% of all courses, probably related in part at least to locally available palliative care resources.</w:t>
      </w:r>
    </w:p>
    <w:p w:rsidR="00F425CB" w:rsidRPr="007E7990" w:rsidRDefault="00F425CB" w:rsidP="00553048"/>
    <w:p w:rsidR="00F425CB" w:rsidRPr="007E7990" w:rsidRDefault="00F425CB" w:rsidP="00553048">
      <w:pPr>
        <w:pStyle w:val="Heading2"/>
      </w:pPr>
      <w:bookmarkStart w:id="54" w:name="_Toc376936354"/>
      <w:bookmarkStart w:id="55" w:name="_Toc384202856"/>
      <w:r w:rsidRPr="007E7990">
        <w:t>3.3</w:t>
      </w:r>
      <w:r w:rsidRPr="007E7990">
        <w:tab/>
        <w:t>Workforce</w:t>
      </w:r>
      <w:bookmarkEnd w:id="54"/>
      <w:bookmarkEnd w:id="55"/>
    </w:p>
    <w:p w:rsidR="007E7990" w:rsidRPr="007E7990" w:rsidRDefault="00F425CB" w:rsidP="00553048">
      <w:r w:rsidRPr="007E7990">
        <w:t>Three workforce groups are covered in the Plan and associated Model: radiation oncologists, medical physicists and radiation therapists.</w:t>
      </w:r>
      <w:r w:rsidR="007E7990" w:rsidRPr="007E7990">
        <w:t xml:space="preserve"> </w:t>
      </w:r>
      <w:r w:rsidRPr="007E7990">
        <w:t>Radiation oncologists (ROs) are doctors who specialise in treating cancer with radiation therapy.</w:t>
      </w:r>
      <w:r w:rsidR="007E7990" w:rsidRPr="007E7990">
        <w:t xml:space="preserve"> </w:t>
      </w:r>
      <w:r w:rsidRPr="007E7990">
        <w:t>Medical physicists (MPs) are scientific specialists in the therapeutic application of radiation sources and operating the associated equipment.</w:t>
      </w:r>
      <w:r w:rsidR="007E7990" w:rsidRPr="007E7990">
        <w:t xml:space="preserve"> </w:t>
      </w:r>
      <w:r w:rsidRPr="007E7990">
        <w:t>They are integral to treatment planning and measurement, and the use, calibration, and commissioning of linear accelerators and other radiation therapy equipment.</w:t>
      </w:r>
      <w:r w:rsidR="007E7990" w:rsidRPr="007E7990">
        <w:t xml:space="preserve"> </w:t>
      </w:r>
      <w:r w:rsidRPr="007E7990">
        <w:t>Radiation therapists (RTs) are allied health practitioners involved in planning and delivering the radiation treatments.</w:t>
      </w:r>
      <w:r w:rsidR="007E7990" w:rsidRPr="007E7990">
        <w:t xml:space="preserve"> </w:t>
      </w:r>
      <w:r w:rsidRPr="007E7990">
        <w:t>They provide specific care to patients throughout the course of their treatment and educate patients on the management of any treatment related side-effects.</w:t>
      </w:r>
      <w:r w:rsidR="007E7990" w:rsidRPr="007E7990">
        <w:t xml:space="preserve"> </w:t>
      </w:r>
      <w:r w:rsidRPr="007E7990">
        <w:t>Each workforce group is an essential component in the multidisciplinary care that is needed for radiation therapy.</w:t>
      </w:r>
    </w:p>
    <w:p w:rsidR="00F425CB" w:rsidRPr="007E7990" w:rsidRDefault="00F425CB" w:rsidP="00553048">
      <w:bookmarkStart w:id="56" w:name="_Ref367429753"/>
      <w:bookmarkStart w:id="57" w:name="_Ref367363091"/>
    </w:p>
    <w:p w:rsidR="00F425CB" w:rsidRPr="007E7990" w:rsidRDefault="00F425CB" w:rsidP="00553048">
      <w:pPr>
        <w:pStyle w:val="Table"/>
      </w:pPr>
      <w:bookmarkStart w:id="58" w:name="_Ref367796689"/>
      <w:bookmarkStart w:id="59" w:name="_Ref367796740"/>
      <w:bookmarkStart w:id="60" w:name="_Toc384202879"/>
      <w:bookmarkEnd w:id="56"/>
      <w:r w:rsidRPr="007E7990">
        <w:lastRenderedPageBreak/>
        <w:t xml:space="preserve">Table </w:t>
      </w:r>
      <w:r w:rsidR="00553048">
        <w:t>4</w:t>
      </w:r>
      <w:bookmarkEnd w:id="58"/>
      <w:r w:rsidR="00553048">
        <w:t>:</w:t>
      </w:r>
      <w:r w:rsidR="007E7990" w:rsidRPr="007E7990">
        <w:t xml:space="preserve"> </w:t>
      </w:r>
      <w:r w:rsidRPr="007E7990">
        <w:t>Courses and estimated intervention rate (IR) and retreatment rate (RTR) by DHB of domicile for 2012</w:t>
      </w:r>
      <w:bookmarkEnd w:id="59"/>
      <w:bookmarkEnd w:id="60"/>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410"/>
        <w:gridCol w:w="1251"/>
        <w:gridCol w:w="1374"/>
        <w:gridCol w:w="1061"/>
        <w:gridCol w:w="1346"/>
        <w:gridCol w:w="957"/>
        <w:gridCol w:w="957"/>
      </w:tblGrid>
      <w:tr w:rsidR="00F425CB" w:rsidRPr="00553048" w:rsidTr="00C73F47">
        <w:trPr>
          <w:cantSplit/>
        </w:trPr>
        <w:tc>
          <w:tcPr>
            <w:tcW w:w="2410" w:type="dxa"/>
            <w:shd w:val="clear" w:color="auto" w:fill="BDE2FF"/>
          </w:tcPr>
          <w:p w:rsidR="00F425CB" w:rsidRPr="00553048" w:rsidRDefault="00F425CB" w:rsidP="00553048">
            <w:pPr>
              <w:pStyle w:val="TableText"/>
              <w:keepNext/>
              <w:rPr>
                <w:b/>
                <w:lang w:eastAsia="en-NZ"/>
              </w:rPr>
            </w:pPr>
            <w:r w:rsidRPr="00553048">
              <w:rPr>
                <w:b/>
                <w:lang w:eastAsia="en-NZ"/>
              </w:rPr>
              <w:t>DHB of domicile</w:t>
            </w:r>
          </w:p>
        </w:tc>
        <w:tc>
          <w:tcPr>
            <w:tcW w:w="1251" w:type="dxa"/>
            <w:shd w:val="clear" w:color="auto" w:fill="BDE2FF"/>
            <w:noWrap/>
          </w:tcPr>
          <w:p w:rsidR="00F425CB" w:rsidRPr="00553048" w:rsidRDefault="00F425CB" w:rsidP="00553048">
            <w:pPr>
              <w:pStyle w:val="TableText"/>
              <w:keepNext/>
              <w:jc w:val="center"/>
              <w:rPr>
                <w:b/>
                <w:lang w:eastAsia="en-NZ"/>
              </w:rPr>
            </w:pPr>
            <w:r w:rsidRPr="00553048">
              <w:rPr>
                <w:b/>
                <w:lang w:eastAsia="en-NZ"/>
              </w:rPr>
              <w:t>First treatment</w:t>
            </w:r>
          </w:p>
        </w:tc>
        <w:tc>
          <w:tcPr>
            <w:tcW w:w="1374" w:type="dxa"/>
            <w:shd w:val="clear" w:color="auto" w:fill="BDE2FF"/>
            <w:noWrap/>
          </w:tcPr>
          <w:p w:rsidR="00F425CB" w:rsidRPr="00553048" w:rsidRDefault="00F425CB" w:rsidP="00553048">
            <w:pPr>
              <w:pStyle w:val="TableText"/>
              <w:keepNext/>
              <w:jc w:val="center"/>
              <w:rPr>
                <w:b/>
                <w:lang w:eastAsia="en-NZ"/>
              </w:rPr>
            </w:pPr>
            <w:r w:rsidRPr="00553048">
              <w:rPr>
                <w:b/>
                <w:lang w:eastAsia="en-NZ"/>
              </w:rPr>
              <w:t>Retreatment</w:t>
            </w:r>
          </w:p>
        </w:tc>
        <w:tc>
          <w:tcPr>
            <w:tcW w:w="1061" w:type="dxa"/>
            <w:shd w:val="clear" w:color="auto" w:fill="BDE2FF"/>
            <w:noWrap/>
          </w:tcPr>
          <w:p w:rsidR="00F425CB" w:rsidRPr="00553048" w:rsidRDefault="00F425CB" w:rsidP="00553048">
            <w:pPr>
              <w:pStyle w:val="TableText"/>
              <w:keepNext/>
              <w:jc w:val="center"/>
              <w:rPr>
                <w:b/>
                <w:lang w:eastAsia="en-NZ"/>
              </w:rPr>
            </w:pPr>
            <w:r w:rsidRPr="00553048">
              <w:rPr>
                <w:b/>
                <w:lang w:eastAsia="en-NZ"/>
              </w:rPr>
              <w:t>Total</w:t>
            </w:r>
          </w:p>
        </w:tc>
        <w:tc>
          <w:tcPr>
            <w:tcW w:w="1346" w:type="dxa"/>
            <w:shd w:val="clear" w:color="auto" w:fill="BDE2FF"/>
            <w:noWrap/>
          </w:tcPr>
          <w:p w:rsidR="00F425CB" w:rsidRPr="00553048" w:rsidRDefault="00F425CB" w:rsidP="00553048">
            <w:pPr>
              <w:pStyle w:val="TableText"/>
              <w:keepNext/>
              <w:jc w:val="center"/>
              <w:rPr>
                <w:b/>
                <w:lang w:eastAsia="en-NZ"/>
              </w:rPr>
            </w:pPr>
            <w:r w:rsidRPr="00553048">
              <w:rPr>
                <w:b/>
                <w:lang w:eastAsia="en-NZ"/>
              </w:rPr>
              <w:t>% privately funded</w:t>
            </w:r>
          </w:p>
        </w:tc>
        <w:tc>
          <w:tcPr>
            <w:tcW w:w="957" w:type="dxa"/>
            <w:shd w:val="clear" w:color="auto" w:fill="BDE2FF"/>
            <w:noWrap/>
          </w:tcPr>
          <w:p w:rsidR="00F425CB" w:rsidRPr="00553048" w:rsidRDefault="00F425CB" w:rsidP="00553048">
            <w:pPr>
              <w:pStyle w:val="TableText"/>
              <w:keepNext/>
              <w:jc w:val="center"/>
              <w:rPr>
                <w:b/>
                <w:lang w:eastAsia="en-NZ"/>
              </w:rPr>
            </w:pPr>
            <w:r w:rsidRPr="00553048">
              <w:rPr>
                <w:b/>
                <w:lang w:eastAsia="en-NZ"/>
              </w:rPr>
              <w:t>IR</w:t>
            </w:r>
          </w:p>
        </w:tc>
        <w:tc>
          <w:tcPr>
            <w:tcW w:w="957" w:type="dxa"/>
            <w:shd w:val="clear" w:color="auto" w:fill="BDE2FF"/>
            <w:noWrap/>
          </w:tcPr>
          <w:p w:rsidR="00F425CB" w:rsidRPr="00553048" w:rsidRDefault="00F425CB" w:rsidP="00553048">
            <w:pPr>
              <w:pStyle w:val="TableText"/>
              <w:keepNext/>
              <w:jc w:val="center"/>
              <w:rPr>
                <w:b/>
                <w:lang w:eastAsia="en-NZ"/>
              </w:rPr>
            </w:pPr>
            <w:r w:rsidRPr="00553048">
              <w:rPr>
                <w:b/>
                <w:lang w:eastAsia="en-NZ"/>
              </w:rPr>
              <w:t>RTR</w:t>
            </w:r>
          </w:p>
        </w:tc>
      </w:tr>
      <w:tr w:rsidR="00F425CB" w:rsidRPr="0021236A" w:rsidTr="00C73F47">
        <w:trPr>
          <w:cantSplit/>
        </w:trPr>
        <w:tc>
          <w:tcPr>
            <w:tcW w:w="2410" w:type="dxa"/>
            <w:noWrap/>
          </w:tcPr>
          <w:p w:rsidR="00F425CB" w:rsidRPr="00F628E5" w:rsidRDefault="00F425CB" w:rsidP="00553048">
            <w:pPr>
              <w:pStyle w:val="TableText"/>
              <w:keepNext/>
              <w:rPr>
                <w:rFonts w:ascii="Helvetica" w:hAnsi="Helvetica" w:cs="Helvetica"/>
                <w:lang w:eastAsia="en-NZ"/>
              </w:rPr>
            </w:pPr>
            <w:r w:rsidRPr="00F628E5">
              <w:rPr>
                <w:rFonts w:ascii="Helvetica" w:hAnsi="Helvetica" w:cs="Helvetica"/>
                <w:lang w:eastAsia="en-NZ"/>
              </w:rPr>
              <w:t>Northland</w:t>
            </w:r>
          </w:p>
        </w:tc>
        <w:tc>
          <w:tcPr>
            <w:tcW w:w="1251" w:type="dxa"/>
            <w:noWrap/>
          </w:tcPr>
          <w:p w:rsidR="00F425CB" w:rsidRPr="0021236A" w:rsidRDefault="00F425CB" w:rsidP="00553048">
            <w:pPr>
              <w:pStyle w:val="TableText"/>
              <w:keepNext/>
              <w:tabs>
                <w:tab w:val="decimal" w:pos="652"/>
              </w:tabs>
            </w:pPr>
            <w:r w:rsidRPr="0021236A">
              <w:t>316</w:t>
            </w:r>
          </w:p>
        </w:tc>
        <w:tc>
          <w:tcPr>
            <w:tcW w:w="1374" w:type="dxa"/>
            <w:noWrap/>
          </w:tcPr>
          <w:p w:rsidR="00F425CB" w:rsidRPr="0021236A" w:rsidRDefault="00F425CB" w:rsidP="00553048">
            <w:pPr>
              <w:pStyle w:val="TableText"/>
              <w:keepNext/>
              <w:tabs>
                <w:tab w:val="decimal" w:pos="669"/>
              </w:tabs>
            </w:pPr>
            <w:r w:rsidRPr="0021236A">
              <w:t>133</w:t>
            </w:r>
          </w:p>
        </w:tc>
        <w:tc>
          <w:tcPr>
            <w:tcW w:w="1061" w:type="dxa"/>
            <w:noWrap/>
          </w:tcPr>
          <w:p w:rsidR="00F425CB" w:rsidRPr="0021236A" w:rsidRDefault="00F425CB" w:rsidP="00553048">
            <w:pPr>
              <w:pStyle w:val="TableText"/>
              <w:keepNext/>
              <w:tabs>
                <w:tab w:val="decimal" w:pos="669"/>
              </w:tabs>
            </w:pPr>
            <w:r w:rsidRPr="0021236A">
              <w:t>449</w:t>
            </w:r>
          </w:p>
        </w:tc>
        <w:tc>
          <w:tcPr>
            <w:tcW w:w="1346" w:type="dxa"/>
            <w:noWrap/>
          </w:tcPr>
          <w:p w:rsidR="00F425CB" w:rsidRPr="0021236A" w:rsidRDefault="00F425CB" w:rsidP="00553048">
            <w:pPr>
              <w:pStyle w:val="TableText"/>
              <w:keepNext/>
              <w:tabs>
                <w:tab w:val="decimal" w:pos="669"/>
              </w:tabs>
            </w:pPr>
            <w:r w:rsidRPr="0021236A">
              <w:t>8%</w:t>
            </w:r>
          </w:p>
        </w:tc>
        <w:tc>
          <w:tcPr>
            <w:tcW w:w="957" w:type="dxa"/>
            <w:noWrap/>
          </w:tcPr>
          <w:p w:rsidR="00F425CB" w:rsidRPr="0021236A" w:rsidRDefault="00F425CB" w:rsidP="00553048">
            <w:pPr>
              <w:pStyle w:val="TableText"/>
              <w:keepNext/>
              <w:tabs>
                <w:tab w:val="decimal" w:pos="331"/>
              </w:tabs>
            </w:pPr>
            <w:r w:rsidRPr="0021236A">
              <w:t>34%</w:t>
            </w:r>
          </w:p>
        </w:tc>
        <w:tc>
          <w:tcPr>
            <w:tcW w:w="957" w:type="dxa"/>
            <w:noWrap/>
          </w:tcPr>
          <w:p w:rsidR="00F425CB" w:rsidRPr="0021236A" w:rsidRDefault="00F425CB" w:rsidP="00553048">
            <w:pPr>
              <w:pStyle w:val="TableText"/>
              <w:keepNext/>
              <w:tabs>
                <w:tab w:val="decimal" w:pos="331"/>
              </w:tabs>
            </w:pPr>
            <w:r w:rsidRPr="0021236A">
              <w:t>30%</w:t>
            </w:r>
          </w:p>
        </w:tc>
      </w:tr>
      <w:tr w:rsidR="00F425CB" w:rsidRPr="0021236A" w:rsidTr="00C73F47">
        <w:trPr>
          <w:cantSplit/>
        </w:trPr>
        <w:tc>
          <w:tcPr>
            <w:tcW w:w="2410" w:type="dxa"/>
            <w:noWrap/>
          </w:tcPr>
          <w:p w:rsidR="00F425CB" w:rsidRPr="00F628E5" w:rsidRDefault="00F425CB" w:rsidP="00553048">
            <w:pPr>
              <w:pStyle w:val="TableText"/>
              <w:keepNext/>
              <w:rPr>
                <w:rFonts w:ascii="Helvetica" w:hAnsi="Helvetica" w:cs="Helvetica"/>
                <w:lang w:eastAsia="en-NZ"/>
              </w:rPr>
            </w:pPr>
            <w:proofErr w:type="spellStart"/>
            <w:r w:rsidRPr="00F628E5">
              <w:rPr>
                <w:rFonts w:ascii="Helvetica" w:hAnsi="Helvetica" w:cs="Helvetica"/>
                <w:lang w:eastAsia="en-NZ"/>
              </w:rPr>
              <w:t>Waitemata</w:t>
            </w:r>
            <w:proofErr w:type="spellEnd"/>
          </w:p>
        </w:tc>
        <w:tc>
          <w:tcPr>
            <w:tcW w:w="1251" w:type="dxa"/>
            <w:noWrap/>
          </w:tcPr>
          <w:p w:rsidR="00F425CB" w:rsidRPr="0021236A" w:rsidRDefault="00F425CB" w:rsidP="00553048">
            <w:pPr>
              <w:pStyle w:val="TableText"/>
              <w:keepNext/>
              <w:tabs>
                <w:tab w:val="decimal" w:pos="652"/>
              </w:tabs>
            </w:pPr>
            <w:r w:rsidRPr="0021236A">
              <w:t>894</w:t>
            </w:r>
          </w:p>
        </w:tc>
        <w:tc>
          <w:tcPr>
            <w:tcW w:w="1374" w:type="dxa"/>
            <w:noWrap/>
          </w:tcPr>
          <w:p w:rsidR="00F425CB" w:rsidRPr="0021236A" w:rsidRDefault="00F425CB" w:rsidP="00553048">
            <w:pPr>
              <w:pStyle w:val="TableText"/>
              <w:keepNext/>
              <w:tabs>
                <w:tab w:val="decimal" w:pos="669"/>
              </w:tabs>
            </w:pPr>
            <w:r w:rsidRPr="0021236A">
              <w:t>381</w:t>
            </w:r>
          </w:p>
        </w:tc>
        <w:tc>
          <w:tcPr>
            <w:tcW w:w="1061" w:type="dxa"/>
            <w:noWrap/>
          </w:tcPr>
          <w:p w:rsidR="00F425CB" w:rsidRPr="0021236A" w:rsidRDefault="00F425CB" w:rsidP="00553048">
            <w:pPr>
              <w:pStyle w:val="TableText"/>
              <w:keepNext/>
              <w:tabs>
                <w:tab w:val="decimal" w:pos="669"/>
              </w:tabs>
            </w:pPr>
            <w:r w:rsidRPr="0021236A">
              <w:t>1,275</w:t>
            </w:r>
          </w:p>
        </w:tc>
        <w:tc>
          <w:tcPr>
            <w:tcW w:w="1346" w:type="dxa"/>
            <w:noWrap/>
          </w:tcPr>
          <w:p w:rsidR="00F425CB" w:rsidRPr="0021236A" w:rsidRDefault="00F425CB" w:rsidP="00553048">
            <w:pPr>
              <w:pStyle w:val="TableText"/>
              <w:keepNext/>
              <w:tabs>
                <w:tab w:val="decimal" w:pos="669"/>
              </w:tabs>
            </w:pPr>
            <w:r w:rsidRPr="0021236A">
              <w:t>21%</w:t>
            </w:r>
          </w:p>
        </w:tc>
        <w:tc>
          <w:tcPr>
            <w:tcW w:w="957" w:type="dxa"/>
            <w:noWrap/>
          </w:tcPr>
          <w:p w:rsidR="00F425CB" w:rsidRPr="0021236A" w:rsidRDefault="00F425CB" w:rsidP="00553048">
            <w:pPr>
              <w:pStyle w:val="TableText"/>
              <w:keepNext/>
              <w:tabs>
                <w:tab w:val="decimal" w:pos="331"/>
              </w:tabs>
            </w:pPr>
            <w:r w:rsidRPr="0021236A">
              <w:t>35%</w:t>
            </w:r>
          </w:p>
        </w:tc>
        <w:tc>
          <w:tcPr>
            <w:tcW w:w="957" w:type="dxa"/>
            <w:noWrap/>
          </w:tcPr>
          <w:p w:rsidR="00F425CB" w:rsidRPr="0021236A" w:rsidRDefault="00F425CB" w:rsidP="00553048">
            <w:pPr>
              <w:pStyle w:val="TableText"/>
              <w:keepNext/>
              <w:tabs>
                <w:tab w:val="decimal" w:pos="331"/>
              </w:tabs>
            </w:pPr>
            <w:r w:rsidRPr="0021236A">
              <w:t>30%</w:t>
            </w:r>
          </w:p>
        </w:tc>
      </w:tr>
      <w:tr w:rsidR="00F425CB" w:rsidRPr="0021236A" w:rsidTr="00C73F47">
        <w:trPr>
          <w:cantSplit/>
        </w:trPr>
        <w:tc>
          <w:tcPr>
            <w:tcW w:w="2410" w:type="dxa"/>
            <w:noWrap/>
          </w:tcPr>
          <w:p w:rsidR="00F425CB" w:rsidRPr="00F628E5" w:rsidRDefault="00F425CB" w:rsidP="00553048">
            <w:pPr>
              <w:pStyle w:val="TableText"/>
              <w:keepNext/>
              <w:rPr>
                <w:rFonts w:ascii="Helvetica" w:hAnsi="Helvetica" w:cs="Helvetica"/>
                <w:lang w:eastAsia="en-NZ"/>
              </w:rPr>
            </w:pPr>
            <w:r w:rsidRPr="00F628E5">
              <w:rPr>
                <w:rFonts w:ascii="Helvetica" w:hAnsi="Helvetica" w:cs="Helvetica"/>
                <w:lang w:eastAsia="en-NZ"/>
              </w:rPr>
              <w:t>Auckland</w:t>
            </w:r>
          </w:p>
        </w:tc>
        <w:tc>
          <w:tcPr>
            <w:tcW w:w="1251" w:type="dxa"/>
            <w:noWrap/>
          </w:tcPr>
          <w:p w:rsidR="00F425CB" w:rsidRPr="0021236A" w:rsidRDefault="00F425CB" w:rsidP="00553048">
            <w:pPr>
              <w:pStyle w:val="TableText"/>
              <w:keepNext/>
              <w:tabs>
                <w:tab w:val="decimal" w:pos="652"/>
              </w:tabs>
            </w:pPr>
            <w:r w:rsidRPr="0021236A">
              <w:t>689</w:t>
            </w:r>
          </w:p>
        </w:tc>
        <w:tc>
          <w:tcPr>
            <w:tcW w:w="1374" w:type="dxa"/>
            <w:noWrap/>
          </w:tcPr>
          <w:p w:rsidR="00F425CB" w:rsidRPr="0021236A" w:rsidRDefault="00F425CB" w:rsidP="00553048">
            <w:pPr>
              <w:pStyle w:val="TableText"/>
              <w:keepNext/>
              <w:tabs>
                <w:tab w:val="decimal" w:pos="669"/>
              </w:tabs>
            </w:pPr>
            <w:r w:rsidRPr="0021236A">
              <w:t>319</w:t>
            </w:r>
          </w:p>
        </w:tc>
        <w:tc>
          <w:tcPr>
            <w:tcW w:w="1061" w:type="dxa"/>
            <w:noWrap/>
          </w:tcPr>
          <w:p w:rsidR="00F425CB" w:rsidRPr="0021236A" w:rsidRDefault="00F425CB" w:rsidP="00553048">
            <w:pPr>
              <w:pStyle w:val="TableText"/>
              <w:keepNext/>
              <w:tabs>
                <w:tab w:val="decimal" w:pos="669"/>
              </w:tabs>
            </w:pPr>
            <w:r w:rsidRPr="0021236A">
              <w:t>1,008</w:t>
            </w:r>
          </w:p>
        </w:tc>
        <w:tc>
          <w:tcPr>
            <w:tcW w:w="1346" w:type="dxa"/>
            <w:noWrap/>
          </w:tcPr>
          <w:p w:rsidR="00F425CB" w:rsidRPr="0021236A" w:rsidRDefault="00F425CB" w:rsidP="00553048">
            <w:pPr>
              <w:pStyle w:val="TableText"/>
              <w:keepNext/>
              <w:tabs>
                <w:tab w:val="decimal" w:pos="669"/>
              </w:tabs>
            </w:pPr>
            <w:r w:rsidRPr="0021236A">
              <w:t>27%</w:t>
            </w:r>
          </w:p>
        </w:tc>
        <w:tc>
          <w:tcPr>
            <w:tcW w:w="957" w:type="dxa"/>
            <w:noWrap/>
          </w:tcPr>
          <w:p w:rsidR="00F425CB" w:rsidRPr="0021236A" w:rsidRDefault="00F425CB" w:rsidP="00553048">
            <w:pPr>
              <w:pStyle w:val="TableText"/>
              <w:keepNext/>
              <w:tabs>
                <w:tab w:val="decimal" w:pos="331"/>
              </w:tabs>
            </w:pPr>
            <w:r w:rsidRPr="0021236A">
              <w:t>38%</w:t>
            </w:r>
          </w:p>
        </w:tc>
        <w:tc>
          <w:tcPr>
            <w:tcW w:w="957" w:type="dxa"/>
            <w:noWrap/>
          </w:tcPr>
          <w:p w:rsidR="00F425CB" w:rsidRPr="0021236A" w:rsidRDefault="00F425CB" w:rsidP="00553048">
            <w:pPr>
              <w:pStyle w:val="TableText"/>
              <w:keepNext/>
              <w:tabs>
                <w:tab w:val="decimal" w:pos="331"/>
              </w:tabs>
            </w:pPr>
            <w:r w:rsidRPr="0021236A">
              <w:t>32%</w:t>
            </w:r>
          </w:p>
        </w:tc>
      </w:tr>
      <w:tr w:rsidR="00F425CB" w:rsidRPr="0021236A" w:rsidTr="00C73F47">
        <w:trPr>
          <w:cantSplit/>
        </w:trPr>
        <w:tc>
          <w:tcPr>
            <w:tcW w:w="2410" w:type="dxa"/>
            <w:noWrap/>
          </w:tcPr>
          <w:p w:rsidR="00F425CB" w:rsidRPr="00F628E5" w:rsidRDefault="00F425CB" w:rsidP="00553048">
            <w:pPr>
              <w:pStyle w:val="TableText"/>
              <w:keepNext/>
              <w:rPr>
                <w:rFonts w:ascii="Helvetica" w:hAnsi="Helvetica" w:cs="Helvetica"/>
                <w:lang w:eastAsia="en-NZ"/>
              </w:rPr>
            </w:pPr>
            <w:r w:rsidRPr="00F628E5">
              <w:rPr>
                <w:rFonts w:ascii="Helvetica" w:hAnsi="Helvetica" w:cs="Helvetica"/>
                <w:lang w:eastAsia="en-NZ"/>
              </w:rPr>
              <w:t xml:space="preserve">Counties </w:t>
            </w:r>
            <w:proofErr w:type="spellStart"/>
            <w:r w:rsidRPr="00F628E5">
              <w:rPr>
                <w:rFonts w:ascii="Helvetica" w:hAnsi="Helvetica" w:cs="Helvetica"/>
                <w:lang w:eastAsia="en-NZ"/>
              </w:rPr>
              <w:t>Manukau</w:t>
            </w:r>
            <w:proofErr w:type="spellEnd"/>
          </w:p>
        </w:tc>
        <w:tc>
          <w:tcPr>
            <w:tcW w:w="1251" w:type="dxa"/>
            <w:noWrap/>
          </w:tcPr>
          <w:p w:rsidR="00F425CB" w:rsidRPr="0021236A" w:rsidRDefault="00F425CB" w:rsidP="00553048">
            <w:pPr>
              <w:pStyle w:val="TableText"/>
              <w:keepNext/>
              <w:tabs>
                <w:tab w:val="decimal" w:pos="652"/>
              </w:tabs>
            </w:pPr>
            <w:r w:rsidRPr="0021236A">
              <w:t>720</w:t>
            </w:r>
          </w:p>
        </w:tc>
        <w:tc>
          <w:tcPr>
            <w:tcW w:w="1374" w:type="dxa"/>
            <w:noWrap/>
          </w:tcPr>
          <w:p w:rsidR="00F425CB" w:rsidRPr="0021236A" w:rsidRDefault="00F425CB" w:rsidP="00553048">
            <w:pPr>
              <w:pStyle w:val="TableText"/>
              <w:keepNext/>
              <w:tabs>
                <w:tab w:val="decimal" w:pos="669"/>
              </w:tabs>
            </w:pPr>
            <w:r w:rsidRPr="0021236A">
              <w:t>332</w:t>
            </w:r>
          </w:p>
        </w:tc>
        <w:tc>
          <w:tcPr>
            <w:tcW w:w="1061" w:type="dxa"/>
            <w:noWrap/>
          </w:tcPr>
          <w:p w:rsidR="00F425CB" w:rsidRPr="0021236A" w:rsidRDefault="00F425CB" w:rsidP="00553048">
            <w:pPr>
              <w:pStyle w:val="TableText"/>
              <w:keepNext/>
              <w:tabs>
                <w:tab w:val="decimal" w:pos="669"/>
              </w:tabs>
            </w:pPr>
            <w:r w:rsidRPr="0021236A">
              <w:t>1,052</w:t>
            </w:r>
          </w:p>
        </w:tc>
        <w:tc>
          <w:tcPr>
            <w:tcW w:w="1346" w:type="dxa"/>
            <w:noWrap/>
          </w:tcPr>
          <w:p w:rsidR="00F425CB" w:rsidRPr="0021236A" w:rsidRDefault="00F425CB" w:rsidP="00553048">
            <w:pPr>
              <w:pStyle w:val="TableText"/>
              <w:keepNext/>
              <w:tabs>
                <w:tab w:val="decimal" w:pos="669"/>
              </w:tabs>
            </w:pPr>
            <w:r w:rsidRPr="0021236A">
              <w:t>14%</w:t>
            </w:r>
          </w:p>
        </w:tc>
        <w:tc>
          <w:tcPr>
            <w:tcW w:w="957" w:type="dxa"/>
            <w:noWrap/>
          </w:tcPr>
          <w:p w:rsidR="00F425CB" w:rsidRPr="0021236A" w:rsidRDefault="00F425CB" w:rsidP="00553048">
            <w:pPr>
              <w:pStyle w:val="TableText"/>
              <w:keepNext/>
              <w:tabs>
                <w:tab w:val="decimal" w:pos="331"/>
              </w:tabs>
            </w:pPr>
            <w:r w:rsidRPr="0021236A">
              <w:t>36%</w:t>
            </w:r>
          </w:p>
        </w:tc>
        <w:tc>
          <w:tcPr>
            <w:tcW w:w="957" w:type="dxa"/>
            <w:noWrap/>
          </w:tcPr>
          <w:p w:rsidR="00F425CB" w:rsidRPr="0021236A" w:rsidRDefault="00F425CB" w:rsidP="00553048">
            <w:pPr>
              <w:pStyle w:val="TableText"/>
              <w:keepNext/>
              <w:tabs>
                <w:tab w:val="decimal" w:pos="331"/>
              </w:tabs>
            </w:pPr>
            <w:r w:rsidRPr="0021236A">
              <w:t>32%</w:t>
            </w:r>
          </w:p>
        </w:tc>
      </w:tr>
      <w:tr w:rsidR="00F425CB" w:rsidRPr="0021236A" w:rsidTr="00C73F47">
        <w:trPr>
          <w:cantSplit/>
        </w:trPr>
        <w:tc>
          <w:tcPr>
            <w:tcW w:w="2410" w:type="dxa"/>
            <w:noWrap/>
          </w:tcPr>
          <w:p w:rsidR="00F425CB" w:rsidRPr="00F628E5" w:rsidRDefault="00F425CB" w:rsidP="00553048">
            <w:pPr>
              <w:pStyle w:val="TableText"/>
              <w:keepNext/>
              <w:rPr>
                <w:rFonts w:ascii="Helvetica" w:hAnsi="Helvetica" w:cs="Helvetica"/>
                <w:lang w:eastAsia="en-NZ"/>
              </w:rPr>
            </w:pPr>
            <w:r w:rsidRPr="00F628E5">
              <w:rPr>
                <w:rFonts w:ascii="Helvetica" w:hAnsi="Helvetica" w:cs="Helvetica"/>
                <w:lang w:eastAsia="en-NZ"/>
              </w:rPr>
              <w:t>Waikato</w:t>
            </w:r>
          </w:p>
        </w:tc>
        <w:tc>
          <w:tcPr>
            <w:tcW w:w="1251" w:type="dxa"/>
            <w:noWrap/>
          </w:tcPr>
          <w:p w:rsidR="00F425CB" w:rsidRPr="0021236A" w:rsidRDefault="00F425CB" w:rsidP="00553048">
            <w:pPr>
              <w:pStyle w:val="TableText"/>
              <w:keepNext/>
              <w:tabs>
                <w:tab w:val="decimal" w:pos="652"/>
              </w:tabs>
            </w:pPr>
            <w:r w:rsidRPr="0021236A">
              <w:t>802</w:t>
            </w:r>
          </w:p>
        </w:tc>
        <w:tc>
          <w:tcPr>
            <w:tcW w:w="1374" w:type="dxa"/>
            <w:noWrap/>
          </w:tcPr>
          <w:p w:rsidR="00F425CB" w:rsidRPr="0021236A" w:rsidRDefault="00F425CB" w:rsidP="00553048">
            <w:pPr>
              <w:pStyle w:val="TableText"/>
              <w:keepNext/>
              <w:tabs>
                <w:tab w:val="decimal" w:pos="669"/>
              </w:tabs>
            </w:pPr>
            <w:r w:rsidRPr="0021236A">
              <w:t>257</w:t>
            </w:r>
          </w:p>
        </w:tc>
        <w:tc>
          <w:tcPr>
            <w:tcW w:w="1061" w:type="dxa"/>
            <w:noWrap/>
          </w:tcPr>
          <w:p w:rsidR="00F425CB" w:rsidRPr="0021236A" w:rsidRDefault="00F425CB" w:rsidP="00553048">
            <w:pPr>
              <w:pStyle w:val="TableText"/>
              <w:keepNext/>
              <w:tabs>
                <w:tab w:val="decimal" w:pos="669"/>
              </w:tabs>
            </w:pPr>
            <w:r w:rsidRPr="0021236A">
              <w:t>1,059</w:t>
            </w:r>
          </w:p>
        </w:tc>
        <w:tc>
          <w:tcPr>
            <w:tcW w:w="1346" w:type="dxa"/>
            <w:noWrap/>
          </w:tcPr>
          <w:p w:rsidR="00F425CB" w:rsidRPr="0021236A" w:rsidRDefault="00F425CB" w:rsidP="00553048">
            <w:pPr>
              <w:pStyle w:val="TableText"/>
              <w:keepNext/>
              <w:tabs>
                <w:tab w:val="decimal" w:pos="669"/>
              </w:tabs>
            </w:pPr>
            <w:r w:rsidRPr="0021236A">
              <w:t>0%</w:t>
            </w:r>
          </w:p>
        </w:tc>
        <w:tc>
          <w:tcPr>
            <w:tcW w:w="957" w:type="dxa"/>
            <w:noWrap/>
          </w:tcPr>
          <w:p w:rsidR="00F425CB" w:rsidRPr="0021236A" w:rsidRDefault="00F425CB" w:rsidP="00553048">
            <w:pPr>
              <w:pStyle w:val="TableText"/>
              <w:keepNext/>
              <w:tabs>
                <w:tab w:val="decimal" w:pos="331"/>
              </w:tabs>
            </w:pPr>
            <w:r w:rsidRPr="0021236A">
              <w:t>44%</w:t>
            </w:r>
          </w:p>
        </w:tc>
        <w:tc>
          <w:tcPr>
            <w:tcW w:w="957" w:type="dxa"/>
            <w:noWrap/>
          </w:tcPr>
          <w:p w:rsidR="00F425CB" w:rsidRPr="0021236A" w:rsidRDefault="00F425CB" w:rsidP="00553048">
            <w:pPr>
              <w:pStyle w:val="TableText"/>
              <w:keepNext/>
              <w:tabs>
                <w:tab w:val="decimal" w:pos="331"/>
              </w:tabs>
            </w:pPr>
            <w:r w:rsidRPr="0021236A">
              <w:t>24%</w:t>
            </w:r>
          </w:p>
        </w:tc>
      </w:tr>
      <w:tr w:rsidR="00F425CB" w:rsidRPr="0021236A" w:rsidTr="00C73F47">
        <w:trPr>
          <w:cantSplit/>
        </w:trPr>
        <w:tc>
          <w:tcPr>
            <w:tcW w:w="2410" w:type="dxa"/>
            <w:noWrap/>
          </w:tcPr>
          <w:p w:rsidR="00F425CB" w:rsidRPr="00F628E5" w:rsidRDefault="00F425CB" w:rsidP="00553048">
            <w:pPr>
              <w:pStyle w:val="TableText"/>
              <w:keepNext/>
              <w:rPr>
                <w:rFonts w:ascii="Helvetica" w:hAnsi="Helvetica" w:cs="Helvetica"/>
                <w:lang w:eastAsia="en-NZ"/>
              </w:rPr>
            </w:pPr>
            <w:r w:rsidRPr="00F628E5">
              <w:rPr>
                <w:rFonts w:ascii="Helvetica" w:hAnsi="Helvetica" w:cs="Helvetica"/>
                <w:lang w:eastAsia="en-NZ"/>
              </w:rPr>
              <w:t>Lakes</w:t>
            </w:r>
          </w:p>
        </w:tc>
        <w:tc>
          <w:tcPr>
            <w:tcW w:w="1251" w:type="dxa"/>
            <w:noWrap/>
          </w:tcPr>
          <w:p w:rsidR="00F425CB" w:rsidRPr="0021236A" w:rsidRDefault="00F425CB" w:rsidP="00553048">
            <w:pPr>
              <w:pStyle w:val="TableText"/>
              <w:keepNext/>
              <w:tabs>
                <w:tab w:val="decimal" w:pos="652"/>
              </w:tabs>
            </w:pPr>
            <w:r w:rsidRPr="0021236A">
              <w:t>190</w:t>
            </w:r>
          </w:p>
        </w:tc>
        <w:tc>
          <w:tcPr>
            <w:tcW w:w="1374" w:type="dxa"/>
            <w:noWrap/>
          </w:tcPr>
          <w:p w:rsidR="00F425CB" w:rsidRPr="0021236A" w:rsidRDefault="00F425CB" w:rsidP="00553048">
            <w:pPr>
              <w:pStyle w:val="TableText"/>
              <w:keepNext/>
              <w:tabs>
                <w:tab w:val="decimal" w:pos="669"/>
              </w:tabs>
            </w:pPr>
            <w:r w:rsidRPr="0021236A">
              <w:t>64</w:t>
            </w:r>
          </w:p>
        </w:tc>
        <w:tc>
          <w:tcPr>
            <w:tcW w:w="1061" w:type="dxa"/>
            <w:noWrap/>
          </w:tcPr>
          <w:p w:rsidR="00F425CB" w:rsidRPr="0021236A" w:rsidRDefault="00F425CB" w:rsidP="00553048">
            <w:pPr>
              <w:pStyle w:val="TableText"/>
              <w:keepNext/>
              <w:tabs>
                <w:tab w:val="decimal" w:pos="669"/>
              </w:tabs>
            </w:pPr>
            <w:r w:rsidRPr="0021236A">
              <w:t>254</w:t>
            </w:r>
          </w:p>
        </w:tc>
        <w:tc>
          <w:tcPr>
            <w:tcW w:w="1346" w:type="dxa"/>
            <w:noWrap/>
          </w:tcPr>
          <w:p w:rsidR="00F425CB" w:rsidRPr="0021236A" w:rsidRDefault="00F425CB" w:rsidP="00553048">
            <w:pPr>
              <w:pStyle w:val="TableText"/>
              <w:keepNext/>
              <w:tabs>
                <w:tab w:val="decimal" w:pos="669"/>
              </w:tabs>
            </w:pPr>
            <w:r w:rsidRPr="0021236A">
              <w:t>0%</w:t>
            </w:r>
          </w:p>
        </w:tc>
        <w:tc>
          <w:tcPr>
            <w:tcW w:w="957" w:type="dxa"/>
            <w:noWrap/>
          </w:tcPr>
          <w:p w:rsidR="00F425CB" w:rsidRPr="0021236A" w:rsidRDefault="00F425CB" w:rsidP="00553048">
            <w:pPr>
              <w:pStyle w:val="TableText"/>
              <w:keepNext/>
              <w:tabs>
                <w:tab w:val="decimal" w:pos="331"/>
              </w:tabs>
            </w:pPr>
            <w:r w:rsidRPr="0021236A">
              <w:t>36%</w:t>
            </w:r>
          </w:p>
        </w:tc>
        <w:tc>
          <w:tcPr>
            <w:tcW w:w="957" w:type="dxa"/>
            <w:noWrap/>
          </w:tcPr>
          <w:p w:rsidR="00F425CB" w:rsidRPr="0021236A" w:rsidRDefault="00F425CB" w:rsidP="00553048">
            <w:pPr>
              <w:pStyle w:val="TableText"/>
              <w:keepNext/>
              <w:tabs>
                <w:tab w:val="decimal" w:pos="331"/>
              </w:tabs>
            </w:pPr>
            <w:r w:rsidRPr="0021236A">
              <w:t>25%</w:t>
            </w:r>
          </w:p>
        </w:tc>
      </w:tr>
      <w:tr w:rsidR="00F425CB" w:rsidRPr="0021236A" w:rsidTr="00C73F47">
        <w:trPr>
          <w:cantSplit/>
        </w:trPr>
        <w:tc>
          <w:tcPr>
            <w:tcW w:w="2410" w:type="dxa"/>
            <w:noWrap/>
          </w:tcPr>
          <w:p w:rsidR="00F425CB" w:rsidRPr="00F628E5" w:rsidRDefault="00F425CB" w:rsidP="00553048">
            <w:pPr>
              <w:pStyle w:val="TableText"/>
              <w:keepNext/>
              <w:rPr>
                <w:rFonts w:ascii="Helvetica" w:hAnsi="Helvetica" w:cs="Helvetica"/>
                <w:lang w:eastAsia="en-NZ"/>
              </w:rPr>
            </w:pPr>
            <w:r w:rsidRPr="00F628E5">
              <w:rPr>
                <w:rFonts w:ascii="Helvetica" w:hAnsi="Helvetica" w:cs="Helvetica"/>
                <w:lang w:eastAsia="en-NZ"/>
              </w:rPr>
              <w:t>Bay of Plenty</w:t>
            </w:r>
          </w:p>
        </w:tc>
        <w:tc>
          <w:tcPr>
            <w:tcW w:w="1251" w:type="dxa"/>
            <w:noWrap/>
          </w:tcPr>
          <w:p w:rsidR="00F425CB" w:rsidRPr="0021236A" w:rsidRDefault="00F425CB" w:rsidP="00553048">
            <w:pPr>
              <w:pStyle w:val="TableText"/>
              <w:keepNext/>
              <w:tabs>
                <w:tab w:val="decimal" w:pos="652"/>
              </w:tabs>
            </w:pPr>
            <w:r w:rsidRPr="0021236A">
              <w:t>447</w:t>
            </w:r>
          </w:p>
        </w:tc>
        <w:tc>
          <w:tcPr>
            <w:tcW w:w="1374" w:type="dxa"/>
            <w:noWrap/>
          </w:tcPr>
          <w:p w:rsidR="00F425CB" w:rsidRPr="0021236A" w:rsidRDefault="00F425CB" w:rsidP="00553048">
            <w:pPr>
              <w:pStyle w:val="TableText"/>
              <w:keepNext/>
              <w:tabs>
                <w:tab w:val="decimal" w:pos="669"/>
              </w:tabs>
            </w:pPr>
            <w:r w:rsidRPr="0021236A">
              <w:t>133</w:t>
            </w:r>
          </w:p>
        </w:tc>
        <w:tc>
          <w:tcPr>
            <w:tcW w:w="1061" w:type="dxa"/>
            <w:noWrap/>
          </w:tcPr>
          <w:p w:rsidR="00F425CB" w:rsidRPr="0021236A" w:rsidRDefault="00F425CB" w:rsidP="00553048">
            <w:pPr>
              <w:pStyle w:val="TableText"/>
              <w:keepNext/>
              <w:tabs>
                <w:tab w:val="decimal" w:pos="669"/>
              </w:tabs>
            </w:pPr>
            <w:r w:rsidRPr="0021236A">
              <w:t>580</w:t>
            </w:r>
          </w:p>
        </w:tc>
        <w:tc>
          <w:tcPr>
            <w:tcW w:w="1346" w:type="dxa"/>
            <w:noWrap/>
          </w:tcPr>
          <w:p w:rsidR="00F425CB" w:rsidRPr="0021236A" w:rsidRDefault="00F425CB" w:rsidP="00553048">
            <w:pPr>
              <w:pStyle w:val="TableText"/>
              <w:keepNext/>
              <w:tabs>
                <w:tab w:val="decimal" w:pos="669"/>
              </w:tabs>
            </w:pPr>
            <w:r w:rsidRPr="0021236A">
              <w:t>0%</w:t>
            </w:r>
          </w:p>
        </w:tc>
        <w:tc>
          <w:tcPr>
            <w:tcW w:w="957" w:type="dxa"/>
            <w:noWrap/>
          </w:tcPr>
          <w:p w:rsidR="00F425CB" w:rsidRPr="0021236A" w:rsidRDefault="00F425CB" w:rsidP="00553048">
            <w:pPr>
              <w:pStyle w:val="TableText"/>
              <w:keepNext/>
              <w:tabs>
                <w:tab w:val="decimal" w:pos="331"/>
              </w:tabs>
            </w:pPr>
            <w:r w:rsidRPr="0021236A">
              <w:t>34%</w:t>
            </w:r>
          </w:p>
        </w:tc>
        <w:tc>
          <w:tcPr>
            <w:tcW w:w="957" w:type="dxa"/>
            <w:noWrap/>
          </w:tcPr>
          <w:p w:rsidR="00F425CB" w:rsidRPr="0021236A" w:rsidRDefault="00F425CB" w:rsidP="00553048">
            <w:pPr>
              <w:pStyle w:val="TableText"/>
              <w:keepNext/>
              <w:tabs>
                <w:tab w:val="decimal" w:pos="331"/>
              </w:tabs>
            </w:pPr>
            <w:r w:rsidRPr="0021236A">
              <w:t>23%</w:t>
            </w:r>
          </w:p>
        </w:tc>
      </w:tr>
      <w:tr w:rsidR="00F425CB" w:rsidRPr="0021236A" w:rsidTr="00C73F47">
        <w:trPr>
          <w:cantSplit/>
        </w:trPr>
        <w:tc>
          <w:tcPr>
            <w:tcW w:w="2410" w:type="dxa"/>
            <w:noWrap/>
          </w:tcPr>
          <w:p w:rsidR="00F425CB" w:rsidRPr="00F628E5" w:rsidRDefault="00F425CB" w:rsidP="00553048">
            <w:pPr>
              <w:pStyle w:val="TableText"/>
              <w:keepNext/>
              <w:rPr>
                <w:rFonts w:ascii="Helvetica" w:hAnsi="Helvetica" w:cs="Helvetica"/>
                <w:lang w:eastAsia="en-NZ"/>
              </w:rPr>
            </w:pPr>
            <w:proofErr w:type="spellStart"/>
            <w:r w:rsidRPr="00F628E5">
              <w:rPr>
                <w:rFonts w:ascii="Helvetica" w:hAnsi="Helvetica" w:cs="Helvetica"/>
                <w:lang w:eastAsia="en-NZ"/>
              </w:rPr>
              <w:t>Tairawhiti</w:t>
            </w:r>
            <w:proofErr w:type="spellEnd"/>
          </w:p>
        </w:tc>
        <w:tc>
          <w:tcPr>
            <w:tcW w:w="1251" w:type="dxa"/>
            <w:noWrap/>
          </w:tcPr>
          <w:p w:rsidR="00F425CB" w:rsidRPr="0021236A" w:rsidRDefault="00F425CB" w:rsidP="00553048">
            <w:pPr>
              <w:pStyle w:val="TableText"/>
              <w:keepNext/>
              <w:tabs>
                <w:tab w:val="decimal" w:pos="652"/>
              </w:tabs>
            </w:pPr>
            <w:r w:rsidRPr="0021236A">
              <w:t>91</w:t>
            </w:r>
          </w:p>
        </w:tc>
        <w:tc>
          <w:tcPr>
            <w:tcW w:w="1374" w:type="dxa"/>
            <w:noWrap/>
          </w:tcPr>
          <w:p w:rsidR="00F425CB" w:rsidRPr="0021236A" w:rsidRDefault="00F425CB" w:rsidP="00553048">
            <w:pPr>
              <w:pStyle w:val="TableText"/>
              <w:keepNext/>
              <w:tabs>
                <w:tab w:val="decimal" w:pos="669"/>
              </w:tabs>
            </w:pPr>
            <w:r w:rsidRPr="0021236A">
              <w:t>25</w:t>
            </w:r>
          </w:p>
        </w:tc>
        <w:tc>
          <w:tcPr>
            <w:tcW w:w="1061" w:type="dxa"/>
            <w:noWrap/>
          </w:tcPr>
          <w:p w:rsidR="00F425CB" w:rsidRPr="0021236A" w:rsidRDefault="00F425CB" w:rsidP="00553048">
            <w:pPr>
              <w:pStyle w:val="TableText"/>
              <w:keepNext/>
              <w:tabs>
                <w:tab w:val="decimal" w:pos="669"/>
              </w:tabs>
            </w:pPr>
            <w:r w:rsidRPr="0021236A">
              <w:t>116</w:t>
            </w:r>
          </w:p>
        </w:tc>
        <w:tc>
          <w:tcPr>
            <w:tcW w:w="1346" w:type="dxa"/>
            <w:noWrap/>
          </w:tcPr>
          <w:p w:rsidR="00F425CB" w:rsidRPr="0021236A" w:rsidRDefault="00F425CB" w:rsidP="00553048">
            <w:pPr>
              <w:pStyle w:val="TableText"/>
              <w:keepNext/>
              <w:tabs>
                <w:tab w:val="decimal" w:pos="669"/>
              </w:tabs>
            </w:pPr>
            <w:r w:rsidRPr="0021236A">
              <w:t>0%</w:t>
            </w:r>
          </w:p>
        </w:tc>
        <w:tc>
          <w:tcPr>
            <w:tcW w:w="957" w:type="dxa"/>
            <w:noWrap/>
          </w:tcPr>
          <w:p w:rsidR="00F425CB" w:rsidRPr="0021236A" w:rsidRDefault="00F425CB" w:rsidP="00553048">
            <w:pPr>
              <w:pStyle w:val="TableText"/>
              <w:keepNext/>
              <w:tabs>
                <w:tab w:val="decimal" w:pos="331"/>
              </w:tabs>
            </w:pPr>
            <w:r w:rsidRPr="0021236A">
              <w:t>38%</w:t>
            </w:r>
          </w:p>
        </w:tc>
        <w:tc>
          <w:tcPr>
            <w:tcW w:w="957" w:type="dxa"/>
            <w:noWrap/>
          </w:tcPr>
          <w:p w:rsidR="00F425CB" w:rsidRPr="0021236A" w:rsidRDefault="00F425CB" w:rsidP="00553048">
            <w:pPr>
              <w:pStyle w:val="TableText"/>
              <w:keepNext/>
              <w:tabs>
                <w:tab w:val="decimal" w:pos="331"/>
              </w:tabs>
            </w:pPr>
            <w:r w:rsidRPr="0021236A">
              <w:t>22%</w:t>
            </w:r>
          </w:p>
        </w:tc>
      </w:tr>
      <w:tr w:rsidR="00F425CB" w:rsidRPr="0021236A" w:rsidTr="00C73F47">
        <w:trPr>
          <w:cantSplit/>
        </w:trPr>
        <w:tc>
          <w:tcPr>
            <w:tcW w:w="2410" w:type="dxa"/>
            <w:noWrap/>
          </w:tcPr>
          <w:p w:rsidR="00F425CB" w:rsidRPr="00F628E5" w:rsidRDefault="00F425CB" w:rsidP="00553048">
            <w:pPr>
              <w:pStyle w:val="TableText"/>
              <w:keepNext/>
              <w:rPr>
                <w:rFonts w:ascii="Helvetica" w:hAnsi="Helvetica" w:cs="Helvetica"/>
                <w:lang w:eastAsia="en-NZ"/>
              </w:rPr>
            </w:pPr>
            <w:r w:rsidRPr="00F628E5">
              <w:rPr>
                <w:rFonts w:ascii="Helvetica" w:hAnsi="Helvetica" w:cs="Helvetica"/>
                <w:lang w:eastAsia="en-NZ"/>
              </w:rPr>
              <w:t>Hawke</w:t>
            </w:r>
            <w:r w:rsidR="007E7990">
              <w:rPr>
                <w:rFonts w:ascii="Helvetica" w:hAnsi="Helvetica" w:cs="Helvetica"/>
                <w:lang w:eastAsia="en-NZ"/>
              </w:rPr>
              <w:t>’</w:t>
            </w:r>
            <w:r w:rsidRPr="00F628E5">
              <w:rPr>
                <w:rFonts w:ascii="Helvetica" w:hAnsi="Helvetica" w:cs="Helvetica"/>
                <w:lang w:eastAsia="en-NZ"/>
              </w:rPr>
              <w:t>s Bay</w:t>
            </w:r>
          </w:p>
        </w:tc>
        <w:tc>
          <w:tcPr>
            <w:tcW w:w="1251" w:type="dxa"/>
            <w:noWrap/>
          </w:tcPr>
          <w:p w:rsidR="00F425CB" w:rsidRPr="0021236A" w:rsidRDefault="00F425CB" w:rsidP="00553048">
            <w:pPr>
              <w:pStyle w:val="TableText"/>
              <w:keepNext/>
              <w:tabs>
                <w:tab w:val="decimal" w:pos="652"/>
              </w:tabs>
            </w:pPr>
            <w:r w:rsidRPr="0021236A">
              <w:t>317</w:t>
            </w:r>
          </w:p>
        </w:tc>
        <w:tc>
          <w:tcPr>
            <w:tcW w:w="1374" w:type="dxa"/>
            <w:noWrap/>
          </w:tcPr>
          <w:p w:rsidR="00F425CB" w:rsidRPr="0021236A" w:rsidRDefault="00F425CB" w:rsidP="00553048">
            <w:pPr>
              <w:pStyle w:val="TableText"/>
              <w:keepNext/>
              <w:tabs>
                <w:tab w:val="decimal" w:pos="669"/>
              </w:tabs>
            </w:pPr>
            <w:r w:rsidRPr="0021236A">
              <w:t>96</w:t>
            </w:r>
          </w:p>
        </w:tc>
        <w:tc>
          <w:tcPr>
            <w:tcW w:w="1061" w:type="dxa"/>
            <w:noWrap/>
          </w:tcPr>
          <w:p w:rsidR="00F425CB" w:rsidRPr="0021236A" w:rsidRDefault="00F425CB" w:rsidP="00553048">
            <w:pPr>
              <w:pStyle w:val="TableText"/>
              <w:keepNext/>
              <w:tabs>
                <w:tab w:val="decimal" w:pos="669"/>
              </w:tabs>
            </w:pPr>
            <w:r w:rsidRPr="0021236A">
              <w:t>413</w:t>
            </w:r>
          </w:p>
        </w:tc>
        <w:tc>
          <w:tcPr>
            <w:tcW w:w="1346" w:type="dxa"/>
            <w:noWrap/>
          </w:tcPr>
          <w:p w:rsidR="00F425CB" w:rsidRPr="0021236A" w:rsidRDefault="00F425CB" w:rsidP="00553048">
            <w:pPr>
              <w:pStyle w:val="TableText"/>
              <w:keepNext/>
              <w:tabs>
                <w:tab w:val="decimal" w:pos="669"/>
              </w:tabs>
            </w:pPr>
            <w:r w:rsidRPr="0021236A">
              <w:t>0%</w:t>
            </w:r>
          </w:p>
        </w:tc>
        <w:tc>
          <w:tcPr>
            <w:tcW w:w="957" w:type="dxa"/>
            <w:noWrap/>
          </w:tcPr>
          <w:p w:rsidR="00F425CB" w:rsidRPr="0021236A" w:rsidRDefault="00F425CB" w:rsidP="00553048">
            <w:pPr>
              <w:pStyle w:val="TableText"/>
              <w:keepNext/>
              <w:tabs>
                <w:tab w:val="decimal" w:pos="331"/>
              </w:tabs>
            </w:pPr>
            <w:r w:rsidRPr="0021236A">
              <w:t>36%</w:t>
            </w:r>
          </w:p>
        </w:tc>
        <w:tc>
          <w:tcPr>
            <w:tcW w:w="957" w:type="dxa"/>
            <w:noWrap/>
          </w:tcPr>
          <w:p w:rsidR="00F425CB" w:rsidRPr="0021236A" w:rsidRDefault="00F425CB" w:rsidP="00553048">
            <w:pPr>
              <w:pStyle w:val="TableText"/>
              <w:keepNext/>
              <w:tabs>
                <w:tab w:val="decimal" w:pos="331"/>
              </w:tabs>
            </w:pPr>
            <w:r w:rsidRPr="0021236A">
              <w:t>23%</w:t>
            </w:r>
          </w:p>
        </w:tc>
      </w:tr>
      <w:tr w:rsidR="00F425CB" w:rsidRPr="0021236A" w:rsidTr="00C73F47">
        <w:trPr>
          <w:cantSplit/>
        </w:trPr>
        <w:tc>
          <w:tcPr>
            <w:tcW w:w="2410" w:type="dxa"/>
            <w:noWrap/>
          </w:tcPr>
          <w:p w:rsidR="00F425CB" w:rsidRPr="00F628E5" w:rsidRDefault="00F425CB" w:rsidP="00553048">
            <w:pPr>
              <w:pStyle w:val="TableText"/>
              <w:keepNext/>
              <w:rPr>
                <w:rFonts w:ascii="Helvetica" w:hAnsi="Helvetica" w:cs="Helvetica"/>
                <w:lang w:eastAsia="en-NZ"/>
              </w:rPr>
            </w:pPr>
            <w:proofErr w:type="spellStart"/>
            <w:r w:rsidRPr="00F628E5">
              <w:rPr>
                <w:rFonts w:ascii="Helvetica" w:hAnsi="Helvetica" w:cs="Helvetica"/>
                <w:lang w:eastAsia="en-NZ"/>
              </w:rPr>
              <w:t>Taranaki</w:t>
            </w:r>
            <w:proofErr w:type="spellEnd"/>
          </w:p>
        </w:tc>
        <w:tc>
          <w:tcPr>
            <w:tcW w:w="1251" w:type="dxa"/>
            <w:noWrap/>
          </w:tcPr>
          <w:p w:rsidR="00F425CB" w:rsidRPr="0021236A" w:rsidRDefault="00F425CB" w:rsidP="00553048">
            <w:pPr>
              <w:pStyle w:val="TableText"/>
              <w:keepNext/>
              <w:tabs>
                <w:tab w:val="decimal" w:pos="652"/>
              </w:tabs>
            </w:pPr>
            <w:r w:rsidRPr="0021236A">
              <w:t>229</w:t>
            </w:r>
          </w:p>
        </w:tc>
        <w:tc>
          <w:tcPr>
            <w:tcW w:w="1374" w:type="dxa"/>
            <w:noWrap/>
          </w:tcPr>
          <w:p w:rsidR="00F425CB" w:rsidRPr="0021236A" w:rsidRDefault="00F425CB" w:rsidP="00553048">
            <w:pPr>
              <w:pStyle w:val="TableText"/>
              <w:keepNext/>
              <w:tabs>
                <w:tab w:val="decimal" w:pos="669"/>
              </w:tabs>
            </w:pPr>
            <w:r w:rsidRPr="0021236A">
              <w:t>74</w:t>
            </w:r>
          </w:p>
        </w:tc>
        <w:tc>
          <w:tcPr>
            <w:tcW w:w="1061" w:type="dxa"/>
            <w:noWrap/>
          </w:tcPr>
          <w:p w:rsidR="00F425CB" w:rsidRPr="0021236A" w:rsidRDefault="00F425CB" w:rsidP="00553048">
            <w:pPr>
              <w:pStyle w:val="TableText"/>
              <w:keepNext/>
              <w:tabs>
                <w:tab w:val="decimal" w:pos="669"/>
              </w:tabs>
            </w:pPr>
            <w:r w:rsidRPr="0021236A">
              <w:t>303</w:t>
            </w:r>
          </w:p>
        </w:tc>
        <w:tc>
          <w:tcPr>
            <w:tcW w:w="1346" w:type="dxa"/>
            <w:noWrap/>
          </w:tcPr>
          <w:p w:rsidR="00F425CB" w:rsidRPr="0021236A" w:rsidRDefault="00F425CB" w:rsidP="00553048">
            <w:pPr>
              <w:pStyle w:val="TableText"/>
              <w:keepNext/>
              <w:tabs>
                <w:tab w:val="decimal" w:pos="669"/>
              </w:tabs>
            </w:pPr>
            <w:r w:rsidRPr="0021236A">
              <w:t>0%</w:t>
            </w:r>
          </w:p>
        </w:tc>
        <w:tc>
          <w:tcPr>
            <w:tcW w:w="957" w:type="dxa"/>
            <w:noWrap/>
          </w:tcPr>
          <w:p w:rsidR="00F425CB" w:rsidRPr="0021236A" w:rsidRDefault="00F425CB" w:rsidP="00553048">
            <w:pPr>
              <w:pStyle w:val="TableText"/>
              <w:keepNext/>
              <w:tabs>
                <w:tab w:val="decimal" w:pos="331"/>
              </w:tabs>
            </w:pPr>
            <w:r w:rsidRPr="0021236A">
              <w:t>36%</w:t>
            </w:r>
          </w:p>
        </w:tc>
        <w:tc>
          <w:tcPr>
            <w:tcW w:w="957" w:type="dxa"/>
            <w:noWrap/>
          </w:tcPr>
          <w:p w:rsidR="00F425CB" w:rsidRPr="0021236A" w:rsidRDefault="00F425CB" w:rsidP="00553048">
            <w:pPr>
              <w:pStyle w:val="TableText"/>
              <w:keepNext/>
              <w:tabs>
                <w:tab w:val="decimal" w:pos="331"/>
              </w:tabs>
            </w:pPr>
            <w:r w:rsidRPr="0021236A">
              <w:t>24%</w:t>
            </w:r>
          </w:p>
        </w:tc>
      </w:tr>
      <w:tr w:rsidR="00F425CB" w:rsidRPr="0021236A" w:rsidTr="00C73F47">
        <w:trPr>
          <w:cantSplit/>
        </w:trPr>
        <w:tc>
          <w:tcPr>
            <w:tcW w:w="2410" w:type="dxa"/>
            <w:noWrap/>
          </w:tcPr>
          <w:p w:rsidR="00F425CB" w:rsidRPr="00F628E5" w:rsidRDefault="00F425CB" w:rsidP="00553048">
            <w:pPr>
              <w:pStyle w:val="TableText"/>
              <w:keepNext/>
              <w:rPr>
                <w:rFonts w:ascii="Helvetica" w:hAnsi="Helvetica" w:cs="Helvetica"/>
                <w:lang w:eastAsia="en-NZ"/>
              </w:rPr>
            </w:pPr>
            <w:r w:rsidRPr="00F628E5">
              <w:rPr>
                <w:rFonts w:ascii="Helvetica" w:hAnsi="Helvetica" w:cs="Helvetica"/>
                <w:lang w:eastAsia="en-NZ"/>
              </w:rPr>
              <w:t>MidCentral</w:t>
            </w:r>
          </w:p>
        </w:tc>
        <w:tc>
          <w:tcPr>
            <w:tcW w:w="1251" w:type="dxa"/>
            <w:noWrap/>
          </w:tcPr>
          <w:p w:rsidR="00F425CB" w:rsidRPr="0021236A" w:rsidRDefault="00F425CB" w:rsidP="00553048">
            <w:pPr>
              <w:pStyle w:val="TableText"/>
              <w:keepNext/>
              <w:tabs>
                <w:tab w:val="decimal" w:pos="652"/>
              </w:tabs>
            </w:pPr>
            <w:r w:rsidRPr="0021236A">
              <w:t>361</w:t>
            </w:r>
          </w:p>
        </w:tc>
        <w:tc>
          <w:tcPr>
            <w:tcW w:w="1374" w:type="dxa"/>
            <w:noWrap/>
          </w:tcPr>
          <w:p w:rsidR="00F425CB" w:rsidRPr="0021236A" w:rsidRDefault="00F425CB" w:rsidP="00553048">
            <w:pPr>
              <w:pStyle w:val="TableText"/>
              <w:keepNext/>
              <w:tabs>
                <w:tab w:val="decimal" w:pos="669"/>
              </w:tabs>
            </w:pPr>
            <w:r w:rsidRPr="0021236A">
              <w:t>162</w:t>
            </w:r>
          </w:p>
        </w:tc>
        <w:tc>
          <w:tcPr>
            <w:tcW w:w="1061" w:type="dxa"/>
            <w:noWrap/>
          </w:tcPr>
          <w:p w:rsidR="00F425CB" w:rsidRPr="0021236A" w:rsidRDefault="00F425CB" w:rsidP="00553048">
            <w:pPr>
              <w:pStyle w:val="TableText"/>
              <w:keepNext/>
              <w:tabs>
                <w:tab w:val="decimal" w:pos="669"/>
              </w:tabs>
            </w:pPr>
            <w:r w:rsidRPr="0021236A">
              <w:t>523</w:t>
            </w:r>
          </w:p>
        </w:tc>
        <w:tc>
          <w:tcPr>
            <w:tcW w:w="1346" w:type="dxa"/>
            <w:noWrap/>
          </w:tcPr>
          <w:p w:rsidR="00F425CB" w:rsidRPr="0021236A" w:rsidRDefault="00F425CB" w:rsidP="00553048">
            <w:pPr>
              <w:pStyle w:val="TableText"/>
              <w:keepNext/>
              <w:tabs>
                <w:tab w:val="decimal" w:pos="669"/>
              </w:tabs>
            </w:pPr>
            <w:r w:rsidRPr="0021236A">
              <w:t>0%</w:t>
            </w:r>
          </w:p>
        </w:tc>
        <w:tc>
          <w:tcPr>
            <w:tcW w:w="957" w:type="dxa"/>
            <w:noWrap/>
          </w:tcPr>
          <w:p w:rsidR="00F425CB" w:rsidRPr="0021236A" w:rsidRDefault="00F425CB" w:rsidP="00553048">
            <w:pPr>
              <w:pStyle w:val="TableText"/>
              <w:keepNext/>
              <w:tabs>
                <w:tab w:val="decimal" w:pos="331"/>
              </w:tabs>
            </w:pPr>
            <w:r w:rsidRPr="0021236A">
              <w:t>39%</w:t>
            </w:r>
          </w:p>
        </w:tc>
        <w:tc>
          <w:tcPr>
            <w:tcW w:w="957" w:type="dxa"/>
            <w:noWrap/>
          </w:tcPr>
          <w:p w:rsidR="00F425CB" w:rsidRPr="0021236A" w:rsidRDefault="00F425CB" w:rsidP="00553048">
            <w:pPr>
              <w:pStyle w:val="TableText"/>
              <w:keepNext/>
              <w:tabs>
                <w:tab w:val="decimal" w:pos="331"/>
              </w:tabs>
            </w:pPr>
            <w:r w:rsidRPr="0021236A">
              <w:t>31%</w:t>
            </w:r>
          </w:p>
        </w:tc>
      </w:tr>
      <w:tr w:rsidR="00F425CB" w:rsidRPr="0021236A" w:rsidTr="00C73F47">
        <w:trPr>
          <w:cantSplit/>
        </w:trPr>
        <w:tc>
          <w:tcPr>
            <w:tcW w:w="2410" w:type="dxa"/>
            <w:noWrap/>
          </w:tcPr>
          <w:p w:rsidR="00F425CB" w:rsidRPr="00F628E5" w:rsidRDefault="00F425CB" w:rsidP="00553048">
            <w:pPr>
              <w:pStyle w:val="TableText"/>
              <w:rPr>
                <w:rFonts w:ascii="Helvetica" w:hAnsi="Helvetica" w:cs="Helvetica"/>
                <w:lang w:eastAsia="en-NZ"/>
              </w:rPr>
            </w:pPr>
            <w:proofErr w:type="spellStart"/>
            <w:r w:rsidRPr="00F628E5">
              <w:rPr>
                <w:rFonts w:ascii="Helvetica" w:hAnsi="Helvetica" w:cs="Helvetica"/>
                <w:lang w:eastAsia="en-NZ"/>
              </w:rPr>
              <w:t>Whanganui</w:t>
            </w:r>
            <w:proofErr w:type="spellEnd"/>
          </w:p>
        </w:tc>
        <w:tc>
          <w:tcPr>
            <w:tcW w:w="1251" w:type="dxa"/>
            <w:noWrap/>
          </w:tcPr>
          <w:p w:rsidR="00F425CB" w:rsidRPr="0021236A" w:rsidRDefault="00F425CB" w:rsidP="00553048">
            <w:pPr>
              <w:pStyle w:val="TableText"/>
              <w:tabs>
                <w:tab w:val="decimal" w:pos="652"/>
              </w:tabs>
            </w:pPr>
            <w:r w:rsidRPr="0021236A">
              <w:t>142</w:t>
            </w:r>
          </w:p>
        </w:tc>
        <w:tc>
          <w:tcPr>
            <w:tcW w:w="1374" w:type="dxa"/>
            <w:noWrap/>
          </w:tcPr>
          <w:p w:rsidR="00F425CB" w:rsidRPr="0021236A" w:rsidRDefault="00F425CB" w:rsidP="00553048">
            <w:pPr>
              <w:pStyle w:val="TableText"/>
              <w:tabs>
                <w:tab w:val="decimal" w:pos="669"/>
              </w:tabs>
            </w:pPr>
            <w:r w:rsidRPr="0021236A">
              <w:t>52</w:t>
            </w:r>
          </w:p>
        </w:tc>
        <w:tc>
          <w:tcPr>
            <w:tcW w:w="1061" w:type="dxa"/>
            <w:noWrap/>
          </w:tcPr>
          <w:p w:rsidR="00F425CB" w:rsidRPr="0021236A" w:rsidRDefault="00F425CB" w:rsidP="00553048">
            <w:pPr>
              <w:pStyle w:val="TableText"/>
              <w:tabs>
                <w:tab w:val="decimal" w:pos="669"/>
              </w:tabs>
            </w:pPr>
            <w:r w:rsidRPr="0021236A">
              <w:t>194</w:t>
            </w:r>
          </w:p>
        </w:tc>
        <w:tc>
          <w:tcPr>
            <w:tcW w:w="1346" w:type="dxa"/>
            <w:noWrap/>
          </w:tcPr>
          <w:p w:rsidR="00F425CB" w:rsidRPr="0021236A" w:rsidRDefault="00F425CB" w:rsidP="00553048">
            <w:pPr>
              <w:pStyle w:val="TableText"/>
              <w:tabs>
                <w:tab w:val="decimal" w:pos="669"/>
              </w:tabs>
            </w:pPr>
            <w:r w:rsidRPr="0021236A">
              <w:t>0%</w:t>
            </w:r>
          </w:p>
        </w:tc>
        <w:tc>
          <w:tcPr>
            <w:tcW w:w="957" w:type="dxa"/>
            <w:noWrap/>
          </w:tcPr>
          <w:p w:rsidR="00F425CB" w:rsidRPr="0021236A" w:rsidRDefault="00F425CB" w:rsidP="00553048">
            <w:pPr>
              <w:pStyle w:val="TableText"/>
              <w:tabs>
                <w:tab w:val="decimal" w:pos="331"/>
              </w:tabs>
            </w:pPr>
            <w:r w:rsidRPr="0021236A">
              <w:t>37%</w:t>
            </w:r>
          </w:p>
        </w:tc>
        <w:tc>
          <w:tcPr>
            <w:tcW w:w="957" w:type="dxa"/>
            <w:noWrap/>
          </w:tcPr>
          <w:p w:rsidR="00F425CB" w:rsidRPr="0021236A" w:rsidRDefault="00F425CB" w:rsidP="00553048">
            <w:pPr>
              <w:pStyle w:val="TableText"/>
              <w:tabs>
                <w:tab w:val="decimal" w:pos="331"/>
              </w:tabs>
            </w:pPr>
            <w:r w:rsidRPr="0021236A">
              <w:t>27%</w:t>
            </w:r>
          </w:p>
        </w:tc>
      </w:tr>
      <w:tr w:rsidR="00F425CB" w:rsidRPr="0021236A" w:rsidTr="00C73F47">
        <w:trPr>
          <w:cantSplit/>
        </w:trPr>
        <w:tc>
          <w:tcPr>
            <w:tcW w:w="2410" w:type="dxa"/>
            <w:noWrap/>
          </w:tcPr>
          <w:p w:rsidR="00F425CB" w:rsidRPr="00F628E5" w:rsidRDefault="00F425CB" w:rsidP="00553048">
            <w:pPr>
              <w:pStyle w:val="TableText"/>
              <w:rPr>
                <w:rFonts w:ascii="Helvetica" w:hAnsi="Helvetica" w:cs="Helvetica"/>
                <w:lang w:eastAsia="en-NZ"/>
              </w:rPr>
            </w:pPr>
            <w:r w:rsidRPr="00F628E5">
              <w:rPr>
                <w:rFonts w:ascii="Helvetica" w:hAnsi="Helvetica" w:cs="Helvetica"/>
                <w:lang w:eastAsia="en-NZ"/>
              </w:rPr>
              <w:t>Capital and Coast</w:t>
            </w:r>
          </w:p>
        </w:tc>
        <w:tc>
          <w:tcPr>
            <w:tcW w:w="1251" w:type="dxa"/>
            <w:noWrap/>
          </w:tcPr>
          <w:p w:rsidR="00F425CB" w:rsidRPr="0021236A" w:rsidRDefault="00F425CB" w:rsidP="00553048">
            <w:pPr>
              <w:pStyle w:val="TableText"/>
              <w:tabs>
                <w:tab w:val="decimal" w:pos="652"/>
              </w:tabs>
            </w:pPr>
            <w:r w:rsidRPr="0021236A">
              <w:rPr>
                <w:rFonts w:ascii="Helvetica" w:hAnsi="Helvetica" w:cs="Helvetica"/>
              </w:rPr>
              <w:t>543</w:t>
            </w:r>
          </w:p>
        </w:tc>
        <w:tc>
          <w:tcPr>
            <w:tcW w:w="1374" w:type="dxa"/>
            <w:noWrap/>
          </w:tcPr>
          <w:p w:rsidR="00F425CB" w:rsidRPr="0021236A" w:rsidRDefault="00F425CB" w:rsidP="00553048">
            <w:pPr>
              <w:pStyle w:val="TableText"/>
              <w:tabs>
                <w:tab w:val="decimal" w:pos="669"/>
              </w:tabs>
            </w:pPr>
            <w:r w:rsidRPr="0021236A">
              <w:rPr>
                <w:rFonts w:ascii="Helvetica" w:hAnsi="Helvetica" w:cs="Helvetica"/>
              </w:rPr>
              <w:t>271</w:t>
            </w:r>
          </w:p>
        </w:tc>
        <w:tc>
          <w:tcPr>
            <w:tcW w:w="1061" w:type="dxa"/>
            <w:noWrap/>
          </w:tcPr>
          <w:p w:rsidR="00F425CB" w:rsidRPr="0021236A" w:rsidRDefault="00F425CB" w:rsidP="00553048">
            <w:pPr>
              <w:pStyle w:val="TableText"/>
              <w:tabs>
                <w:tab w:val="decimal" w:pos="669"/>
              </w:tabs>
            </w:pPr>
            <w:r w:rsidRPr="0021236A">
              <w:t>814</w:t>
            </w:r>
          </w:p>
        </w:tc>
        <w:tc>
          <w:tcPr>
            <w:tcW w:w="1346" w:type="dxa"/>
            <w:noWrap/>
          </w:tcPr>
          <w:p w:rsidR="00F425CB" w:rsidRPr="0021236A" w:rsidRDefault="00F425CB" w:rsidP="00553048">
            <w:pPr>
              <w:pStyle w:val="TableText"/>
              <w:tabs>
                <w:tab w:val="decimal" w:pos="669"/>
              </w:tabs>
            </w:pPr>
            <w:r w:rsidRPr="0021236A">
              <w:t>0%</w:t>
            </w:r>
          </w:p>
        </w:tc>
        <w:tc>
          <w:tcPr>
            <w:tcW w:w="957" w:type="dxa"/>
            <w:noWrap/>
          </w:tcPr>
          <w:p w:rsidR="00F425CB" w:rsidRPr="0021236A" w:rsidRDefault="00F425CB" w:rsidP="00553048">
            <w:pPr>
              <w:pStyle w:val="TableText"/>
              <w:tabs>
                <w:tab w:val="decimal" w:pos="331"/>
              </w:tabs>
            </w:pPr>
            <w:r w:rsidRPr="0021236A">
              <w:rPr>
                <w:rFonts w:ascii="Helvetica" w:hAnsi="Helvetica" w:cs="Helvetica"/>
              </w:rPr>
              <w:t>45%</w:t>
            </w:r>
          </w:p>
        </w:tc>
        <w:tc>
          <w:tcPr>
            <w:tcW w:w="957" w:type="dxa"/>
            <w:noWrap/>
          </w:tcPr>
          <w:p w:rsidR="00F425CB" w:rsidRPr="0021236A" w:rsidRDefault="00F425CB" w:rsidP="00553048">
            <w:pPr>
              <w:pStyle w:val="TableText"/>
              <w:tabs>
                <w:tab w:val="decimal" w:pos="331"/>
              </w:tabs>
            </w:pPr>
            <w:r w:rsidRPr="0021236A">
              <w:rPr>
                <w:rFonts w:ascii="Helvetica" w:hAnsi="Helvetica" w:cs="Helvetica"/>
              </w:rPr>
              <w:t>33%</w:t>
            </w:r>
          </w:p>
        </w:tc>
      </w:tr>
      <w:tr w:rsidR="00F425CB" w:rsidRPr="0021236A" w:rsidTr="00C73F47">
        <w:trPr>
          <w:cantSplit/>
        </w:trPr>
        <w:tc>
          <w:tcPr>
            <w:tcW w:w="2410" w:type="dxa"/>
            <w:noWrap/>
          </w:tcPr>
          <w:p w:rsidR="00F425CB" w:rsidRPr="00F628E5" w:rsidRDefault="00F425CB" w:rsidP="00553048">
            <w:pPr>
              <w:pStyle w:val="TableText"/>
              <w:rPr>
                <w:rFonts w:ascii="Helvetica" w:hAnsi="Helvetica" w:cs="Helvetica"/>
                <w:lang w:eastAsia="en-NZ"/>
              </w:rPr>
            </w:pPr>
            <w:r w:rsidRPr="00F628E5">
              <w:rPr>
                <w:rFonts w:ascii="Helvetica" w:hAnsi="Helvetica" w:cs="Helvetica"/>
                <w:lang w:eastAsia="en-NZ"/>
              </w:rPr>
              <w:t>Hutt Valley</w:t>
            </w:r>
          </w:p>
        </w:tc>
        <w:tc>
          <w:tcPr>
            <w:tcW w:w="1251" w:type="dxa"/>
            <w:noWrap/>
          </w:tcPr>
          <w:p w:rsidR="00F425CB" w:rsidRPr="0021236A" w:rsidRDefault="00F425CB" w:rsidP="00553048">
            <w:pPr>
              <w:pStyle w:val="TableText"/>
              <w:tabs>
                <w:tab w:val="decimal" w:pos="652"/>
              </w:tabs>
            </w:pPr>
            <w:r w:rsidRPr="0021236A">
              <w:rPr>
                <w:rFonts w:ascii="Helvetica" w:hAnsi="Helvetica" w:cs="Helvetica"/>
              </w:rPr>
              <w:t>275</w:t>
            </w:r>
          </w:p>
        </w:tc>
        <w:tc>
          <w:tcPr>
            <w:tcW w:w="1374" w:type="dxa"/>
            <w:noWrap/>
          </w:tcPr>
          <w:p w:rsidR="00F425CB" w:rsidRPr="0021236A" w:rsidRDefault="00F425CB" w:rsidP="00553048">
            <w:pPr>
              <w:pStyle w:val="TableText"/>
              <w:tabs>
                <w:tab w:val="decimal" w:pos="669"/>
              </w:tabs>
            </w:pPr>
            <w:r w:rsidRPr="0021236A">
              <w:rPr>
                <w:rFonts w:ascii="Helvetica" w:hAnsi="Helvetica" w:cs="Helvetica"/>
              </w:rPr>
              <w:t>132</w:t>
            </w:r>
          </w:p>
        </w:tc>
        <w:tc>
          <w:tcPr>
            <w:tcW w:w="1061" w:type="dxa"/>
            <w:noWrap/>
          </w:tcPr>
          <w:p w:rsidR="00F425CB" w:rsidRPr="0021236A" w:rsidRDefault="00F425CB" w:rsidP="00553048">
            <w:pPr>
              <w:pStyle w:val="TableText"/>
              <w:tabs>
                <w:tab w:val="decimal" w:pos="669"/>
              </w:tabs>
            </w:pPr>
            <w:r w:rsidRPr="0021236A">
              <w:t>407</w:t>
            </w:r>
          </w:p>
        </w:tc>
        <w:tc>
          <w:tcPr>
            <w:tcW w:w="1346" w:type="dxa"/>
            <w:noWrap/>
          </w:tcPr>
          <w:p w:rsidR="00F425CB" w:rsidRPr="0021236A" w:rsidRDefault="00F425CB" w:rsidP="00553048">
            <w:pPr>
              <w:pStyle w:val="TableText"/>
              <w:tabs>
                <w:tab w:val="decimal" w:pos="669"/>
              </w:tabs>
            </w:pPr>
            <w:r w:rsidRPr="0021236A">
              <w:t>0%</w:t>
            </w:r>
          </w:p>
        </w:tc>
        <w:tc>
          <w:tcPr>
            <w:tcW w:w="957" w:type="dxa"/>
            <w:noWrap/>
          </w:tcPr>
          <w:p w:rsidR="00F425CB" w:rsidRPr="0021236A" w:rsidRDefault="00F425CB" w:rsidP="00553048">
            <w:pPr>
              <w:pStyle w:val="TableText"/>
              <w:tabs>
                <w:tab w:val="decimal" w:pos="331"/>
              </w:tabs>
            </w:pPr>
            <w:r w:rsidRPr="0021236A">
              <w:rPr>
                <w:rFonts w:ascii="Helvetica" w:hAnsi="Helvetica" w:cs="Helvetica"/>
              </w:rPr>
              <w:t>41%</w:t>
            </w:r>
          </w:p>
        </w:tc>
        <w:tc>
          <w:tcPr>
            <w:tcW w:w="957" w:type="dxa"/>
            <w:noWrap/>
          </w:tcPr>
          <w:p w:rsidR="00F425CB" w:rsidRPr="0021236A" w:rsidRDefault="00F425CB" w:rsidP="00553048">
            <w:pPr>
              <w:pStyle w:val="TableText"/>
              <w:tabs>
                <w:tab w:val="decimal" w:pos="331"/>
              </w:tabs>
            </w:pPr>
            <w:r w:rsidRPr="0021236A">
              <w:rPr>
                <w:rFonts w:ascii="Helvetica" w:hAnsi="Helvetica" w:cs="Helvetica"/>
              </w:rPr>
              <w:t>32%</w:t>
            </w:r>
          </w:p>
        </w:tc>
      </w:tr>
      <w:tr w:rsidR="00F425CB" w:rsidRPr="0021236A" w:rsidTr="00C73F47">
        <w:trPr>
          <w:cantSplit/>
        </w:trPr>
        <w:tc>
          <w:tcPr>
            <w:tcW w:w="2410" w:type="dxa"/>
            <w:noWrap/>
          </w:tcPr>
          <w:p w:rsidR="00F425CB" w:rsidRPr="00F628E5" w:rsidRDefault="00F425CB" w:rsidP="00553048">
            <w:pPr>
              <w:pStyle w:val="TableText"/>
              <w:rPr>
                <w:rFonts w:ascii="Helvetica" w:hAnsi="Helvetica" w:cs="Helvetica"/>
                <w:lang w:eastAsia="en-NZ"/>
              </w:rPr>
            </w:pPr>
            <w:proofErr w:type="spellStart"/>
            <w:r w:rsidRPr="00F628E5">
              <w:rPr>
                <w:rFonts w:ascii="Helvetica" w:hAnsi="Helvetica" w:cs="Helvetica"/>
                <w:lang w:eastAsia="en-NZ"/>
              </w:rPr>
              <w:t>Wairarapa</w:t>
            </w:r>
            <w:proofErr w:type="spellEnd"/>
          </w:p>
        </w:tc>
        <w:tc>
          <w:tcPr>
            <w:tcW w:w="1251" w:type="dxa"/>
            <w:noWrap/>
          </w:tcPr>
          <w:p w:rsidR="00F425CB" w:rsidRPr="0021236A" w:rsidRDefault="00F425CB" w:rsidP="00553048">
            <w:pPr>
              <w:pStyle w:val="TableText"/>
              <w:tabs>
                <w:tab w:val="decimal" w:pos="652"/>
              </w:tabs>
            </w:pPr>
            <w:r w:rsidRPr="0021236A">
              <w:rPr>
                <w:rFonts w:ascii="Helvetica" w:hAnsi="Helvetica" w:cs="Helvetica"/>
              </w:rPr>
              <w:t>65</w:t>
            </w:r>
          </w:p>
        </w:tc>
        <w:tc>
          <w:tcPr>
            <w:tcW w:w="1374" w:type="dxa"/>
            <w:noWrap/>
          </w:tcPr>
          <w:p w:rsidR="00F425CB" w:rsidRPr="0021236A" w:rsidRDefault="00F425CB" w:rsidP="00553048">
            <w:pPr>
              <w:pStyle w:val="TableText"/>
              <w:tabs>
                <w:tab w:val="decimal" w:pos="669"/>
              </w:tabs>
            </w:pPr>
            <w:r w:rsidRPr="0021236A">
              <w:rPr>
                <w:rFonts w:ascii="Helvetica" w:hAnsi="Helvetica" w:cs="Helvetica"/>
              </w:rPr>
              <w:t>40</w:t>
            </w:r>
          </w:p>
        </w:tc>
        <w:tc>
          <w:tcPr>
            <w:tcW w:w="1061" w:type="dxa"/>
            <w:noWrap/>
          </w:tcPr>
          <w:p w:rsidR="00F425CB" w:rsidRPr="0021236A" w:rsidRDefault="00F425CB" w:rsidP="00553048">
            <w:pPr>
              <w:pStyle w:val="TableText"/>
              <w:tabs>
                <w:tab w:val="decimal" w:pos="669"/>
              </w:tabs>
            </w:pPr>
            <w:r w:rsidRPr="0021236A">
              <w:t>105</w:t>
            </w:r>
          </w:p>
        </w:tc>
        <w:tc>
          <w:tcPr>
            <w:tcW w:w="1346" w:type="dxa"/>
            <w:noWrap/>
          </w:tcPr>
          <w:p w:rsidR="00F425CB" w:rsidRPr="0021236A" w:rsidRDefault="00F425CB" w:rsidP="00553048">
            <w:pPr>
              <w:pStyle w:val="TableText"/>
              <w:tabs>
                <w:tab w:val="decimal" w:pos="669"/>
              </w:tabs>
            </w:pPr>
            <w:r w:rsidRPr="0021236A">
              <w:t>0%</w:t>
            </w:r>
          </w:p>
        </w:tc>
        <w:tc>
          <w:tcPr>
            <w:tcW w:w="957" w:type="dxa"/>
            <w:noWrap/>
          </w:tcPr>
          <w:p w:rsidR="00F425CB" w:rsidRPr="0021236A" w:rsidRDefault="00F425CB" w:rsidP="00553048">
            <w:pPr>
              <w:pStyle w:val="TableText"/>
              <w:tabs>
                <w:tab w:val="decimal" w:pos="331"/>
              </w:tabs>
            </w:pPr>
            <w:r w:rsidRPr="0021236A">
              <w:rPr>
                <w:rFonts w:ascii="Helvetica" w:hAnsi="Helvetica" w:cs="Helvetica"/>
              </w:rPr>
              <w:t>27%</w:t>
            </w:r>
          </w:p>
        </w:tc>
        <w:tc>
          <w:tcPr>
            <w:tcW w:w="957" w:type="dxa"/>
            <w:noWrap/>
          </w:tcPr>
          <w:p w:rsidR="00F425CB" w:rsidRPr="0021236A" w:rsidRDefault="00F425CB" w:rsidP="00553048">
            <w:pPr>
              <w:pStyle w:val="TableText"/>
              <w:tabs>
                <w:tab w:val="decimal" w:pos="331"/>
              </w:tabs>
            </w:pPr>
            <w:r w:rsidRPr="0021236A">
              <w:rPr>
                <w:rFonts w:ascii="Helvetica" w:hAnsi="Helvetica" w:cs="Helvetica"/>
              </w:rPr>
              <w:t>38%</w:t>
            </w:r>
          </w:p>
        </w:tc>
      </w:tr>
      <w:tr w:rsidR="00F425CB" w:rsidRPr="0021236A" w:rsidTr="00C73F47">
        <w:trPr>
          <w:cantSplit/>
        </w:trPr>
        <w:tc>
          <w:tcPr>
            <w:tcW w:w="2410" w:type="dxa"/>
            <w:noWrap/>
          </w:tcPr>
          <w:p w:rsidR="00F425CB" w:rsidRPr="00F628E5" w:rsidRDefault="00F425CB" w:rsidP="00553048">
            <w:pPr>
              <w:pStyle w:val="TableText"/>
              <w:rPr>
                <w:rFonts w:ascii="Helvetica" w:hAnsi="Helvetica" w:cs="Helvetica"/>
                <w:lang w:eastAsia="en-NZ"/>
              </w:rPr>
            </w:pPr>
            <w:r w:rsidRPr="00F628E5">
              <w:rPr>
                <w:rFonts w:ascii="Helvetica" w:hAnsi="Helvetica" w:cs="Helvetica"/>
                <w:lang w:eastAsia="en-NZ"/>
              </w:rPr>
              <w:t>Nelson-Marlborough</w:t>
            </w:r>
          </w:p>
        </w:tc>
        <w:tc>
          <w:tcPr>
            <w:tcW w:w="1251" w:type="dxa"/>
            <w:noWrap/>
          </w:tcPr>
          <w:p w:rsidR="00F425CB" w:rsidRPr="0021236A" w:rsidRDefault="00F425CB" w:rsidP="00553048">
            <w:pPr>
              <w:pStyle w:val="TableText"/>
              <w:tabs>
                <w:tab w:val="decimal" w:pos="652"/>
              </w:tabs>
            </w:pPr>
            <w:r w:rsidRPr="0021236A">
              <w:t>256</w:t>
            </w:r>
          </w:p>
        </w:tc>
        <w:tc>
          <w:tcPr>
            <w:tcW w:w="1374" w:type="dxa"/>
            <w:noWrap/>
          </w:tcPr>
          <w:p w:rsidR="00F425CB" w:rsidRPr="0021236A" w:rsidRDefault="00F425CB" w:rsidP="00553048">
            <w:pPr>
              <w:pStyle w:val="TableText"/>
              <w:tabs>
                <w:tab w:val="decimal" w:pos="669"/>
              </w:tabs>
            </w:pPr>
            <w:r w:rsidRPr="0021236A">
              <w:t>138</w:t>
            </w:r>
          </w:p>
        </w:tc>
        <w:tc>
          <w:tcPr>
            <w:tcW w:w="1061" w:type="dxa"/>
            <w:noWrap/>
          </w:tcPr>
          <w:p w:rsidR="00F425CB" w:rsidRPr="0021236A" w:rsidRDefault="00F425CB" w:rsidP="00553048">
            <w:pPr>
              <w:pStyle w:val="TableText"/>
              <w:tabs>
                <w:tab w:val="decimal" w:pos="669"/>
              </w:tabs>
            </w:pPr>
            <w:r w:rsidRPr="0021236A">
              <w:t>394</w:t>
            </w:r>
          </w:p>
        </w:tc>
        <w:tc>
          <w:tcPr>
            <w:tcW w:w="1346" w:type="dxa"/>
            <w:noWrap/>
          </w:tcPr>
          <w:p w:rsidR="00F425CB" w:rsidRPr="0021236A" w:rsidRDefault="00F425CB" w:rsidP="00553048">
            <w:pPr>
              <w:pStyle w:val="TableText"/>
              <w:tabs>
                <w:tab w:val="decimal" w:pos="669"/>
              </w:tabs>
            </w:pPr>
            <w:r w:rsidRPr="0021236A">
              <w:t>9%</w:t>
            </w:r>
          </w:p>
        </w:tc>
        <w:tc>
          <w:tcPr>
            <w:tcW w:w="957" w:type="dxa"/>
            <w:noWrap/>
          </w:tcPr>
          <w:p w:rsidR="00F425CB" w:rsidRPr="0021236A" w:rsidRDefault="00F425CB" w:rsidP="00553048">
            <w:pPr>
              <w:pStyle w:val="TableText"/>
              <w:tabs>
                <w:tab w:val="decimal" w:pos="331"/>
              </w:tabs>
            </w:pPr>
            <w:r w:rsidRPr="0021236A">
              <w:t>30%</w:t>
            </w:r>
          </w:p>
        </w:tc>
        <w:tc>
          <w:tcPr>
            <w:tcW w:w="957" w:type="dxa"/>
            <w:noWrap/>
          </w:tcPr>
          <w:p w:rsidR="00F425CB" w:rsidRPr="0021236A" w:rsidRDefault="00F425CB" w:rsidP="00553048">
            <w:pPr>
              <w:pStyle w:val="TableText"/>
              <w:tabs>
                <w:tab w:val="decimal" w:pos="331"/>
              </w:tabs>
            </w:pPr>
            <w:r w:rsidRPr="0021236A">
              <w:t>37%</w:t>
            </w:r>
          </w:p>
        </w:tc>
      </w:tr>
      <w:tr w:rsidR="00F425CB" w:rsidRPr="0021236A" w:rsidTr="00C73F47">
        <w:trPr>
          <w:cantSplit/>
        </w:trPr>
        <w:tc>
          <w:tcPr>
            <w:tcW w:w="2410" w:type="dxa"/>
            <w:noWrap/>
          </w:tcPr>
          <w:p w:rsidR="00F425CB" w:rsidRPr="00F628E5" w:rsidRDefault="00F425CB" w:rsidP="00553048">
            <w:pPr>
              <w:pStyle w:val="TableText"/>
              <w:rPr>
                <w:rFonts w:ascii="Helvetica" w:hAnsi="Helvetica" w:cs="Helvetica"/>
                <w:lang w:eastAsia="en-NZ"/>
              </w:rPr>
            </w:pPr>
            <w:r w:rsidRPr="00F628E5">
              <w:rPr>
                <w:rFonts w:ascii="Helvetica" w:hAnsi="Helvetica" w:cs="Helvetica"/>
                <w:lang w:eastAsia="en-NZ"/>
              </w:rPr>
              <w:t>West Coast</w:t>
            </w:r>
          </w:p>
        </w:tc>
        <w:tc>
          <w:tcPr>
            <w:tcW w:w="1251" w:type="dxa"/>
            <w:noWrap/>
          </w:tcPr>
          <w:p w:rsidR="00F425CB" w:rsidRPr="0021236A" w:rsidRDefault="00F425CB" w:rsidP="00553048">
            <w:pPr>
              <w:pStyle w:val="TableText"/>
              <w:tabs>
                <w:tab w:val="decimal" w:pos="652"/>
              </w:tabs>
            </w:pPr>
            <w:r w:rsidRPr="0021236A">
              <w:t>59</w:t>
            </w:r>
          </w:p>
        </w:tc>
        <w:tc>
          <w:tcPr>
            <w:tcW w:w="1374" w:type="dxa"/>
            <w:noWrap/>
          </w:tcPr>
          <w:p w:rsidR="00F425CB" w:rsidRPr="0021236A" w:rsidRDefault="00F425CB" w:rsidP="00553048">
            <w:pPr>
              <w:pStyle w:val="TableText"/>
              <w:tabs>
                <w:tab w:val="decimal" w:pos="669"/>
              </w:tabs>
            </w:pPr>
            <w:r w:rsidRPr="0021236A">
              <w:t>35</w:t>
            </w:r>
          </w:p>
        </w:tc>
        <w:tc>
          <w:tcPr>
            <w:tcW w:w="1061" w:type="dxa"/>
            <w:noWrap/>
          </w:tcPr>
          <w:p w:rsidR="00F425CB" w:rsidRPr="0021236A" w:rsidRDefault="00F425CB" w:rsidP="00553048">
            <w:pPr>
              <w:pStyle w:val="TableText"/>
              <w:tabs>
                <w:tab w:val="decimal" w:pos="669"/>
              </w:tabs>
            </w:pPr>
            <w:r w:rsidRPr="0021236A">
              <w:t>94</w:t>
            </w:r>
          </w:p>
        </w:tc>
        <w:tc>
          <w:tcPr>
            <w:tcW w:w="1346" w:type="dxa"/>
            <w:noWrap/>
          </w:tcPr>
          <w:p w:rsidR="00F425CB" w:rsidRPr="0021236A" w:rsidRDefault="00F425CB" w:rsidP="00553048">
            <w:pPr>
              <w:pStyle w:val="TableText"/>
              <w:tabs>
                <w:tab w:val="decimal" w:pos="669"/>
              </w:tabs>
            </w:pPr>
            <w:r w:rsidRPr="0021236A">
              <w:t>4%</w:t>
            </w:r>
          </w:p>
        </w:tc>
        <w:tc>
          <w:tcPr>
            <w:tcW w:w="957" w:type="dxa"/>
            <w:noWrap/>
          </w:tcPr>
          <w:p w:rsidR="00F425CB" w:rsidRPr="0021236A" w:rsidRDefault="00F425CB" w:rsidP="00553048">
            <w:pPr>
              <w:pStyle w:val="TableText"/>
              <w:tabs>
                <w:tab w:val="decimal" w:pos="331"/>
              </w:tabs>
            </w:pPr>
            <w:r w:rsidRPr="0021236A">
              <w:t>30%</w:t>
            </w:r>
          </w:p>
        </w:tc>
        <w:tc>
          <w:tcPr>
            <w:tcW w:w="957" w:type="dxa"/>
            <w:noWrap/>
          </w:tcPr>
          <w:p w:rsidR="00F425CB" w:rsidRPr="0021236A" w:rsidRDefault="00F425CB" w:rsidP="00553048">
            <w:pPr>
              <w:pStyle w:val="TableText"/>
              <w:tabs>
                <w:tab w:val="decimal" w:pos="331"/>
              </w:tabs>
            </w:pPr>
            <w:r w:rsidRPr="0021236A">
              <w:t>37%</w:t>
            </w:r>
          </w:p>
        </w:tc>
      </w:tr>
      <w:tr w:rsidR="00F425CB" w:rsidRPr="0021236A" w:rsidTr="00C73F47">
        <w:trPr>
          <w:cantSplit/>
        </w:trPr>
        <w:tc>
          <w:tcPr>
            <w:tcW w:w="2410" w:type="dxa"/>
            <w:noWrap/>
          </w:tcPr>
          <w:p w:rsidR="00F425CB" w:rsidRPr="00F628E5" w:rsidRDefault="00F425CB" w:rsidP="00553048">
            <w:pPr>
              <w:pStyle w:val="TableText"/>
              <w:rPr>
                <w:rFonts w:ascii="Helvetica" w:hAnsi="Helvetica" w:cs="Helvetica"/>
                <w:lang w:eastAsia="en-NZ"/>
              </w:rPr>
            </w:pPr>
            <w:r w:rsidRPr="00F628E5">
              <w:rPr>
                <w:rFonts w:ascii="Helvetica" w:hAnsi="Helvetica" w:cs="Helvetica"/>
                <w:lang w:eastAsia="en-NZ"/>
              </w:rPr>
              <w:t>Canterbury</w:t>
            </w:r>
          </w:p>
        </w:tc>
        <w:tc>
          <w:tcPr>
            <w:tcW w:w="1251" w:type="dxa"/>
            <w:noWrap/>
          </w:tcPr>
          <w:p w:rsidR="00F425CB" w:rsidRPr="0021236A" w:rsidRDefault="00F425CB" w:rsidP="00553048">
            <w:pPr>
              <w:pStyle w:val="TableText"/>
              <w:tabs>
                <w:tab w:val="decimal" w:pos="652"/>
              </w:tabs>
            </w:pPr>
            <w:r w:rsidRPr="0021236A">
              <w:t>990</w:t>
            </w:r>
          </w:p>
        </w:tc>
        <w:tc>
          <w:tcPr>
            <w:tcW w:w="1374" w:type="dxa"/>
            <w:noWrap/>
          </w:tcPr>
          <w:p w:rsidR="00F425CB" w:rsidRPr="0021236A" w:rsidRDefault="00F425CB" w:rsidP="00553048">
            <w:pPr>
              <w:pStyle w:val="TableText"/>
              <w:tabs>
                <w:tab w:val="decimal" w:pos="669"/>
              </w:tabs>
            </w:pPr>
            <w:r w:rsidRPr="0021236A">
              <w:t>564</w:t>
            </w:r>
          </w:p>
        </w:tc>
        <w:tc>
          <w:tcPr>
            <w:tcW w:w="1061" w:type="dxa"/>
            <w:noWrap/>
          </w:tcPr>
          <w:p w:rsidR="00F425CB" w:rsidRPr="0021236A" w:rsidRDefault="00F425CB" w:rsidP="00553048">
            <w:pPr>
              <w:pStyle w:val="TableText"/>
              <w:tabs>
                <w:tab w:val="decimal" w:pos="669"/>
              </w:tabs>
            </w:pPr>
            <w:r w:rsidRPr="0021236A">
              <w:t>1,554</w:t>
            </w:r>
          </w:p>
        </w:tc>
        <w:tc>
          <w:tcPr>
            <w:tcW w:w="1346" w:type="dxa"/>
            <w:noWrap/>
          </w:tcPr>
          <w:p w:rsidR="00F425CB" w:rsidRPr="0021236A" w:rsidRDefault="00F425CB" w:rsidP="00553048">
            <w:pPr>
              <w:pStyle w:val="TableText"/>
              <w:tabs>
                <w:tab w:val="decimal" w:pos="669"/>
              </w:tabs>
            </w:pPr>
            <w:r w:rsidRPr="0021236A">
              <w:t>17%</w:t>
            </w:r>
          </w:p>
        </w:tc>
        <w:tc>
          <w:tcPr>
            <w:tcW w:w="957" w:type="dxa"/>
            <w:noWrap/>
          </w:tcPr>
          <w:p w:rsidR="00F425CB" w:rsidRPr="0021236A" w:rsidRDefault="00F425CB" w:rsidP="00553048">
            <w:pPr>
              <w:pStyle w:val="TableText"/>
              <w:tabs>
                <w:tab w:val="decimal" w:pos="331"/>
              </w:tabs>
            </w:pPr>
            <w:r w:rsidRPr="0021236A">
              <w:t>35%</w:t>
            </w:r>
          </w:p>
        </w:tc>
        <w:tc>
          <w:tcPr>
            <w:tcW w:w="957" w:type="dxa"/>
            <w:noWrap/>
          </w:tcPr>
          <w:p w:rsidR="00F425CB" w:rsidRPr="0021236A" w:rsidRDefault="00F425CB" w:rsidP="00553048">
            <w:pPr>
              <w:pStyle w:val="TableText"/>
              <w:tabs>
                <w:tab w:val="decimal" w:pos="331"/>
              </w:tabs>
            </w:pPr>
            <w:r w:rsidRPr="0021236A">
              <w:t>36%</w:t>
            </w:r>
          </w:p>
        </w:tc>
      </w:tr>
      <w:tr w:rsidR="00F425CB" w:rsidRPr="0021236A" w:rsidTr="00C73F47">
        <w:trPr>
          <w:cantSplit/>
        </w:trPr>
        <w:tc>
          <w:tcPr>
            <w:tcW w:w="2410" w:type="dxa"/>
            <w:noWrap/>
          </w:tcPr>
          <w:p w:rsidR="00F425CB" w:rsidRPr="00F628E5" w:rsidRDefault="00F425CB" w:rsidP="00553048">
            <w:pPr>
              <w:pStyle w:val="TableText"/>
              <w:rPr>
                <w:rFonts w:ascii="Helvetica" w:hAnsi="Helvetica" w:cs="Helvetica"/>
                <w:lang w:eastAsia="en-NZ"/>
              </w:rPr>
            </w:pPr>
            <w:r w:rsidRPr="00F628E5">
              <w:rPr>
                <w:rFonts w:ascii="Helvetica" w:hAnsi="Helvetica" w:cs="Helvetica"/>
                <w:lang w:eastAsia="en-NZ"/>
              </w:rPr>
              <w:t>South Canterbury</w:t>
            </w:r>
          </w:p>
        </w:tc>
        <w:tc>
          <w:tcPr>
            <w:tcW w:w="1251" w:type="dxa"/>
            <w:noWrap/>
          </w:tcPr>
          <w:p w:rsidR="00F425CB" w:rsidRPr="0021236A" w:rsidRDefault="00F425CB" w:rsidP="00553048">
            <w:pPr>
              <w:pStyle w:val="TableText"/>
              <w:tabs>
                <w:tab w:val="decimal" w:pos="652"/>
              </w:tabs>
            </w:pPr>
            <w:r w:rsidRPr="0021236A">
              <w:t>132</w:t>
            </w:r>
          </w:p>
        </w:tc>
        <w:tc>
          <w:tcPr>
            <w:tcW w:w="1374" w:type="dxa"/>
            <w:noWrap/>
          </w:tcPr>
          <w:p w:rsidR="00F425CB" w:rsidRPr="0021236A" w:rsidRDefault="00F425CB" w:rsidP="00553048">
            <w:pPr>
              <w:pStyle w:val="TableText"/>
              <w:tabs>
                <w:tab w:val="decimal" w:pos="669"/>
              </w:tabs>
            </w:pPr>
            <w:r w:rsidRPr="0021236A">
              <w:t>90</w:t>
            </w:r>
          </w:p>
        </w:tc>
        <w:tc>
          <w:tcPr>
            <w:tcW w:w="1061" w:type="dxa"/>
            <w:noWrap/>
          </w:tcPr>
          <w:p w:rsidR="00F425CB" w:rsidRPr="0021236A" w:rsidRDefault="00F425CB" w:rsidP="00553048">
            <w:pPr>
              <w:pStyle w:val="TableText"/>
              <w:tabs>
                <w:tab w:val="decimal" w:pos="669"/>
              </w:tabs>
            </w:pPr>
            <w:r w:rsidRPr="0021236A">
              <w:t>222</w:t>
            </w:r>
          </w:p>
        </w:tc>
        <w:tc>
          <w:tcPr>
            <w:tcW w:w="1346" w:type="dxa"/>
            <w:noWrap/>
          </w:tcPr>
          <w:p w:rsidR="00F425CB" w:rsidRPr="0021236A" w:rsidRDefault="00F425CB" w:rsidP="00553048">
            <w:pPr>
              <w:pStyle w:val="TableText"/>
              <w:tabs>
                <w:tab w:val="decimal" w:pos="669"/>
              </w:tabs>
            </w:pPr>
            <w:r w:rsidRPr="0021236A">
              <w:t>5%</w:t>
            </w:r>
          </w:p>
        </w:tc>
        <w:tc>
          <w:tcPr>
            <w:tcW w:w="957" w:type="dxa"/>
            <w:noWrap/>
          </w:tcPr>
          <w:p w:rsidR="00F425CB" w:rsidRPr="0021236A" w:rsidRDefault="00F425CB" w:rsidP="00553048">
            <w:pPr>
              <w:pStyle w:val="TableText"/>
              <w:tabs>
                <w:tab w:val="decimal" w:pos="331"/>
              </w:tabs>
            </w:pPr>
            <w:r w:rsidRPr="0021236A">
              <w:t>35%</w:t>
            </w:r>
          </w:p>
        </w:tc>
        <w:tc>
          <w:tcPr>
            <w:tcW w:w="957" w:type="dxa"/>
            <w:noWrap/>
          </w:tcPr>
          <w:p w:rsidR="00F425CB" w:rsidRPr="0021236A" w:rsidRDefault="00F425CB" w:rsidP="00553048">
            <w:pPr>
              <w:pStyle w:val="TableText"/>
              <w:tabs>
                <w:tab w:val="decimal" w:pos="331"/>
              </w:tabs>
            </w:pPr>
            <w:r w:rsidRPr="0021236A">
              <w:t>41%</w:t>
            </w:r>
          </w:p>
        </w:tc>
      </w:tr>
      <w:tr w:rsidR="00F425CB" w:rsidRPr="0021236A" w:rsidTr="00C73F47">
        <w:trPr>
          <w:cantSplit/>
        </w:trPr>
        <w:tc>
          <w:tcPr>
            <w:tcW w:w="2410" w:type="dxa"/>
            <w:tcBorders>
              <w:bottom w:val="single" w:sz="4" w:space="0" w:color="A6A6A6"/>
            </w:tcBorders>
            <w:noWrap/>
          </w:tcPr>
          <w:p w:rsidR="00F425CB" w:rsidRPr="00F628E5" w:rsidRDefault="00F425CB" w:rsidP="00553048">
            <w:pPr>
              <w:pStyle w:val="TableText"/>
              <w:rPr>
                <w:rFonts w:ascii="Helvetica" w:hAnsi="Helvetica" w:cs="Helvetica"/>
                <w:lang w:eastAsia="en-NZ"/>
              </w:rPr>
            </w:pPr>
            <w:r w:rsidRPr="00F628E5">
              <w:rPr>
                <w:rFonts w:ascii="Helvetica" w:hAnsi="Helvetica" w:cs="Helvetica"/>
                <w:lang w:eastAsia="en-NZ"/>
              </w:rPr>
              <w:t>Southern</w:t>
            </w:r>
          </w:p>
        </w:tc>
        <w:tc>
          <w:tcPr>
            <w:tcW w:w="1251" w:type="dxa"/>
            <w:tcBorders>
              <w:bottom w:val="single" w:sz="4" w:space="0" w:color="A6A6A6"/>
            </w:tcBorders>
            <w:noWrap/>
          </w:tcPr>
          <w:p w:rsidR="00F425CB" w:rsidRPr="0021236A" w:rsidRDefault="00F425CB" w:rsidP="00553048">
            <w:pPr>
              <w:pStyle w:val="TableText"/>
              <w:tabs>
                <w:tab w:val="decimal" w:pos="652"/>
              </w:tabs>
            </w:pPr>
            <w:r w:rsidRPr="0021236A">
              <w:t>688</w:t>
            </w:r>
          </w:p>
        </w:tc>
        <w:tc>
          <w:tcPr>
            <w:tcW w:w="1374" w:type="dxa"/>
            <w:tcBorders>
              <w:bottom w:val="single" w:sz="4" w:space="0" w:color="A6A6A6"/>
            </w:tcBorders>
            <w:noWrap/>
          </w:tcPr>
          <w:p w:rsidR="00F425CB" w:rsidRPr="0021236A" w:rsidRDefault="00F425CB" w:rsidP="00553048">
            <w:pPr>
              <w:pStyle w:val="TableText"/>
              <w:tabs>
                <w:tab w:val="decimal" w:pos="669"/>
              </w:tabs>
            </w:pPr>
            <w:r w:rsidRPr="0021236A">
              <w:t>372</w:t>
            </w:r>
          </w:p>
        </w:tc>
        <w:tc>
          <w:tcPr>
            <w:tcW w:w="1061" w:type="dxa"/>
            <w:tcBorders>
              <w:bottom w:val="single" w:sz="4" w:space="0" w:color="A6A6A6"/>
            </w:tcBorders>
            <w:noWrap/>
          </w:tcPr>
          <w:p w:rsidR="00F425CB" w:rsidRPr="0021236A" w:rsidRDefault="00F425CB" w:rsidP="00553048">
            <w:pPr>
              <w:pStyle w:val="TableText"/>
              <w:tabs>
                <w:tab w:val="decimal" w:pos="669"/>
              </w:tabs>
            </w:pPr>
            <w:r w:rsidRPr="0021236A">
              <w:t>1,060</w:t>
            </w:r>
          </w:p>
        </w:tc>
        <w:tc>
          <w:tcPr>
            <w:tcW w:w="1346" w:type="dxa"/>
            <w:tcBorders>
              <w:bottom w:val="single" w:sz="4" w:space="0" w:color="A6A6A6"/>
            </w:tcBorders>
            <w:noWrap/>
          </w:tcPr>
          <w:p w:rsidR="00F425CB" w:rsidRPr="0021236A" w:rsidRDefault="00F425CB" w:rsidP="00553048">
            <w:pPr>
              <w:pStyle w:val="TableText"/>
              <w:tabs>
                <w:tab w:val="decimal" w:pos="669"/>
              </w:tabs>
            </w:pPr>
            <w:r w:rsidRPr="0021236A">
              <w:t>1%</w:t>
            </w:r>
          </w:p>
        </w:tc>
        <w:tc>
          <w:tcPr>
            <w:tcW w:w="957" w:type="dxa"/>
            <w:tcBorders>
              <w:bottom w:val="single" w:sz="4" w:space="0" w:color="A6A6A6"/>
            </w:tcBorders>
            <w:noWrap/>
          </w:tcPr>
          <w:p w:rsidR="00F425CB" w:rsidRPr="0021236A" w:rsidRDefault="00F425CB" w:rsidP="00553048">
            <w:pPr>
              <w:pStyle w:val="TableText"/>
              <w:tabs>
                <w:tab w:val="decimal" w:pos="331"/>
              </w:tabs>
            </w:pPr>
            <w:r w:rsidRPr="0021236A">
              <w:t>45%</w:t>
            </w:r>
          </w:p>
        </w:tc>
        <w:tc>
          <w:tcPr>
            <w:tcW w:w="957" w:type="dxa"/>
            <w:tcBorders>
              <w:bottom w:val="single" w:sz="4" w:space="0" w:color="A6A6A6"/>
            </w:tcBorders>
            <w:noWrap/>
          </w:tcPr>
          <w:p w:rsidR="00F425CB" w:rsidRPr="0021236A" w:rsidRDefault="00F425CB" w:rsidP="00553048">
            <w:pPr>
              <w:pStyle w:val="TableText"/>
              <w:tabs>
                <w:tab w:val="decimal" w:pos="331"/>
              </w:tabs>
            </w:pPr>
            <w:r w:rsidRPr="0021236A">
              <w:t>35%</w:t>
            </w:r>
          </w:p>
        </w:tc>
      </w:tr>
      <w:tr w:rsidR="00F425CB" w:rsidRPr="00553048" w:rsidTr="00C73F47">
        <w:trPr>
          <w:cantSplit/>
        </w:trPr>
        <w:tc>
          <w:tcPr>
            <w:tcW w:w="2410" w:type="dxa"/>
            <w:shd w:val="clear" w:color="auto" w:fill="auto"/>
            <w:noWrap/>
          </w:tcPr>
          <w:p w:rsidR="00F425CB" w:rsidRPr="00553048" w:rsidRDefault="00F425CB" w:rsidP="00553048">
            <w:pPr>
              <w:pStyle w:val="TableText"/>
              <w:rPr>
                <w:b/>
                <w:lang w:eastAsia="en-NZ"/>
              </w:rPr>
            </w:pPr>
            <w:r w:rsidRPr="00553048">
              <w:rPr>
                <w:b/>
                <w:lang w:eastAsia="en-NZ"/>
              </w:rPr>
              <w:t>Total</w:t>
            </w:r>
          </w:p>
        </w:tc>
        <w:tc>
          <w:tcPr>
            <w:tcW w:w="1251" w:type="dxa"/>
            <w:shd w:val="clear" w:color="auto" w:fill="auto"/>
            <w:noWrap/>
          </w:tcPr>
          <w:p w:rsidR="00F425CB" w:rsidRPr="00553048" w:rsidRDefault="00F425CB" w:rsidP="00553048">
            <w:pPr>
              <w:pStyle w:val="TableText"/>
              <w:tabs>
                <w:tab w:val="decimal" w:pos="652"/>
              </w:tabs>
              <w:rPr>
                <w:b/>
              </w:rPr>
            </w:pPr>
            <w:r w:rsidRPr="00553048">
              <w:rPr>
                <w:b/>
              </w:rPr>
              <w:t>8,206</w:t>
            </w:r>
          </w:p>
        </w:tc>
        <w:tc>
          <w:tcPr>
            <w:tcW w:w="1374" w:type="dxa"/>
            <w:shd w:val="clear" w:color="auto" w:fill="auto"/>
            <w:noWrap/>
          </w:tcPr>
          <w:p w:rsidR="00F425CB" w:rsidRPr="00553048" w:rsidRDefault="00F425CB" w:rsidP="00553048">
            <w:pPr>
              <w:pStyle w:val="TableText"/>
              <w:tabs>
                <w:tab w:val="decimal" w:pos="669"/>
              </w:tabs>
              <w:rPr>
                <w:b/>
              </w:rPr>
            </w:pPr>
            <w:r w:rsidRPr="00553048">
              <w:rPr>
                <w:b/>
              </w:rPr>
              <w:t>3,670</w:t>
            </w:r>
          </w:p>
        </w:tc>
        <w:tc>
          <w:tcPr>
            <w:tcW w:w="1061" w:type="dxa"/>
            <w:shd w:val="clear" w:color="auto" w:fill="auto"/>
            <w:noWrap/>
          </w:tcPr>
          <w:p w:rsidR="00F425CB" w:rsidRPr="00553048" w:rsidRDefault="00F425CB" w:rsidP="00553048">
            <w:pPr>
              <w:pStyle w:val="TableText"/>
              <w:tabs>
                <w:tab w:val="decimal" w:pos="669"/>
              </w:tabs>
              <w:rPr>
                <w:b/>
              </w:rPr>
            </w:pPr>
            <w:r w:rsidRPr="00553048">
              <w:rPr>
                <w:b/>
              </w:rPr>
              <w:t>11,876</w:t>
            </w:r>
          </w:p>
        </w:tc>
        <w:tc>
          <w:tcPr>
            <w:tcW w:w="1346" w:type="dxa"/>
            <w:shd w:val="clear" w:color="auto" w:fill="auto"/>
            <w:noWrap/>
          </w:tcPr>
          <w:p w:rsidR="00F425CB" w:rsidRPr="00553048" w:rsidRDefault="00F425CB" w:rsidP="00553048">
            <w:pPr>
              <w:pStyle w:val="TableText"/>
              <w:tabs>
                <w:tab w:val="decimal" w:pos="669"/>
              </w:tabs>
              <w:rPr>
                <w:b/>
              </w:rPr>
            </w:pPr>
            <w:r w:rsidRPr="00553048">
              <w:rPr>
                <w:b/>
              </w:rPr>
              <w:t>9%</w:t>
            </w:r>
          </w:p>
        </w:tc>
        <w:tc>
          <w:tcPr>
            <w:tcW w:w="957" w:type="dxa"/>
            <w:shd w:val="clear" w:color="auto" w:fill="auto"/>
            <w:noWrap/>
          </w:tcPr>
          <w:p w:rsidR="00F425CB" w:rsidRPr="00553048" w:rsidRDefault="00F425CB" w:rsidP="00553048">
            <w:pPr>
              <w:pStyle w:val="TableText"/>
              <w:tabs>
                <w:tab w:val="decimal" w:pos="331"/>
              </w:tabs>
              <w:rPr>
                <w:b/>
              </w:rPr>
            </w:pPr>
            <w:r w:rsidRPr="00553048">
              <w:rPr>
                <w:b/>
              </w:rPr>
              <w:t>37.4%</w:t>
            </w:r>
          </w:p>
        </w:tc>
        <w:tc>
          <w:tcPr>
            <w:tcW w:w="957" w:type="dxa"/>
            <w:shd w:val="clear" w:color="auto" w:fill="auto"/>
            <w:noWrap/>
          </w:tcPr>
          <w:p w:rsidR="00F425CB" w:rsidRPr="00553048" w:rsidRDefault="00F425CB" w:rsidP="00553048">
            <w:pPr>
              <w:pStyle w:val="TableText"/>
              <w:tabs>
                <w:tab w:val="decimal" w:pos="331"/>
              </w:tabs>
              <w:rPr>
                <w:b/>
              </w:rPr>
            </w:pPr>
            <w:r w:rsidRPr="00553048">
              <w:rPr>
                <w:b/>
              </w:rPr>
              <w:t>30.9%</w:t>
            </w:r>
          </w:p>
        </w:tc>
      </w:tr>
    </w:tbl>
    <w:p w:rsidR="00F425CB" w:rsidRPr="00F628E5" w:rsidRDefault="00F425CB" w:rsidP="00553048">
      <w:pPr>
        <w:pStyle w:val="Note"/>
      </w:pPr>
      <w:r w:rsidRPr="00F628E5">
        <w:t>Note:</w:t>
      </w:r>
      <w:r w:rsidR="007E7990">
        <w:t xml:space="preserve"> </w:t>
      </w:r>
      <w:r w:rsidRPr="00F628E5">
        <w:t>IR and RTR also shown graphically in</w:t>
      </w:r>
      <w:r w:rsidR="00553048">
        <w:t xml:space="preserve"> Figure 5</w:t>
      </w:r>
      <w:r>
        <w:t>.</w:t>
      </w:r>
      <w:r w:rsidR="007E7990">
        <w:t xml:space="preserve"> </w:t>
      </w:r>
      <w:r w:rsidRPr="00F628E5">
        <w:t>IR</w:t>
      </w:r>
      <w:r>
        <w:t xml:space="preserve"> is </w:t>
      </w:r>
      <w:r w:rsidRPr="00F628E5">
        <w:t xml:space="preserve">based on </w:t>
      </w:r>
      <w:r>
        <w:t xml:space="preserve">first courses divided by the estimated </w:t>
      </w:r>
      <w:r w:rsidRPr="00F628E5">
        <w:t>cancer registration volumes projected from 2007-2009 actuals</w:t>
      </w:r>
      <w:r>
        <w:t>; RTR is retreatment courses as a percentage of all courses</w:t>
      </w:r>
      <w:r w:rsidRPr="00F628E5">
        <w:t>.</w:t>
      </w:r>
    </w:p>
    <w:p w:rsidR="00F425CB" w:rsidRPr="007E7990" w:rsidRDefault="00F425CB" w:rsidP="00553048"/>
    <w:p w:rsidR="00F425CB" w:rsidRPr="007E7990" w:rsidRDefault="00F425CB" w:rsidP="00553048">
      <w:pPr>
        <w:pStyle w:val="Heading3"/>
      </w:pPr>
      <w:bookmarkStart w:id="61" w:name="_Toc376936355"/>
      <w:r w:rsidRPr="007E7990">
        <w:t>3.3.1</w:t>
      </w:r>
      <w:r w:rsidRPr="007E7990">
        <w:tab/>
        <w:t>Radiation oncologist supply</w:t>
      </w:r>
      <w:bookmarkEnd w:id="61"/>
    </w:p>
    <w:p w:rsidR="007E7990" w:rsidRPr="007E7990" w:rsidRDefault="00F425CB" w:rsidP="00553048">
      <w:r w:rsidRPr="007E7990">
        <w:t xml:space="preserve">There were 50.5 </w:t>
      </w:r>
      <w:r w:rsidR="005A0299">
        <w:t xml:space="preserve">FTE radiation oncologists </w:t>
      </w:r>
      <w:r w:rsidRPr="007E7990">
        <w:t>in post at the end of 2012 according to cancer centre returns, similar to the 49 noted by the Royal Australian and New Zealand College of Radiologists (RANZCR) in their recent workforce publication</w:t>
      </w:r>
      <w:r w:rsidR="00553048">
        <w:t>.</w:t>
      </w:r>
      <w:r w:rsidRPr="00553048">
        <w:rPr>
          <w:rStyle w:val="FootnoteReference"/>
        </w:rPr>
        <w:footnoteReference w:id="13"/>
      </w:r>
      <w:r w:rsidR="007E7990" w:rsidRPr="007E7990">
        <w:t xml:space="preserve"> </w:t>
      </w:r>
      <w:r w:rsidRPr="007E7990">
        <w:t>There are currently 22 trainees in the five-year programme, producing between four and five consultants a year.</w:t>
      </w:r>
      <w:r w:rsidR="007E7990" w:rsidRPr="007E7990">
        <w:t xml:space="preserve"> </w:t>
      </w:r>
      <w:r w:rsidRPr="007E7990">
        <w:t>Five registrars withdrew from the programme in the three years from 2009 to 2011, meaning a 10% attrition rate and leaving around four per year graduating.</w:t>
      </w:r>
      <w:r w:rsidR="007E7990" w:rsidRPr="007E7990">
        <w:t xml:space="preserve"> </w:t>
      </w:r>
      <w:r w:rsidRPr="007E7990">
        <w:t>The RANZCR report notes on average one graduate per year migrating, mainly to Australia.</w:t>
      </w:r>
      <w:r w:rsidR="007E7990" w:rsidRPr="007E7990">
        <w:t xml:space="preserve"> </w:t>
      </w:r>
      <w:r w:rsidRPr="007E7990">
        <w:t>Based on the age profile of the workforce and assuming an average retirement age of 65, RAN</w:t>
      </w:r>
      <w:r w:rsidR="005A0299">
        <w:t>ZCR expects an average of one radiation oncologist</w:t>
      </w:r>
      <w:r w:rsidRPr="007E7990">
        <w:t xml:space="preserve"> per year to retire.</w:t>
      </w:r>
      <w:r w:rsidR="007E7990" w:rsidRPr="007E7990">
        <w:t xml:space="preserve"> </w:t>
      </w:r>
      <w:r w:rsidRPr="007E7990">
        <w:t>No change in part-time rates is anticipated.</w:t>
      </w:r>
    </w:p>
    <w:p w:rsidR="00F425CB" w:rsidRPr="007E7990" w:rsidRDefault="00F425CB" w:rsidP="00553048"/>
    <w:p w:rsidR="00F425CB" w:rsidRPr="00553048" w:rsidRDefault="00F425CB" w:rsidP="00553048">
      <w:r w:rsidRPr="007E7990">
        <w:t xml:space="preserve">Overall, this creates a net forecast </w:t>
      </w:r>
      <w:r w:rsidR="007E7990" w:rsidRPr="007E7990">
        <w:t>‘</w:t>
      </w:r>
      <w:r w:rsidRPr="007E7990">
        <w:t>natural</w:t>
      </w:r>
      <w:r w:rsidR="007E7990" w:rsidRPr="007E7990">
        <w:t>’</w:t>
      </w:r>
      <w:r w:rsidRPr="007E7990">
        <w:t xml:space="preserve"> growth of around </w:t>
      </w:r>
      <w:r w:rsidRPr="007E7990">
        <w:rPr>
          <w:b/>
          <w:bCs/>
        </w:rPr>
        <w:t>two specialists per year</w:t>
      </w:r>
      <w:r w:rsidRPr="00553048">
        <w:t>.</w:t>
      </w:r>
    </w:p>
    <w:p w:rsidR="00F425CB" w:rsidRPr="007E7990" w:rsidRDefault="00F425CB" w:rsidP="00553048"/>
    <w:p w:rsidR="00F425CB" w:rsidRPr="007E7990" w:rsidRDefault="00F425CB" w:rsidP="00553048">
      <w:pPr>
        <w:pStyle w:val="Heading3"/>
      </w:pPr>
      <w:bookmarkStart w:id="62" w:name="_Toc376936356"/>
      <w:r w:rsidRPr="007E7990">
        <w:lastRenderedPageBreak/>
        <w:t>3.3.2</w:t>
      </w:r>
      <w:r w:rsidRPr="007E7990">
        <w:tab/>
        <w:t>Medical physicist supply</w:t>
      </w:r>
      <w:bookmarkEnd w:id="62"/>
    </w:p>
    <w:p w:rsidR="007E7990" w:rsidRPr="007E7990" w:rsidRDefault="00F425CB" w:rsidP="00553048">
      <w:r w:rsidRPr="007E7990">
        <w:t xml:space="preserve">There were </w:t>
      </w:r>
      <w:r w:rsidR="005A0299">
        <w:t xml:space="preserve">52 FTE medical physicists </w:t>
      </w:r>
      <w:r w:rsidRPr="007E7990">
        <w:t>in posts at the end of 2012 (public and private), with a further seven vacancies.</w:t>
      </w:r>
      <w:r w:rsidR="007E7990" w:rsidRPr="007E7990">
        <w:t xml:space="preserve"> </w:t>
      </w:r>
      <w:r w:rsidRPr="007E7990">
        <w:t xml:space="preserve">Workforce and training data was obtained from </w:t>
      </w:r>
      <w:r w:rsidRPr="007E7990">
        <w:rPr>
          <w:lang w:eastAsia="en-NZ"/>
        </w:rPr>
        <w:t>medical physicist heads of departments around the country</w:t>
      </w:r>
      <w:r w:rsidR="00553048">
        <w:rPr>
          <w:lang w:eastAsia="en-NZ"/>
        </w:rPr>
        <w:t>.</w:t>
      </w:r>
      <w:r w:rsidRPr="00553048">
        <w:rPr>
          <w:rStyle w:val="FootnoteReference"/>
        </w:rPr>
        <w:footnoteReference w:id="14"/>
      </w:r>
      <w:r w:rsidR="007E7990" w:rsidRPr="007E7990">
        <w:rPr>
          <w:lang w:eastAsia="en-NZ"/>
        </w:rPr>
        <w:t xml:space="preserve"> </w:t>
      </w:r>
      <w:r w:rsidRPr="007E7990">
        <w:t>A Bachelor of Science or equivalent degre</w:t>
      </w:r>
      <w:r w:rsidR="005A0299">
        <w:t>e is required before entering medical physicist</w:t>
      </w:r>
      <w:r w:rsidRPr="007E7990">
        <w:t xml:space="preserve"> training.</w:t>
      </w:r>
      <w:r w:rsidR="007E7990" w:rsidRPr="007E7990">
        <w:t xml:space="preserve"> </w:t>
      </w:r>
      <w:r w:rsidRPr="007E7990">
        <w:t>Each registrar is then five years in training, including one full-time year at the university (Canterbury), and then four registrar years based in the cancer centres.</w:t>
      </w:r>
      <w:r w:rsidR="007E7990" w:rsidRPr="007E7990">
        <w:t xml:space="preserve"> </w:t>
      </w:r>
      <w:r w:rsidRPr="007E7990">
        <w:t>There were 17 registrars in the training scheme out of 18 available posts in 2012.</w:t>
      </w:r>
      <w:r w:rsidR="007E7990" w:rsidRPr="007E7990">
        <w:t xml:space="preserve"> </w:t>
      </w:r>
      <w:r w:rsidRPr="007E7990">
        <w:t>On average from 2004 to 2012 there were 3</w:t>
      </w:r>
      <w:r w:rsidRPr="007E7990">
        <w:rPr>
          <w:lang w:eastAsia="en-NZ"/>
        </w:rPr>
        <w:t>.3 new registrar starts per year (30 in</w:t>
      </w:r>
      <w:r w:rsidR="00553048">
        <w:rPr>
          <w:lang w:eastAsia="en-NZ"/>
        </w:rPr>
        <w:t xml:space="preserve"> </w:t>
      </w:r>
      <w:r w:rsidRPr="007E7990">
        <w:rPr>
          <w:lang w:eastAsia="en-NZ"/>
        </w:rPr>
        <w:t>the 2004 to 2012 intakes) for 3.25 registrars qualifying per year (13 in last 4 years).</w:t>
      </w:r>
      <w:r w:rsidR="007E7990" w:rsidRPr="007E7990">
        <w:rPr>
          <w:lang w:eastAsia="en-NZ"/>
        </w:rPr>
        <w:t xml:space="preserve"> </w:t>
      </w:r>
      <w:r w:rsidRPr="007E7990">
        <w:t>There is a very low training attrition rate</w:t>
      </w:r>
      <w:r w:rsidR="007E7990" w:rsidRPr="007E7990">
        <w:t xml:space="preserve"> – </w:t>
      </w:r>
      <w:r w:rsidRPr="007E7990">
        <w:t>almost all registrars who start successfully complete the programme.</w:t>
      </w:r>
    </w:p>
    <w:p w:rsidR="00F425CB" w:rsidRPr="007E7990" w:rsidRDefault="00F425CB" w:rsidP="00553048"/>
    <w:p w:rsidR="00F425CB" w:rsidRPr="007E7990" w:rsidRDefault="00F425CB" w:rsidP="00553048">
      <w:r w:rsidRPr="007E7990">
        <w:t>Following graduation there is a distinct emigration pattern, with six of the above 13 graduates from the past four years going overseas.</w:t>
      </w:r>
      <w:r w:rsidR="007E7990" w:rsidRPr="007E7990">
        <w:t xml:space="preserve"> </w:t>
      </w:r>
      <w:r w:rsidRPr="007E7990">
        <w:t>No prior graduates returned during that time.</w:t>
      </w:r>
      <w:r w:rsidR="007E7990" w:rsidRPr="007E7990">
        <w:t xml:space="preserve"> </w:t>
      </w:r>
      <w:r w:rsidRPr="007E7990">
        <w:t xml:space="preserve">At the same time there </w:t>
      </w:r>
      <w:r w:rsidR="005A0299">
        <w:t>was ongoing loss of existing medical physicists</w:t>
      </w:r>
      <w:r w:rsidRPr="007E7990">
        <w:t xml:space="preserve"> – in the three-year period 2009 to 2011 there was a 10% pa loss; of the 11 in total, eight left the country, one retired and two left the profession.</w:t>
      </w:r>
      <w:r w:rsidR="007E7990" w:rsidRPr="007E7990">
        <w:t xml:space="preserve"> </w:t>
      </w:r>
      <w:r w:rsidRPr="007E7990">
        <w:t>This net shortfall each year has had to be made up from international recruitment</w:t>
      </w:r>
      <w:r w:rsidR="007E7990" w:rsidRPr="007E7990">
        <w:t xml:space="preserve"> – </w:t>
      </w:r>
      <w:r w:rsidRPr="007E7990">
        <w:rPr>
          <w:lang w:eastAsia="en-NZ"/>
        </w:rPr>
        <w:t>approximately 50</w:t>
      </w:r>
      <w:r w:rsidR="00553048">
        <w:rPr>
          <w:lang w:eastAsia="en-NZ"/>
        </w:rPr>
        <w:t>–</w:t>
      </w:r>
      <w:r w:rsidRPr="007E7990">
        <w:rPr>
          <w:lang w:eastAsia="en-NZ"/>
        </w:rPr>
        <w:t>60% of positions are filled with overseas physicists.</w:t>
      </w:r>
      <w:r w:rsidR="007E7990" w:rsidRPr="007E7990">
        <w:rPr>
          <w:lang w:eastAsia="en-NZ"/>
        </w:rPr>
        <w:t xml:space="preserve"> </w:t>
      </w:r>
      <w:r w:rsidRPr="007E7990">
        <w:rPr>
          <w:lang w:eastAsia="en-NZ"/>
        </w:rPr>
        <w:t>However annual turnover c</w:t>
      </w:r>
      <w:r w:rsidRPr="007E7990">
        <w:t>an be high in this group, and the vacancy rates noted above reflect the long lead times to recruit to vacancies.</w:t>
      </w:r>
      <w:r w:rsidR="007E7990" w:rsidRPr="007E7990">
        <w:t xml:space="preserve"> </w:t>
      </w:r>
      <w:r w:rsidRPr="007E7990">
        <w:t>Vacancy rates have varied between 10 and 22% over the past few years.</w:t>
      </w:r>
      <w:r w:rsidR="007E7990" w:rsidRPr="007E7990">
        <w:t xml:space="preserve"> </w:t>
      </w:r>
      <w:r w:rsidRPr="007E7990">
        <w:t>The modelling requires that the centres keep on recruiting internationally to restrict the shortfall to only one to two per year.</w:t>
      </w:r>
    </w:p>
    <w:p w:rsidR="00F425CB" w:rsidRPr="007E7990" w:rsidRDefault="00F425CB" w:rsidP="00553048"/>
    <w:p w:rsidR="007E7990" w:rsidRPr="007E7990" w:rsidRDefault="00F425CB" w:rsidP="00553048">
      <w:r w:rsidRPr="007E7990">
        <w:t xml:space="preserve">Overall, no </w:t>
      </w:r>
      <w:r w:rsidRPr="007E7990">
        <w:rPr>
          <w:b/>
          <w:bCs/>
        </w:rPr>
        <w:t xml:space="preserve">net </w:t>
      </w:r>
      <w:r w:rsidR="007E7990" w:rsidRPr="007E7990">
        <w:rPr>
          <w:b/>
          <w:bCs/>
        </w:rPr>
        <w:t>‘</w:t>
      </w:r>
      <w:r w:rsidRPr="007E7990">
        <w:rPr>
          <w:b/>
          <w:bCs/>
        </w:rPr>
        <w:t>natural</w:t>
      </w:r>
      <w:r w:rsidR="007E7990" w:rsidRPr="007E7990">
        <w:rPr>
          <w:b/>
          <w:bCs/>
        </w:rPr>
        <w:t>’</w:t>
      </w:r>
      <w:r w:rsidR="005A0299">
        <w:rPr>
          <w:b/>
          <w:bCs/>
        </w:rPr>
        <w:t xml:space="preserve"> gain of medical physicist</w:t>
      </w:r>
      <w:r w:rsidRPr="007E7990">
        <w:rPr>
          <w:b/>
          <w:bCs/>
        </w:rPr>
        <w:t xml:space="preserve">s </w:t>
      </w:r>
      <w:r w:rsidRPr="007E7990">
        <w:t>is apparent, and there is a significant risk of net losses.</w:t>
      </w:r>
    </w:p>
    <w:p w:rsidR="00F425CB" w:rsidRPr="007E7990" w:rsidRDefault="00F425CB" w:rsidP="00553048"/>
    <w:p w:rsidR="00F425CB" w:rsidRPr="007E7990" w:rsidRDefault="00F425CB" w:rsidP="00553048">
      <w:pPr>
        <w:pStyle w:val="Heading3"/>
      </w:pPr>
      <w:bookmarkStart w:id="63" w:name="_Toc376936357"/>
      <w:r w:rsidRPr="007E7990">
        <w:t>3.3.3</w:t>
      </w:r>
      <w:r w:rsidRPr="007E7990">
        <w:tab/>
        <w:t>Radiation therapist supply</w:t>
      </w:r>
      <w:bookmarkEnd w:id="63"/>
    </w:p>
    <w:p w:rsidR="007E7990" w:rsidRPr="007E7990" w:rsidRDefault="00F425CB" w:rsidP="00553048">
      <w:r w:rsidRPr="007E7990">
        <w:t>At the end of 2012 there were 25</w:t>
      </w:r>
      <w:r w:rsidR="005A0299">
        <w:t>2 FTE radiation therapists</w:t>
      </w:r>
      <w:r w:rsidRPr="007E7990">
        <w:t xml:space="preserve"> in the New Zealand workforce (public and private).</w:t>
      </w:r>
      <w:r w:rsidR="007E7990" w:rsidRPr="007E7990">
        <w:t xml:space="preserve"> </w:t>
      </w:r>
      <w:r w:rsidRPr="007E7990">
        <w:t>There are currently only a few vacancies noted in the KPI reporting; these have been ignored in this analysis.</w:t>
      </w:r>
      <w:r w:rsidR="007E7990" w:rsidRPr="007E7990">
        <w:t xml:space="preserve"> </w:t>
      </w:r>
      <w:r w:rsidRPr="007E7990">
        <w:t xml:space="preserve">The </w:t>
      </w:r>
      <w:r w:rsidR="005A0299">
        <w:t xml:space="preserve">radiation therapist </w:t>
      </w:r>
      <w:r w:rsidRPr="007E7990">
        <w:t>workforce is very young (median age 31 years) and predominately female (85% of the current FTE)</w:t>
      </w:r>
      <w:r w:rsidR="00553048">
        <w:t>.</w:t>
      </w:r>
      <w:r w:rsidRPr="00553048">
        <w:rPr>
          <w:rStyle w:val="FootnoteReference"/>
        </w:rPr>
        <w:footnoteReference w:id="15"/>
      </w:r>
      <w:r w:rsidR="007E7990" w:rsidRPr="007E7990">
        <w:t xml:space="preserve"> </w:t>
      </w:r>
      <w:r w:rsidR="005A0299">
        <w:t>There is a single provider of radiation therapist</w:t>
      </w:r>
      <w:r w:rsidRPr="007E7990">
        <w:t xml:space="preserve"> training</w:t>
      </w:r>
      <w:r w:rsidR="007E7990" w:rsidRPr="007E7990">
        <w:t xml:space="preserve"> – </w:t>
      </w:r>
      <w:proofErr w:type="spellStart"/>
      <w:r w:rsidRPr="007E7990">
        <w:t>Otago</w:t>
      </w:r>
      <w:proofErr w:type="spellEnd"/>
      <w:r w:rsidRPr="007E7990">
        <w:t xml:space="preserve"> University (based at the Wellington School of Medicine)</w:t>
      </w:r>
      <w:r w:rsidR="007E7990" w:rsidRPr="007E7990">
        <w:t xml:space="preserve"> – </w:t>
      </w:r>
      <w:r w:rsidRPr="007E7990">
        <w:t>that currently has 30 places per year for the three-year course.</w:t>
      </w:r>
      <w:r w:rsidR="007E7990" w:rsidRPr="007E7990">
        <w:t xml:space="preserve"> </w:t>
      </w:r>
      <w:r w:rsidRPr="007E7990">
        <w:t>Places are limited by the need for clinical placements in years two and three.</w:t>
      </w:r>
      <w:r w:rsidR="007E7990" w:rsidRPr="007E7990">
        <w:t xml:space="preserve"> </w:t>
      </w:r>
      <w:r w:rsidRPr="007E7990">
        <w:t>New graduates also require support in their first year of practice, some of which is provided by Health Workforce New Zealand (HWNZ).</w:t>
      </w:r>
      <w:r w:rsidR="007E7990" w:rsidRPr="007E7990">
        <w:t xml:space="preserve"> </w:t>
      </w:r>
      <w:r w:rsidRPr="007E7990">
        <w:t>At present the intake of 30 is producing around 25 graduates at the finish of the course</w:t>
      </w:r>
      <w:r w:rsidR="00553048">
        <w:t>.</w:t>
      </w:r>
      <w:r w:rsidRPr="00553048">
        <w:rPr>
          <w:rStyle w:val="FootnoteReference"/>
        </w:rPr>
        <w:footnoteReference w:id="16"/>
      </w:r>
    </w:p>
    <w:p w:rsidR="00F425CB" w:rsidRPr="007E7990" w:rsidRDefault="00F425CB" w:rsidP="00553048"/>
    <w:p w:rsidR="007E7990" w:rsidRPr="007E7990" w:rsidRDefault="00F425CB" w:rsidP="00553048">
      <w:pPr>
        <w:keepLines/>
      </w:pPr>
      <w:r w:rsidRPr="007E7990">
        <w:lastRenderedPageBreak/>
        <w:t>HWNZ Annual Practising Certificate (APC) numbers from the Medical Radiation Technologists Board (MRTB) were examined for 2011</w:t>
      </w:r>
      <w:r w:rsidR="00553048">
        <w:t>,</w:t>
      </w:r>
      <w:r w:rsidRPr="00553048">
        <w:rPr>
          <w:rStyle w:val="FootnoteReference"/>
        </w:rPr>
        <w:footnoteReference w:id="17"/>
      </w:r>
      <w:r w:rsidRPr="007E7990">
        <w:t xml:space="preserve"> and compared with the graduation numbers of the corresponding years.</w:t>
      </w:r>
      <w:r w:rsidR="007E7990" w:rsidRPr="007E7990">
        <w:t xml:space="preserve"> </w:t>
      </w:r>
      <w:r w:rsidRPr="007E7990">
        <w:t>A bimodal function was e</w:t>
      </w:r>
      <w:r w:rsidR="005A0299">
        <w:t>vident – radiation therapist</w:t>
      </w:r>
      <w:r w:rsidRPr="007E7990">
        <w:t xml:space="preserve">s drop registration from years three to five </w:t>
      </w:r>
      <w:proofErr w:type="spellStart"/>
      <w:r w:rsidRPr="007E7990">
        <w:t>post graduation</w:t>
      </w:r>
      <w:proofErr w:type="spellEnd"/>
      <w:r w:rsidRPr="007E7990">
        <w:t>, start returning, then drop again years eight to nine (and with a possible further smaller drop around years 11</w:t>
      </w:r>
      <w:r w:rsidR="00553048">
        <w:t>–</w:t>
      </w:r>
      <w:r w:rsidRPr="007E7990">
        <w:t>12) after graduation.</w:t>
      </w:r>
      <w:r w:rsidR="007E7990" w:rsidRPr="007E7990">
        <w:t xml:space="preserve"> </w:t>
      </w:r>
      <w:r w:rsidRPr="007E7990">
        <w:t>This pattern might be explained by overseas experience and family responsibilities (</w:t>
      </w:r>
      <w:r w:rsidR="00553048">
        <w:t>Figure 2</w:t>
      </w:r>
      <w:r w:rsidRPr="007E7990">
        <w:t xml:space="preserve">). At the low point, only about one-third of the </w:t>
      </w:r>
      <w:r w:rsidR="005A0299" w:rsidRPr="005A0299">
        <w:t xml:space="preserve">radiation therapist </w:t>
      </w:r>
      <w:r w:rsidRPr="007E7990">
        <w:t xml:space="preserve">graduates were in New Zealand by their fourth year after graduation, but this recovers to a longer term </w:t>
      </w:r>
      <w:r w:rsidR="007E7990" w:rsidRPr="007E7990">
        <w:t>‘</w:t>
      </w:r>
      <w:r w:rsidRPr="007E7990">
        <w:t>in-workforce</w:t>
      </w:r>
      <w:r w:rsidR="007E7990" w:rsidRPr="007E7990">
        <w:t>’</w:t>
      </w:r>
      <w:r w:rsidRPr="007E7990">
        <w:t xml:space="preserve"> of around 55%.</w:t>
      </w:r>
      <w:r w:rsidR="007E7990" w:rsidRPr="007E7990">
        <w:t xml:space="preserve"> </w:t>
      </w:r>
      <w:r w:rsidRPr="007E7990">
        <w:t>While international recruitment has been used in the past to bolster staffing, slight improvements in existing staff retention would obviate that need.</w:t>
      </w:r>
    </w:p>
    <w:p w:rsidR="00F425CB" w:rsidRPr="007E7990" w:rsidRDefault="00F425CB" w:rsidP="00553048"/>
    <w:p w:rsidR="00F425CB" w:rsidRPr="007E7990" w:rsidDel="001279AA" w:rsidRDefault="00F425CB" w:rsidP="00553048">
      <w:r w:rsidRPr="007E7990">
        <w:t xml:space="preserve">With other retirements and incorporating part-time rates, a net </w:t>
      </w:r>
      <w:r w:rsidR="007E7990" w:rsidRPr="007E7990">
        <w:t>‘</w:t>
      </w:r>
      <w:r w:rsidRPr="007E7990">
        <w:rPr>
          <w:b/>
          <w:bCs/>
        </w:rPr>
        <w:t>natural</w:t>
      </w:r>
      <w:r w:rsidR="007E7990" w:rsidRPr="007E7990">
        <w:rPr>
          <w:b/>
          <w:bCs/>
        </w:rPr>
        <w:t>’</w:t>
      </w:r>
      <w:r w:rsidR="005A0299">
        <w:rPr>
          <w:b/>
          <w:bCs/>
        </w:rPr>
        <w:t xml:space="preserve"> gain of around 10 </w:t>
      </w:r>
      <w:r w:rsidR="005A0299" w:rsidRPr="005A0299">
        <w:rPr>
          <w:b/>
          <w:bCs/>
        </w:rPr>
        <w:t>radiation therapist</w:t>
      </w:r>
      <w:r w:rsidR="005A0299">
        <w:rPr>
          <w:b/>
          <w:bCs/>
        </w:rPr>
        <w:t>s</w:t>
      </w:r>
      <w:r w:rsidR="005A0299" w:rsidRPr="005A0299">
        <w:rPr>
          <w:b/>
          <w:bCs/>
        </w:rPr>
        <w:t xml:space="preserve"> </w:t>
      </w:r>
      <w:r w:rsidRPr="007E7990">
        <w:rPr>
          <w:b/>
          <w:bCs/>
        </w:rPr>
        <w:t>per year</w:t>
      </w:r>
      <w:r w:rsidRPr="007E7990">
        <w:t xml:space="preserve"> is expected to 2022.</w:t>
      </w:r>
    </w:p>
    <w:bookmarkEnd w:id="57"/>
    <w:p w:rsidR="00F425CB" w:rsidRPr="007E7990" w:rsidRDefault="00F425CB" w:rsidP="00553048"/>
    <w:p w:rsidR="007E7990" w:rsidRDefault="00F425CB" w:rsidP="00553048">
      <w:pPr>
        <w:pStyle w:val="Figure"/>
      </w:pPr>
      <w:bookmarkStart w:id="64" w:name="_Ref367285911"/>
      <w:bookmarkStart w:id="65" w:name="_Toc384202908"/>
      <w:r w:rsidRPr="00490543">
        <w:rPr>
          <w:color w:val="000000"/>
        </w:rPr>
        <w:t xml:space="preserve">Figure </w:t>
      </w:r>
      <w:r w:rsidR="00553048">
        <w:rPr>
          <w:color w:val="000000"/>
        </w:rPr>
        <w:t>2</w:t>
      </w:r>
      <w:bookmarkEnd w:id="64"/>
      <w:r w:rsidR="00553048">
        <w:rPr>
          <w:color w:val="000000"/>
        </w:rPr>
        <w:t>:</w:t>
      </w:r>
      <w:r w:rsidR="007E7990">
        <w:rPr>
          <w:color w:val="000000"/>
        </w:rPr>
        <w:t xml:space="preserve"> </w:t>
      </w:r>
      <w:r w:rsidRPr="00490543">
        <w:t>Radiation therapist retention after graduation</w:t>
      </w:r>
      <w:bookmarkEnd w:id="65"/>
    </w:p>
    <w:p w:rsidR="00F425CB" w:rsidRPr="004C130D" w:rsidRDefault="00790E10" w:rsidP="00F425CB">
      <w:r>
        <w:rPr>
          <w:noProof/>
          <w:lang w:eastAsia="en-NZ"/>
        </w:rPr>
        <w:drawing>
          <wp:inline distT="0" distB="0" distL="0" distR="0">
            <wp:extent cx="5229225" cy="3152775"/>
            <wp:effectExtent l="0" t="0" r="9525" b="9525"/>
            <wp:docPr id="2" name="Picture 2" descr="Figure 2: Radiation therapist retention after 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Radiation therapist retention after gradu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9225" cy="3152775"/>
                    </a:xfrm>
                    <a:prstGeom prst="rect">
                      <a:avLst/>
                    </a:prstGeom>
                    <a:noFill/>
                    <a:ln>
                      <a:noFill/>
                    </a:ln>
                  </pic:spPr>
                </pic:pic>
              </a:graphicData>
            </a:graphic>
          </wp:inline>
        </w:drawing>
      </w:r>
    </w:p>
    <w:p w:rsidR="00F425CB" w:rsidRPr="007E7990" w:rsidRDefault="00F425CB" w:rsidP="004C130D">
      <w:pPr>
        <w:pStyle w:val="Source"/>
      </w:pPr>
      <w:r w:rsidRPr="007E7990">
        <w:t xml:space="preserve">Source: HPCG analysis based on </w:t>
      </w:r>
      <w:r w:rsidR="005A0299" w:rsidRPr="005A0299">
        <w:t xml:space="preserve">radiation therapist </w:t>
      </w:r>
      <w:r w:rsidRPr="007E7990">
        <w:t>Annual Practising Certificate holders, 2009</w:t>
      </w:r>
      <w:r w:rsidR="004C130D">
        <w:t>–</w:t>
      </w:r>
      <w:r w:rsidRPr="007E7990">
        <w:t>2011, from HWNZ</w:t>
      </w:r>
      <w:r w:rsidR="004C130D">
        <w:t>.</w:t>
      </w:r>
    </w:p>
    <w:p w:rsidR="00F425CB" w:rsidRDefault="00F425CB" w:rsidP="004C130D"/>
    <w:p w:rsidR="00F425CB" w:rsidRPr="007E7990" w:rsidRDefault="004C130D" w:rsidP="004C130D">
      <w:pPr>
        <w:pStyle w:val="Heading1"/>
      </w:pPr>
      <w:bookmarkStart w:id="66" w:name="_Toc376936358"/>
      <w:r>
        <w:br w:type="page"/>
      </w:r>
      <w:bookmarkStart w:id="67" w:name="_Toc384202857"/>
      <w:r w:rsidR="00F425CB" w:rsidRPr="007E7990">
        <w:lastRenderedPageBreak/>
        <w:t>4</w:t>
      </w:r>
      <w:r w:rsidR="00F425CB" w:rsidRPr="007E7990">
        <w:tab/>
        <w:t>National capacity requirements</w:t>
      </w:r>
      <w:bookmarkEnd w:id="66"/>
      <w:bookmarkEnd w:id="67"/>
    </w:p>
    <w:p w:rsidR="00E655A1" w:rsidRPr="0021236A" w:rsidRDefault="00E655A1" w:rsidP="004C130D">
      <w:pPr>
        <w:pStyle w:val="Box"/>
      </w:pPr>
      <w:r w:rsidRPr="0021236A">
        <w:t>Section 4 describes the modelling work undertaken to define and project national capacity requirements, and the assumptions used.</w:t>
      </w:r>
      <w:r>
        <w:t xml:space="preserve"> </w:t>
      </w:r>
      <w:r w:rsidRPr="0021236A">
        <w:t>Linear accelerator and workforce capacity, and costs impacts are modelled for a range of scenarios to give a national picture of what is expected through to 2022 using the stated assumptions.</w:t>
      </w:r>
      <w:r>
        <w:t xml:space="preserve"> </w:t>
      </w:r>
      <w:r w:rsidRPr="0021236A">
        <w:t xml:space="preserve">Results of the modelling work are summarised, including </w:t>
      </w:r>
      <w:r>
        <w:t xml:space="preserve">potential operational performance factors that might ameliorate the growth, and </w:t>
      </w:r>
      <w:r w:rsidRPr="0021236A">
        <w:t>a synopsis of the sensitivity analyses undertaken.</w:t>
      </w:r>
      <w:r>
        <w:t xml:space="preserve"> </w:t>
      </w:r>
      <w:r w:rsidRPr="0021236A">
        <w:t>Implications flowing from the results are discussed in Section 5.</w:t>
      </w:r>
    </w:p>
    <w:p w:rsidR="00F425CB" w:rsidRPr="007E7990" w:rsidRDefault="00F425CB" w:rsidP="00385485"/>
    <w:p w:rsidR="00F425CB" w:rsidRPr="007E7990" w:rsidRDefault="00F425CB" w:rsidP="00385485">
      <w:pPr>
        <w:pStyle w:val="Heading2"/>
      </w:pPr>
      <w:bookmarkStart w:id="68" w:name="_Toc376936359"/>
      <w:bookmarkStart w:id="69" w:name="_Toc384202858"/>
      <w:r w:rsidRPr="007E7990">
        <w:t>4.1</w:t>
      </w:r>
      <w:r w:rsidRPr="007E7990">
        <w:tab/>
        <w:t>Introduction to the Model</w:t>
      </w:r>
      <w:bookmarkEnd w:id="68"/>
      <w:bookmarkEnd w:id="69"/>
    </w:p>
    <w:p w:rsidR="00F425CB" w:rsidRPr="007E7990" w:rsidRDefault="00F425CB" w:rsidP="00385485">
      <w:r w:rsidRPr="007E7990">
        <w:t>The National Linear Accelerator and Workforce Capacity Model (</w:t>
      </w:r>
      <w:r w:rsidR="007E7990" w:rsidRPr="007E7990">
        <w:t>‘</w:t>
      </w:r>
      <w:r w:rsidRPr="007E7990">
        <w:t>the Model</w:t>
      </w:r>
      <w:r w:rsidR="007E7990" w:rsidRPr="007E7990">
        <w:t>’</w:t>
      </w:r>
      <w:r w:rsidRPr="007E7990">
        <w:t>) has been developed to project national capacity requirements for a range of future scenarios.</w:t>
      </w:r>
      <w:r w:rsidR="007E7990" w:rsidRPr="007E7990">
        <w:t xml:space="preserve"> </w:t>
      </w:r>
      <w:r w:rsidRPr="007E7990">
        <w:t>It also allows exploration of these and additional user-created scenarios by DHBs at the local and regional levels.</w:t>
      </w:r>
      <w:r w:rsidR="007E7990" w:rsidRPr="007E7990">
        <w:t xml:space="preserve"> </w:t>
      </w:r>
      <w:r w:rsidRPr="007E7990">
        <w:t>Key illustrative scenario results are described here.</w:t>
      </w:r>
    </w:p>
    <w:p w:rsidR="00F425CB" w:rsidRPr="007E7990" w:rsidRDefault="00F425CB" w:rsidP="00385485"/>
    <w:p w:rsidR="007E7990" w:rsidRPr="007E7990" w:rsidRDefault="00F425CB" w:rsidP="00385485">
      <w:r w:rsidRPr="007E7990">
        <w:t xml:space="preserve">The Model is shown schematically in </w:t>
      </w:r>
      <w:r w:rsidR="00385485">
        <w:t>Figure 3</w:t>
      </w:r>
      <w:r w:rsidRPr="007E7990">
        <w:t>.</w:t>
      </w:r>
      <w:r w:rsidR="007E7990" w:rsidRPr="007E7990">
        <w:t xml:space="preserve"> </w:t>
      </w:r>
      <w:r w:rsidRPr="007E7990">
        <w:t>It estimates the likely number of cancer registrations through to 2022, the number that are likely to receive radiation therapy, and therefore the number of linacs likely to be needed to provide those treatments.</w:t>
      </w:r>
      <w:r w:rsidR="007E7990" w:rsidRPr="007E7990">
        <w:t xml:space="preserve"> </w:t>
      </w:r>
      <w:r w:rsidRPr="007E7990">
        <w:t>It provides an update to the regional modelling work, adds workforce and capital and operating cost components, and allows common assumptions to be used by the DHBs across New Zealand.</w:t>
      </w:r>
    </w:p>
    <w:p w:rsidR="00F425CB" w:rsidRPr="007E7990" w:rsidRDefault="00F425CB" w:rsidP="00385485"/>
    <w:p w:rsidR="007E7990" w:rsidRPr="007E7990" w:rsidRDefault="00F425CB" w:rsidP="00385485">
      <w:r w:rsidRPr="007E7990">
        <w:t>Development of the Model and Plan has required nationwide consistency in data elements.</w:t>
      </w:r>
      <w:r w:rsidR="007E7990" w:rsidRPr="007E7990">
        <w:t xml:space="preserve"> </w:t>
      </w:r>
      <w:r w:rsidRPr="007E7990">
        <w:t>However, moving from local and regional perspectives to a national view has revealed variation between regions and between cancer centres.</w:t>
      </w:r>
      <w:r w:rsidR="007E7990" w:rsidRPr="007E7990">
        <w:t xml:space="preserve"> </w:t>
      </w:r>
      <w:r w:rsidRPr="007E7990">
        <w:t>The four regional cancer networks used different metrics and assumptions in undertaking their capacity modelling in 2012, which is to be expected as they have different configurations and start points.</w:t>
      </w:r>
      <w:r w:rsidR="007E7990" w:rsidRPr="007E7990">
        <w:t xml:space="preserve"> </w:t>
      </w:r>
      <w:r w:rsidRPr="007E7990">
        <w:t>These have been merged to create the national Model, leaving potential differences between the regional and national analysis.</w:t>
      </w:r>
    </w:p>
    <w:p w:rsidR="00F425CB" w:rsidRPr="007E7990" w:rsidRDefault="00F425CB" w:rsidP="00385485"/>
    <w:p w:rsidR="00F425CB" w:rsidRPr="007E7990" w:rsidRDefault="00F425CB" w:rsidP="00385485">
      <w:r w:rsidRPr="007E7990">
        <w:t>The national radiation oncology Key Performance Indicator (KPI) data collection is of relatively recent origin. Some data items are of variable quality in how they are reported; others are not reported by all radiation therapy centres.</w:t>
      </w:r>
      <w:r w:rsidR="007E7990" w:rsidRPr="007E7990">
        <w:t xml:space="preserve"> </w:t>
      </w:r>
      <w:r w:rsidRPr="007E7990">
        <w:t>In developing the Model, a specific template was developed and sent to the centres to check their 2012 data; this then became the base year for modelling purposes.</w:t>
      </w:r>
      <w:r w:rsidR="007E7990" w:rsidRPr="007E7990">
        <w:t xml:space="preserve"> </w:t>
      </w:r>
      <w:r w:rsidRPr="007E7990">
        <w:t>Where possible, data from 2011 was used as a cross-check.</w:t>
      </w:r>
      <w:r w:rsidR="007E7990" w:rsidRPr="007E7990">
        <w:t xml:space="preserve"> </w:t>
      </w:r>
      <w:r w:rsidRPr="007E7990">
        <w:t>Limitations in the data used</w:t>
      </w:r>
      <w:r w:rsidR="007E7990" w:rsidRPr="007E7990">
        <w:t xml:space="preserve"> – </w:t>
      </w:r>
      <w:r w:rsidRPr="007E7990">
        <w:t>for example, hours worked outside normal work days; exact FTE definitions used; and how linac hours were recorded in the KPI data set</w:t>
      </w:r>
      <w:r w:rsidR="007E7990" w:rsidRPr="007E7990">
        <w:t xml:space="preserve"> – </w:t>
      </w:r>
      <w:r w:rsidRPr="007E7990">
        <w:t>required simplifying assumptions.</w:t>
      </w:r>
      <w:r w:rsidR="007E7990" w:rsidRPr="007E7990">
        <w:t xml:space="preserve"> </w:t>
      </w:r>
      <w:r w:rsidRPr="007E7990">
        <w:t>The Model does not attempt to simulate day-to-day workings of each cancer centre, but to allow a reasonable annual picture to be constructed.</w:t>
      </w:r>
    </w:p>
    <w:p w:rsidR="00F425CB" w:rsidRPr="007E7990" w:rsidRDefault="00F425CB" w:rsidP="00385485"/>
    <w:p w:rsidR="00F425CB" w:rsidRDefault="00F425CB" w:rsidP="00385485">
      <w:pPr>
        <w:keepLines/>
      </w:pPr>
      <w:r w:rsidRPr="007E7990">
        <w:lastRenderedPageBreak/>
        <w:t xml:space="preserve">Volumes of other aspects of radiation oncology treatment were not explicitly modelled – for example, brachytherapy and stereotactic treatment, treatment for non-malignant conditions, and </w:t>
      </w:r>
      <w:proofErr w:type="spellStart"/>
      <w:r w:rsidRPr="007E7990">
        <w:t>kilovoltage</w:t>
      </w:r>
      <w:proofErr w:type="spellEnd"/>
      <w:r w:rsidRPr="007E7990">
        <w:t xml:space="preserve"> treatments.</w:t>
      </w:r>
      <w:r w:rsidR="007E7990" w:rsidRPr="007E7990">
        <w:t xml:space="preserve"> </w:t>
      </w:r>
      <w:r w:rsidRPr="007E7990">
        <w:t>No net change in external beam volumes is assumed to arise due to any changes in these over the next 10 years.</w:t>
      </w:r>
      <w:r w:rsidR="007E7990" w:rsidRPr="007E7990">
        <w:t xml:space="preserve"> </w:t>
      </w:r>
      <w:r w:rsidRPr="007E7990">
        <w:t>Workforce projections assume that the same proportion of staff time spent on these activities will continue into the future.</w:t>
      </w:r>
      <w:r w:rsidR="007E7990" w:rsidRPr="007E7990">
        <w:t xml:space="preserve"> </w:t>
      </w:r>
      <w:r w:rsidRPr="007E7990">
        <w:t>Stereotactic volumes are not included in the analysis – Southern DHB capacity may be slightly overstated as a result, appearing available when in fact in use.</w:t>
      </w:r>
    </w:p>
    <w:p w:rsidR="00385485" w:rsidRPr="007E7990" w:rsidRDefault="00385485" w:rsidP="00385485"/>
    <w:p w:rsidR="00F425CB" w:rsidRPr="007E7990" w:rsidRDefault="00F425CB" w:rsidP="00385485">
      <w:pPr>
        <w:pStyle w:val="Figure"/>
      </w:pPr>
      <w:bookmarkStart w:id="70" w:name="_Ref367256606"/>
      <w:bookmarkStart w:id="71" w:name="_Toc384202909"/>
      <w:r w:rsidRPr="007E7990">
        <w:rPr>
          <w:color w:val="000000"/>
        </w:rPr>
        <w:t xml:space="preserve">Figure </w:t>
      </w:r>
      <w:r w:rsidR="00385485">
        <w:rPr>
          <w:color w:val="000000"/>
        </w:rPr>
        <w:t>3</w:t>
      </w:r>
      <w:bookmarkEnd w:id="70"/>
      <w:r w:rsidR="00385485">
        <w:rPr>
          <w:color w:val="000000"/>
        </w:rPr>
        <w:t>:</w:t>
      </w:r>
      <w:r w:rsidR="007E7990" w:rsidRPr="007E7990">
        <w:rPr>
          <w:color w:val="000000"/>
        </w:rPr>
        <w:t xml:space="preserve"> </w:t>
      </w:r>
      <w:r w:rsidRPr="007E7990">
        <w:t>The structure of the National Radiation Oncology Capacity Model</w:t>
      </w:r>
      <w:bookmarkEnd w:id="71"/>
    </w:p>
    <w:p w:rsidR="00F425CB" w:rsidRPr="00665C9E" w:rsidRDefault="00790E10" w:rsidP="00385485">
      <w:r>
        <w:rPr>
          <w:noProof/>
          <w:lang w:eastAsia="en-NZ"/>
        </w:rPr>
        <w:drawing>
          <wp:inline distT="0" distB="0" distL="0" distR="0">
            <wp:extent cx="3667125" cy="5810250"/>
            <wp:effectExtent l="0" t="0" r="9525" b="0"/>
            <wp:docPr id="3" name="Picture 5" descr="Figure 3: The structure of the National Radiation Oncology Capacit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 The structure of the National Radiation Oncology Capacity Mod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7125" cy="5810250"/>
                    </a:xfrm>
                    <a:prstGeom prst="rect">
                      <a:avLst/>
                    </a:prstGeom>
                    <a:noFill/>
                    <a:ln>
                      <a:noFill/>
                    </a:ln>
                  </pic:spPr>
                </pic:pic>
              </a:graphicData>
            </a:graphic>
          </wp:inline>
        </w:drawing>
      </w:r>
    </w:p>
    <w:p w:rsidR="00F425CB" w:rsidRDefault="00F425CB" w:rsidP="00385485"/>
    <w:p w:rsidR="00F425CB" w:rsidRPr="007E7990" w:rsidRDefault="00F425CB" w:rsidP="00385485">
      <w:pPr>
        <w:pStyle w:val="Heading2"/>
      </w:pPr>
      <w:bookmarkStart w:id="72" w:name="_Toc376936360"/>
      <w:bookmarkStart w:id="73" w:name="_Toc384202859"/>
      <w:r w:rsidRPr="007E7990">
        <w:t>4.2</w:t>
      </w:r>
      <w:r w:rsidRPr="007E7990">
        <w:tab/>
        <w:t>Modelling variables and assumptions</w:t>
      </w:r>
      <w:bookmarkEnd w:id="72"/>
      <w:bookmarkEnd w:id="73"/>
    </w:p>
    <w:p w:rsidR="00F425CB" w:rsidRPr="007E7990" w:rsidRDefault="00F425CB" w:rsidP="008A0584">
      <w:r w:rsidRPr="007E7990">
        <w:t xml:space="preserve">Key variables and assumptions used are shown in </w:t>
      </w:r>
      <w:r w:rsidR="008A0584">
        <w:t>Table 5</w:t>
      </w:r>
      <w:r w:rsidRPr="007E7990">
        <w:t xml:space="preserve"> keyed to the four main areas in </w:t>
      </w:r>
      <w:r w:rsidR="008A0584">
        <w:t>Figure 3</w:t>
      </w:r>
      <w:r w:rsidRPr="007E7990">
        <w:t>, with further explanations below.</w:t>
      </w:r>
    </w:p>
    <w:p w:rsidR="000A4D1A" w:rsidRDefault="000A4D1A" w:rsidP="008A0584">
      <w:pPr>
        <w:pStyle w:val="Table"/>
        <w:sectPr w:rsidR="000A4D1A" w:rsidSect="00D723CA">
          <w:headerReference w:type="default" r:id="rId23"/>
          <w:pgSz w:w="11907" w:h="16834" w:code="9"/>
          <w:pgMar w:top="1418" w:right="1134" w:bottom="1418" w:left="1134" w:header="425" w:footer="567" w:gutter="284"/>
          <w:pgNumType w:start="1"/>
          <w:cols w:space="720"/>
        </w:sectPr>
      </w:pPr>
      <w:bookmarkStart w:id="74" w:name="_Ref367453600"/>
      <w:bookmarkStart w:id="75" w:name="_Ref367286284"/>
    </w:p>
    <w:p w:rsidR="00F425CB" w:rsidRPr="007E7990" w:rsidRDefault="00F425CB" w:rsidP="008A0584">
      <w:pPr>
        <w:pStyle w:val="Table"/>
      </w:pPr>
      <w:bookmarkStart w:id="76" w:name="_Toc384202880"/>
      <w:r w:rsidRPr="007E7990">
        <w:lastRenderedPageBreak/>
        <w:t xml:space="preserve">Table </w:t>
      </w:r>
      <w:r w:rsidR="008A0584">
        <w:t>5</w:t>
      </w:r>
      <w:bookmarkEnd w:id="74"/>
      <w:r w:rsidR="008A0584">
        <w:t>:</w:t>
      </w:r>
      <w:r w:rsidR="007E7990" w:rsidRPr="007E7990">
        <w:t xml:space="preserve"> </w:t>
      </w:r>
      <w:r w:rsidRPr="007E7990">
        <w:t>Model variables and assumptions</w:t>
      </w:r>
      <w:bookmarkEnd w:id="75"/>
      <w:bookmarkEnd w:id="76"/>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709"/>
        <w:gridCol w:w="2410"/>
        <w:gridCol w:w="7371"/>
        <w:gridCol w:w="4111"/>
      </w:tblGrid>
      <w:tr w:rsidR="00F425CB" w:rsidRPr="00120A4F" w:rsidTr="00C73F47">
        <w:trPr>
          <w:cantSplit/>
          <w:tblHeader/>
        </w:trPr>
        <w:tc>
          <w:tcPr>
            <w:tcW w:w="709" w:type="dxa"/>
            <w:shd w:val="clear" w:color="auto" w:fill="BDE2FF"/>
            <w:noWrap/>
          </w:tcPr>
          <w:p w:rsidR="00F425CB" w:rsidRPr="00120A4F" w:rsidRDefault="00F425CB" w:rsidP="00120A4F">
            <w:pPr>
              <w:pStyle w:val="TableText"/>
              <w:rPr>
                <w:b/>
              </w:rPr>
            </w:pPr>
            <w:bookmarkStart w:id="77" w:name="RANGE_B1_F32"/>
            <w:r w:rsidRPr="00120A4F">
              <w:rPr>
                <w:b/>
              </w:rPr>
              <w:t>Type</w:t>
            </w:r>
            <w:bookmarkEnd w:id="77"/>
          </w:p>
        </w:tc>
        <w:tc>
          <w:tcPr>
            <w:tcW w:w="2410" w:type="dxa"/>
            <w:shd w:val="clear" w:color="auto" w:fill="BDE2FF"/>
          </w:tcPr>
          <w:p w:rsidR="00F425CB" w:rsidRPr="00120A4F" w:rsidRDefault="00F425CB" w:rsidP="00120A4F">
            <w:pPr>
              <w:pStyle w:val="TableText"/>
              <w:rPr>
                <w:b/>
              </w:rPr>
            </w:pPr>
            <w:r w:rsidRPr="00120A4F">
              <w:rPr>
                <w:b/>
              </w:rPr>
              <w:t>Variable</w:t>
            </w:r>
          </w:p>
        </w:tc>
        <w:tc>
          <w:tcPr>
            <w:tcW w:w="7371" w:type="dxa"/>
            <w:shd w:val="clear" w:color="auto" w:fill="BDE2FF"/>
          </w:tcPr>
          <w:p w:rsidR="00F425CB" w:rsidRPr="00120A4F" w:rsidRDefault="00F425CB" w:rsidP="00120A4F">
            <w:pPr>
              <w:pStyle w:val="TableText"/>
              <w:rPr>
                <w:b/>
              </w:rPr>
            </w:pPr>
            <w:r w:rsidRPr="00120A4F">
              <w:rPr>
                <w:b/>
              </w:rPr>
              <w:t>Comment</w:t>
            </w:r>
          </w:p>
        </w:tc>
        <w:tc>
          <w:tcPr>
            <w:tcW w:w="4111" w:type="dxa"/>
            <w:shd w:val="clear" w:color="auto" w:fill="BDE2FF"/>
          </w:tcPr>
          <w:p w:rsidR="00F425CB" w:rsidRPr="00120A4F" w:rsidRDefault="00120A4F" w:rsidP="00120A4F">
            <w:pPr>
              <w:pStyle w:val="TableText"/>
              <w:rPr>
                <w:b/>
              </w:rPr>
            </w:pPr>
            <w:r>
              <w:rPr>
                <w:b/>
              </w:rPr>
              <w:t>Figures used</w:t>
            </w:r>
          </w:p>
        </w:tc>
      </w:tr>
      <w:tr w:rsidR="00F425CB" w:rsidRPr="0021236A" w:rsidTr="00C73F47">
        <w:trPr>
          <w:cantSplit/>
        </w:trPr>
        <w:tc>
          <w:tcPr>
            <w:tcW w:w="14601" w:type="dxa"/>
            <w:gridSpan w:val="4"/>
            <w:noWrap/>
          </w:tcPr>
          <w:p w:rsidR="00F425CB" w:rsidRPr="00120A4F" w:rsidRDefault="00F425CB" w:rsidP="00120A4F">
            <w:pPr>
              <w:pStyle w:val="TableText"/>
              <w:rPr>
                <w:b/>
              </w:rPr>
            </w:pPr>
            <w:r w:rsidRPr="00120A4F">
              <w:rPr>
                <w:b/>
              </w:rPr>
              <w:t>Demand</w:t>
            </w:r>
          </w:p>
        </w:tc>
      </w:tr>
      <w:tr w:rsidR="00F425CB" w:rsidRPr="0021236A" w:rsidTr="00C73F47">
        <w:trPr>
          <w:cantSplit/>
        </w:trPr>
        <w:tc>
          <w:tcPr>
            <w:tcW w:w="709" w:type="dxa"/>
            <w:noWrap/>
          </w:tcPr>
          <w:p w:rsidR="00F425CB" w:rsidRPr="007E7990" w:rsidRDefault="00F425CB" w:rsidP="00120A4F">
            <w:pPr>
              <w:pStyle w:val="TableText"/>
            </w:pPr>
            <w:r w:rsidRPr="007E7990">
              <w:t>1</w:t>
            </w:r>
          </w:p>
        </w:tc>
        <w:tc>
          <w:tcPr>
            <w:tcW w:w="2410" w:type="dxa"/>
          </w:tcPr>
          <w:p w:rsidR="00F425CB" w:rsidRPr="007E7990" w:rsidRDefault="00120A4F" w:rsidP="00120A4F">
            <w:pPr>
              <w:pStyle w:val="TableText"/>
            </w:pPr>
            <w:r>
              <w:t>Cancer incidence</w:t>
            </w:r>
          </w:p>
        </w:tc>
        <w:tc>
          <w:tcPr>
            <w:tcW w:w="7371" w:type="dxa"/>
          </w:tcPr>
          <w:p w:rsidR="00F425CB" w:rsidRPr="007E7990" w:rsidRDefault="00F425CB" w:rsidP="00021C7F">
            <w:pPr>
              <w:pStyle w:val="TableText"/>
            </w:pPr>
            <w:r w:rsidRPr="007E7990">
              <w:t>Ministry of Health projected cancer incidence to 2016 (see below).</w:t>
            </w:r>
            <w:r w:rsidR="007E7990" w:rsidRPr="007E7990">
              <w:t xml:space="preserve"> </w:t>
            </w:r>
            <w:r w:rsidRPr="007E7990">
              <w:t>Grown from 2007</w:t>
            </w:r>
            <w:r w:rsidR="00021C7F">
              <w:t>–</w:t>
            </w:r>
            <w:r w:rsidRPr="007E7990">
              <w:t>2009 base by DHB</w:t>
            </w:r>
          </w:p>
        </w:tc>
        <w:tc>
          <w:tcPr>
            <w:tcW w:w="4111" w:type="dxa"/>
          </w:tcPr>
          <w:p w:rsidR="00F425CB" w:rsidRPr="007E7990" w:rsidRDefault="00F425CB" w:rsidP="00120A4F">
            <w:pPr>
              <w:pStyle w:val="TableText"/>
            </w:pPr>
            <w:r w:rsidRPr="007E7990">
              <w:t>Average growth, sensitivity: +5%, -5%</w:t>
            </w:r>
          </w:p>
        </w:tc>
      </w:tr>
      <w:tr w:rsidR="00F425CB" w:rsidRPr="0021236A" w:rsidTr="00C73F47">
        <w:trPr>
          <w:cantSplit/>
        </w:trPr>
        <w:tc>
          <w:tcPr>
            <w:tcW w:w="709" w:type="dxa"/>
            <w:noWrap/>
          </w:tcPr>
          <w:p w:rsidR="00F425CB" w:rsidRPr="007E7990" w:rsidRDefault="00F425CB" w:rsidP="00120A4F">
            <w:pPr>
              <w:pStyle w:val="TableText"/>
            </w:pPr>
            <w:r w:rsidRPr="007E7990">
              <w:t>2</w:t>
            </w:r>
          </w:p>
        </w:tc>
        <w:tc>
          <w:tcPr>
            <w:tcW w:w="2410" w:type="dxa"/>
          </w:tcPr>
          <w:p w:rsidR="00F425CB" w:rsidRPr="007E7990" w:rsidRDefault="00F425CB" w:rsidP="00120A4F">
            <w:pPr>
              <w:pStyle w:val="TableText"/>
            </w:pPr>
            <w:r w:rsidRPr="007E7990">
              <w:t>Demography</w:t>
            </w:r>
          </w:p>
        </w:tc>
        <w:tc>
          <w:tcPr>
            <w:tcW w:w="7371" w:type="dxa"/>
          </w:tcPr>
          <w:p w:rsidR="00F425CB" w:rsidRPr="007E7990" w:rsidRDefault="00F425CB" w:rsidP="00120A4F">
            <w:pPr>
              <w:pStyle w:val="TableText"/>
            </w:pPr>
            <w:r w:rsidRPr="007E7990">
              <w:t>Statistics New Zealand median projections for growth and aging by DHB to 2022</w:t>
            </w:r>
          </w:p>
        </w:tc>
        <w:tc>
          <w:tcPr>
            <w:tcW w:w="4111" w:type="dxa"/>
          </w:tcPr>
          <w:p w:rsidR="00F425CB" w:rsidRPr="007E7990" w:rsidRDefault="00F425CB" w:rsidP="00120A4F">
            <w:pPr>
              <w:pStyle w:val="TableText"/>
            </w:pPr>
            <w:r w:rsidRPr="007E7990">
              <w:t>Median projection</w:t>
            </w:r>
          </w:p>
        </w:tc>
      </w:tr>
      <w:tr w:rsidR="00F425CB" w:rsidRPr="0021236A" w:rsidTr="00C73F47">
        <w:trPr>
          <w:cantSplit/>
        </w:trPr>
        <w:tc>
          <w:tcPr>
            <w:tcW w:w="709" w:type="dxa"/>
            <w:noWrap/>
          </w:tcPr>
          <w:p w:rsidR="00F425CB" w:rsidRPr="007E7990" w:rsidRDefault="00F425CB" w:rsidP="00120A4F">
            <w:pPr>
              <w:pStyle w:val="TableText"/>
            </w:pPr>
            <w:r w:rsidRPr="007E7990">
              <w:t>3</w:t>
            </w:r>
          </w:p>
        </w:tc>
        <w:tc>
          <w:tcPr>
            <w:tcW w:w="2410" w:type="dxa"/>
          </w:tcPr>
          <w:p w:rsidR="00F425CB" w:rsidRPr="007E7990" w:rsidRDefault="00F425CB" w:rsidP="00120A4F">
            <w:pPr>
              <w:pStyle w:val="TableText"/>
            </w:pPr>
            <w:r w:rsidRPr="007E7990">
              <w:t>Intervention rate (IR)</w:t>
            </w:r>
          </w:p>
        </w:tc>
        <w:tc>
          <w:tcPr>
            <w:tcW w:w="7371" w:type="dxa"/>
          </w:tcPr>
          <w:p w:rsidR="00F425CB" w:rsidRPr="007E7990" w:rsidRDefault="00F425CB" w:rsidP="00120A4F">
            <w:pPr>
              <w:pStyle w:val="TableText"/>
            </w:pPr>
            <w:r w:rsidRPr="007E7990">
              <w:t>See scenario discussion below.</w:t>
            </w:r>
            <w:r w:rsidR="007E7990" w:rsidRPr="007E7990">
              <w:t xml:space="preserve"> </w:t>
            </w:r>
            <w:r w:rsidRPr="007E7990">
              <w:t>Stereotactic volumes not included.</w:t>
            </w:r>
          </w:p>
        </w:tc>
        <w:tc>
          <w:tcPr>
            <w:tcW w:w="4111" w:type="dxa"/>
          </w:tcPr>
          <w:p w:rsidR="00F425CB" w:rsidRPr="007E7990" w:rsidRDefault="00F425CB" w:rsidP="00120A4F">
            <w:pPr>
              <w:pStyle w:val="TableText"/>
            </w:pPr>
            <w:r w:rsidRPr="007E7990">
              <w:t>Current, 40%; 45%; 50%</w:t>
            </w:r>
          </w:p>
        </w:tc>
      </w:tr>
      <w:tr w:rsidR="00F425CB" w:rsidRPr="0021236A" w:rsidTr="00C73F47">
        <w:trPr>
          <w:cantSplit/>
        </w:trPr>
        <w:tc>
          <w:tcPr>
            <w:tcW w:w="709" w:type="dxa"/>
            <w:noWrap/>
          </w:tcPr>
          <w:p w:rsidR="00F425CB" w:rsidRPr="007E7990" w:rsidRDefault="00F425CB" w:rsidP="00120A4F">
            <w:pPr>
              <w:pStyle w:val="TableText"/>
            </w:pPr>
            <w:r w:rsidRPr="007E7990">
              <w:t>4</w:t>
            </w:r>
          </w:p>
        </w:tc>
        <w:tc>
          <w:tcPr>
            <w:tcW w:w="2410" w:type="dxa"/>
          </w:tcPr>
          <w:p w:rsidR="00F425CB" w:rsidRPr="007E7990" w:rsidRDefault="00F425CB" w:rsidP="00120A4F">
            <w:pPr>
              <w:pStyle w:val="TableText"/>
            </w:pPr>
            <w:r w:rsidRPr="007E7990">
              <w:t>Retreatment rate (RTR)</w:t>
            </w:r>
          </w:p>
        </w:tc>
        <w:tc>
          <w:tcPr>
            <w:tcW w:w="7371" w:type="dxa"/>
          </w:tcPr>
          <w:p w:rsidR="00F425CB" w:rsidRPr="007E7990" w:rsidRDefault="00F425CB" w:rsidP="00120A4F">
            <w:pPr>
              <w:pStyle w:val="TableText"/>
            </w:pPr>
            <w:r w:rsidRPr="007E7990">
              <w:t>Current rates assumed.</w:t>
            </w:r>
            <w:r w:rsidR="007E7990" w:rsidRPr="007E7990">
              <w:t xml:space="preserve"> </w:t>
            </w:r>
            <w:r w:rsidRPr="007E7990">
              <w:t xml:space="preserve">Potential for some increase, </w:t>
            </w:r>
            <w:proofErr w:type="spellStart"/>
            <w:r w:rsidRPr="007E7990">
              <w:t>eg</w:t>
            </w:r>
            <w:proofErr w:type="spellEnd"/>
            <w:r w:rsidRPr="007E7990">
              <w:t xml:space="preserve"> through survivorship – tested in sensitivity analyses</w:t>
            </w:r>
          </w:p>
        </w:tc>
        <w:tc>
          <w:tcPr>
            <w:tcW w:w="4111" w:type="dxa"/>
          </w:tcPr>
          <w:p w:rsidR="00F425CB" w:rsidRPr="007E7990" w:rsidRDefault="00F425CB" w:rsidP="00120A4F">
            <w:pPr>
              <w:pStyle w:val="TableText"/>
            </w:pPr>
            <w:r w:rsidRPr="007E7990">
              <w:t>Current; sensitivity – 35% public, 25% private</w:t>
            </w:r>
          </w:p>
        </w:tc>
      </w:tr>
      <w:tr w:rsidR="00F425CB" w:rsidRPr="0021236A" w:rsidTr="00C73F47">
        <w:trPr>
          <w:cantSplit/>
        </w:trPr>
        <w:tc>
          <w:tcPr>
            <w:tcW w:w="709" w:type="dxa"/>
            <w:noWrap/>
          </w:tcPr>
          <w:p w:rsidR="00F425CB" w:rsidRPr="007E7990" w:rsidRDefault="00F425CB" w:rsidP="00120A4F">
            <w:pPr>
              <w:pStyle w:val="TableText"/>
            </w:pPr>
            <w:r w:rsidRPr="007E7990">
              <w:t>5</w:t>
            </w:r>
          </w:p>
        </w:tc>
        <w:tc>
          <w:tcPr>
            <w:tcW w:w="2410" w:type="dxa"/>
          </w:tcPr>
          <w:p w:rsidR="00F425CB" w:rsidRPr="007E7990" w:rsidRDefault="00F425CB" w:rsidP="00120A4F">
            <w:pPr>
              <w:pStyle w:val="TableText"/>
            </w:pPr>
            <w:r w:rsidRPr="007E7990">
              <w:t>Brachytherapy, stereotactic radiation therapy</w:t>
            </w:r>
          </w:p>
        </w:tc>
        <w:tc>
          <w:tcPr>
            <w:tcW w:w="7371" w:type="dxa"/>
          </w:tcPr>
          <w:p w:rsidR="00F425CB" w:rsidRPr="007E7990" w:rsidRDefault="00F425CB" w:rsidP="00120A4F">
            <w:pPr>
              <w:pStyle w:val="TableText"/>
            </w:pPr>
            <w:r w:rsidRPr="007E7990">
              <w:t>Changes in rates of other radiation modalities may occur; assumed this does not impact on external beam treatment volumes or workforce unduly</w:t>
            </w:r>
          </w:p>
        </w:tc>
        <w:tc>
          <w:tcPr>
            <w:tcW w:w="4111" w:type="dxa"/>
          </w:tcPr>
          <w:p w:rsidR="00F425CB" w:rsidRPr="007E7990" w:rsidRDefault="00F425CB" w:rsidP="00120A4F">
            <w:pPr>
              <w:pStyle w:val="TableText"/>
            </w:pPr>
            <w:r w:rsidRPr="007E7990">
              <w:t>No change</w:t>
            </w:r>
          </w:p>
        </w:tc>
      </w:tr>
      <w:tr w:rsidR="00F425CB" w:rsidRPr="0021236A" w:rsidTr="00C73F47">
        <w:trPr>
          <w:cantSplit/>
        </w:trPr>
        <w:tc>
          <w:tcPr>
            <w:tcW w:w="709" w:type="dxa"/>
            <w:noWrap/>
          </w:tcPr>
          <w:p w:rsidR="00F425CB" w:rsidRPr="007E7990" w:rsidRDefault="00F425CB" w:rsidP="00120A4F">
            <w:pPr>
              <w:pStyle w:val="TableText"/>
            </w:pPr>
            <w:r w:rsidRPr="007E7990">
              <w:t>6</w:t>
            </w:r>
          </w:p>
        </w:tc>
        <w:tc>
          <w:tcPr>
            <w:tcW w:w="2410" w:type="dxa"/>
          </w:tcPr>
          <w:p w:rsidR="00F425CB" w:rsidRPr="007E7990" w:rsidRDefault="00F425CB" w:rsidP="00120A4F">
            <w:pPr>
              <w:pStyle w:val="TableText"/>
            </w:pPr>
            <w:r w:rsidRPr="007E7990">
              <w:t>Screening activity</w:t>
            </w:r>
          </w:p>
        </w:tc>
        <w:tc>
          <w:tcPr>
            <w:tcW w:w="7371" w:type="dxa"/>
          </w:tcPr>
          <w:p w:rsidR="00F425CB" w:rsidRPr="007E7990" w:rsidRDefault="00F425CB" w:rsidP="00120A4F">
            <w:pPr>
              <w:pStyle w:val="TableText"/>
            </w:pPr>
            <w:r w:rsidRPr="007E7990">
              <w:t>Changes in screening activity might change cancer treatment needs</w:t>
            </w:r>
          </w:p>
        </w:tc>
        <w:tc>
          <w:tcPr>
            <w:tcW w:w="4111" w:type="dxa"/>
          </w:tcPr>
          <w:p w:rsidR="00F425CB" w:rsidRPr="007E7990" w:rsidRDefault="00F425CB" w:rsidP="00120A4F">
            <w:pPr>
              <w:pStyle w:val="TableText"/>
            </w:pPr>
            <w:r w:rsidRPr="007E7990">
              <w:t>No change</w:t>
            </w:r>
          </w:p>
        </w:tc>
      </w:tr>
      <w:tr w:rsidR="00F425CB" w:rsidRPr="0021236A" w:rsidTr="00C73F47">
        <w:trPr>
          <w:cantSplit/>
        </w:trPr>
        <w:tc>
          <w:tcPr>
            <w:tcW w:w="709" w:type="dxa"/>
            <w:noWrap/>
          </w:tcPr>
          <w:p w:rsidR="00F425CB" w:rsidRPr="007E7990" w:rsidRDefault="00F425CB" w:rsidP="00120A4F">
            <w:pPr>
              <w:pStyle w:val="TableText"/>
            </w:pPr>
            <w:r w:rsidRPr="007E7990">
              <w:t>7</w:t>
            </w:r>
          </w:p>
        </w:tc>
        <w:tc>
          <w:tcPr>
            <w:tcW w:w="2410" w:type="dxa"/>
          </w:tcPr>
          <w:p w:rsidR="00F425CB" w:rsidRPr="007E7990" w:rsidRDefault="00F425CB" w:rsidP="00120A4F">
            <w:pPr>
              <w:pStyle w:val="TableText"/>
            </w:pPr>
            <w:r w:rsidRPr="007E7990">
              <w:t>Non-malignancies, skin cancers</w:t>
            </w:r>
          </w:p>
        </w:tc>
        <w:tc>
          <w:tcPr>
            <w:tcW w:w="7371" w:type="dxa"/>
          </w:tcPr>
          <w:p w:rsidR="00F425CB" w:rsidRPr="007E7990" w:rsidRDefault="00F425CB" w:rsidP="00120A4F">
            <w:pPr>
              <w:pStyle w:val="TableText"/>
            </w:pPr>
            <w:r w:rsidRPr="007E7990">
              <w:t>Radiation therapy treatment for non-malignancies and superficial treatment for skin cancers are relatively small volumes and assumed to not add to maximal month pressures.</w:t>
            </w:r>
          </w:p>
        </w:tc>
        <w:tc>
          <w:tcPr>
            <w:tcW w:w="4111" w:type="dxa"/>
          </w:tcPr>
          <w:p w:rsidR="00F425CB" w:rsidRPr="007E7990" w:rsidRDefault="00F425CB" w:rsidP="00120A4F">
            <w:pPr>
              <w:pStyle w:val="TableText"/>
            </w:pPr>
            <w:r w:rsidRPr="007E7990">
              <w:t>No addition</w:t>
            </w:r>
          </w:p>
        </w:tc>
      </w:tr>
      <w:tr w:rsidR="00F425CB" w:rsidRPr="0021236A" w:rsidTr="00C73F47">
        <w:trPr>
          <w:cantSplit/>
        </w:trPr>
        <w:tc>
          <w:tcPr>
            <w:tcW w:w="14601" w:type="dxa"/>
            <w:gridSpan w:val="4"/>
            <w:noWrap/>
          </w:tcPr>
          <w:p w:rsidR="00F425CB" w:rsidRPr="00120A4F" w:rsidRDefault="00F425CB" w:rsidP="00120A4F">
            <w:pPr>
              <w:pStyle w:val="TableText"/>
              <w:rPr>
                <w:b/>
              </w:rPr>
            </w:pPr>
            <w:r w:rsidRPr="00120A4F">
              <w:rPr>
                <w:b/>
              </w:rPr>
              <w:t>Productivity</w:t>
            </w:r>
          </w:p>
        </w:tc>
      </w:tr>
      <w:tr w:rsidR="00F425CB" w:rsidRPr="0021236A" w:rsidTr="00C73F47">
        <w:trPr>
          <w:cantSplit/>
        </w:trPr>
        <w:tc>
          <w:tcPr>
            <w:tcW w:w="709" w:type="dxa"/>
            <w:noWrap/>
          </w:tcPr>
          <w:p w:rsidR="00F425CB" w:rsidRPr="007E7990" w:rsidRDefault="00F425CB" w:rsidP="00120A4F">
            <w:pPr>
              <w:pStyle w:val="TableText"/>
            </w:pPr>
            <w:r w:rsidRPr="007E7990">
              <w:t>8</w:t>
            </w:r>
          </w:p>
        </w:tc>
        <w:tc>
          <w:tcPr>
            <w:tcW w:w="2410" w:type="dxa"/>
          </w:tcPr>
          <w:p w:rsidR="00F425CB" w:rsidRPr="007E7990" w:rsidRDefault="00F425CB" w:rsidP="00120A4F">
            <w:pPr>
              <w:pStyle w:val="TableText"/>
            </w:pPr>
            <w:r w:rsidRPr="007E7990">
              <w:t>Average treatment attendances per course</w:t>
            </w:r>
          </w:p>
        </w:tc>
        <w:tc>
          <w:tcPr>
            <w:tcW w:w="7371" w:type="dxa"/>
          </w:tcPr>
          <w:p w:rsidR="00F425CB" w:rsidRPr="007E7990" w:rsidRDefault="00E631D5" w:rsidP="00120A4F">
            <w:pPr>
              <w:pStyle w:val="TableText"/>
            </w:pPr>
            <w:r>
              <w:t>By centre, p</w:t>
            </w:r>
            <w:r w:rsidR="00F425CB" w:rsidRPr="007E7990">
              <w:t>ublic range 12.8 to 16.8 attendances (average 14).</w:t>
            </w:r>
            <w:r w:rsidR="007E7990" w:rsidRPr="007E7990">
              <w:t xml:space="preserve"> </w:t>
            </w:r>
            <w:r w:rsidR="00F425CB" w:rsidRPr="007E7990">
              <w:t>Potential for changes in average number explored</w:t>
            </w:r>
          </w:p>
        </w:tc>
        <w:tc>
          <w:tcPr>
            <w:tcW w:w="4111" w:type="dxa"/>
          </w:tcPr>
          <w:p w:rsidR="00F425CB" w:rsidRPr="007E7990" w:rsidRDefault="00F425CB" w:rsidP="00120A4F">
            <w:pPr>
              <w:pStyle w:val="TableText"/>
            </w:pPr>
            <w:r w:rsidRPr="007E7990">
              <w:t>Current by centre; sensitivity allow +/- 10% variation over 10 years</w:t>
            </w:r>
          </w:p>
        </w:tc>
      </w:tr>
      <w:tr w:rsidR="00F425CB" w:rsidRPr="0021236A" w:rsidTr="00C73F47">
        <w:trPr>
          <w:cantSplit/>
        </w:trPr>
        <w:tc>
          <w:tcPr>
            <w:tcW w:w="709" w:type="dxa"/>
            <w:noWrap/>
          </w:tcPr>
          <w:p w:rsidR="00F425CB" w:rsidRPr="007E7990" w:rsidRDefault="00F425CB" w:rsidP="00120A4F">
            <w:pPr>
              <w:pStyle w:val="TableText"/>
            </w:pPr>
            <w:r w:rsidRPr="007E7990">
              <w:t>9</w:t>
            </w:r>
          </w:p>
        </w:tc>
        <w:tc>
          <w:tcPr>
            <w:tcW w:w="2410" w:type="dxa"/>
          </w:tcPr>
          <w:p w:rsidR="00F425CB" w:rsidRPr="007E7990" w:rsidRDefault="00F425CB" w:rsidP="00120A4F">
            <w:pPr>
              <w:pStyle w:val="TableText"/>
            </w:pPr>
            <w:r w:rsidRPr="007E7990">
              <w:t>Annual operational days</w:t>
            </w:r>
          </w:p>
        </w:tc>
        <w:tc>
          <w:tcPr>
            <w:tcW w:w="7371" w:type="dxa"/>
          </w:tcPr>
          <w:p w:rsidR="00F425CB" w:rsidRPr="007E7990" w:rsidRDefault="00F425CB" w:rsidP="00120A4F">
            <w:pPr>
              <w:pStyle w:val="TableText"/>
            </w:pPr>
            <w:r w:rsidRPr="007E7990">
              <w:t>5 days per week, no statutory holidays</w:t>
            </w:r>
          </w:p>
        </w:tc>
        <w:tc>
          <w:tcPr>
            <w:tcW w:w="4111" w:type="dxa"/>
          </w:tcPr>
          <w:p w:rsidR="00F425CB" w:rsidRPr="007E7990" w:rsidRDefault="00F425CB" w:rsidP="00120A4F">
            <w:pPr>
              <w:pStyle w:val="TableText"/>
            </w:pPr>
            <w:r w:rsidRPr="007E7990">
              <w:t>249 days per year</w:t>
            </w:r>
          </w:p>
        </w:tc>
      </w:tr>
      <w:tr w:rsidR="00F425CB" w:rsidRPr="0021236A" w:rsidTr="00C73F47">
        <w:trPr>
          <w:cantSplit/>
        </w:trPr>
        <w:tc>
          <w:tcPr>
            <w:tcW w:w="709" w:type="dxa"/>
            <w:noWrap/>
          </w:tcPr>
          <w:p w:rsidR="00F425CB" w:rsidRPr="007E7990" w:rsidRDefault="00F425CB" w:rsidP="00120A4F">
            <w:pPr>
              <w:pStyle w:val="TableText"/>
            </w:pPr>
            <w:r w:rsidRPr="007E7990">
              <w:t>10</w:t>
            </w:r>
          </w:p>
        </w:tc>
        <w:tc>
          <w:tcPr>
            <w:tcW w:w="2410" w:type="dxa"/>
          </w:tcPr>
          <w:p w:rsidR="00F425CB" w:rsidRPr="007E7990" w:rsidRDefault="00F425CB" w:rsidP="00120A4F">
            <w:pPr>
              <w:pStyle w:val="TableText"/>
            </w:pPr>
            <w:r w:rsidRPr="007E7990">
              <w:t>Daily operational hours</w:t>
            </w:r>
          </w:p>
        </w:tc>
        <w:tc>
          <w:tcPr>
            <w:tcW w:w="7371" w:type="dxa"/>
          </w:tcPr>
          <w:p w:rsidR="00F425CB" w:rsidRPr="007E7990" w:rsidRDefault="00F425CB" w:rsidP="00120A4F">
            <w:pPr>
              <w:pStyle w:val="TableText"/>
            </w:pPr>
            <w:r w:rsidRPr="007E7990">
              <w:t>By centre.</w:t>
            </w:r>
            <w:r w:rsidR="007E7990" w:rsidRPr="007E7990">
              <w:t xml:space="preserve"> </w:t>
            </w:r>
            <w:r w:rsidRPr="007E7990">
              <w:t>8 hour day assumed for workforce planning</w:t>
            </w:r>
          </w:p>
        </w:tc>
        <w:tc>
          <w:tcPr>
            <w:tcW w:w="4111" w:type="dxa"/>
          </w:tcPr>
          <w:p w:rsidR="00F425CB" w:rsidRPr="007E7990" w:rsidRDefault="00F425CB" w:rsidP="00120A4F">
            <w:pPr>
              <w:pStyle w:val="TableText"/>
            </w:pPr>
            <w:r w:rsidRPr="007E7990">
              <w:t>Usual hours; sensitivity 9 and 10 hours modelled</w:t>
            </w:r>
          </w:p>
        </w:tc>
      </w:tr>
      <w:tr w:rsidR="00F425CB" w:rsidRPr="0021236A" w:rsidTr="00C73F47">
        <w:trPr>
          <w:cantSplit/>
        </w:trPr>
        <w:tc>
          <w:tcPr>
            <w:tcW w:w="709" w:type="dxa"/>
            <w:noWrap/>
          </w:tcPr>
          <w:p w:rsidR="00F425CB" w:rsidRPr="007E7990" w:rsidRDefault="00F425CB" w:rsidP="00120A4F">
            <w:pPr>
              <w:pStyle w:val="TableText"/>
            </w:pPr>
            <w:r w:rsidRPr="007E7990">
              <w:t>11</w:t>
            </w:r>
          </w:p>
        </w:tc>
        <w:tc>
          <w:tcPr>
            <w:tcW w:w="2410" w:type="dxa"/>
          </w:tcPr>
          <w:p w:rsidR="00F425CB" w:rsidRPr="007E7990" w:rsidRDefault="00F425CB" w:rsidP="00120A4F">
            <w:pPr>
              <w:pStyle w:val="TableText"/>
            </w:pPr>
            <w:r w:rsidRPr="007E7990">
              <w:t>Average time per attendance</w:t>
            </w:r>
          </w:p>
        </w:tc>
        <w:tc>
          <w:tcPr>
            <w:tcW w:w="7371" w:type="dxa"/>
          </w:tcPr>
          <w:p w:rsidR="00F425CB" w:rsidRPr="007E7990" w:rsidRDefault="00F425CB" w:rsidP="00120A4F">
            <w:pPr>
              <w:pStyle w:val="TableText"/>
            </w:pPr>
            <w:r w:rsidRPr="007E7990">
              <w:t>By centre, range 14 to 18.7 minutes (average 15.9).</w:t>
            </w:r>
            <w:r w:rsidR="007E7990" w:rsidRPr="007E7990">
              <w:t xml:space="preserve"> </w:t>
            </w:r>
            <w:r w:rsidRPr="007E7990">
              <w:t>Potential for changes in average times explored</w:t>
            </w:r>
          </w:p>
        </w:tc>
        <w:tc>
          <w:tcPr>
            <w:tcW w:w="4111" w:type="dxa"/>
          </w:tcPr>
          <w:p w:rsidR="00F425CB" w:rsidRPr="007E7990" w:rsidRDefault="00F425CB" w:rsidP="00120A4F">
            <w:pPr>
              <w:pStyle w:val="TableText"/>
            </w:pPr>
            <w:r w:rsidRPr="007E7990">
              <w:t>Current by centre; sensitivity allow +/- 10% variation over 10 years</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12</w:t>
            </w:r>
          </w:p>
        </w:tc>
        <w:tc>
          <w:tcPr>
            <w:tcW w:w="2410" w:type="dxa"/>
            <w:shd w:val="clear" w:color="000000" w:fill="auto"/>
          </w:tcPr>
          <w:p w:rsidR="00F425CB" w:rsidRPr="007E7990" w:rsidRDefault="00F425CB" w:rsidP="00120A4F">
            <w:pPr>
              <w:pStyle w:val="TableText"/>
            </w:pPr>
            <w:r w:rsidRPr="007E7990">
              <w:t>Linac down time</w:t>
            </w:r>
          </w:p>
        </w:tc>
        <w:tc>
          <w:tcPr>
            <w:tcW w:w="7371" w:type="dxa"/>
            <w:shd w:val="clear" w:color="000000" w:fill="auto"/>
          </w:tcPr>
          <w:p w:rsidR="00F425CB" w:rsidRPr="007E7990" w:rsidRDefault="00F425CB" w:rsidP="00120A4F">
            <w:pPr>
              <w:pStyle w:val="TableText"/>
            </w:pPr>
            <w:r w:rsidRPr="007E7990">
              <w:t>For maintenance, testing, unplanned outages – as proportion of total available hours</w:t>
            </w:r>
          </w:p>
        </w:tc>
        <w:tc>
          <w:tcPr>
            <w:tcW w:w="4111" w:type="dxa"/>
            <w:shd w:val="clear" w:color="000000" w:fill="auto"/>
          </w:tcPr>
          <w:p w:rsidR="00F425CB" w:rsidRPr="007E7990" w:rsidRDefault="00F425CB" w:rsidP="00120A4F">
            <w:pPr>
              <w:pStyle w:val="TableText"/>
            </w:pPr>
            <w:r w:rsidRPr="007E7990">
              <w:t>13%</w:t>
            </w:r>
          </w:p>
        </w:tc>
      </w:tr>
      <w:tr w:rsidR="00F425CB" w:rsidRPr="0021236A" w:rsidTr="00C73F47">
        <w:trPr>
          <w:cantSplit/>
        </w:trPr>
        <w:tc>
          <w:tcPr>
            <w:tcW w:w="709" w:type="dxa"/>
          </w:tcPr>
          <w:p w:rsidR="00F425CB" w:rsidRPr="007E7990" w:rsidRDefault="00F425CB" w:rsidP="00120A4F">
            <w:pPr>
              <w:pStyle w:val="TableText"/>
            </w:pPr>
            <w:r w:rsidRPr="007E7990">
              <w:t>13</w:t>
            </w:r>
          </w:p>
        </w:tc>
        <w:tc>
          <w:tcPr>
            <w:tcW w:w="2410" w:type="dxa"/>
          </w:tcPr>
          <w:p w:rsidR="00F425CB" w:rsidRPr="007E7990" w:rsidRDefault="00021C7F" w:rsidP="00120A4F">
            <w:pPr>
              <w:pStyle w:val="TableText"/>
            </w:pPr>
            <w:r>
              <w:t>Impacts of new technologies</w:t>
            </w:r>
          </w:p>
        </w:tc>
        <w:tc>
          <w:tcPr>
            <w:tcW w:w="7371" w:type="dxa"/>
          </w:tcPr>
          <w:p w:rsidR="00F425CB" w:rsidRPr="007E7990" w:rsidRDefault="00F425CB" w:rsidP="00120A4F">
            <w:pPr>
              <w:pStyle w:val="TableText"/>
            </w:pPr>
            <w:r w:rsidRPr="007E7990">
              <w:t>New technologies (</w:t>
            </w:r>
            <w:proofErr w:type="spellStart"/>
            <w:r w:rsidRPr="007E7990">
              <w:t>eg</w:t>
            </w:r>
            <w:proofErr w:type="spellEnd"/>
            <w:r w:rsidRPr="007E7990">
              <w:t xml:space="preserve"> IMRT, VMAT, </w:t>
            </w:r>
            <w:proofErr w:type="spellStart"/>
            <w:r w:rsidRPr="007E7990">
              <w:t>RapidArc</w:t>
            </w:r>
            <w:proofErr w:type="spellEnd"/>
            <w:r w:rsidRPr="007E7990">
              <w:t>) have the potential to both increase and decrease treatments per course and times per treatment</w:t>
            </w:r>
          </w:p>
        </w:tc>
        <w:tc>
          <w:tcPr>
            <w:tcW w:w="4111" w:type="dxa"/>
          </w:tcPr>
          <w:p w:rsidR="00F425CB" w:rsidRPr="007E7990" w:rsidRDefault="00F425CB" w:rsidP="00120A4F">
            <w:pPr>
              <w:pStyle w:val="TableText"/>
            </w:pPr>
            <w:r w:rsidRPr="007E7990">
              <w:t>See 8 and 11 above</w:t>
            </w:r>
          </w:p>
        </w:tc>
      </w:tr>
      <w:tr w:rsidR="00F425CB" w:rsidRPr="0021236A" w:rsidTr="00C73F47">
        <w:trPr>
          <w:cantSplit/>
        </w:trPr>
        <w:tc>
          <w:tcPr>
            <w:tcW w:w="14601" w:type="dxa"/>
            <w:gridSpan w:val="4"/>
          </w:tcPr>
          <w:p w:rsidR="00F425CB" w:rsidRPr="00120A4F" w:rsidRDefault="00F425CB" w:rsidP="00120A4F">
            <w:pPr>
              <w:pStyle w:val="TableText"/>
              <w:rPr>
                <w:b/>
              </w:rPr>
            </w:pPr>
            <w:r w:rsidRPr="00120A4F">
              <w:rPr>
                <w:b/>
              </w:rPr>
              <w:t>Capacity</w:t>
            </w:r>
          </w:p>
        </w:tc>
      </w:tr>
      <w:tr w:rsidR="00F425CB" w:rsidRPr="0021236A" w:rsidTr="00C73F47">
        <w:trPr>
          <w:cantSplit/>
        </w:trPr>
        <w:tc>
          <w:tcPr>
            <w:tcW w:w="709" w:type="dxa"/>
          </w:tcPr>
          <w:p w:rsidR="00F425CB" w:rsidRPr="007E7990" w:rsidRDefault="00F425CB" w:rsidP="00120A4F">
            <w:pPr>
              <w:pStyle w:val="TableText"/>
            </w:pPr>
            <w:r w:rsidRPr="007E7990">
              <w:t>14</w:t>
            </w:r>
          </w:p>
        </w:tc>
        <w:tc>
          <w:tcPr>
            <w:tcW w:w="2410" w:type="dxa"/>
          </w:tcPr>
          <w:p w:rsidR="00F425CB" w:rsidRPr="007E7990" w:rsidRDefault="00F425CB" w:rsidP="00120A4F">
            <w:pPr>
              <w:pStyle w:val="TableText"/>
            </w:pPr>
            <w:r w:rsidRPr="007E7990">
              <w:t>Catchments</w:t>
            </w:r>
          </w:p>
        </w:tc>
        <w:tc>
          <w:tcPr>
            <w:tcW w:w="7371" w:type="dxa"/>
          </w:tcPr>
          <w:p w:rsidR="00F425CB" w:rsidRPr="007E7990" w:rsidRDefault="00F425CB" w:rsidP="00120A4F">
            <w:pPr>
              <w:pStyle w:val="TableText"/>
            </w:pPr>
            <w:proofErr w:type="spellStart"/>
            <w:r w:rsidRPr="007E7990">
              <w:t>Tairawhiti</w:t>
            </w:r>
            <w:proofErr w:type="spellEnd"/>
            <w:r w:rsidRPr="007E7990">
              <w:t xml:space="preserve"> DHB patients assumed to flow to Waikato; Nelson Marlborough maintains current split</w:t>
            </w:r>
          </w:p>
        </w:tc>
        <w:tc>
          <w:tcPr>
            <w:tcW w:w="4111" w:type="dxa"/>
          </w:tcPr>
          <w:p w:rsidR="00F425CB" w:rsidRPr="007E7990" w:rsidRDefault="00F425CB" w:rsidP="00120A4F">
            <w:pPr>
              <w:pStyle w:val="TableText"/>
            </w:pPr>
            <w:r w:rsidRPr="007E7990">
              <w:t>As noted</w:t>
            </w:r>
          </w:p>
        </w:tc>
      </w:tr>
      <w:tr w:rsidR="00F425CB" w:rsidRPr="0021236A" w:rsidTr="00C73F47">
        <w:trPr>
          <w:cantSplit/>
        </w:trPr>
        <w:tc>
          <w:tcPr>
            <w:tcW w:w="709" w:type="dxa"/>
            <w:noWrap/>
          </w:tcPr>
          <w:p w:rsidR="00F425CB" w:rsidRPr="007E7990" w:rsidRDefault="00F425CB" w:rsidP="00120A4F">
            <w:pPr>
              <w:pStyle w:val="TableText"/>
            </w:pPr>
            <w:r w:rsidRPr="007E7990">
              <w:t>15</w:t>
            </w:r>
          </w:p>
        </w:tc>
        <w:tc>
          <w:tcPr>
            <w:tcW w:w="2410" w:type="dxa"/>
            <w:shd w:val="clear" w:color="000000" w:fill="auto"/>
          </w:tcPr>
          <w:p w:rsidR="00F425CB" w:rsidRPr="007E7990" w:rsidRDefault="00F425CB" w:rsidP="00120A4F">
            <w:pPr>
              <w:pStyle w:val="TableText"/>
            </w:pPr>
            <w:r w:rsidRPr="007E7990">
              <w:t>Planning ratio for radiation oncologists per course</w:t>
            </w:r>
          </w:p>
        </w:tc>
        <w:tc>
          <w:tcPr>
            <w:tcW w:w="7371" w:type="dxa"/>
            <w:shd w:val="clear" w:color="000000" w:fill="auto"/>
          </w:tcPr>
          <w:p w:rsidR="00F425CB" w:rsidRPr="007E7990" w:rsidRDefault="00F425CB" w:rsidP="00120A4F">
            <w:pPr>
              <w:pStyle w:val="TableText"/>
            </w:pPr>
            <w:r w:rsidRPr="007E7990">
              <w:t>Current ratio assumed at each centre, to allow for non-external beam work.</w:t>
            </w:r>
            <w:r w:rsidR="007E7990" w:rsidRPr="007E7990">
              <w:t xml:space="preserve"> </w:t>
            </w:r>
            <w:r w:rsidRPr="007E7990">
              <w:t>Lower ratios tested</w:t>
            </w:r>
          </w:p>
        </w:tc>
        <w:tc>
          <w:tcPr>
            <w:tcW w:w="4111" w:type="dxa"/>
            <w:shd w:val="clear" w:color="000000" w:fill="auto"/>
          </w:tcPr>
          <w:p w:rsidR="00F425CB" w:rsidRPr="007E7990" w:rsidRDefault="00F425CB" w:rsidP="00021C7F">
            <w:pPr>
              <w:pStyle w:val="TableText"/>
            </w:pPr>
            <w:r w:rsidRPr="007E7990">
              <w:t xml:space="preserve">Current (1/213 total </w:t>
            </w:r>
            <w:r w:rsidR="00021C7F">
              <w:t>courses); sensitivity</w:t>
            </w:r>
            <w:r w:rsidR="00021C7F">
              <w:br/>
              <w:t>1/175-200</w:t>
            </w:r>
          </w:p>
        </w:tc>
      </w:tr>
      <w:tr w:rsidR="00F425CB" w:rsidRPr="0021236A" w:rsidTr="00C73F47">
        <w:trPr>
          <w:cantSplit/>
        </w:trPr>
        <w:tc>
          <w:tcPr>
            <w:tcW w:w="709" w:type="dxa"/>
            <w:noWrap/>
          </w:tcPr>
          <w:p w:rsidR="00F425CB" w:rsidRPr="007E7990" w:rsidRDefault="00F425CB" w:rsidP="00120A4F">
            <w:pPr>
              <w:pStyle w:val="TableText"/>
            </w:pPr>
            <w:r w:rsidRPr="007E7990">
              <w:t>16</w:t>
            </w:r>
          </w:p>
        </w:tc>
        <w:tc>
          <w:tcPr>
            <w:tcW w:w="2410" w:type="dxa"/>
            <w:shd w:val="clear" w:color="000000" w:fill="auto"/>
          </w:tcPr>
          <w:p w:rsidR="00F425CB" w:rsidRPr="007E7990" w:rsidRDefault="00F425CB" w:rsidP="00120A4F">
            <w:pPr>
              <w:pStyle w:val="TableText"/>
            </w:pPr>
            <w:r w:rsidRPr="007E7990">
              <w:t>Planning ratio for radiation therapists per linac</w:t>
            </w:r>
          </w:p>
        </w:tc>
        <w:tc>
          <w:tcPr>
            <w:tcW w:w="7371" w:type="dxa"/>
            <w:shd w:val="clear" w:color="000000" w:fill="auto"/>
          </w:tcPr>
          <w:p w:rsidR="00F425CB" w:rsidRPr="007E7990" w:rsidRDefault="00F425CB" w:rsidP="00120A4F">
            <w:pPr>
              <w:pStyle w:val="TableText"/>
            </w:pPr>
            <w:r w:rsidRPr="007E7990">
              <w:t>Current ratio for each centre assumed, to allow for non-external beam work</w:t>
            </w:r>
          </w:p>
        </w:tc>
        <w:tc>
          <w:tcPr>
            <w:tcW w:w="4111" w:type="dxa"/>
            <w:shd w:val="clear" w:color="000000" w:fill="auto"/>
          </w:tcPr>
          <w:p w:rsidR="00F425CB" w:rsidRPr="007E7990" w:rsidRDefault="00F425CB" w:rsidP="00120A4F">
            <w:pPr>
              <w:pStyle w:val="TableText"/>
            </w:pPr>
            <w:r w:rsidRPr="007E7990">
              <w:t>Current (average 9.4 per linac)</w:t>
            </w:r>
          </w:p>
        </w:tc>
      </w:tr>
      <w:tr w:rsidR="00F425CB" w:rsidRPr="0021236A" w:rsidTr="00C73F47">
        <w:trPr>
          <w:cantSplit/>
        </w:trPr>
        <w:tc>
          <w:tcPr>
            <w:tcW w:w="709" w:type="dxa"/>
            <w:noWrap/>
          </w:tcPr>
          <w:p w:rsidR="00F425CB" w:rsidRPr="007E7990" w:rsidRDefault="00F425CB" w:rsidP="00120A4F">
            <w:pPr>
              <w:pStyle w:val="TableText"/>
            </w:pPr>
            <w:r w:rsidRPr="007E7990">
              <w:lastRenderedPageBreak/>
              <w:t>17</w:t>
            </w:r>
          </w:p>
        </w:tc>
        <w:tc>
          <w:tcPr>
            <w:tcW w:w="2410" w:type="dxa"/>
            <w:shd w:val="clear" w:color="000000" w:fill="auto"/>
          </w:tcPr>
          <w:p w:rsidR="00F425CB" w:rsidRPr="007E7990" w:rsidRDefault="00F425CB" w:rsidP="00120A4F">
            <w:pPr>
              <w:pStyle w:val="TableText"/>
            </w:pPr>
            <w:r w:rsidRPr="007E7990">
              <w:t>Planning ratio for medical physicists per linac</w:t>
            </w:r>
          </w:p>
        </w:tc>
        <w:tc>
          <w:tcPr>
            <w:tcW w:w="7371" w:type="dxa"/>
            <w:shd w:val="clear" w:color="000000" w:fill="auto"/>
          </w:tcPr>
          <w:p w:rsidR="00F425CB" w:rsidRPr="007E7990" w:rsidRDefault="00F425CB" w:rsidP="00120A4F">
            <w:pPr>
              <w:pStyle w:val="TableText"/>
            </w:pPr>
            <w:r w:rsidRPr="007E7990">
              <w:t>Current ratio for each centre assumed, to allow for non-external beam work</w:t>
            </w:r>
            <w:r w:rsidR="007E7990" w:rsidRPr="007E7990">
              <w:t xml:space="preserve"> </w:t>
            </w:r>
          </w:p>
        </w:tc>
        <w:tc>
          <w:tcPr>
            <w:tcW w:w="4111" w:type="dxa"/>
            <w:shd w:val="clear" w:color="000000" w:fill="auto"/>
          </w:tcPr>
          <w:p w:rsidR="00F425CB" w:rsidRPr="007E7990" w:rsidRDefault="00F425CB" w:rsidP="00120A4F">
            <w:pPr>
              <w:pStyle w:val="TableText"/>
            </w:pPr>
            <w:r w:rsidRPr="007E7990">
              <w:t>Current (average 2.3 per linac)</w:t>
            </w:r>
          </w:p>
        </w:tc>
      </w:tr>
      <w:tr w:rsidR="00F425CB" w:rsidRPr="0021236A" w:rsidTr="00C73F47">
        <w:trPr>
          <w:cantSplit/>
        </w:trPr>
        <w:tc>
          <w:tcPr>
            <w:tcW w:w="709" w:type="dxa"/>
            <w:noWrap/>
          </w:tcPr>
          <w:p w:rsidR="00F425CB" w:rsidRPr="007E7990" w:rsidRDefault="00F425CB" w:rsidP="00120A4F">
            <w:pPr>
              <w:pStyle w:val="TableText"/>
            </w:pPr>
            <w:r w:rsidRPr="007E7990">
              <w:t>18</w:t>
            </w:r>
          </w:p>
        </w:tc>
        <w:tc>
          <w:tcPr>
            <w:tcW w:w="2410" w:type="dxa"/>
            <w:shd w:val="clear" w:color="000000" w:fill="auto"/>
          </w:tcPr>
          <w:p w:rsidR="00F425CB" w:rsidRPr="007E7990" w:rsidRDefault="00F425CB" w:rsidP="00120A4F">
            <w:pPr>
              <w:pStyle w:val="TableText"/>
            </w:pPr>
            <w:r w:rsidRPr="007E7990">
              <w:t>Life of a linac</w:t>
            </w:r>
          </w:p>
        </w:tc>
        <w:tc>
          <w:tcPr>
            <w:tcW w:w="7371" w:type="dxa"/>
            <w:shd w:val="clear" w:color="000000" w:fill="auto"/>
          </w:tcPr>
          <w:p w:rsidR="00F425CB" w:rsidRPr="007E7990" w:rsidRDefault="00F425CB" w:rsidP="00120A4F">
            <w:pPr>
              <w:pStyle w:val="TableText"/>
            </w:pPr>
            <w:r w:rsidRPr="007E7990">
              <w:t>Reasonable operating life of a linear accelerator</w:t>
            </w:r>
          </w:p>
        </w:tc>
        <w:tc>
          <w:tcPr>
            <w:tcW w:w="4111" w:type="dxa"/>
            <w:shd w:val="clear" w:color="000000" w:fill="auto"/>
          </w:tcPr>
          <w:p w:rsidR="00F425CB" w:rsidRPr="007E7990" w:rsidRDefault="00F425CB" w:rsidP="00120A4F">
            <w:pPr>
              <w:pStyle w:val="TableText"/>
            </w:pPr>
            <w:r w:rsidRPr="007E7990">
              <w:t>10 years</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19</w:t>
            </w:r>
          </w:p>
        </w:tc>
        <w:tc>
          <w:tcPr>
            <w:tcW w:w="2410" w:type="dxa"/>
            <w:shd w:val="clear" w:color="000000" w:fill="auto"/>
          </w:tcPr>
          <w:p w:rsidR="00F425CB" w:rsidRPr="007E7990" w:rsidRDefault="00F425CB" w:rsidP="00120A4F">
            <w:pPr>
              <w:pStyle w:val="TableText"/>
            </w:pPr>
            <w:r w:rsidRPr="007E7990">
              <w:t>Linac capability</w:t>
            </w:r>
          </w:p>
        </w:tc>
        <w:tc>
          <w:tcPr>
            <w:tcW w:w="7371" w:type="dxa"/>
            <w:shd w:val="clear" w:color="000000" w:fill="auto"/>
          </w:tcPr>
          <w:p w:rsidR="00F425CB" w:rsidRPr="007E7990" w:rsidRDefault="00F425CB" w:rsidP="00120A4F">
            <w:pPr>
              <w:pStyle w:val="TableText"/>
            </w:pPr>
            <w:r w:rsidRPr="007E7990">
              <w:t>Capability of current stock reasonable – unlikely to be a requirement to update machines early.</w:t>
            </w:r>
            <w:r w:rsidR="007E7990" w:rsidRPr="007E7990">
              <w:t xml:space="preserve"> </w:t>
            </w:r>
            <w:r w:rsidRPr="007E7990">
              <w:t>Replacement plan at MidCentral not confirmed at date of writing</w:t>
            </w:r>
          </w:p>
        </w:tc>
        <w:tc>
          <w:tcPr>
            <w:tcW w:w="4111" w:type="dxa"/>
            <w:shd w:val="clear" w:color="000000" w:fill="auto"/>
          </w:tcPr>
          <w:p w:rsidR="00F425CB" w:rsidRPr="007E7990" w:rsidRDefault="00F425CB" w:rsidP="00120A4F">
            <w:pPr>
              <w:pStyle w:val="TableText"/>
            </w:pPr>
            <w:r w:rsidRPr="007E7990">
              <w:t>No change</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20</w:t>
            </w:r>
          </w:p>
        </w:tc>
        <w:tc>
          <w:tcPr>
            <w:tcW w:w="2410" w:type="dxa"/>
            <w:shd w:val="clear" w:color="000000" w:fill="auto"/>
          </w:tcPr>
          <w:p w:rsidR="00F425CB" w:rsidRPr="007E7990" w:rsidRDefault="00F425CB" w:rsidP="00120A4F">
            <w:pPr>
              <w:pStyle w:val="TableText"/>
            </w:pPr>
            <w:r w:rsidRPr="007E7990">
              <w:t>Associated equipment</w:t>
            </w:r>
          </w:p>
        </w:tc>
        <w:tc>
          <w:tcPr>
            <w:tcW w:w="7371" w:type="dxa"/>
            <w:shd w:val="clear" w:color="000000" w:fill="auto"/>
          </w:tcPr>
          <w:p w:rsidR="00F425CB" w:rsidRPr="007E7990" w:rsidRDefault="00F425CB" w:rsidP="00021C7F">
            <w:pPr>
              <w:pStyle w:val="TableText"/>
            </w:pPr>
            <w:r w:rsidRPr="007E7990">
              <w:t xml:space="preserve">Current ratio of key equipment items to </w:t>
            </w:r>
            <w:proofErr w:type="spellStart"/>
            <w:r w:rsidRPr="007E7990">
              <w:t>linacs</w:t>
            </w:r>
            <w:proofErr w:type="spellEnd"/>
            <w:r w:rsidRPr="007E7990">
              <w:t xml:space="preserve"> (</w:t>
            </w:r>
            <w:proofErr w:type="spellStart"/>
            <w:r w:rsidRPr="007E7990">
              <w:t>eg</w:t>
            </w:r>
            <w:proofErr w:type="spellEnd"/>
            <w:r w:rsidRPr="007E7990">
              <w:t xml:space="preserve"> CTs, MRIs, simulators) continues</w:t>
            </w:r>
          </w:p>
        </w:tc>
        <w:tc>
          <w:tcPr>
            <w:tcW w:w="4111" w:type="dxa"/>
            <w:shd w:val="clear" w:color="000000" w:fill="auto"/>
          </w:tcPr>
          <w:p w:rsidR="00F425CB" w:rsidRPr="007E7990" w:rsidRDefault="00F425CB" w:rsidP="00120A4F">
            <w:pPr>
              <w:pStyle w:val="TableText"/>
            </w:pPr>
            <w:r w:rsidRPr="007E7990">
              <w:t>No change</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21</w:t>
            </w:r>
          </w:p>
        </w:tc>
        <w:tc>
          <w:tcPr>
            <w:tcW w:w="2410" w:type="dxa"/>
            <w:shd w:val="clear" w:color="000000" w:fill="auto"/>
          </w:tcPr>
          <w:p w:rsidR="00F425CB" w:rsidRPr="007E7990" w:rsidRDefault="00F425CB" w:rsidP="00120A4F">
            <w:pPr>
              <w:pStyle w:val="TableText"/>
            </w:pPr>
            <w:r w:rsidRPr="007E7990">
              <w:t>Peak demand</w:t>
            </w:r>
            <w:r w:rsidR="007E7990" w:rsidRPr="007E7990">
              <w:t xml:space="preserve"> – </w:t>
            </w:r>
            <w:r w:rsidR="00E631D5">
              <w:t>health t</w:t>
            </w:r>
            <w:r w:rsidRPr="007E7990">
              <w:t>arget waiting times</w:t>
            </w:r>
          </w:p>
        </w:tc>
        <w:tc>
          <w:tcPr>
            <w:tcW w:w="7371" w:type="dxa"/>
            <w:shd w:val="clear" w:color="000000" w:fill="auto"/>
          </w:tcPr>
          <w:p w:rsidR="00F425CB" w:rsidRPr="007E7990" w:rsidRDefault="00F425CB" w:rsidP="00120A4F">
            <w:pPr>
              <w:pStyle w:val="TableText"/>
            </w:pPr>
            <w:r w:rsidRPr="007E7990">
              <w:t>No one may wait more than 4 weeks for treatment.</w:t>
            </w:r>
            <w:r w:rsidR="007E7990" w:rsidRPr="007E7990">
              <w:t xml:space="preserve"> </w:t>
            </w:r>
            <w:r w:rsidRPr="007E7990">
              <w:t>Centre must be able to treat everyone in their maximal months</w:t>
            </w:r>
          </w:p>
        </w:tc>
        <w:tc>
          <w:tcPr>
            <w:tcW w:w="4111" w:type="dxa"/>
            <w:shd w:val="clear" w:color="000000" w:fill="auto"/>
          </w:tcPr>
          <w:p w:rsidR="00F425CB" w:rsidRPr="00021C7F" w:rsidRDefault="00F425CB" w:rsidP="00021C7F">
            <w:pPr>
              <w:pStyle w:val="TableText"/>
              <w:rPr>
                <w:spacing w:val="-2"/>
              </w:rPr>
            </w:pPr>
            <w:r w:rsidRPr="00021C7F">
              <w:rPr>
                <w:spacing w:val="-2"/>
              </w:rPr>
              <w:t>Use current Network modelling method of 1</w:t>
            </w:r>
            <w:r w:rsidR="00021C7F" w:rsidRPr="00021C7F">
              <w:rPr>
                <w:spacing w:val="-2"/>
              </w:rPr>
              <w:t> </w:t>
            </w:r>
            <w:r w:rsidRPr="00021C7F">
              <w:rPr>
                <w:spacing w:val="-2"/>
              </w:rPr>
              <w:t>standard devia</w:t>
            </w:r>
            <w:r w:rsidR="00021C7F" w:rsidRPr="00021C7F">
              <w:rPr>
                <w:spacing w:val="-2"/>
              </w:rPr>
              <w:t>tion of treatment volumes added</w:t>
            </w:r>
          </w:p>
        </w:tc>
      </w:tr>
      <w:tr w:rsidR="00F425CB" w:rsidRPr="0021236A" w:rsidTr="00C73F47">
        <w:trPr>
          <w:cantSplit/>
        </w:trPr>
        <w:tc>
          <w:tcPr>
            <w:tcW w:w="709" w:type="dxa"/>
          </w:tcPr>
          <w:p w:rsidR="00F425CB" w:rsidRPr="007E7990" w:rsidRDefault="00F425CB" w:rsidP="00120A4F">
            <w:pPr>
              <w:pStyle w:val="TableText"/>
            </w:pPr>
            <w:r w:rsidRPr="007E7990">
              <w:t>22</w:t>
            </w:r>
          </w:p>
        </w:tc>
        <w:tc>
          <w:tcPr>
            <w:tcW w:w="2410" w:type="dxa"/>
          </w:tcPr>
          <w:p w:rsidR="00F425CB" w:rsidRPr="007E7990" w:rsidRDefault="00F425CB" w:rsidP="00120A4F">
            <w:pPr>
              <w:pStyle w:val="TableText"/>
            </w:pPr>
            <w:r w:rsidRPr="007E7990">
              <w:t>Public/private proportion</w:t>
            </w:r>
          </w:p>
        </w:tc>
        <w:tc>
          <w:tcPr>
            <w:tcW w:w="7371" w:type="dxa"/>
            <w:noWrap/>
          </w:tcPr>
          <w:p w:rsidR="00F425CB" w:rsidRPr="007E7990" w:rsidRDefault="00F425CB" w:rsidP="00120A4F">
            <w:pPr>
              <w:pStyle w:val="TableText"/>
            </w:pPr>
            <w:r w:rsidRPr="007E7990">
              <w:t>Assume same market share by DHB over the planning period</w:t>
            </w:r>
          </w:p>
        </w:tc>
        <w:tc>
          <w:tcPr>
            <w:tcW w:w="4111" w:type="dxa"/>
          </w:tcPr>
          <w:p w:rsidR="00F425CB" w:rsidRPr="007E7990" w:rsidRDefault="00F425CB" w:rsidP="00120A4F">
            <w:pPr>
              <w:pStyle w:val="TableText"/>
            </w:pPr>
            <w:r w:rsidRPr="007E7990">
              <w:t>Current by DHB (8.7% of courses nationally)</w:t>
            </w:r>
          </w:p>
        </w:tc>
      </w:tr>
      <w:tr w:rsidR="00F425CB" w:rsidRPr="0021236A" w:rsidTr="00C73F47">
        <w:trPr>
          <w:cantSplit/>
        </w:trPr>
        <w:tc>
          <w:tcPr>
            <w:tcW w:w="709" w:type="dxa"/>
          </w:tcPr>
          <w:p w:rsidR="00F425CB" w:rsidRPr="007E7990" w:rsidRDefault="00F425CB" w:rsidP="00120A4F">
            <w:pPr>
              <w:pStyle w:val="TableText"/>
            </w:pPr>
            <w:r w:rsidRPr="007E7990">
              <w:t>23</w:t>
            </w:r>
          </w:p>
        </w:tc>
        <w:tc>
          <w:tcPr>
            <w:tcW w:w="2410" w:type="dxa"/>
          </w:tcPr>
          <w:p w:rsidR="00F425CB" w:rsidRPr="007E7990" w:rsidRDefault="00F425CB" w:rsidP="00120A4F">
            <w:pPr>
              <w:pStyle w:val="TableText"/>
            </w:pPr>
            <w:r w:rsidRPr="007E7990">
              <w:t>Kathleen Kilgour Centre, Tauranga (KKC)</w:t>
            </w:r>
          </w:p>
        </w:tc>
        <w:tc>
          <w:tcPr>
            <w:tcW w:w="7371" w:type="dxa"/>
            <w:noWrap/>
          </w:tcPr>
          <w:p w:rsidR="00F425CB" w:rsidRPr="007E7990" w:rsidRDefault="00F425CB" w:rsidP="00120A4F">
            <w:pPr>
              <w:pStyle w:val="TableText"/>
            </w:pPr>
            <w:r w:rsidRPr="007E7990">
              <w:t>Assume all Bay of Plenty residents</w:t>
            </w:r>
            <w:r w:rsidR="007E7990" w:rsidRPr="007E7990">
              <w:t>’</w:t>
            </w:r>
            <w:r w:rsidRPr="007E7990">
              <w:t xml:space="preserve"> courses attend Tauranga; plus a small private component from adjacent DHBs</w:t>
            </w:r>
            <w:r w:rsidR="007E7990" w:rsidRPr="007E7990">
              <w:t xml:space="preserve"> – </w:t>
            </w:r>
            <w:r w:rsidRPr="007E7990">
              <w:t xml:space="preserve">10% of Waikato, 10% of Lakes, </w:t>
            </w:r>
            <w:proofErr w:type="gramStart"/>
            <w:r w:rsidRPr="007E7990">
              <w:t>5</w:t>
            </w:r>
            <w:proofErr w:type="gramEnd"/>
            <w:r w:rsidRPr="007E7990">
              <w:t xml:space="preserve">% of </w:t>
            </w:r>
            <w:proofErr w:type="spellStart"/>
            <w:r w:rsidRPr="007E7990">
              <w:t>Tairawhiti</w:t>
            </w:r>
            <w:proofErr w:type="spellEnd"/>
            <w:r w:rsidRPr="007E7990">
              <w:t>.</w:t>
            </w:r>
            <w:r w:rsidR="007E7990" w:rsidRPr="007E7990">
              <w:t xml:space="preserve"> </w:t>
            </w:r>
            <w:r w:rsidRPr="007E7990">
              <w:t>Assume Waikato</w:t>
            </w:r>
            <w:r w:rsidR="007E7990" w:rsidRPr="007E7990">
              <w:t>’</w:t>
            </w:r>
            <w:r w:rsidRPr="007E7990">
              <w:t>s treatments per course and average times</w:t>
            </w:r>
          </w:p>
        </w:tc>
        <w:tc>
          <w:tcPr>
            <w:tcW w:w="4111" w:type="dxa"/>
          </w:tcPr>
          <w:p w:rsidR="00F425CB" w:rsidRPr="007E7990" w:rsidRDefault="00F425CB" w:rsidP="00120A4F">
            <w:pPr>
              <w:pStyle w:val="TableText"/>
            </w:pPr>
            <w:r w:rsidRPr="007E7990">
              <w:t>As noted</w:t>
            </w:r>
          </w:p>
        </w:tc>
      </w:tr>
      <w:tr w:rsidR="00F425CB" w:rsidRPr="0021236A" w:rsidTr="00C73F47">
        <w:trPr>
          <w:cantSplit/>
        </w:trPr>
        <w:tc>
          <w:tcPr>
            <w:tcW w:w="14601" w:type="dxa"/>
            <w:gridSpan w:val="4"/>
          </w:tcPr>
          <w:p w:rsidR="00F425CB" w:rsidRPr="00120A4F" w:rsidRDefault="00F425CB" w:rsidP="00120A4F">
            <w:pPr>
              <w:pStyle w:val="TableText"/>
              <w:rPr>
                <w:b/>
              </w:rPr>
            </w:pPr>
            <w:r w:rsidRPr="00120A4F">
              <w:rPr>
                <w:b/>
              </w:rPr>
              <w:t>Costs</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24</w:t>
            </w:r>
          </w:p>
        </w:tc>
        <w:tc>
          <w:tcPr>
            <w:tcW w:w="2410" w:type="dxa"/>
            <w:shd w:val="clear" w:color="000000" w:fill="auto"/>
          </w:tcPr>
          <w:p w:rsidR="00F425CB" w:rsidRPr="007E7990" w:rsidRDefault="00F425CB" w:rsidP="00120A4F">
            <w:pPr>
              <w:pStyle w:val="TableText"/>
            </w:pPr>
            <w:r w:rsidRPr="007E7990">
              <w:t>Purchase units</w:t>
            </w:r>
          </w:p>
        </w:tc>
        <w:tc>
          <w:tcPr>
            <w:tcW w:w="7371" w:type="dxa"/>
            <w:shd w:val="clear" w:color="000000" w:fill="auto"/>
          </w:tcPr>
          <w:p w:rsidR="00F425CB" w:rsidRPr="007E7990" w:rsidRDefault="00F425CB" w:rsidP="00120A4F">
            <w:pPr>
              <w:pStyle w:val="TableText"/>
            </w:pPr>
            <w:r w:rsidRPr="007E7990">
              <w:t>Averaged costs from National Pricing Project for 4 DHB cancer centres (Auckland, Waikato, Capital &amp; Coast, and Canterbury)</w:t>
            </w:r>
          </w:p>
        </w:tc>
        <w:tc>
          <w:tcPr>
            <w:tcW w:w="4111" w:type="dxa"/>
            <w:shd w:val="clear" w:color="000000" w:fill="auto"/>
          </w:tcPr>
          <w:p w:rsidR="00F425CB" w:rsidRPr="007E7990" w:rsidRDefault="00021C7F" w:rsidP="00120A4F">
            <w:pPr>
              <w:pStyle w:val="TableText"/>
            </w:pPr>
            <w:r>
              <w:t>Average per unit DHB costs</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25</w:t>
            </w:r>
          </w:p>
        </w:tc>
        <w:tc>
          <w:tcPr>
            <w:tcW w:w="2410" w:type="dxa"/>
            <w:shd w:val="clear" w:color="000000" w:fill="auto"/>
          </w:tcPr>
          <w:p w:rsidR="00F425CB" w:rsidRPr="007E7990" w:rsidRDefault="00F425CB" w:rsidP="00120A4F">
            <w:pPr>
              <w:pStyle w:val="TableText"/>
            </w:pPr>
            <w:r w:rsidRPr="007E7990">
              <w:t>FSAs/follow-ups</w:t>
            </w:r>
          </w:p>
        </w:tc>
        <w:tc>
          <w:tcPr>
            <w:tcW w:w="7371" w:type="dxa"/>
            <w:shd w:val="clear" w:color="000000" w:fill="auto"/>
          </w:tcPr>
          <w:p w:rsidR="00F425CB" w:rsidRPr="007E7990" w:rsidRDefault="00F425CB" w:rsidP="00120A4F">
            <w:pPr>
              <w:pStyle w:val="TableText"/>
            </w:pPr>
            <w:r w:rsidRPr="007E7990">
              <w:t>Assume increase is in proportion to increase in courses, and follow-ups remain at same ratio to FSAs</w:t>
            </w:r>
          </w:p>
        </w:tc>
        <w:tc>
          <w:tcPr>
            <w:tcW w:w="4111" w:type="dxa"/>
            <w:shd w:val="clear" w:color="000000" w:fill="auto"/>
          </w:tcPr>
          <w:p w:rsidR="00F425CB" w:rsidRPr="007E7990" w:rsidRDefault="00F425CB" w:rsidP="00120A4F">
            <w:pPr>
              <w:pStyle w:val="TableText"/>
            </w:pPr>
            <w:r w:rsidRPr="007E7990">
              <w:t>Average per unit DHB costs</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26</w:t>
            </w:r>
          </w:p>
        </w:tc>
        <w:tc>
          <w:tcPr>
            <w:tcW w:w="2410" w:type="dxa"/>
            <w:shd w:val="clear" w:color="000000" w:fill="auto"/>
          </w:tcPr>
          <w:p w:rsidR="00F425CB" w:rsidRPr="007E7990" w:rsidRDefault="00F425CB" w:rsidP="00120A4F">
            <w:pPr>
              <w:pStyle w:val="TableText"/>
            </w:pPr>
            <w:r w:rsidRPr="007E7990">
              <w:t>Inflation</w:t>
            </w:r>
          </w:p>
        </w:tc>
        <w:tc>
          <w:tcPr>
            <w:tcW w:w="7371" w:type="dxa"/>
            <w:shd w:val="clear" w:color="000000" w:fill="auto"/>
          </w:tcPr>
          <w:p w:rsidR="00F425CB" w:rsidRPr="007E7990" w:rsidRDefault="00F425CB" w:rsidP="00120A4F">
            <w:pPr>
              <w:pStyle w:val="TableText"/>
            </w:pPr>
            <w:r w:rsidRPr="007E7990">
              <w:t xml:space="preserve">Discounted </w:t>
            </w:r>
            <w:proofErr w:type="spellStart"/>
            <w:r w:rsidRPr="007E7990">
              <w:t>cashflows</w:t>
            </w:r>
            <w:proofErr w:type="spellEnd"/>
            <w:r w:rsidRPr="007E7990">
              <w:t xml:space="preserve"> are used with assumption that inflation will average at the mid-point of the RBNZ band</w:t>
            </w:r>
          </w:p>
        </w:tc>
        <w:tc>
          <w:tcPr>
            <w:tcW w:w="4111" w:type="dxa"/>
            <w:shd w:val="clear" w:color="000000" w:fill="auto"/>
          </w:tcPr>
          <w:p w:rsidR="00F425CB" w:rsidRPr="007E7990" w:rsidRDefault="00F425CB" w:rsidP="00120A4F">
            <w:pPr>
              <w:pStyle w:val="TableText"/>
            </w:pPr>
            <w:r w:rsidRPr="007E7990">
              <w:t>2%</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27</w:t>
            </w:r>
          </w:p>
        </w:tc>
        <w:tc>
          <w:tcPr>
            <w:tcW w:w="2410" w:type="dxa"/>
            <w:shd w:val="clear" w:color="000000" w:fill="auto"/>
          </w:tcPr>
          <w:p w:rsidR="00F425CB" w:rsidRPr="007E7990" w:rsidRDefault="00F425CB" w:rsidP="00120A4F">
            <w:pPr>
              <w:pStyle w:val="TableText"/>
            </w:pPr>
            <w:r w:rsidRPr="007E7990">
              <w:t>Linac price</w:t>
            </w:r>
          </w:p>
        </w:tc>
        <w:tc>
          <w:tcPr>
            <w:tcW w:w="7371" w:type="dxa"/>
            <w:shd w:val="clear" w:color="000000" w:fill="auto"/>
          </w:tcPr>
          <w:p w:rsidR="00F425CB" w:rsidRPr="007E7990" w:rsidRDefault="00F425CB" w:rsidP="00120A4F">
            <w:pPr>
              <w:pStyle w:val="TableText"/>
            </w:pPr>
            <w:r w:rsidRPr="007E7990">
              <w:t xml:space="preserve">Cost of new or replacement </w:t>
            </w:r>
            <w:r w:rsidR="00021C7F">
              <w:t>machine and associated software</w:t>
            </w:r>
          </w:p>
        </w:tc>
        <w:tc>
          <w:tcPr>
            <w:tcW w:w="4111" w:type="dxa"/>
            <w:shd w:val="clear" w:color="000000" w:fill="auto"/>
          </w:tcPr>
          <w:p w:rsidR="00F425CB" w:rsidRPr="007E7990" w:rsidRDefault="00F425CB" w:rsidP="00120A4F">
            <w:pPr>
              <w:pStyle w:val="TableText"/>
            </w:pPr>
            <w:r w:rsidRPr="007E7990">
              <w:t>$4 million</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28</w:t>
            </w:r>
          </w:p>
        </w:tc>
        <w:tc>
          <w:tcPr>
            <w:tcW w:w="2410" w:type="dxa"/>
            <w:shd w:val="clear" w:color="000000" w:fill="auto"/>
          </w:tcPr>
          <w:p w:rsidR="00F425CB" w:rsidRPr="007E7990" w:rsidRDefault="00F425CB" w:rsidP="00120A4F">
            <w:pPr>
              <w:pStyle w:val="TableText"/>
            </w:pPr>
            <w:r w:rsidRPr="007E7990">
              <w:t>Facility costs</w:t>
            </w:r>
          </w:p>
        </w:tc>
        <w:tc>
          <w:tcPr>
            <w:tcW w:w="7371" w:type="dxa"/>
            <w:shd w:val="clear" w:color="000000" w:fill="auto"/>
          </w:tcPr>
          <w:p w:rsidR="00F425CB" w:rsidRPr="007E7990" w:rsidRDefault="00F425CB" w:rsidP="00120A4F">
            <w:pPr>
              <w:pStyle w:val="TableText"/>
            </w:pPr>
            <w:r w:rsidRPr="007E7990">
              <w:t>Bunker/facility cost per new linac</w:t>
            </w:r>
          </w:p>
        </w:tc>
        <w:tc>
          <w:tcPr>
            <w:tcW w:w="4111" w:type="dxa"/>
            <w:shd w:val="clear" w:color="000000" w:fill="auto"/>
          </w:tcPr>
          <w:p w:rsidR="00F425CB" w:rsidRPr="007E7990" w:rsidRDefault="00F425CB" w:rsidP="00120A4F">
            <w:pPr>
              <w:pStyle w:val="TableText"/>
            </w:pPr>
            <w:r w:rsidRPr="007E7990">
              <w:t>$2 million</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29</w:t>
            </w:r>
          </w:p>
        </w:tc>
        <w:tc>
          <w:tcPr>
            <w:tcW w:w="2410" w:type="dxa"/>
            <w:shd w:val="clear" w:color="000000" w:fill="auto"/>
          </w:tcPr>
          <w:p w:rsidR="00F425CB" w:rsidRPr="007E7990" w:rsidRDefault="00021C7F" w:rsidP="00120A4F">
            <w:pPr>
              <w:pStyle w:val="TableText"/>
            </w:pPr>
            <w:r>
              <w:t>Associated equipment costs</w:t>
            </w:r>
          </w:p>
        </w:tc>
        <w:tc>
          <w:tcPr>
            <w:tcW w:w="7371" w:type="dxa"/>
            <w:shd w:val="clear" w:color="000000" w:fill="auto"/>
          </w:tcPr>
          <w:p w:rsidR="00F425CB" w:rsidRPr="007E7990" w:rsidRDefault="00F425CB" w:rsidP="00120A4F">
            <w:pPr>
              <w:pStyle w:val="TableText"/>
            </w:pPr>
            <w:r w:rsidRPr="007E7990">
              <w:t>Upgrades, maintenance, software co</w:t>
            </w:r>
            <w:r w:rsidR="00021C7F">
              <w:t>sts during useful life of linac</w:t>
            </w:r>
          </w:p>
        </w:tc>
        <w:tc>
          <w:tcPr>
            <w:tcW w:w="4111" w:type="dxa"/>
            <w:shd w:val="clear" w:color="000000" w:fill="auto"/>
          </w:tcPr>
          <w:p w:rsidR="00F425CB" w:rsidRPr="007E7990" w:rsidRDefault="00F425CB" w:rsidP="00120A4F">
            <w:pPr>
              <w:pStyle w:val="TableText"/>
            </w:pPr>
            <w:r w:rsidRPr="007E7990">
              <w:t>$1</w:t>
            </w:r>
            <w:r w:rsidR="00504426">
              <w:t xml:space="preserve"> </w:t>
            </w:r>
            <w:r w:rsidRPr="007E7990">
              <w:t>m</w:t>
            </w:r>
            <w:r w:rsidR="00E631D5">
              <w:t>illion</w:t>
            </w:r>
            <w:r w:rsidRPr="007E7990">
              <w:t xml:space="preserve"> in fifth year for each linac</w:t>
            </w:r>
          </w:p>
        </w:tc>
      </w:tr>
      <w:tr w:rsidR="00F425CB" w:rsidRPr="0021236A" w:rsidTr="00C73F47">
        <w:trPr>
          <w:cantSplit/>
        </w:trPr>
        <w:tc>
          <w:tcPr>
            <w:tcW w:w="709" w:type="dxa"/>
          </w:tcPr>
          <w:p w:rsidR="00F425CB" w:rsidRPr="007E7990" w:rsidRDefault="00F425CB" w:rsidP="00120A4F">
            <w:pPr>
              <w:pStyle w:val="TableText"/>
            </w:pPr>
            <w:r w:rsidRPr="007E7990">
              <w:t>30</w:t>
            </w:r>
          </w:p>
        </w:tc>
        <w:tc>
          <w:tcPr>
            <w:tcW w:w="2410" w:type="dxa"/>
          </w:tcPr>
          <w:p w:rsidR="00F425CB" w:rsidRPr="007E7990" w:rsidRDefault="00F425CB" w:rsidP="00120A4F">
            <w:pPr>
              <w:pStyle w:val="TableText"/>
            </w:pPr>
            <w:r w:rsidRPr="007E7990">
              <w:t>Consequent imp</w:t>
            </w:r>
            <w:r w:rsidR="00120A4F">
              <w:t>acts on other oncology services</w:t>
            </w:r>
          </w:p>
        </w:tc>
        <w:tc>
          <w:tcPr>
            <w:tcW w:w="7371" w:type="dxa"/>
          </w:tcPr>
          <w:p w:rsidR="00F425CB" w:rsidRPr="007E7990" w:rsidRDefault="00F425CB" w:rsidP="00120A4F">
            <w:pPr>
              <w:pStyle w:val="TableText"/>
            </w:pPr>
            <w:r w:rsidRPr="007E7990">
              <w:t>No evidence of changes in usage rates of other services as a result of changing IRs</w:t>
            </w:r>
          </w:p>
        </w:tc>
        <w:tc>
          <w:tcPr>
            <w:tcW w:w="4111" w:type="dxa"/>
          </w:tcPr>
          <w:p w:rsidR="00F425CB" w:rsidRPr="007E7990" w:rsidRDefault="00F425CB" w:rsidP="00120A4F">
            <w:pPr>
              <w:pStyle w:val="TableText"/>
            </w:pPr>
            <w:r w:rsidRPr="007E7990">
              <w:t>No change</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31</w:t>
            </w:r>
          </w:p>
        </w:tc>
        <w:tc>
          <w:tcPr>
            <w:tcW w:w="2410" w:type="dxa"/>
            <w:shd w:val="clear" w:color="000000" w:fill="auto"/>
          </w:tcPr>
          <w:p w:rsidR="00F425CB" w:rsidRPr="007E7990" w:rsidRDefault="00F425CB" w:rsidP="00120A4F">
            <w:pPr>
              <w:pStyle w:val="TableText"/>
            </w:pPr>
            <w:r w:rsidRPr="007E7990">
              <w:t>Other costs</w:t>
            </w:r>
          </w:p>
        </w:tc>
        <w:tc>
          <w:tcPr>
            <w:tcW w:w="7371" w:type="dxa"/>
            <w:shd w:val="clear" w:color="000000" w:fill="auto"/>
          </w:tcPr>
          <w:p w:rsidR="00F425CB" w:rsidRPr="007E7990" w:rsidRDefault="00F425CB" w:rsidP="00120A4F">
            <w:pPr>
              <w:pStyle w:val="TableText"/>
            </w:pPr>
            <w:r w:rsidRPr="007E7990">
              <w:t>Marginal incremental cost for refurbishment and upgrades</w:t>
            </w:r>
          </w:p>
        </w:tc>
        <w:tc>
          <w:tcPr>
            <w:tcW w:w="4111" w:type="dxa"/>
            <w:shd w:val="clear" w:color="000000" w:fill="auto"/>
          </w:tcPr>
          <w:p w:rsidR="00F425CB" w:rsidRPr="007E7990" w:rsidRDefault="0010690F" w:rsidP="00120A4F">
            <w:pPr>
              <w:pStyle w:val="TableText"/>
            </w:pPr>
            <w:r>
              <w:t>$300,000</w:t>
            </w:r>
          </w:p>
        </w:tc>
      </w:tr>
      <w:tr w:rsidR="00F425CB" w:rsidRPr="0021236A" w:rsidTr="00C73F47">
        <w:trPr>
          <w:cantSplit/>
        </w:trPr>
        <w:tc>
          <w:tcPr>
            <w:tcW w:w="709" w:type="dxa"/>
            <w:shd w:val="clear" w:color="000000" w:fill="auto"/>
          </w:tcPr>
          <w:p w:rsidR="00F425CB" w:rsidRPr="007E7990" w:rsidRDefault="00F425CB" w:rsidP="00120A4F">
            <w:pPr>
              <w:pStyle w:val="TableText"/>
            </w:pPr>
            <w:r w:rsidRPr="007E7990">
              <w:t>32</w:t>
            </w:r>
          </w:p>
        </w:tc>
        <w:tc>
          <w:tcPr>
            <w:tcW w:w="2410" w:type="dxa"/>
            <w:shd w:val="clear" w:color="000000" w:fill="auto"/>
          </w:tcPr>
          <w:p w:rsidR="00F425CB" w:rsidRPr="007E7990" w:rsidRDefault="00F425CB" w:rsidP="00120A4F">
            <w:pPr>
              <w:pStyle w:val="TableText"/>
            </w:pPr>
            <w:r w:rsidRPr="007E7990">
              <w:t>Cost of capital</w:t>
            </w:r>
          </w:p>
        </w:tc>
        <w:tc>
          <w:tcPr>
            <w:tcW w:w="7371" w:type="dxa"/>
            <w:shd w:val="clear" w:color="000000" w:fill="auto"/>
          </w:tcPr>
          <w:p w:rsidR="00F425CB" w:rsidRPr="007E7990" w:rsidRDefault="00F425CB" w:rsidP="00120A4F">
            <w:pPr>
              <w:pStyle w:val="TableText"/>
            </w:pPr>
            <w:r w:rsidRPr="007E7990">
              <w:t>Interest costs (used as discount rate)</w:t>
            </w:r>
          </w:p>
        </w:tc>
        <w:tc>
          <w:tcPr>
            <w:tcW w:w="4111" w:type="dxa"/>
            <w:shd w:val="clear" w:color="000000" w:fill="auto"/>
          </w:tcPr>
          <w:p w:rsidR="00F425CB" w:rsidRPr="007E7990" w:rsidRDefault="00F425CB" w:rsidP="00120A4F">
            <w:pPr>
              <w:pStyle w:val="TableText"/>
            </w:pPr>
            <w:r w:rsidRPr="007E7990">
              <w:t>8%</w:t>
            </w:r>
          </w:p>
        </w:tc>
      </w:tr>
    </w:tbl>
    <w:p w:rsidR="00F425CB" w:rsidRPr="007E7990" w:rsidRDefault="00F425CB" w:rsidP="00F425CB">
      <w:pPr>
        <w:rPr>
          <w:i/>
          <w:iCs/>
          <w:sz w:val="20"/>
        </w:rPr>
      </w:pPr>
    </w:p>
    <w:p w:rsidR="000A4D1A" w:rsidRDefault="000A4D1A" w:rsidP="000A4D1A">
      <w:pPr>
        <w:pStyle w:val="Heading3"/>
        <w:sectPr w:rsidR="000A4D1A" w:rsidSect="000A4D1A">
          <w:footerReference w:type="default" r:id="rId24"/>
          <w:pgSz w:w="16834" w:h="11907" w:orient="landscape" w:code="9"/>
          <w:pgMar w:top="1134" w:right="1134" w:bottom="1134" w:left="1134" w:header="425" w:footer="567" w:gutter="0"/>
          <w:cols w:space="720"/>
          <w:docGrid w:linePitch="299"/>
        </w:sectPr>
      </w:pPr>
      <w:bookmarkStart w:id="78" w:name="_Toc367372295"/>
      <w:bookmarkStart w:id="79" w:name="_Toc376936361"/>
    </w:p>
    <w:p w:rsidR="007E7990" w:rsidRPr="007E7990" w:rsidRDefault="00F425CB" w:rsidP="00A7634B">
      <w:pPr>
        <w:pStyle w:val="Heading3"/>
        <w:spacing w:before="0"/>
      </w:pPr>
      <w:r w:rsidRPr="007E7990">
        <w:lastRenderedPageBreak/>
        <w:t>4.2.1</w:t>
      </w:r>
      <w:r w:rsidRPr="007E7990">
        <w:tab/>
        <w:t>Demand</w:t>
      </w:r>
      <w:bookmarkEnd w:id="78"/>
      <w:bookmarkEnd w:id="79"/>
    </w:p>
    <w:p w:rsidR="00F425CB" w:rsidRPr="007E7990" w:rsidRDefault="00F425CB" w:rsidP="00A7634B">
      <w:r w:rsidRPr="007E7990">
        <w:t>Demand for radiation therapy is based on the number of cancers expected (</w:t>
      </w:r>
      <w:proofErr w:type="spellStart"/>
      <w:r w:rsidRPr="007E7990">
        <w:t>ie</w:t>
      </w:r>
      <w:proofErr w:type="spellEnd"/>
      <w:r w:rsidRPr="007E7990">
        <w:t>, cancer registrations).</w:t>
      </w:r>
      <w:r w:rsidR="007E7990" w:rsidRPr="007E7990">
        <w:t xml:space="preserve"> </w:t>
      </w:r>
      <w:r w:rsidRPr="007E7990">
        <w:t>Cancer incidence changes over time were modelled by the Ministry of Health, and projected to 2016</w:t>
      </w:r>
      <w:r w:rsidR="00A7634B">
        <w:t>.</w:t>
      </w:r>
      <w:r w:rsidRPr="00A7634B">
        <w:rPr>
          <w:rStyle w:val="FootnoteReference"/>
        </w:rPr>
        <w:footnoteReference w:id="18"/>
      </w:r>
      <w:r w:rsidR="007E7990" w:rsidRPr="007E7990">
        <w:t xml:space="preserve"> </w:t>
      </w:r>
      <w:r w:rsidRPr="007E7990">
        <w:t>The demographic factors of population growth and ageing were calculated for each DHB using updated population projections</w:t>
      </w:r>
      <w:r w:rsidRPr="00A7634B">
        <w:rPr>
          <w:rStyle w:val="FootnoteReference"/>
        </w:rPr>
        <w:footnoteReference w:id="19"/>
      </w:r>
      <w:r w:rsidRPr="007E7990">
        <w:t xml:space="preserve"> by cancer type, and then summed.</w:t>
      </w:r>
      <w:r w:rsidR="007E7990" w:rsidRPr="007E7990">
        <w:t xml:space="preserve"> </w:t>
      </w:r>
      <w:r w:rsidRPr="007E7990">
        <w:t>Haematological and child cancers were included, differing slightly from previous projections used for medical oncology</w:t>
      </w:r>
      <w:r w:rsidR="00A7634B">
        <w:t>.</w:t>
      </w:r>
      <w:r w:rsidRPr="00A7634B">
        <w:rPr>
          <w:rStyle w:val="FootnoteReference"/>
        </w:rPr>
        <w:footnoteReference w:id="20"/>
      </w:r>
      <w:r w:rsidRPr="007E7990">
        <w:t xml:space="preserve"> The projections were extended to 2022, assuming the same trends continued (see Appendix 4).</w:t>
      </w:r>
    </w:p>
    <w:p w:rsidR="00F425CB" w:rsidRPr="007E7990" w:rsidRDefault="00F425CB" w:rsidP="00A7634B"/>
    <w:p w:rsidR="00F425CB" w:rsidRPr="007E7990" w:rsidRDefault="00F425CB" w:rsidP="00A7634B">
      <w:r w:rsidRPr="007E7990">
        <w:t>Survivorship was not explicitly modelled.</w:t>
      </w:r>
      <w:r w:rsidR="007E7990" w:rsidRPr="007E7990">
        <w:t xml:space="preserve"> </w:t>
      </w:r>
      <w:r w:rsidRPr="007E7990">
        <w:t>If this becomes a factor, it might present as an increase in RTR – the longer the survival, the more chance a person has of receiving subsequent treatment courses.</w:t>
      </w:r>
      <w:r w:rsidR="007E7990" w:rsidRPr="007E7990">
        <w:t xml:space="preserve"> </w:t>
      </w:r>
      <w:r w:rsidRPr="007E7990">
        <w:t>However given the absence of any clear evidence base for increasing the RTR, or centres specifically looking to increase their RTRs, the Model assumes that current rates will continue.</w:t>
      </w:r>
      <w:r w:rsidR="007E7990" w:rsidRPr="007E7990">
        <w:t xml:space="preserve"> </w:t>
      </w:r>
      <w:proofErr w:type="gramStart"/>
      <w:r w:rsidRPr="007E7990">
        <w:t>Note that as IRs increase so too will the retreatment numbers, with more people able to be treated subsequently.</w:t>
      </w:r>
      <w:proofErr w:type="gramEnd"/>
    </w:p>
    <w:p w:rsidR="00F425CB" w:rsidRPr="007E7990" w:rsidRDefault="00F425CB" w:rsidP="00A7634B"/>
    <w:p w:rsidR="00F425CB" w:rsidRPr="007E7990" w:rsidRDefault="00F425CB" w:rsidP="00A7634B">
      <w:r w:rsidRPr="007E7990">
        <w:t>No assumption was included in the Model regarding any impact of screening programmes and earlier diagnosis.</w:t>
      </w:r>
      <w:r w:rsidR="007E7990" w:rsidRPr="007E7990">
        <w:t xml:space="preserve"> </w:t>
      </w:r>
      <w:r w:rsidRPr="007E7990">
        <w:t>Should the current trial of screening for bowel cancer be followed by a national screening programme, this has the potential to change radiation therapy demand, but it is too soon to estimate any quantum.</w:t>
      </w:r>
      <w:r w:rsidR="007E7990" w:rsidRPr="007E7990">
        <w:t xml:space="preserve"> </w:t>
      </w:r>
      <w:r w:rsidRPr="007E7990">
        <w:t>Testing for prostate cancer has led to a large increase in cases found over the past 10 years, with concomitant increases in radiation therapy treatments (among other modalities).</w:t>
      </w:r>
      <w:r w:rsidR="007E7990" w:rsidRPr="007E7990">
        <w:t xml:space="preserve"> </w:t>
      </w:r>
      <w:r w:rsidRPr="007E7990">
        <w:t>The Ministry</w:t>
      </w:r>
      <w:r w:rsidR="007E7990" w:rsidRPr="007E7990">
        <w:t>’</w:t>
      </w:r>
      <w:r w:rsidRPr="007E7990">
        <w:t>s incidence modelling assumes a slowing in the rise in such cases over the next 10 years (a pool of slow-growing cancers having now been found), but prostate cancer still makes up a quarter of the new cancer growth projected.</w:t>
      </w:r>
      <w:r w:rsidR="007E7990" w:rsidRPr="007E7990">
        <w:t xml:space="preserve"> </w:t>
      </w:r>
      <w:r w:rsidRPr="007E7990">
        <w:t>Variations on this incidence growth were explored in sensitivity analyses (see Section 4.6).</w:t>
      </w:r>
    </w:p>
    <w:p w:rsidR="00F425CB" w:rsidRPr="007E7990" w:rsidRDefault="00F425CB" w:rsidP="00A7634B"/>
    <w:p w:rsidR="00F425CB" w:rsidRPr="007E7990" w:rsidRDefault="00F425CB" w:rsidP="00A7634B">
      <w:r w:rsidRPr="007E7990">
        <w:t>Non-melanoma skin cancer (NMSC) is not included in cancer registration data.</w:t>
      </w:r>
      <w:r w:rsidR="007E7990" w:rsidRPr="007E7990">
        <w:t xml:space="preserve"> </w:t>
      </w:r>
      <w:r w:rsidRPr="007E7990">
        <w:t>A few cases each year do progress to the stage of needing radiation therapy via external beam.</w:t>
      </w:r>
      <w:r w:rsidR="007E7990" w:rsidRPr="007E7990">
        <w:t xml:space="preserve"> </w:t>
      </w:r>
      <w:r w:rsidRPr="007E7990">
        <w:t>These treatments are counted, so are being included in the current IR estimates, over-stating them slightly.</w:t>
      </w:r>
      <w:r w:rsidR="007E7990" w:rsidRPr="007E7990">
        <w:t xml:space="preserve"> </w:t>
      </w:r>
      <w:r w:rsidRPr="007E7990">
        <w:t>To the extent that radiation therapy-treated NMSC rates are rising at a similar rate to other cancers as the population ages, it will have little effect on the Model.</w:t>
      </w:r>
    </w:p>
    <w:p w:rsidR="00F425CB" w:rsidRPr="007E7990" w:rsidDel="00657347" w:rsidRDefault="00F425CB" w:rsidP="00A7634B"/>
    <w:p w:rsidR="00F425CB" w:rsidRPr="007E7990" w:rsidRDefault="00F425CB" w:rsidP="00A7634B">
      <w:pPr>
        <w:pStyle w:val="Heading3"/>
      </w:pPr>
      <w:bookmarkStart w:id="80" w:name="_Toc367372297"/>
      <w:bookmarkStart w:id="81" w:name="_Toc376936362"/>
      <w:r w:rsidRPr="007E7990">
        <w:t>4.2.2</w:t>
      </w:r>
      <w:r w:rsidRPr="007E7990">
        <w:tab/>
        <w:t>Impact of new technologies</w:t>
      </w:r>
      <w:bookmarkEnd w:id="80"/>
      <w:bookmarkEnd w:id="81"/>
    </w:p>
    <w:p w:rsidR="007E7990" w:rsidRPr="007E7990" w:rsidRDefault="00F425CB" w:rsidP="00A7634B">
      <w:r w:rsidRPr="007E7990">
        <w:t>As further discussed in Section 5.3, radiation oncology as a discipline is experiencing significant development of new technologies and techniques.</w:t>
      </w:r>
      <w:r w:rsidR="007E7990" w:rsidRPr="007E7990">
        <w:t xml:space="preserve"> </w:t>
      </w:r>
      <w:r w:rsidRPr="007E7990">
        <w:t>Intensity modulated radiation therapy (IMRT) and image guided radiation therapy (IGRT) have been introduced at all of New Zealand</w:t>
      </w:r>
      <w:r w:rsidR="007E7990" w:rsidRPr="007E7990">
        <w:t>’</w:t>
      </w:r>
      <w:r w:rsidRPr="007E7990">
        <w:t>s cancer centres, with a resulting increase in treatment planning complexity.</w:t>
      </w:r>
      <w:r w:rsidR="007E7990" w:rsidRPr="007E7990">
        <w:t xml:space="preserve"> </w:t>
      </w:r>
      <w:r w:rsidRPr="007E7990">
        <w:t>The planning complexity proportions reported in the KPI dataset differ significantly by cancer centre; at face value the data suggest little effect on numbers of treatments per course or treatment times.</w:t>
      </w:r>
      <w:r w:rsidR="007E7990" w:rsidRPr="007E7990">
        <w:t xml:space="preserve"> </w:t>
      </w:r>
      <w:r w:rsidRPr="007E7990">
        <w:lastRenderedPageBreak/>
        <w:t>There can be courses with complex planning requirements (taking up more workforce time) but relatively simple treatment (low machine time), and vice versa.</w:t>
      </w:r>
    </w:p>
    <w:p w:rsidR="00F425CB" w:rsidRPr="007E7990" w:rsidRDefault="00F425CB" w:rsidP="00A7634B"/>
    <w:p w:rsidR="00F425CB" w:rsidRPr="007E7990" w:rsidRDefault="00F425CB" w:rsidP="00A7634B">
      <w:r w:rsidRPr="007E7990">
        <w:t xml:space="preserve">There is likely to be a significant </w:t>
      </w:r>
      <w:r w:rsidR="007E7990" w:rsidRPr="007E7990">
        <w:t>‘</w:t>
      </w:r>
      <w:r w:rsidRPr="007E7990">
        <w:t>learning</w:t>
      </w:r>
      <w:r w:rsidR="007E7990" w:rsidRPr="007E7990">
        <w:t>’</w:t>
      </w:r>
      <w:r w:rsidRPr="007E7990">
        <w:t xml:space="preserve"> effect – in other words, as centres do higher volumes of the more complex plans, the faster they will be able to process them.</w:t>
      </w:r>
      <w:r w:rsidR="007E7990" w:rsidRPr="007E7990">
        <w:t xml:space="preserve"> </w:t>
      </w:r>
      <w:r w:rsidRPr="007E7990">
        <w:t>Reported rates of plan complexity varied across the cancer centres, but the data was difficult to interpret so planning complexity rates and change over time were not included in the Model.</w:t>
      </w:r>
    </w:p>
    <w:p w:rsidR="00F425CB" w:rsidRPr="007E7990" w:rsidRDefault="00F425CB" w:rsidP="00A7634B"/>
    <w:p w:rsidR="00F425CB" w:rsidRPr="007E7990" w:rsidRDefault="00F425CB" w:rsidP="00A7634B">
      <w:r w:rsidRPr="007E7990">
        <w:t>How the impact of new technologies was handled in regional modelling by DHBs varied by region.</w:t>
      </w:r>
      <w:r w:rsidR="007E7990" w:rsidRPr="007E7990">
        <w:t xml:space="preserve"> </w:t>
      </w:r>
      <w:r w:rsidRPr="007E7990">
        <w:t xml:space="preserve">One of the regional plans assumed a net reduction in treatments per course (termed </w:t>
      </w:r>
      <w:r w:rsidR="007E7990" w:rsidRPr="007E7990">
        <w:t>‘</w:t>
      </w:r>
      <w:proofErr w:type="spellStart"/>
      <w:r w:rsidRPr="007E7990">
        <w:t>hypofractionation</w:t>
      </w:r>
      <w:proofErr w:type="spellEnd"/>
      <w:r w:rsidR="007E7990" w:rsidRPr="007E7990">
        <w:t>’</w:t>
      </w:r>
      <w:r w:rsidRPr="007E7990">
        <w:t>), while the other three made no specific adjustment while noting likely increases in planning complexity.</w:t>
      </w:r>
      <w:r w:rsidR="007E7990" w:rsidRPr="007E7990">
        <w:t xml:space="preserve"> </w:t>
      </w:r>
      <w:r w:rsidRPr="007E7990">
        <w:t>In the absence of expert consensus, the Model has made no adjustment for complexity changes or other technology adjusters.</w:t>
      </w:r>
      <w:r w:rsidR="007E7990" w:rsidRPr="007E7990">
        <w:t xml:space="preserve"> </w:t>
      </w:r>
      <w:r w:rsidRPr="007E7990">
        <w:t>Technology change may decrease as well as increase workload, and current data collection does not allow empirical analysis of time and staff needs for differences in complexity of treatment.</w:t>
      </w:r>
      <w:r w:rsidR="007E7990" w:rsidRPr="007E7990">
        <w:t xml:space="preserve"> </w:t>
      </w:r>
      <w:r w:rsidRPr="007E7990">
        <w:t>However some gains in operational efficiency may well be possible, and are discussed further in Section 4.5.</w:t>
      </w:r>
    </w:p>
    <w:p w:rsidR="00F425CB" w:rsidRPr="007E7990" w:rsidRDefault="00F425CB" w:rsidP="00A7634B"/>
    <w:p w:rsidR="00F425CB" w:rsidRPr="007E7990" w:rsidRDefault="00F425CB" w:rsidP="00A7634B">
      <w:pPr>
        <w:pStyle w:val="Heading3"/>
      </w:pPr>
      <w:bookmarkStart w:id="82" w:name="_Toc367372298"/>
      <w:bookmarkStart w:id="83" w:name="_Toc376936363"/>
      <w:r w:rsidRPr="007E7990">
        <w:t>4.2.3</w:t>
      </w:r>
      <w:r w:rsidRPr="007E7990">
        <w:tab/>
        <w:t>Capacity</w:t>
      </w:r>
      <w:bookmarkEnd w:id="82"/>
      <w:bookmarkEnd w:id="83"/>
    </w:p>
    <w:p w:rsidR="007E7990" w:rsidRPr="007E7990" w:rsidRDefault="00F425CB" w:rsidP="00A7634B">
      <w:r w:rsidRPr="007E7990">
        <w:t>Each radiation therapy centre is modelled separately with the private proportion of each DHB</w:t>
      </w:r>
      <w:r w:rsidR="007E7990" w:rsidRPr="007E7990">
        <w:t>’</w:t>
      </w:r>
      <w:r w:rsidRPr="007E7990">
        <w:t xml:space="preserve">s population usage held at 2012 levels, meaning that there are no planned transfers of </w:t>
      </w:r>
      <w:r w:rsidR="007E7990" w:rsidRPr="007E7990">
        <w:t>‘</w:t>
      </w:r>
      <w:r w:rsidRPr="007E7990">
        <w:t>market share</w:t>
      </w:r>
      <w:r w:rsidR="007E7990" w:rsidRPr="007E7990">
        <w:t>’</w:t>
      </w:r>
      <w:r w:rsidRPr="007E7990">
        <w:t xml:space="preserve"> from public to private or vice versa.</w:t>
      </w:r>
      <w:r w:rsidR="007E7990" w:rsidRPr="007E7990">
        <w:t xml:space="preserve"> </w:t>
      </w:r>
      <w:r w:rsidRPr="007E7990">
        <w:t xml:space="preserve">If the public centre is </w:t>
      </w:r>
      <w:r w:rsidR="007E7990" w:rsidRPr="007E7990">
        <w:t>‘</w:t>
      </w:r>
      <w:r w:rsidRPr="007E7990">
        <w:t>full</w:t>
      </w:r>
      <w:r w:rsidR="007E7990" w:rsidRPr="007E7990">
        <w:t>’</w:t>
      </w:r>
      <w:r w:rsidRPr="007E7990">
        <w:t xml:space="preserve"> then a new linac is suggested by the Model, even if capacity exists in a private facility in the same city.</w:t>
      </w:r>
      <w:r w:rsidR="007E7990" w:rsidRPr="007E7990">
        <w:t xml:space="preserve"> </w:t>
      </w:r>
      <w:r w:rsidRPr="007E7990">
        <w:t>The future linac requirements forecast are not specific as to whether the capacity development would be in public or private sectors, only that there will be the need for such an expansion.</w:t>
      </w:r>
    </w:p>
    <w:p w:rsidR="00F425CB" w:rsidRDefault="00F425CB" w:rsidP="00A7634B"/>
    <w:p w:rsidR="00F425CB" w:rsidRPr="007E7990" w:rsidRDefault="00F425CB" w:rsidP="00A7634B">
      <w:r w:rsidRPr="007E7990">
        <w:t xml:space="preserve">Current (2012) catchment flows are used, apart from the planned redirection of referrals for </w:t>
      </w:r>
      <w:proofErr w:type="spellStart"/>
      <w:r w:rsidRPr="007E7990">
        <w:t>Tairawhiti</w:t>
      </w:r>
      <w:proofErr w:type="spellEnd"/>
      <w:r w:rsidRPr="007E7990">
        <w:t xml:space="preserve"> residents to the Waikato centre from 2013.</w:t>
      </w:r>
      <w:r w:rsidR="007E7990" w:rsidRPr="007E7990">
        <w:t xml:space="preserve"> </w:t>
      </w:r>
      <w:r w:rsidRPr="007E7990">
        <w:t>Nelson-Marlborough is assumed to maintain its present proportional split between Capital and Coast and Canterbury cancer centres. The planned Tauranga private facility with two linacs is assumed to treat the majority of Bay of Plenty residents</w:t>
      </w:r>
      <w:r w:rsidR="007E7990" w:rsidRPr="007E7990">
        <w:t>’</w:t>
      </w:r>
      <w:r w:rsidRPr="007E7990">
        <w:t xml:space="preserve"> publicly-funded volumes from mid-2014.</w:t>
      </w:r>
      <w:r w:rsidR="007E7990" w:rsidRPr="007E7990">
        <w:t xml:space="preserve"> </w:t>
      </w:r>
      <w:r w:rsidRPr="007E7990">
        <w:t xml:space="preserve">It is also assumed that around 10% of the demand from Waikato and Lakes DHB residents and 5% from </w:t>
      </w:r>
      <w:proofErr w:type="spellStart"/>
      <w:r w:rsidRPr="007E7990">
        <w:t>Tairawhiti</w:t>
      </w:r>
      <w:proofErr w:type="spellEnd"/>
      <w:r w:rsidRPr="007E7990">
        <w:t xml:space="preserve"> might be carried out as privately funded courses (based on rates of use for residents of non-local DHBs of the current private facilities).</w:t>
      </w:r>
      <w:r w:rsidR="007E7990" w:rsidRPr="007E7990">
        <w:t xml:space="preserve"> </w:t>
      </w:r>
      <w:r w:rsidRPr="007E7990">
        <w:t>The average attendances per course and time per attendance for the Waikato centre are used as the base for the Tauranga figures.</w:t>
      </w:r>
      <w:r w:rsidR="007E7990" w:rsidRPr="007E7990">
        <w:t xml:space="preserve"> </w:t>
      </w:r>
      <w:r w:rsidRPr="007E7990">
        <w:t xml:space="preserve">The two Tauranga linacs are not counted as </w:t>
      </w:r>
      <w:r w:rsidR="007E7990" w:rsidRPr="007E7990">
        <w:t>‘</w:t>
      </w:r>
      <w:r w:rsidRPr="007E7990">
        <w:t>added linacs</w:t>
      </w:r>
      <w:r w:rsidR="007E7990" w:rsidRPr="007E7990">
        <w:t>’</w:t>
      </w:r>
      <w:r w:rsidRPr="007E7990">
        <w:t xml:space="preserve"> as they are already catered for in the Model.</w:t>
      </w:r>
    </w:p>
    <w:p w:rsidR="00F425CB" w:rsidRPr="007E7990" w:rsidRDefault="00F425CB" w:rsidP="00A7634B"/>
    <w:p w:rsidR="00F425CB" w:rsidRPr="007E7990" w:rsidRDefault="00F425CB" w:rsidP="00A7634B">
      <w:r w:rsidRPr="007E7990">
        <w:t>While patient flows may change in the future</w:t>
      </w:r>
      <w:r w:rsidR="007E7990" w:rsidRPr="007E7990">
        <w:t xml:space="preserve"> – </w:t>
      </w:r>
      <w:r w:rsidRPr="007E7990">
        <w:t>for example, for regional capacity planning purposes</w:t>
      </w:r>
      <w:r w:rsidR="007E7990" w:rsidRPr="007E7990">
        <w:t xml:space="preserve"> – </w:t>
      </w:r>
      <w:r w:rsidRPr="007E7990">
        <w:t>those described above are used for national modelling purposes.</w:t>
      </w:r>
    </w:p>
    <w:p w:rsidR="00F425CB" w:rsidRPr="007E7990" w:rsidRDefault="00F425CB" w:rsidP="00A7634B"/>
    <w:p w:rsidR="007E7990" w:rsidRPr="007E7990" w:rsidRDefault="00F425CB" w:rsidP="00A7634B">
      <w:r w:rsidRPr="007E7990">
        <w:t>A factor is added to allow for the maximum four-week waiting time for radiation therapy.</w:t>
      </w:r>
      <w:r w:rsidR="007E7990" w:rsidRPr="007E7990">
        <w:t xml:space="preserve"> </w:t>
      </w:r>
      <w:r w:rsidRPr="007E7990">
        <w:t>Each cancer centre is expected to have the capacity to deal with its highest monthly total in that month without needing to transfer patients elsewhere.</w:t>
      </w:r>
      <w:r w:rsidR="007E7990" w:rsidRPr="007E7990">
        <w:t xml:space="preserve"> </w:t>
      </w:r>
      <w:r w:rsidRPr="007E7990">
        <w:t>This is operationalised by adding one standard deviation</w:t>
      </w:r>
      <w:r w:rsidR="007E7990" w:rsidRPr="007E7990">
        <w:t>’</w:t>
      </w:r>
      <w:r w:rsidRPr="007E7990">
        <w:t xml:space="preserve">s-worth of courses to each centre – effectively the capacity to carry out the </w:t>
      </w:r>
      <w:r w:rsidRPr="007E7990">
        <w:lastRenderedPageBreak/>
        <w:t>maximum month</w:t>
      </w:r>
      <w:r w:rsidR="007E7990" w:rsidRPr="007E7990">
        <w:t>’</w:t>
      </w:r>
      <w:r w:rsidRPr="007E7990">
        <w:t>s volumes on any month of the year</w:t>
      </w:r>
      <w:r w:rsidR="00A7634B">
        <w:t>.</w:t>
      </w:r>
      <w:r w:rsidRPr="00A7634B">
        <w:rPr>
          <w:rStyle w:val="FootnoteReference"/>
        </w:rPr>
        <w:footnoteReference w:id="21"/>
      </w:r>
      <w:r w:rsidR="007E7990" w:rsidRPr="007E7990">
        <w:t xml:space="preserve"> </w:t>
      </w:r>
      <w:r w:rsidRPr="007E7990">
        <w:t>Treatment for non-malignant conditions and superficial treatment (SXR)</w:t>
      </w:r>
      <w:r w:rsidR="007E7990" w:rsidRPr="007E7990">
        <w:t xml:space="preserve"> – </w:t>
      </w:r>
      <w:r w:rsidRPr="007E7990">
        <w:t>for example, for skin cancers</w:t>
      </w:r>
      <w:r w:rsidR="007E7990" w:rsidRPr="007E7990">
        <w:t xml:space="preserve"> – </w:t>
      </w:r>
      <w:r w:rsidRPr="007E7990">
        <w:t>are relatively low in volume and assumed to have little impact on the maximal months so have not been added in further.</w:t>
      </w:r>
    </w:p>
    <w:p w:rsidR="00F425CB" w:rsidRPr="007E7990" w:rsidRDefault="00F425CB" w:rsidP="00A7634B"/>
    <w:p w:rsidR="007E7990" w:rsidRPr="007E7990" w:rsidRDefault="00F425CB" w:rsidP="00A7634B">
      <w:r w:rsidRPr="007E7990">
        <w:t>Based on the current working hours per day and days per year, the number of linacs required is estimated from these linac-hours.</w:t>
      </w:r>
      <w:r w:rsidR="007E7990" w:rsidRPr="007E7990">
        <w:t xml:space="preserve"> </w:t>
      </w:r>
      <w:r w:rsidRPr="007E7990">
        <w:t>Generally linacs are operated on weekdays only, with work days ranging from 8 to 10 hours depending on the centre.</w:t>
      </w:r>
      <w:r w:rsidR="007E7990" w:rsidRPr="007E7990">
        <w:t xml:space="preserve"> </w:t>
      </w:r>
      <w:r w:rsidRPr="007E7990">
        <w:t>Most do not run on public holidays.</w:t>
      </w:r>
      <w:r w:rsidR="007E7990" w:rsidRPr="007E7990">
        <w:t xml:space="preserve"> </w:t>
      </w:r>
      <w:r w:rsidRPr="007E7990">
        <w:t>There is allowance of 13% downtime for machine testing and outages for each linac.</w:t>
      </w:r>
    </w:p>
    <w:p w:rsidR="00F425CB" w:rsidRPr="007E7990" w:rsidRDefault="00F425CB" w:rsidP="00A7634B"/>
    <w:p w:rsidR="00F425CB" w:rsidRPr="007E7990" w:rsidRDefault="00F425CB" w:rsidP="00A7634B">
      <w:pPr>
        <w:pStyle w:val="Heading3"/>
      </w:pPr>
      <w:bookmarkStart w:id="84" w:name="_Toc367372299"/>
      <w:bookmarkStart w:id="85" w:name="_Toc376936364"/>
      <w:r w:rsidRPr="007E7990">
        <w:t>4.2.4</w:t>
      </w:r>
      <w:bookmarkStart w:id="86" w:name="Workforce"/>
      <w:r w:rsidRPr="007E7990">
        <w:tab/>
        <w:t xml:space="preserve">Workforce </w:t>
      </w:r>
      <w:bookmarkEnd w:id="86"/>
      <w:r w:rsidRPr="007E7990">
        <w:t>supply</w:t>
      </w:r>
      <w:bookmarkEnd w:id="84"/>
      <w:bookmarkEnd w:id="85"/>
    </w:p>
    <w:p w:rsidR="007E7990" w:rsidRPr="007E7990" w:rsidRDefault="00F425CB" w:rsidP="00A7634B">
      <w:r w:rsidRPr="007E7990">
        <w:t xml:space="preserve">The relatively small workforces involved, particularly for </w:t>
      </w:r>
      <w:r w:rsidR="00E631D5">
        <w:t>radiation oncologists and medical physicis</w:t>
      </w:r>
      <w:r w:rsidR="00E631D5" w:rsidRPr="007E7990">
        <w:t>ts</w:t>
      </w:r>
      <w:r w:rsidRPr="007E7990">
        <w:t>, preclude elaborate workforce modelling, but a straightforward picture with a range of likely scenarios can be developed.</w:t>
      </w:r>
      <w:r w:rsidR="007E7990" w:rsidRPr="007E7990">
        <w:t xml:space="preserve"> </w:t>
      </w:r>
      <w:r w:rsidRPr="007E7990">
        <w:t>New Zealand</w:t>
      </w:r>
      <w:r w:rsidR="007E7990" w:rsidRPr="007E7990">
        <w:t>’</w:t>
      </w:r>
      <w:r w:rsidRPr="007E7990">
        <w:t>s workforce planning is based on the aim of self-sufficiency.</w:t>
      </w:r>
      <w:r w:rsidR="007E7990" w:rsidRPr="007E7990">
        <w:t xml:space="preserve"> </w:t>
      </w:r>
      <w:r w:rsidRPr="007E7990">
        <w:t>This principle is applied to modelling of the radiation oncology workforce; however significant</w:t>
      </w:r>
      <w:r w:rsidR="00E631D5">
        <w:t xml:space="preserve"> international recruitment of medical physicis</w:t>
      </w:r>
      <w:r w:rsidR="00E631D5" w:rsidRPr="007E7990">
        <w:t>ts</w:t>
      </w:r>
      <w:r w:rsidRPr="007E7990">
        <w:t xml:space="preserve"> is still needed for balance if current outflows continue.</w:t>
      </w:r>
      <w:r w:rsidR="007E7990" w:rsidRPr="007E7990">
        <w:t xml:space="preserve"> </w:t>
      </w:r>
      <w:r w:rsidRPr="007E7990">
        <w:t>Both public and private workforces are included as they come from the same training pool.</w:t>
      </w:r>
    </w:p>
    <w:p w:rsidR="00F425CB" w:rsidRPr="007E7990" w:rsidRDefault="00F425CB" w:rsidP="00A7634B"/>
    <w:p w:rsidR="00F425CB" w:rsidRPr="007E7990" w:rsidRDefault="00F425CB" w:rsidP="00A7634B">
      <w:r w:rsidRPr="007E7990">
        <w:t>The number of trainee positions is known and relatively stable, with the key variable being the retention of those trainees – in other words, how many will remain working in New Zealand.</w:t>
      </w:r>
      <w:r w:rsidR="007E7990" w:rsidRPr="007E7990">
        <w:t xml:space="preserve"> </w:t>
      </w:r>
      <w:r w:rsidRPr="007E7990">
        <w:t>The past is used as a guide for this, but changes in employment demand in key overseas destinations such as Australia and the U</w:t>
      </w:r>
      <w:r w:rsidR="00E631D5">
        <w:t xml:space="preserve">nited </w:t>
      </w:r>
      <w:r w:rsidRPr="007E7990">
        <w:t>K</w:t>
      </w:r>
      <w:r w:rsidR="00E631D5">
        <w:t>ingdom</w:t>
      </w:r>
      <w:r w:rsidRPr="007E7990">
        <w:t xml:space="preserve"> could easily change the historical flows.</w:t>
      </w:r>
      <w:r w:rsidR="007E7990" w:rsidRPr="007E7990">
        <w:t xml:space="preserve"> </w:t>
      </w:r>
      <w:r w:rsidRPr="007E7990">
        <w:t>Planning documents from both these nations assume that the predicted growth in their workforce requirements will be able to be met internally</w:t>
      </w:r>
      <w:r w:rsidR="00A7634B">
        <w:t>,</w:t>
      </w:r>
      <w:r w:rsidRPr="00A7634B">
        <w:rPr>
          <w:rStyle w:val="FootnoteReference"/>
        </w:rPr>
        <w:footnoteReference w:id="22"/>
      </w:r>
      <w:r w:rsidRPr="007E7990">
        <w:t xml:space="preserve"> </w:t>
      </w:r>
      <w:r w:rsidRPr="00A7634B">
        <w:rPr>
          <w:rStyle w:val="FootnoteReference"/>
        </w:rPr>
        <w:footnoteReference w:id="23"/>
      </w:r>
      <w:r w:rsidRPr="007E7990">
        <w:t xml:space="preserve"> but this has not been the case in the past.</w:t>
      </w:r>
      <w:r w:rsidR="007E7990" w:rsidRPr="007E7990">
        <w:t xml:space="preserve"> </w:t>
      </w:r>
      <w:r w:rsidRPr="007E7990">
        <w:t>It is too early to assess the impact on retention rates of the expansion of the bonding scheme offered by Health Workforce New Zealand (HWNZ) to inc</w:t>
      </w:r>
      <w:r w:rsidR="00E631D5">
        <w:t>lude medical physicis</w:t>
      </w:r>
      <w:r w:rsidR="00E631D5" w:rsidRPr="007E7990">
        <w:t>ts</w:t>
      </w:r>
      <w:r w:rsidR="00E631D5">
        <w:t xml:space="preserve"> and radiation therapists</w:t>
      </w:r>
      <w:r w:rsidRPr="007E7990">
        <w:t xml:space="preserve"> from 2012.</w:t>
      </w:r>
    </w:p>
    <w:p w:rsidR="00F425CB" w:rsidRPr="007E7990" w:rsidRDefault="00F425CB" w:rsidP="00A7634B"/>
    <w:p w:rsidR="00F425CB" w:rsidRPr="007E7990" w:rsidRDefault="00F425CB" w:rsidP="00A7634B">
      <w:r w:rsidRPr="007E7990">
        <w:t>Workforce numbers are calculated as full-time equivalents (FTEs) with a base 40-hour working week, while training numbers are calculated as headcount.</w:t>
      </w:r>
      <w:r w:rsidR="007E7990" w:rsidRPr="007E7990">
        <w:t xml:space="preserve"> </w:t>
      </w:r>
      <w:r w:rsidR="00E631D5">
        <w:t>The entire radiation oncologist, medical physicist and radiation therapist</w:t>
      </w:r>
      <w:r w:rsidRPr="007E7990">
        <w:t xml:space="preserve"> workforce is modelled (not just their proportion of time involved in external beam treatments), so current workforce ratios are used.</w:t>
      </w:r>
      <w:r w:rsidR="007E7990" w:rsidRPr="007E7990">
        <w:t xml:space="preserve"> </w:t>
      </w:r>
      <w:r w:rsidR="00E631D5">
        <w:t>Radiation oncologists</w:t>
      </w:r>
      <w:r w:rsidRPr="007E7990">
        <w:t xml:space="preserve"> are grown in proportion to total cou</w:t>
      </w:r>
      <w:r w:rsidR="00E631D5">
        <w:t>rses delivered, while</w:t>
      </w:r>
      <w:r w:rsidR="00E631D5" w:rsidRPr="00E631D5">
        <w:t xml:space="preserve"> </w:t>
      </w:r>
      <w:r w:rsidR="00E631D5">
        <w:t>radiation therapists and medical physicis</w:t>
      </w:r>
      <w:r w:rsidR="00E631D5" w:rsidRPr="007E7990">
        <w:t>ts</w:t>
      </w:r>
      <w:r w:rsidRPr="007E7990">
        <w:t xml:space="preserve"> are grown in proportion to total linac-hours.</w:t>
      </w:r>
      <w:r w:rsidR="007E7990" w:rsidRPr="007E7990">
        <w:t xml:space="preserve"> </w:t>
      </w:r>
      <w:r w:rsidRPr="007E7990">
        <w:t>Diagnostic imaging medical physicists (DIMPs) are not considered.</w:t>
      </w:r>
    </w:p>
    <w:p w:rsidR="00F425CB" w:rsidRPr="007E7990" w:rsidRDefault="00F425CB" w:rsidP="00A7634B"/>
    <w:p w:rsidR="00F425CB" w:rsidRPr="007E7990" w:rsidRDefault="00F425CB" w:rsidP="00A7634B">
      <w:pPr>
        <w:pStyle w:val="Heading3"/>
      </w:pPr>
      <w:bookmarkStart w:id="87" w:name="_Toc367372300"/>
      <w:bookmarkStart w:id="88" w:name="_Toc376936365"/>
      <w:r w:rsidRPr="007E7990">
        <w:t>4.2.5</w:t>
      </w:r>
      <w:r w:rsidRPr="007E7990">
        <w:tab/>
        <w:t>Costs</w:t>
      </w:r>
      <w:bookmarkEnd w:id="87"/>
      <w:bookmarkEnd w:id="88"/>
    </w:p>
    <w:p w:rsidR="007E7990" w:rsidRPr="007E7990" w:rsidRDefault="00F425CB" w:rsidP="00A7634B">
      <w:r w:rsidRPr="007E7990">
        <w:t>Radiation oncology operating costs are estimated using cancer centre costs and volumes reported to the Ministry</w:t>
      </w:r>
      <w:bookmarkStart w:id="89" w:name="Costs"/>
      <w:bookmarkEnd w:id="89"/>
      <w:r w:rsidRPr="007E7990">
        <w:t xml:space="preserve"> by four DHBs</w:t>
      </w:r>
      <w:r w:rsidR="007E7990" w:rsidRPr="007E7990">
        <w:t xml:space="preserve"> – </w:t>
      </w:r>
      <w:r w:rsidRPr="007E7990">
        <w:t>Auckland, Waikato, Capital and Coast, and Canterbury</w:t>
      </w:r>
      <w:r w:rsidR="007E7990" w:rsidRPr="007E7990">
        <w:t xml:space="preserve"> – </w:t>
      </w:r>
      <w:r w:rsidRPr="007E7990">
        <w:t>as part of the National Pricing Programme (NPP).</w:t>
      </w:r>
      <w:r w:rsidR="007E7990" w:rsidRPr="007E7990">
        <w:t xml:space="preserve"> </w:t>
      </w:r>
      <w:r w:rsidRPr="007E7990">
        <w:t xml:space="preserve">Costs reported by these DHBs are used to </w:t>
      </w:r>
      <w:r w:rsidRPr="007E7990">
        <w:lastRenderedPageBreak/>
        <w:t>set annual Inter-District Flow (IDF) prices, which are used to inform purchasing decisions between DHBs and public purchasing from private providers.</w:t>
      </w:r>
    </w:p>
    <w:p w:rsidR="00F425CB" w:rsidRPr="007E7990" w:rsidRDefault="00F425CB" w:rsidP="00A7634B"/>
    <w:p w:rsidR="00F425CB" w:rsidRPr="007E7990" w:rsidRDefault="00F425CB" w:rsidP="00A7634B">
      <w:r w:rsidRPr="007E7990">
        <w:t>The Model uses four public sector radiation oncology purchase units segmented by cost type to estimate average costs.</w:t>
      </w:r>
      <w:r w:rsidR="007E7990" w:rsidRPr="007E7990">
        <w:t xml:space="preserve"> </w:t>
      </w:r>
      <w:r w:rsidRPr="007E7990">
        <w:t>The four purchase units are:</w:t>
      </w:r>
    </w:p>
    <w:p w:rsidR="007E7990" w:rsidRPr="007E7990" w:rsidRDefault="00A7634B" w:rsidP="00A7634B">
      <w:pPr>
        <w:pStyle w:val="Bullet"/>
      </w:pPr>
      <w:r>
        <w:t>f</w:t>
      </w:r>
      <w:r w:rsidR="00F425CB" w:rsidRPr="007E7990">
        <w:t>irst specialist assessment (FSA)</w:t>
      </w:r>
      <w:r w:rsidR="007E7990" w:rsidRPr="007E7990">
        <w:t xml:space="preserve"> – </w:t>
      </w:r>
      <w:r w:rsidR="00F425CB" w:rsidRPr="007E7990">
        <w:t>Radiation Oncology</w:t>
      </w:r>
    </w:p>
    <w:p w:rsidR="00F425CB" w:rsidRPr="007E7990" w:rsidRDefault="00A7634B" w:rsidP="00A7634B">
      <w:pPr>
        <w:pStyle w:val="Bullet"/>
      </w:pPr>
      <w:r>
        <w:t>s</w:t>
      </w:r>
      <w:r w:rsidR="00F425CB" w:rsidRPr="007E7990">
        <w:t>pecialist follow-up – Radiation Oncology</w:t>
      </w:r>
    </w:p>
    <w:p w:rsidR="00F425CB" w:rsidRPr="007E7990" w:rsidRDefault="00A7634B" w:rsidP="00A7634B">
      <w:pPr>
        <w:pStyle w:val="Bullet"/>
      </w:pPr>
      <w:proofErr w:type="spellStart"/>
      <w:r>
        <w:t>o</w:t>
      </w:r>
      <w:r w:rsidR="00F425CB" w:rsidRPr="007E7990">
        <w:t>rthovoltage</w:t>
      </w:r>
      <w:proofErr w:type="spellEnd"/>
      <w:r w:rsidR="00F425CB" w:rsidRPr="007E7990">
        <w:t xml:space="preserve"> radiation therapy</w:t>
      </w:r>
    </w:p>
    <w:p w:rsidR="00F425CB" w:rsidRPr="007E7990" w:rsidRDefault="00A7634B" w:rsidP="00A7634B">
      <w:pPr>
        <w:pStyle w:val="Bullet"/>
      </w:pPr>
      <w:proofErr w:type="gramStart"/>
      <w:r>
        <w:t>m</w:t>
      </w:r>
      <w:r w:rsidR="00F425CB" w:rsidRPr="007E7990">
        <w:t>egavoltage</w:t>
      </w:r>
      <w:proofErr w:type="gramEnd"/>
      <w:r w:rsidR="00F425CB" w:rsidRPr="007E7990">
        <w:t xml:space="preserve"> (linac) radiation therapy.</w:t>
      </w:r>
    </w:p>
    <w:p w:rsidR="00F425CB" w:rsidRPr="007E7990" w:rsidRDefault="00F425CB" w:rsidP="00A7634B"/>
    <w:p w:rsidR="007E7990" w:rsidRPr="007E7990" w:rsidRDefault="00F425CB" w:rsidP="00A7634B">
      <w:r w:rsidRPr="007E7990">
        <w:t>Average per unit costs excluding linac depreciation and costs of capital for the four reporting centres are used to estimate the costs incurred by other cancer centres including the two private centres (ARO and St Georges)</w:t>
      </w:r>
      <w:r w:rsidR="00A7634B">
        <w:t>.</w:t>
      </w:r>
      <w:r w:rsidRPr="00A7634B">
        <w:rPr>
          <w:rStyle w:val="FootnoteReference"/>
        </w:rPr>
        <w:footnoteReference w:id="24"/>
      </w:r>
      <w:r w:rsidR="007E7990" w:rsidRPr="007E7990">
        <w:t xml:space="preserve"> </w:t>
      </w:r>
      <w:r w:rsidRPr="007E7990">
        <w:t xml:space="preserve">Depreciation and costs of capital for existing, replacement, and any additional linacs are separately modelled based on the assumptions listed in </w:t>
      </w:r>
      <w:r w:rsidR="00A7634B">
        <w:t>Table 5</w:t>
      </w:r>
      <w:r w:rsidRPr="007E7990">
        <w:t>. Depreciation and interest costs at a centre level will depend on depreciation methods and financing arrangements used at time of purchase and over the useful life of the linac.</w:t>
      </w:r>
      <w:r w:rsidR="007E7990" w:rsidRPr="007E7990">
        <w:t xml:space="preserve"> </w:t>
      </w:r>
      <w:r w:rsidRPr="007E7990">
        <w:t>These modelled costs are therefore indicative only.</w:t>
      </w:r>
      <w:r w:rsidR="007E7990" w:rsidRPr="007E7990">
        <w:t xml:space="preserve"> </w:t>
      </w:r>
      <w:r w:rsidRPr="007E7990">
        <w:t>The interest costs are best considered as an indication of the opportunity cost of capital to funders of different Model scenarios.</w:t>
      </w:r>
    </w:p>
    <w:p w:rsidR="00F425CB" w:rsidRPr="007E7990" w:rsidRDefault="00F425CB" w:rsidP="00A7634B"/>
    <w:p w:rsidR="007E7990" w:rsidRPr="007E7990" w:rsidRDefault="00F425CB" w:rsidP="00A7634B">
      <w:r w:rsidRPr="007E7990">
        <w:t>Public and privately funded radiation therapy costs are included in the Model.</w:t>
      </w:r>
      <w:r w:rsidR="007E7990" w:rsidRPr="007E7990">
        <w:t xml:space="preserve"> </w:t>
      </w:r>
      <w:r w:rsidRPr="007E7990">
        <w:t>For simplicity, the Model uses the average of the four reporting cancer centres, regardless of whether a DHB or a private funder is paying for the service from a public or private provider.</w:t>
      </w:r>
    </w:p>
    <w:p w:rsidR="00F425CB" w:rsidRPr="007E7990" w:rsidRDefault="00F425CB" w:rsidP="00A7634B"/>
    <w:p w:rsidR="007E7990" w:rsidRPr="007E7990" w:rsidRDefault="00F425CB" w:rsidP="00A7634B">
      <w:r w:rsidRPr="007E7990">
        <w:t>Transport and accommodation costs to DHBs, private insurers and patients have not been included in the Model, nor have any other diagnostic costs such as additional MRIs and CT scans apart from those included in the first specialist assessment and specialist follow-up appointments.</w:t>
      </w:r>
      <w:r w:rsidR="007E7990" w:rsidRPr="007E7990">
        <w:t xml:space="preserve"> </w:t>
      </w:r>
      <w:r w:rsidRPr="007E7990">
        <w:t>Further, patient out-of-pocket payments for private health insurance or other direct treatment expenses have not been included.</w:t>
      </w:r>
    </w:p>
    <w:p w:rsidR="00F425CB" w:rsidRPr="007E7990" w:rsidRDefault="00F425CB" w:rsidP="00A7634B"/>
    <w:p w:rsidR="00F425CB" w:rsidRPr="007E7990" w:rsidRDefault="00F425CB" w:rsidP="00A7634B">
      <w:r w:rsidRPr="007E7990">
        <w:t xml:space="preserve">Capital investment costs are estimated based on the price assumptions listed in </w:t>
      </w:r>
      <w:r w:rsidR="00A7634B">
        <w:t>Table 5</w:t>
      </w:r>
      <w:r w:rsidRPr="007E7990">
        <w:t xml:space="preserve"> and capacity requirement outputs from the Model (replacement and additional linac requirements).</w:t>
      </w:r>
      <w:r w:rsidR="007E7990" w:rsidRPr="007E7990">
        <w:t xml:space="preserve"> </w:t>
      </w:r>
      <w:r w:rsidRPr="007E7990">
        <w:t xml:space="preserve">The two-linac private development currently underway in Tauranga is assumed in the base, and so these are not included as added linacs in the scenarios, </w:t>
      </w:r>
      <w:proofErr w:type="gramStart"/>
      <w:r w:rsidRPr="007E7990">
        <w:t>nor</w:t>
      </w:r>
      <w:proofErr w:type="gramEnd"/>
      <w:r w:rsidRPr="007E7990">
        <w:t xml:space="preserve"> as added capital costs.</w:t>
      </w:r>
    </w:p>
    <w:p w:rsidR="00F425CB" w:rsidRPr="007E7990" w:rsidRDefault="00F425CB" w:rsidP="00A7634B"/>
    <w:p w:rsidR="00F425CB" w:rsidRPr="007E7990" w:rsidRDefault="00F425CB" w:rsidP="00A7634B">
      <w:r w:rsidRPr="007E7990">
        <w:t xml:space="preserve">Based on the approach described above, the Model estimates radiation oncology FSAs, specialist follow-up appointments, and </w:t>
      </w:r>
      <w:proofErr w:type="spellStart"/>
      <w:r w:rsidRPr="007E7990">
        <w:t>ortho</w:t>
      </w:r>
      <w:proofErr w:type="spellEnd"/>
      <w:r w:rsidRPr="007E7990">
        <w:t>/mega-voltage treatment attendances cost approximately $73 million in 2012/13.</w:t>
      </w:r>
      <w:r w:rsidR="007E7990" w:rsidRPr="007E7990">
        <w:t xml:space="preserve"> </w:t>
      </w:r>
      <w:r w:rsidRPr="007E7990">
        <w:t>This excludes linac-related depreciation and interest on borrowing.</w:t>
      </w:r>
      <w:r w:rsidR="007E7990" w:rsidRPr="007E7990">
        <w:t xml:space="preserve"> </w:t>
      </w:r>
      <w:r w:rsidRPr="007E7990">
        <w:t>When these latter costs are included, total annual costs are estimated to be $103</w:t>
      </w:r>
      <w:r w:rsidR="00A7634B">
        <w:t> </w:t>
      </w:r>
      <w:r w:rsidRPr="007E7990">
        <w:t>million in 2012/13 but it should be noted that as per above, this estimate is indicative only and interest costs are best considered as an indication of the opportunity cost of capital to funders.</w:t>
      </w:r>
    </w:p>
    <w:p w:rsidR="00F425CB" w:rsidRPr="007E7990" w:rsidRDefault="00F425CB" w:rsidP="00A7634B"/>
    <w:p w:rsidR="00F425CB" w:rsidRPr="007E7990" w:rsidRDefault="00F425CB" w:rsidP="00A7634B">
      <w:pPr>
        <w:pStyle w:val="Heading2"/>
      </w:pPr>
      <w:bookmarkStart w:id="90" w:name="_Toc376936366"/>
      <w:bookmarkStart w:id="91" w:name="_Toc384202860"/>
      <w:r w:rsidRPr="007E7990">
        <w:lastRenderedPageBreak/>
        <w:t>4.3</w:t>
      </w:r>
      <w:r w:rsidRPr="007E7990">
        <w:tab/>
        <w:t>Model scenarios</w:t>
      </w:r>
      <w:bookmarkEnd w:id="90"/>
      <w:bookmarkEnd w:id="91"/>
    </w:p>
    <w:p w:rsidR="00F425CB" w:rsidRDefault="00F425CB" w:rsidP="00560F3C">
      <w:r w:rsidRPr="007E7990">
        <w:t>The volume of radiation therapy courses has risen steadily over the past 10 years in step with the increased investment in cancer services through the Cancer Control Strategy and widening scope of radiation therapy treatment.</w:t>
      </w:r>
      <w:r w:rsidR="007E7990" w:rsidRPr="007E7990">
        <w:t xml:space="preserve"> </w:t>
      </w:r>
      <w:r w:rsidRPr="007E7990">
        <w:t>If this trend continues it is expected that the next 10 years will see a further lift in courses per 100 registrations unless prevented by capacity constraints.</w:t>
      </w:r>
      <w:r w:rsidR="007E7990" w:rsidRPr="007E7990">
        <w:t xml:space="preserve"> </w:t>
      </w:r>
      <w:r w:rsidRPr="007E7990">
        <w:t>Scenarios have been constructed to illustrate this potential growth, using the intervention rate (IR) as the key driver.</w:t>
      </w:r>
      <w:r w:rsidR="007E7990" w:rsidRPr="007E7990">
        <w:t xml:space="preserve"> </w:t>
      </w:r>
      <w:r w:rsidR="00560F3C">
        <w:t>Table 6</w:t>
      </w:r>
      <w:r w:rsidRPr="007E7990">
        <w:t xml:space="preserve"> shows the scenarios, starting with the current rate as the Base scenario.</w:t>
      </w:r>
      <w:r w:rsidR="007E7990" w:rsidRPr="007E7990">
        <w:t xml:space="preserve"> </w:t>
      </w:r>
      <w:r w:rsidRPr="007E7990">
        <w:t>The Modest Growth scenario – to 40% IR</w:t>
      </w:r>
      <w:r w:rsidR="007E7990" w:rsidRPr="007E7990">
        <w:t xml:space="preserve"> – </w:t>
      </w:r>
      <w:r w:rsidRPr="007E7990">
        <w:t>is suggested by the past IR rises.</w:t>
      </w:r>
      <w:r w:rsidR="007E7990" w:rsidRPr="007E7990">
        <w:t xml:space="preserve"> </w:t>
      </w:r>
      <w:r w:rsidRPr="007E7990">
        <w:t>Any activity that increased IRs further would suggest that the Growth scenario (45% IR) would come to the fore.</w:t>
      </w:r>
      <w:r w:rsidR="007E7990" w:rsidRPr="007E7990">
        <w:t xml:space="preserve"> </w:t>
      </w:r>
      <w:r w:rsidRPr="007E7990">
        <w:t>The Maximal Growth scenario at 50% IR is around the highest rate suggested in the international literature and is considered less likely.</w:t>
      </w:r>
      <w:r w:rsidR="007E7990" w:rsidRPr="007E7990">
        <w:t xml:space="preserve"> </w:t>
      </w:r>
      <w:r w:rsidRPr="007E7990">
        <w:t>Scenarios explored in the Model assume reduction in variation between DHBs over time.</w:t>
      </w:r>
      <w:r w:rsidR="007E7990" w:rsidRPr="007E7990">
        <w:t xml:space="preserve"> </w:t>
      </w:r>
      <w:r w:rsidRPr="007E7990">
        <w:t>The assumed path forward is discussed further in Section 5.1.</w:t>
      </w:r>
    </w:p>
    <w:p w:rsidR="00560F3C" w:rsidRPr="007E7990" w:rsidRDefault="00560F3C" w:rsidP="00560F3C"/>
    <w:p w:rsidR="00F425CB" w:rsidRPr="007E7990" w:rsidRDefault="00F425CB" w:rsidP="00560F3C">
      <w:pPr>
        <w:pStyle w:val="Table"/>
      </w:pPr>
      <w:bookmarkStart w:id="92" w:name="_Ref367259353"/>
      <w:bookmarkStart w:id="93" w:name="_Toc384202881"/>
      <w:r w:rsidRPr="007E7990">
        <w:t xml:space="preserve">Table </w:t>
      </w:r>
      <w:r w:rsidR="00560F3C">
        <w:t>6:</w:t>
      </w:r>
      <w:bookmarkEnd w:id="92"/>
      <w:r w:rsidR="007E7990" w:rsidRPr="007E7990">
        <w:t xml:space="preserve"> </w:t>
      </w:r>
      <w:r w:rsidRPr="007E7990">
        <w:t>Model scenarios</w:t>
      </w:r>
      <w:bookmarkEnd w:id="93"/>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594"/>
        <w:gridCol w:w="908"/>
        <w:gridCol w:w="1020"/>
        <w:gridCol w:w="5834"/>
      </w:tblGrid>
      <w:tr w:rsidR="00F425CB" w:rsidRPr="005F6748" w:rsidTr="00C73F47">
        <w:trPr>
          <w:cantSplit/>
        </w:trPr>
        <w:tc>
          <w:tcPr>
            <w:tcW w:w="1594" w:type="dxa"/>
            <w:shd w:val="clear" w:color="auto" w:fill="BDE2FF"/>
          </w:tcPr>
          <w:p w:rsidR="00F425CB" w:rsidRPr="005F6748" w:rsidRDefault="00F425CB" w:rsidP="005F6748">
            <w:pPr>
              <w:pStyle w:val="TableText"/>
              <w:rPr>
                <w:b/>
              </w:rPr>
            </w:pPr>
            <w:r w:rsidRPr="005F6748">
              <w:rPr>
                <w:b/>
              </w:rPr>
              <w:t>Scenario</w:t>
            </w:r>
          </w:p>
        </w:tc>
        <w:tc>
          <w:tcPr>
            <w:tcW w:w="908" w:type="dxa"/>
            <w:shd w:val="clear" w:color="auto" w:fill="BDE2FF"/>
          </w:tcPr>
          <w:p w:rsidR="00F425CB" w:rsidRPr="005F6748" w:rsidRDefault="00F425CB" w:rsidP="005F6748">
            <w:pPr>
              <w:pStyle w:val="TableText"/>
              <w:jc w:val="center"/>
              <w:rPr>
                <w:b/>
              </w:rPr>
            </w:pPr>
            <w:r w:rsidRPr="005F6748">
              <w:rPr>
                <w:b/>
              </w:rPr>
              <w:t>IR</w:t>
            </w:r>
          </w:p>
        </w:tc>
        <w:tc>
          <w:tcPr>
            <w:tcW w:w="1020" w:type="dxa"/>
            <w:shd w:val="clear" w:color="auto" w:fill="BDE2FF"/>
          </w:tcPr>
          <w:p w:rsidR="00F425CB" w:rsidRPr="005F6748" w:rsidRDefault="00F425CB" w:rsidP="005F6748">
            <w:pPr>
              <w:pStyle w:val="TableText"/>
              <w:jc w:val="center"/>
              <w:rPr>
                <w:b/>
              </w:rPr>
            </w:pPr>
            <w:r w:rsidRPr="005F6748">
              <w:rPr>
                <w:b/>
              </w:rPr>
              <w:t>RTR</w:t>
            </w:r>
          </w:p>
        </w:tc>
        <w:tc>
          <w:tcPr>
            <w:tcW w:w="5834" w:type="dxa"/>
            <w:shd w:val="clear" w:color="auto" w:fill="BDE2FF"/>
          </w:tcPr>
          <w:p w:rsidR="00F425CB" w:rsidRPr="005F6748" w:rsidRDefault="00F425CB" w:rsidP="005F6748">
            <w:pPr>
              <w:pStyle w:val="TableText"/>
              <w:jc w:val="center"/>
              <w:rPr>
                <w:b/>
              </w:rPr>
            </w:pPr>
            <w:r w:rsidRPr="005F6748">
              <w:rPr>
                <w:b/>
              </w:rPr>
              <w:t>Comment</w:t>
            </w:r>
          </w:p>
        </w:tc>
      </w:tr>
      <w:tr w:rsidR="00F425CB" w:rsidRPr="0021236A" w:rsidTr="00C73F47">
        <w:trPr>
          <w:cantSplit/>
        </w:trPr>
        <w:tc>
          <w:tcPr>
            <w:tcW w:w="1594" w:type="dxa"/>
          </w:tcPr>
          <w:p w:rsidR="00F425CB" w:rsidRPr="00A926DC" w:rsidRDefault="00F425CB" w:rsidP="005F6748">
            <w:pPr>
              <w:pStyle w:val="TableText"/>
            </w:pPr>
            <w:r w:rsidRPr="00A926DC">
              <w:t>Base</w:t>
            </w:r>
          </w:p>
        </w:tc>
        <w:tc>
          <w:tcPr>
            <w:tcW w:w="908" w:type="dxa"/>
          </w:tcPr>
          <w:p w:rsidR="00F425CB" w:rsidRPr="0021236A" w:rsidRDefault="00F425CB" w:rsidP="005F6748">
            <w:pPr>
              <w:pStyle w:val="TableText"/>
              <w:jc w:val="center"/>
            </w:pPr>
            <w:r w:rsidRPr="0021236A">
              <w:t>Current</w:t>
            </w:r>
          </w:p>
        </w:tc>
        <w:tc>
          <w:tcPr>
            <w:tcW w:w="1020" w:type="dxa"/>
          </w:tcPr>
          <w:p w:rsidR="00F425CB" w:rsidRPr="0021236A" w:rsidRDefault="00F425CB" w:rsidP="005F6748">
            <w:pPr>
              <w:pStyle w:val="TableText"/>
              <w:jc w:val="center"/>
            </w:pPr>
            <w:r w:rsidRPr="0021236A">
              <w:t>Current</w:t>
            </w:r>
          </w:p>
        </w:tc>
        <w:tc>
          <w:tcPr>
            <w:tcW w:w="5834" w:type="dxa"/>
          </w:tcPr>
          <w:p w:rsidR="00F425CB" w:rsidRPr="0021236A" w:rsidRDefault="00F425CB" w:rsidP="005F6748">
            <w:pPr>
              <w:pStyle w:val="TableText"/>
            </w:pPr>
            <w:r w:rsidRPr="0021236A">
              <w:t>Each DHB</w:t>
            </w:r>
            <w:r w:rsidR="007E7990">
              <w:t>’</w:t>
            </w:r>
            <w:r w:rsidRPr="0021236A">
              <w:t>s</w:t>
            </w:r>
            <w:r>
              <w:t xml:space="preserve"> intervention rate</w:t>
            </w:r>
            <w:r w:rsidRPr="0021236A">
              <w:t xml:space="preserve"> </w:t>
            </w:r>
            <w:r>
              <w:t>(</w:t>
            </w:r>
            <w:r w:rsidRPr="0021236A">
              <w:t>IR</w:t>
            </w:r>
            <w:r>
              <w:t>)</w:t>
            </w:r>
            <w:r w:rsidRPr="0021236A">
              <w:t xml:space="preserve"> and </w:t>
            </w:r>
            <w:r>
              <w:t>retreatment rate (</w:t>
            </w:r>
            <w:r w:rsidRPr="0021236A">
              <w:t>RTR</w:t>
            </w:r>
            <w:r>
              <w:t>)</w:t>
            </w:r>
            <w:r w:rsidRPr="0021236A">
              <w:t xml:space="preserve"> and all other linac operating parameters are assumed to stay the same as in 2012.</w:t>
            </w:r>
            <w:r w:rsidR="007E7990">
              <w:t xml:space="preserve"> </w:t>
            </w:r>
            <w:r w:rsidRPr="0021236A">
              <w:t>This is effectively showing the capacity growth due to the increases i</w:t>
            </w:r>
            <w:r w:rsidR="005F6748">
              <w:t>n cancer registrations expected.</w:t>
            </w:r>
          </w:p>
        </w:tc>
      </w:tr>
      <w:tr w:rsidR="00F425CB" w:rsidRPr="0021236A" w:rsidTr="00C73F47">
        <w:trPr>
          <w:cantSplit/>
        </w:trPr>
        <w:tc>
          <w:tcPr>
            <w:tcW w:w="1594" w:type="dxa"/>
          </w:tcPr>
          <w:p w:rsidR="00F425CB" w:rsidRPr="00A926DC" w:rsidRDefault="00F425CB" w:rsidP="005F6748">
            <w:pPr>
              <w:pStyle w:val="TableText"/>
            </w:pPr>
            <w:r w:rsidRPr="00A926DC">
              <w:t xml:space="preserve">Modest </w:t>
            </w:r>
            <w:r w:rsidR="005F6748">
              <w:t>g</w:t>
            </w:r>
            <w:r w:rsidRPr="00A926DC">
              <w:t>rowth</w:t>
            </w:r>
          </w:p>
        </w:tc>
        <w:tc>
          <w:tcPr>
            <w:tcW w:w="908" w:type="dxa"/>
          </w:tcPr>
          <w:p w:rsidR="00F425CB" w:rsidRPr="0021236A" w:rsidRDefault="00F425CB" w:rsidP="005F6748">
            <w:pPr>
              <w:pStyle w:val="TableText"/>
              <w:jc w:val="center"/>
            </w:pPr>
            <w:r w:rsidRPr="0021236A">
              <w:t>40%</w:t>
            </w:r>
          </w:p>
        </w:tc>
        <w:tc>
          <w:tcPr>
            <w:tcW w:w="1020" w:type="dxa"/>
          </w:tcPr>
          <w:p w:rsidR="00F425CB" w:rsidRPr="0021236A" w:rsidRDefault="00F425CB" w:rsidP="005F6748">
            <w:pPr>
              <w:pStyle w:val="TableText"/>
              <w:jc w:val="center"/>
            </w:pPr>
            <w:r w:rsidRPr="0021236A">
              <w:t>Current</w:t>
            </w:r>
          </w:p>
        </w:tc>
        <w:tc>
          <w:tcPr>
            <w:tcW w:w="5834" w:type="dxa"/>
          </w:tcPr>
          <w:p w:rsidR="00F425CB" w:rsidRPr="0021236A" w:rsidRDefault="00F425CB" w:rsidP="005F6748">
            <w:pPr>
              <w:pStyle w:val="TableText"/>
            </w:pPr>
            <w:r w:rsidRPr="0021236A">
              <w:t>Assumes the national average IR moves to 40% by 2022.</w:t>
            </w:r>
          </w:p>
        </w:tc>
      </w:tr>
      <w:tr w:rsidR="00F425CB" w:rsidRPr="0021236A" w:rsidTr="00C73F47">
        <w:trPr>
          <w:cantSplit/>
        </w:trPr>
        <w:tc>
          <w:tcPr>
            <w:tcW w:w="1594" w:type="dxa"/>
          </w:tcPr>
          <w:p w:rsidR="00F425CB" w:rsidRPr="00A926DC" w:rsidRDefault="00F425CB" w:rsidP="005F6748">
            <w:pPr>
              <w:pStyle w:val="TableText"/>
            </w:pPr>
            <w:r w:rsidRPr="00A926DC">
              <w:t>Growth</w:t>
            </w:r>
          </w:p>
        </w:tc>
        <w:tc>
          <w:tcPr>
            <w:tcW w:w="908" w:type="dxa"/>
          </w:tcPr>
          <w:p w:rsidR="00F425CB" w:rsidRPr="0021236A" w:rsidRDefault="00F425CB" w:rsidP="005F6748">
            <w:pPr>
              <w:pStyle w:val="TableText"/>
              <w:jc w:val="center"/>
            </w:pPr>
            <w:r w:rsidRPr="0021236A">
              <w:t>45%</w:t>
            </w:r>
          </w:p>
        </w:tc>
        <w:tc>
          <w:tcPr>
            <w:tcW w:w="1020" w:type="dxa"/>
          </w:tcPr>
          <w:p w:rsidR="00F425CB" w:rsidRPr="0021236A" w:rsidRDefault="00F425CB" w:rsidP="005F6748">
            <w:pPr>
              <w:pStyle w:val="TableText"/>
              <w:jc w:val="center"/>
            </w:pPr>
            <w:r w:rsidRPr="0021236A">
              <w:t>Current</w:t>
            </w:r>
          </w:p>
        </w:tc>
        <w:tc>
          <w:tcPr>
            <w:tcW w:w="5834" w:type="dxa"/>
          </w:tcPr>
          <w:p w:rsidR="00F425CB" w:rsidRPr="0021236A" w:rsidRDefault="00F425CB" w:rsidP="005F6748">
            <w:pPr>
              <w:pStyle w:val="TableText"/>
            </w:pPr>
            <w:r w:rsidRPr="0021236A">
              <w:t>IR moves to 45% by 2022</w:t>
            </w:r>
            <w:r w:rsidR="005F6748">
              <w:t>.</w:t>
            </w:r>
          </w:p>
        </w:tc>
      </w:tr>
      <w:tr w:rsidR="00F425CB" w:rsidRPr="0021236A" w:rsidTr="00C73F47">
        <w:trPr>
          <w:cantSplit/>
        </w:trPr>
        <w:tc>
          <w:tcPr>
            <w:tcW w:w="1594" w:type="dxa"/>
          </w:tcPr>
          <w:p w:rsidR="00F425CB" w:rsidRPr="00A926DC" w:rsidRDefault="00F425CB" w:rsidP="005F6748">
            <w:pPr>
              <w:pStyle w:val="TableText"/>
            </w:pPr>
            <w:r w:rsidRPr="00A926DC">
              <w:t xml:space="preserve">Maximal </w:t>
            </w:r>
            <w:r w:rsidR="005F6748">
              <w:t>g</w:t>
            </w:r>
            <w:r w:rsidRPr="00A926DC">
              <w:t>rowth</w:t>
            </w:r>
          </w:p>
        </w:tc>
        <w:tc>
          <w:tcPr>
            <w:tcW w:w="908" w:type="dxa"/>
          </w:tcPr>
          <w:p w:rsidR="00F425CB" w:rsidRPr="0021236A" w:rsidRDefault="00F425CB" w:rsidP="005F6748">
            <w:pPr>
              <w:pStyle w:val="TableText"/>
              <w:jc w:val="center"/>
            </w:pPr>
            <w:r w:rsidRPr="0021236A">
              <w:t>50%</w:t>
            </w:r>
          </w:p>
        </w:tc>
        <w:tc>
          <w:tcPr>
            <w:tcW w:w="1020" w:type="dxa"/>
          </w:tcPr>
          <w:p w:rsidR="00F425CB" w:rsidRPr="0021236A" w:rsidRDefault="00F425CB" w:rsidP="005F6748">
            <w:pPr>
              <w:pStyle w:val="TableText"/>
              <w:jc w:val="center"/>
            </w:pPr>
            <w:r w:rsidRPr="0021236A">
              <w:t>Current</w:t>
            </w:r>
          </w:p>
        </w:tc>
        <w:tc>
          <w:tcPr>
            <w:tcW w:w="5834" w:type="dxa"/>
          </w:tcPr>
          <w:p w:rsidR="00F425CB" w:rsidRPr="0021236A" w:rsidRDefault="00F425CB" w:rsidP="005F6748">
            <w:pPr>
              <w:pStyle w:val="TableText"/>
            </w:pPr>
            <w:r w:rsidRPr="0021236A">
              <w:t>IR moves to 50% by 2022</w:t>
            </w:r>
            <w:r w:rsidR="005F6748">
              <w:t>.</w:t>
            </w:r>
          </w:p>
        </w:tc>
      </w:tr>
    </w:tbl>
    <w:p w:rsidR="00F425CB" w:rsidRPr="007E7990" w:rsidRDefault="00F425CB" w:rsidP="005F6748"/>
    <w:p w:rsidR="00F425CB" w:rsidRPr="007E7990" w:rsidRDefault="00F425CB" w:rsidP="005F6748">
      <w:pPr>
        <w:pStyle w:val="Heading2"/>
      </w:pPr>
      <w:bookmarkStart w:id="94" w:name="_Toc376936367"/>
      <w:bookmarkStart w:id="95" w:name="_Toc384202861"/>
      <w:r w:rsidRPr="007E7990">
        <w:t>4.4</w:t>
      </w:r>
      <w:r w:rsidR="005F6748">
        <w:tab/>
      </w:r>
      <w:r w:rsidRPr="007E7990">
        <w:t>Model results</w:t>
      </w:r>
      <w:bookmarkStart w:id="96" w:name="_Toc367372303"/>
      <w:bookmarkEnd w:id="94"/>
      <w:bookmarkEnd w:id="95"/>
    </w:p>
    <w:p w:rsidR="00F425CB" w:rsidRPr="007E7990" w:rsidRDefault="00F425CB" w:rsidP="005F6748">
      <w:pPr>
        <w:pStyle w:val="Heading3"/>
      </w:pPr>
      <w:bookmarkStart w:id="97" w:name="_Toc376936368"/>
      <w:r w:rsidRPr="007E7990">
        <w:t>4.4.1</w:t>
      </w:r>
      <w:r w:rsidRPr="007E7990">
        <w:tab/>
        <w:t>Linac capacity</w:t>
      </w:r>
      <w:bookmarkEnd w:id="96"/>
      <w:r w:rsidRPr="007E7990">
        <w:t xml:space="preserve"> requirement</w:t>
      </w:r>
      <w:bookmarkEnd w:id="97"/>
    </w:p>
    <w:p w:rsidR="007E7990" w:rsidRPr="007E7990" w:rsidRDefault="00F425CB" w:rsidP="005F6748">
      <w:r w:rsidRPr="007E7990">
        <w:t xml:space="preserve">The scenario results are shown in </w:t>
      </w:r>
      <w:r w:rsidR="005F6748">
        <w:t>Table 7</w:t>
      </w:r>
      <w:r w:rsidRPr="007E7990">
        <w:t>.</w:t>
      </w:r>
      <w:r w:rsidR="007E7990" w:rsidRPr="007E7990">
        <w:t xml:space="preserve"> </w:t>
      </w:r>
      <w:r w:rsidRPr="007E7990">
        <w:t>If the 2012 IR and RTR were maintained to 2022, and all other linac operating parameters were maintained at current rates, including current operating hours, the Base scenario indicates a need for eight additional linacs over the next 10</w:t>
      </w:r>
      <w:r w:rsidR="005F6748">
        <w:t> </w:t>
      </w:r>
      <w:r w:rsidRPr="007E7990">
        <w:t>years, beginning in 2013 (in addition to the two in Tauranga in 2014 which are already factored in).</w:t>
      </w:r>
      <w:r w:rsidR="007E7990" w:rsidRPr="007E7990">
        <w:t xml:space="preserve"> </w:t>
      </w:r>
      <w:r w:rsidRPr="007E7990">
        <w:t>The Model nominally suggests the first builds will be needed in Auckland, MidCentral and Capital and Coast DHBs.</w:t>
      </w:r>
      <w:r w:rsidR="007E7990" w:rsidRPr="007E7990">
        <w:t xml:space="preserve"> </w:t>
      </w:r>
      <w:r w:rsidRPr="007E7990">
        <w:t>This is effectively the capacity growth due to the increases in cancer registrations expected – mainly the result of population growth and ageing.</w:t>
      </w:r>
    </w:p>
    <w:p w:rsidR="00F425CB" w:rsidRDefault="00F425CB" w:rsidP="005F6748"/>
    <w:p w:rsidR="00F425CB" w:rsidRPr="007E7990" w:rsidRDefault="00F425CB" w:rsidP="005F6748">
      <w:pPr>
        <w:pStyle w:val="Table"/>
      </w:pPr>
      <w:bookmarkStart w:id="98" w:name="_Ref367172340"/>
      <w:bookmarkStart w:id="99" w:name="_Toc384202882"/>
      <w:r w:rsidRPr="007E7990">
        <w:t xml:space="preserve">Table </w:t>
      </w:r>
      <w:r w:rsidR="005F6748">
        <w:t>7</w:t>
      </w:r>
      <w:bookmarkEnd w:id="98"/>
      <w:r w:rsidR="005F6748">
        <w:t>:</w:t>
      </w:r>
      <w:r w:rsidR="007E7990" w:rsidRPr="007E7990">
        <w:t xml:space="preserve"> </w:t>
      </w:r>
      <w:r w:rsidRPr="007E7990">
        <w:t>Additional linac capacity suggested under Model scenarios</w:t>
      </w:r>
      <w:bookmarkEnd w:id="99"/>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410"/>
        <w:gridCol w:w="2501"/>
        <w:gridCol w:w="2177"/>
        <w:gridCol w:w="2268"/>
      </w:tblGrid>
      <w:tr w:rsidR="00F425CB" w:rsidRPr="00A11198" w:rsidTr="00C73F47">
        <w:trPr>
          <w:cantSplit/>
        </w:trPr>
        <w:tc>
          <w:tcPr>
            <w:tcW w:w="2410" w:type="dxa"/>
            <w:shd w:val="clear" w:color="auto" w:fill="BDE2FF"/>
          </w:tcPr>
          <w:p w:rsidR="00F425CB" w:rsidRPr="00A11198" w:rsidRDefault="00F425CB" w:rsidP="00A11198">
            <w:pPr>
              <w:pStyle w:val="TableText"/>
              <w:rPr>
                <w:b/>
                <w:lang w:eastAsia="en-NZ"/>
              </w:rPr>
            </w:pPr>
            <w:r w:rsidRPr="00A11198">
              <w:rPr>
                <w:b/>
                <w:lang w:eastAsia="en-NZ"/>
              </w:rPr>
              <w:t>Scenario</w:t>
            </w:r>
          </w:p>
        </w:tc>
        <w:tc>
          <w:tcPr>
            <w:tcW w:w="2501" w:type="dxa"/>
            <w:shd w:val="clear" w:color="auto" w:fill="BDE2FF"/>
          </w:tcPr>
          <w:p w:rsidR="00F425CB" w:rsidRPr="00A11198" w:rsidRDefault="00F425CB" w:rsidP="00A11198">
            <w:pPr>
              <w:pStyle w:val="TableText"/>
              <w:jc w:val="center"/>
              <w:rPr>
                <w:b/>
                <w:lang w:eastAsia="en-NZ"/>
              </w:rPr>
            </w:pPr>
            <w:r w:rsidRPr="00A11198">
              <w:rPr>
                <w:b/>
                <w:lang w:eastAsia="en-NZ"/>
              </w:rPr>
              <w:t>Rate</w:t>
            </w:r>
          </w:p>
        </w:tc>
        <w:tc>
          <w:tcPr>
            <w:tcW w:w="2177" w:type="dxa"/>
            <w:shd w:val="clear" w:color="auto" w:fill="BDE2FF"/>
          </w:tcPr>
          <w:p w:rsidR="00F425CB" w:rsidRPr="00A11198" w:rsidRDefault="00F425CB" w:rsidP="00A11198">
            <w:pPr>
              <w:pStyle w:val="TableText"/>
              <w:jc w:val="center"/>
              <w:rPr>
                <w:b/>
                <w:lang w:eastAsia="en-NZ"/>
              </w:rPr>
            </w:pPr>
            <w:r w:rsidRPr="00A11198">
              <w:rPr>
                <w:b/>
                <w:lang w:eastAsia="en-NZ"/>
              </w:rPr>
              <w:t>Added linacs</w:t>
            </w:r>
          </w:p>
        </w:tc>
        <w:tc>
          <w:tcPr>
            <w:tcW w:w="2268" w:type="dxa"/>
            <w:shd w:val="clear" w:color="auto" w:fill="BDE2FF"/>
          </w:tcPr>
          <w:p w:rsidR="00F425CB" w:rsidRPr="00A11198" w:rsidRDefault="00F425CB" w:rsidP="00A11198">
            <w:pPr>
              <w:pStyle w:val="TableText"/>
              <w:jc w:val="center"/>
              <w:rPr>
                <w:b/>
                <w:lang w:eastAsia="en-NZ"/>
              </w:rPr>
            </w:pPr>
            <w:r w:rsidRPr="00A11198">
              <w:rPr>
                <w:b/>
                <w:lang w:eastAsia="en-NZ"/>
              </w:rPr>
              <w:t>Total linacs in 2022</w:t>
            </w:r>
          </w:p>
        </w:tc>
      </w:tr>
      <w:tr w:rsidR="00F425CB" w:rsidRPr="0021236A" w:rsidTr="00C73F47">
        <w:trPr>
          <w:cantSplit/>
        </w:trPr>
        <w:tc>
          <w:tcPr>
            <w:tcW w:w="2410" w:type="dxa"/>
          </w:tcPr>
          <w:p w:rsidR="00F425CB" w:rsidRPr="0021236A" w:rsidRDefault="00F425CB" w:rsidP="00A11198">
            <w:pPr>
              <w:pStyle w:val="TableText"/>
            </w:pPr>
            <w:r w:rsidRPr="0021236A">
              <w:t>Base</w:t>
            </w:r>
          </w:p>
        </w:tc>
        <w:tc>
          <w:tcPr>
            <w:tcW w:w="2501" w:type="dxa"/>
          </w:tcPr>
          <w:p w:rsidR="00F425CB" w:rsidRPr="0021236A" w:rsidRDefault="00F425CB" w:rsidP="00A11198">
            <w:pPr>
              <w:pStyle w:val="TableText"/>
              <w:jc w:val="center"/>
            </w:pPr>
            <w:r w:rsidRPr="0021236A">
              <w:t>Current IR and RTR</w:t>
            </w:r>
          </w:p>
        </w:tc>
        <w:tc>
          <w:tcPr>
            <w:tcW w:w="2177" w:type="dxa"/>
          </w:tcPr>
          <w:p w:rsidR="00F425CB" w:rsidRPr="0021236A" w:rsidRDefault="00F425CB" w:rsidP="00A11198">
            <w:pPr>
              <w:pStyle w:val="TableText"/>
              <w:tabs>
                <w:tab w:val="decimal" w:pos="1077"/>
              </w:tabs>
              <w:rPr>
                <w:rFonts w:eastAsia="MS Gothic"/>
                <w:color w:val="404040"/>
              </w:rPr>
            </w:pPr>
            <w:r w:rsidRPr="0021236A">
              <w:t>8</w:t>
            </w:r>
          </w:p>
        </w:tc>
        <w:tc>
          <w:tcPr>
            <w:tcW w:w="2268" w:type="dxa"/>
          </w:tcPr>
          <w:p w:rsidR="00F425CB" w:rsidRPr="0021236A" w:rsidRDefault="00F425CB" w:rsidP="00A11198">
            <w:pPr>
              <w:pStyle w:val="TableText"/>
              <w:jc w:val="center"/>
            </w:pPr>
            <w:r w:rsidRPr="0021236A">
              <w:t>3</w:t>
            </w:r>
            <w:r>
              <w:t>9</w:t>
            </w:r>
          </w:p>
        </w:tc>
      </w:tr>
      <w:tr w:rsidR="00F425CB" w:rsidRPr="0021236A" w:rsidTr="00C73F47">
        <w:trPr>
          <w:cantSplit/>
        </w:trPr>
        <w:tc>
          <w:tcPr>
            <w:tcW w:w="2410" w:type="dxa"/>
          </w:tcPr>
          <w:p w:rsidR="00F425CB" w:rsidRPr="0021236A" w:rsidRDefault="00F425CB" w:rsidP="00A11198">
            <w:pPr>
              <w:pStyle w:val="TableText"/>
            </w:pPr>
            <w:r w:rsidRPr="0021236A">
              <w:t xml:space="preserve">Modest </w:t>
            </w:r>
            <w:r w:rsidR="00A11198">
              <w:t>g</w:t>
            </w:r>
            <w:r w:rsidRPr="0021236A">
              <w:t>rowth</w:t>
            </w:r>
          </w:p>
        </w:tc>
        <w:tc>
          <w:tcPr>
            <w:tcW w:w="2501" w:type="dxa"/>
          </w:tcPr>
          <w:p w:rsidR="00F425CB" w:rsidRPr="0021236A" w:rsidRDefault="00A11198" w:rsidP="00A11198">
            <w:pPr>
              <w:pStyle w:val="TableText"/>
              <w:jc w:val="center"/>
            </w:pPr>
            <w:r>
              <w:t>40% IR</w:t>
            </w:r>
          </w:p>
        </w:tc>
        <w:tc>
          <w:tcPr>
            <w:tcW w:w="2177" w:type="dxa"/>
          </w:tcPr>
          <w:p w:rsidR="00F425CB" w:rsidRPr="0021236A" w:rsidRDefault="00F425CB" w:rsidP="00A11198">
            <w:pPr>
              <w:pStyle w:val="TableText"/>
              <w:tabs>
                <w:tab w:val="decimal" w:pos="1077"/>
              </w:tabs>
              <w:rPr>
                <w:rFonts w:eastAsia="MS Gothic"/>
                <w:color w:val="404040"/>
              </w:rPr>
            </w:pPr>
            <w:r>
              <w:t>10</w:t>
            </w:r>
          </w:p>
        </w:tc>
        <w:tc>
          <w:tcPr>
            <w:tcW w:w="2268" w:type="dxa"/>
          </w:tcPr>
          <w:p w:rsidR="00F425CB" w:rsidRPr="0021236A" w:rsidRDefault="00F425CB" w:rsidP="00A11198">
            <w:pPr>
              <w:pStyle w:val="TableText"/>
              <w:jc w:val="center"/>
            </w:pPr>
            <w:r>
              <w:t>41</w:t>
            </w:r>
          </w:p>
        </w:tc>
      </w:tr>
      <w:tr w:rsidR="00F425CB" w:rsidRPr="0021236A" w:rsidTr="00C73F47">
        <w:trPr>
          <w:cantSplit/>
        </w:trPr>
        <w:tc>
          <w:tcPr>
            <w:tcW w:w="2410" w:type="dxa"/>
          </w:tcPr>
          <w:p w:rsidR="00F425CB" w:rsidRPr="0021236A" w:rsidRDefault="00F425CB" w:rsidP="00A11198">
            <w:pPr>
              <w:pStyle w:val="TableText"/>
            </w:pPr>
            <w:r w:rsidRPr="0021236A">
              <w:t>Growth</w:t>
            </w:r>
          </w:p>
        </w:tc>
        <w:tc>
          <w:tcPr>
            <w:tcW w:w="2501" w:type="dxa"/>
          </w:tcPr>
          <w:p w:rsidR="00F425CB" w:rsidRPr="0021236A" w:rsidRDefault="00F425CB" w:rsidP="00A11198">
            <w:pPr>
              <w:pStyle w:val="TableText"/>
              <w:jc w:val="center"/>
            </w:pPr>
            <w:r w:rsidRPr="0021236A">
              <w:t>45% IR</w:t>
            </w:r>
          </w:p>
        </w:tc>
        <w:tc>
          <w:tcPr>
            <w:tcW w:w="2177" w:type="dxa"/>
          </w:tcPr>
          <w:p w:rsidR="00F425CB" w:rsidRPr="0021236A" w:rsidRDefault="00F425CB" w:rsidP="00A11198">
            <w:pPr>
              <w:pStyle w:val="TableText"/>
              <w:tabs>
                <w:tab w:val="decimal" w:pos="1077"/>
              </w:tabs>
              <w:rPr>
                <w:rFonts w:eastAsia="MS Gothic"/>
                <w:color w:val="404040"/>
              </w:rPr>
            </w:pPr>
            <w:r>
              <w:t>17</w:t>
            </w:r>
          </w:p>
        </w:tc>
        <w:tc>
          <w:tcPr>
            <w:tcW w:w="2268" w:type="dxa"/>
          </w:tcPr>
          <w:p w:rsidR="00F425CB" w:rsidRPr="0021236A" w:rsidRDefault="00F425CB" w:rsidP="00A11198">
            <w:pPr>
              <w:pStyle w:val="TableText"/>
              <w:jc w:val="center"/>
            </w:pPr>
            <w:r>
              <w:t>48</w:t>
            </w:r>
          </w:p>
        </w:tc>
      </w:tr>
      <w:tr w:rsidR="00F425CB" w:rsidRPr="0021236A" w:rsidTr="00C73F47">
        <w:trPr>
          <w:cantSplit/>
        </w:trPr>
        <w:tc>
          <w:tcPr>
            <w:tcW w:w="2410" w:type="dxa"/>
          </w:tcPr>
          <w:p w:rsidR="00F425CB" w:rsidRPr="0021236A" w:rsidRDefault="00F425CB" w:rsidP="00A11198">
            <w:pPr>
              <w:pStyle w:val="TableText"/>
            </w:pPr>
            <w:r w:rsidRPr="0021236A">
              <w:t xml:space="preserve">Maximal </w:t>
            </w:r>
            <w:r w:rsidR="00A11198">
              <w:t>g</w:t>
            </w:r>
            <w:r w:rsidRPr="0021236A">
              <w:t>rowth</w:t>
            </w:r>
          </w:p>
        </w:tc>
        <w:tc>
          <w:tcPr>
            <w:tcW w:w="2501" w:type="dxa"/>
          </w:tcPr>
          <w:p w:rsidR="00F425CB" w:rsidRPr="0021236A" w:rsidRDefault="00F425CB" w:rsidP="00A11198">
            <w:pPr>
              <w:pStyle w:val="TableText"/>
              <w:jc w:val="center"/>
            </w:pPr>
            <w:r w:rsidRPr="0021236A">
              <w:t>50% IR</w:t>
            </w:r>
          </w:p>
        </w:tc>
        <w:tc>
          <w:tcPr>
            <w:tcW w:w="2177" w:type="dxa"/>
          </w:tcPr>
          <w:p w:rsidR="00F425CB" w:rsidRPr="0021236A" w:rsidRDefault="00F425CB" w:rsidP="00A11198">
            <w:pPr>
              <w:pStyle w:val="TableText"/>
              <w:tabs>
                <w:tab w:val="decimal" w:pos="1077"/>
              </w:tabs>
              <w:rPr>
                <w:rFonts w:eastAsia="MS Gothic"/>
                <w:color w:val="404040"/>
              </w:rPr>
            </w:pPr>
            <w:r>
              <w:t>20</w:t>
            </w:r>
          </w:p>
        </w:tc>
        <w:tc>
          <w:tcPr>
            <w:tcW w:w="2268" w:type="dxa"/>
          </w:tcPr>
          <w:p w:rsidR="00F425CB" w:rsidRPr="0021236A" w:rsidRDefault="00F425CB" w:rsidP="00A11198">
            <w:pPr>
              <w:pStyle w:val="TableText"/>
              <w:jc w:val="center"/>
            </w:pPr>
            <w:r>
              <w:t>51</w:t>
            </w:r>
          </w:p>
        </w:tc>
      </w:tr>
    </w:tbl>
    <w:p w:rsidR="00F425CB" w:rsidRPr="00A11198" w:rsidRDefault="00F425CB" w:rsidP="00A11198">
      <w:pPr>
        <w:pStyle w:val="Note"/>
        <w:rPr>
          <w:spacing w:val="-2"/>
        </w:rPr>
      </w:pPr>
      <w:r w:rsidRPr="00A11198">
        <w:rPr>
          <w:spacing w:val="-2"/>
        </w:rPr>
        <w:t>IR = intervention rate</w:t>
      </w:r>
      <w:r w:rsidR="007E7990" w:rsidRPr="00A11198">
        <w:rPr>
          <w:spacing w:val="-2"/>
        </w:rPr>
        <w:t xml:space="preserve"> – </w:t>
      </w:r>
      <w:r w:rsidRPr="00A11198">
        <w:rPr>
          <w:spacing w:val="-2"/>
        </w:rPr>
        <w:t>% all cancer registrations with at least one course of radiation therapy; RTR = retreatment rate.</w:t>
      </w:r>
    </w:p>
    <w:p w:rsidR="00F425CB" w:rsidRPr="007E7990" w:rsidRDefault="00F425CB" w:rsidP="00A11198"/>
    <w:p w:rsidR="007E7990" w:rsidRPr="007E7990" w:rsidRDefault="00F425CB" w:rsidP="00A11198">
      <w:r w:rsidRPr="007E7990">
        <w:lastRenderedPageBreak/>
        <w:t>The Modest Growth scenario, raising the average IR to 40%, would suggest the need for two more linacs</w:t>
      </w:r>
      <w:r w:rsidR="007E7990" w:rsidRPr="007E7990">
        <w:t xml:space="preserve"> – </w:t>
      </w:r>
      <w:r w:rsidRPr="007E7990">
        <w:t>increasing to 10 the new builds required.</w:t>
      </w:r>
      <w:r w:rsidR="007E7990" w:rsidRPr="007E7990">
        <w:t xml:space="preserve"> </w:t>
      </w:r>
      <w:r w:rsidRPr="007E7990">
        <w:t>The increase in IR compounds the RTR even when held at current rates</w:t>
      </w:r>
      <w:r w:rsidR="007E7990" w:rsidRPr="007E7990">
        <w:t xml:space="preserve"> – </w:t>
      </w:r>
      <w:r w:rsidRPr="007E7990">
        <w:t>as more people have first treatments, more are eligible for retreatments.</w:t>
      </w:r>
    </w:p>
    <w:p w:rsidR="00F425CB" w:rsidRPr="007E7990" w:rsidRDefault="00F425CB" w:rsidP="00A11198"/>
    <w:p w:rsidR="007E7990" w:rsidRPr="007E7990" w:rsidRDefault="00F425CB" w:rsidP="00A11198">
      <w:r>
        <w:t xml:space="preserve">Increasing the IR to </w:t>
      </w:r>
      <w:r w:rsidRPr="007E7990">
        <w:t>45% in the Growth scenario would suggest the need for seven further linacs, or 17 additional in total.</w:t>
      </w:r>
      <w:r w:rsidR="007E7990" w:rsidRPr="007E7990">
        <w:t xml:space="preserve"> </w:t>
      </w:r>
      <w:r w:rsidRPr="007E7990">
        <w:t>The Maximal Growth scenario at 50% IR would suggest adding a further three, taking it to 20 additional linacs overall.</w:t>
      </w:r>
    </w:p>
    <w:p w:rsidR="00F425CB" w:rsidRPr="007E7990" w:rsidRDefault="00F425CB" w:rsidP="00A11198"/>
    <w:p w:rsidR="00F425CB" w:rsidRPr="007E7990" w:rsidRDefault="00F425CB" w:rsidP="00A11198">
      <w:pPr>
        <w:pStyle w:val="Heading3"/>
      </w:pPr>
      <w:bookmarkStart w:id="100" w:name="_Toc367372304"/>
      <w:bookmarkStart w:id="101" w:name="_Toc376936369"/>
      <w:r w:rsidRPr="007E7990">
        <w:t>4.4.2</w:t>
      </w:r>
      <w:r w:rsidRPr="007E7990">
        <w:tab/>
        <w:t>Workforce capacity requirement</w:t>
      </w:r>
      <w:bookmarkEnd w:id="100"/>
      <w:bookmarkEnd w:id="101"/>
    </w:p>
    <w:p w:rsidR="00F425CB" w:rsidRPr="007E7990" w:rsidRDefault="00F425CB" w:rsidP="00A11198">
      <w:r w:rsidRPr="007E7990">
        <w:t>Based on the scenarios described above (</w:t>
      </w:r>
      <w:r w:rsidR="00A11198">
        <w:t>Table 6</w:t>
      </w:r>
      <w:r w:rsidRPr="007E7990">
        <w:t>), the radiation oncology workforce will need increased capacity if New Zealand is to be self-sufficient (</w:t>
      </w:r>
      <w:r w:rsidR="00A11198">
        <w:t>Table 8</w:t>
      </w:r>
      <w:r w:rsidRPr="007E7990">
        <w:t>).</w:t>
      </w:r>
      <w:r w:rsidR="007E7990" w:rsidRPr="007E7990">
        <w:t xml:space="preserve"> </w:t>
      </w:r>
      <w:r w:rsidRPr="007E7990">
        <w:t>The additional workers needed might come through added trainees graduating, or through higher retention of existing graduates and the established workforce.</w:t>
      </w:r>
      <w:r w:rsidR="007E7990" w:rsidRPr="007E7990">
        <w:t xml:space="preserve"> </w:t>
      </w:r>
      <w:r w:rsidRPr="007E7990">
        <w:t>For example, the Growth scenario would require rec</w:t>
      </w:r>
      <w:r w:rsidR="005A0299">
        <w:t>ruitment of an additional six medical physicist</w:t>
      </w:r>
      <w:r w:rsidRPr="007E7990">
        <w:t>s per year.</w:t>
      </w:r>
      <w:r w:rsidR="007E7990" w:rsidRPr="007E7990">
        <w:t xml:space="preserve"> </w:t>
      </w:r>
      <w:r w:rsidRPr="007E7990">
        <w:t>If that was done through increasing the training programme intake, nine graduates per year would be required (</w:t>
      </w:r>
      <w:proofErr w:type="spellStart"/>
      <w:r w:rsidRPr="007E7990">
        <w:t>ie</w:t>
      </w:r>
      <w:proofErr w:type="spellEnd"/>
      <w:r w:rsidRPr="007E7990">
        <w:t>, the existing three, plus another six).</w:t>
      </w:r>
      <w:r w:rsidR="007E7990" w:rsidRPr="007E7990">
        <w:t xml:space="preserve"> </w:t>
      </w:r>
      <w:r w:rsidRPr="007E7990">
        <w:t>There is a clear n</w:t>
      </w:r>
      <w:r w:rsidR="005A0299">
        <w:t>eed for a swift increase in medical physicist</w:t>
      </w:r>
      <w:r w:rsidRPr="007E7990">
        <w:t xml:space="preserve"> training numbers and improvements in retention, even if there is no or little increase in the average IR.</w:t>
      </w:r>
      <w:r w:rsidR="007E7990" w:rsidRPr="007E7990">
        <w:t xml:space="preserve"> </w:t>
      </w:r>
      <w:r w:rsidRPr="007E7990">
        <w:t>This may require examination of the entire structure of the training programme given the feedback received on likely future shortages in clinical placement opportunities.</w:t>
      </w:r>
      <w:r w:rsidR="007E7990" w:rsidRPr="007E7990">
        <w:t xml:space="preserve"> </w:t>
      </w:r>
      <w:r w:rsidRPr="007E7990">
        <w:t>Overseas recruitment may also become more difficult in the future; no change assumption about this has been included in the current Model.</w:t>
      </w:r>
    </w:p>
    <w:p w:rsidR="00F425CB" w:rsidRPr="007E7990" w:rsidRDefault="00F425CB" w:rsidP="00A11198"/>
    <w:p w:rsidR="00F425CB" w:rsidRPr="00490543" w:rsidRDefault="00F425CB" w:rsidP="00A11198">
      <w:pPr>
        <w:pStyle w:val="Table"/>
      </w:pPr>
      <w:bookmarkStart w:id="102" w:name="_Ref367172358"/>
      <w:bookmarkStart w:id="103" w:name="_Ref367287552"/>
      <w:bookmarkStart w:id="104" w:name="_Toc384202883"/>
      <w:r w:rsidRPr="00490543">
        <w:t xml:space="preserve">Table </w:t>
      </w:r>
      <w:r w:rsidR="00A11198">
        <w:t>8</w:t>
      </w:r>
      <w:bookmarkEnd w:id="102"/>
      <w:r w:rsidR="00A11198">
        <w:t>:</w:t>
      </w:r>
      <w:r w:rsidR="007E7990">
        <w:t xml:space="preserve"> </w:t>
      </w:r>
      <w:r w:rsidRPr="00490543">
        <w:t>Workforce training needs by scenario, average per year increase to 2022</w:t>
      </w:r>
      <w:bookmarkEnd w:id="103"/>
      <w:bookmarkEnd w:id="104"/>
    </w:p>
    <w:tbl>
      <w:tblPr>
        <w:tblW w:w="9356" w:type="dxa"/>
        <w:tblInd w:w="108" w:type="dxa"/>
        <w:tblLayout w:type="fixed"/>
        <w:tblLook w:val="00A0" w:firstRow="1" w:lastRow="0" w:firstColumn="1" w:lastColumn="0" w:noHBand="0" w:noVBand="0"/>
      </w:tblPr>
      <w:tblGrid>
        <w:gridCol w:w="1560"/>
        <w:gridCol w:w="1134"/>
        <w:gridCol w:w="1110"/>
        <w:gridCol w:w="1110"/>
        <w:gridCol w:w="1111"/>
        <w:gridCol w:w="1110"/>
        <w:gridCol w:w="1110"/>
        <w:gridCol w:w="1111"/>
      </w:tblGrid>
      <w:tr w:rsidR="00A11198" w:rsidRPr="00A11198" w:rsidTr="00C73F47">
        <w:trPr>
          <w:cantSplit/>
        </w:trPr>
        <w:tc>
          <w:tcPr>
            <w:tcW w:w="1560" w:type="dxa"/>
            <w:vMerge w:val="restart"/>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rPr>
                <w:b/>
                <w:lang w:eastAsia="en-NZ"/>
              </w:rPr>
            </w:pPr>
            <w:r w:rsidRPr="00A11198">
              <w:rPr>
                <w:b/>
                <w:lang w:eastAsia="en-NZ"/>
              </w:rPr>
              <w:t>Scenario</w:t>
            </w:r>
          </w:p>
        </w:tc>
        <w:tc>
          <w:tcPr>
            <w:tcW w:w="1134" w:type="dxa"/>
            <w:vMerge w:val="restart"/>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jc w:val="center"/>
              <w:rPr>
                <w:b/>
                <w:lang w:eastAsia="en-NZ"/>
              </w:rPr>
            </w:pPr>
            <w:r w:rsidRPr="00A11198">
              <w:rPr>
                <w:b/>
                <w:lang w:eastAsia="en-NZ"/>
              </w:rPr>
              <w:t>Rate</w:t>
            </w:r>
          </w:p>
        </w:tc>
        <w:tc>
          <w:tcPr>
            <w:tcW w:w="2220" w:type="dxa"/>
            <w:gridSpan w:val="2"/>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jc w:val="center"/>
              <w:rPr>
                <w:b/>
                <w:lang w:eastAsia="en-NZ"/>
              </w:rPr>
            </w:pPr>
            <w:r w:rsidRPr="00A11198">
              <w:rPr>
                <w:b/>
                <w:lang w:eastAsia="en-NZ"/>
              </w:rPr>
              <w:t>Radiation oncologists</w:t>
            </w:r>
          </w:p>
        </w:tc>
        <w:tc>
          <w:tcPr>
            <w:tcW w:w="2221" w:type="dxa"/>
            <w:gridSpan w:val="2"/>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jc w:val="center"/>
              <w:rPr>
                <w:b/>
                <w:lang w:eastAsia="en-NZ"/>
              </w:rPr>
            </w:pPr>
            <w:r w:rsidRPr="00A11198">
              <w:rPr>
                <w:b/>
                <w:lang w:eastAsia="en-NZ"/>
              </w:rPr>
              <w:t>Medical physicists</w:t>
            </w:r>
          </w:p>
        </w:tc>
        <w:tc>
          <w:tcPr>
            <w:tcW w:w="2221" w:type="dxa"/>
            <w:gridSpan w:val="2"/>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jc w:val="center"/>
              <w:rPr>
                <w:b/>
                <w:lang w:eastAsia="en-NZ"/>
              </w:rPr>
            </w:pPr>
            <w:r w:rsidRPr="00A11198">
              <w:rPr>
                <w:b/>
                <w:lang w:eastAsia="en-NZ"/>
              </w:rPr>
              <w:t>Radiation therapists</w:t>
            </w:r>
          </w:p>
        </w:tc>
      </w:tr>
      <w:tr w:rsidR="00A11198" w:rsidRPr="00A11198" w:rsidTr="00C73F47">
        <w:trPr>
          <w:cantSplit/>
        </w:trPr>
        <w:tc>
          <w:tcPr>
            <w:tcW w:w="1560" w:type="dxa"/>
            <w:vMerge/>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rPr>
                <w:b/>
                <w:lang w:eastAsia="en-NZ"/>
              </w:rPr>
            </w:pPr>
          </w:p>
        </w:tc>
        <w:tc>
          <w:tcPr>
            <w:tcW w:w="1134" w:type="dxa"/>
            <w:vMerge/>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rPr>
                <w:b/>
                <w:lang w:eastAsia="en-NZ"/>
              </w:rPr>
            </w:pPr>
          </w:p>
        </w:tc>
        <w:tc>
          <w:tcPr>
            <w:tcW w:w="1110" w:type="dxa"/>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jc w:val="center"/>
              <w:rPr>
                <w:b/>
                <w:lang w:eastAsia="en-NZ"/>
              </w:rPr>
            </w:pPr>
            <w:r w:rsidRPr="00A11198">
              <w:rPr>
                <w:b/>
              </w:rPr>
              <w:t>Increase per year</w:t>
            </w:r>
          </w:p>
        </w:tc>
        <w:tc>
          <w:tcPr>
            <w:tcW w:w="1110" w:type="dxa"/>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jc w:val="center"/>
              <w:rPr>
                <w:b/>
                <w:lang w:eastAsia="en-NZ"/>
              </w:rPr>
            </w:pPr>
            <w:r w:rsidRPr="00A11198">
              <w:rPr>
                <w:b/>
              </w:rPr>
              <w:t>Net total per year</w:t>
            </w:r>
          </w:p>
        </w:tc>
        <w:tc>
          <w:tcPr>
            <w:tcW w:w="1111" w:type="dxa"/>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jc w:val="center"/>
              <w:rPr>
                <w:b/>
                <w:lang w:eastAsia="en-NZ"/>
              </w:rPr>
            </w:pPr>
            <w:r w:rsidRPr="00A11198">
              <w:rPr>
                <w:b/>
              </w:rPr>
              <w:t>Increase per year</w:t>
            </w:r>
          </w:p>
        </w:tc>
        <w:tc>
          <w:tcPr>
            <w:tcW w:w="1110" w:type="dxa"/>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jc w:val="center"/>
              <w:rPr>
                <w:b/>
                <w:lang w:eastAsia="en-NZ"/>
              </w:rPr>
            </w:pPr>
            <w:r w:rsidRPr="00A11198">
              <w:rPr>
                <w:b/>
              </w:rPr>
              <w:t>Net total per year</w:t>
            </w:r>
          </w:p>
        </w:tc>
        <w:tc>
          <w:tcPr>
            <w:tcW w:w="1110" w:type="dxa"/>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jc w:val="center"/>
              <w:rPr>
                <w:b/>
                <w:lang w:eastAsia="en-NZ"/>
              </w:rPr>
            </w:pPr>
            <w:r w:rsidRPr="00A11198">
              <w:rPr>
                <w:b/>
              </w:rPr>
              <w:t>Increase per year</w:t>
            </w:r>
          </w:p>
        </w:tc>
        <w:tc>
          <w:tcPr>
            <w:tcW w:w="1111" w:type="dxa"/>
            <w:tcBorders>
              <w:top w:val="single" w:sz="4" w:space="0" w:color="A6A6A6"/>
              <w:left w:val="single" w:sz="4" w:space="0" w:color="A6A6A6"/>
              <w:bottom w:val="single" w:sz="4" w:space="0" w:color="A6A6A6"/>
              <w:right w:val="single" w:sz="4" w:space="0" w:color="A6A6A6"/>
            </w:tcBorders>
            <w:shd w:val="clear" w:color="000000" w:fill="BDE2FF"/>
          </w:tcPr>
          <w:p w:rsidR="00A11198" w:rsidRPr="00A11198" w:rsidRDefault="00A11198" w:rsidP="00A11198">
            <w:pPr>
              <w:pStyle w:val="TableText"/>
              <w:jc w:val="center"/>
              <w:rPr>
                <w:b/>
                <w:lang w:eastAsia="en-NZ"/>
              </w:rPr>
            </w:pPr>
            <w:r w:rsidRPr="00A11198">
              <w:rPr>
                <w:b/>
              </w:rPr>
              <w:t>Net total per year</w:t>
            </w:r>
          </w:p>
        </w:tc>
      </w:tr>
      <w:tr w:rsidR="00F425CB" w:rsidRPr="0021236A" w:rsidTr="00C73F47">
        <w:trPr>
          <w:cantSplit/>
        </w:trPr>
        <w:tc>
          <w:tcPr>
            <w:tcW w:w="2694" w:type="dxa"/>
            <w:gridSpan w:val="2"/>
            <w:tcBorders>
              <w:top w:val="single" w:sz="4" w:space="0" w:color="A6A6A6"/>
              <w:left w:val="single" w:sz="4" w:space="0" w:color="A6A6A6"/>
              <w:bottom w:val="single" w:sz="4" w:space="0" w:color="A6A6A6"/>
              <w:right w:val="single" w:sz="4" w:space="0" w:color="A6A6A6"/>
            </w:tcBorders>
            <w:noWrap/>
          </w:tcPr>
          <w:p w:rsidR="00F425CB" w:rsidRPr="005D7367" w:rsidRDefault="00F425CB" w:rsidP="00A11198">
            <w:pPr>
              <w:pStyle w:val="TableText"/>
              <w:rPr>
                <w:lang w:eastAsia="en-NZ"/>
              </w:rPr>
            </w:pPr>
            <w:r w:rsidRPr="005D7367">
              <w:rPr>
                <w:lang w:eastAsia="en-NZ"/>
              </w:rPr>
              <w:t>Current net graduates per year</w:t>
            </w:r>
          </w:p>
        </w:tc>
        <w:tc>
          <w:tcPr>
            <w:tcW w:w="1110" w:type="dxa"/>
            <w:tcBorders>
              <w:top w:val="single" w:sz="4" w:space="0" w:color="A6A6A6"/>
              <w:left w:val="single" w:sz="4" w:space="0" w:color="A6A6A6"/>
              <w:bottom w:val="single" w:sz="4" w:space="0" w:color="A6A6A6"/>
              <w:right w:val="single" w:sz="4" w:space="0" w:color="A6A6A6"/>
            </w:tcBorders>
            <w:noWrap/>
          </w:tcPr>
          <w:p w:rsidR="00F425CB" w:rsidRPr="00FF354E" w:rsidRDefault="00F425CB" w:rsidP="00A11198">
            <w:pPr>
              <w:pStyle w:val="TableText"/>
              <w:jc w:val="center"/>
              <w:rPr>
                <w:lang w:eastAsia="en-NZ"/>
              </w:rPr>
            </w:pP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Pr>
                <w:lang w:eastAsia="en-NZ"/>
              </w:rPr>
              <w:t>4</w:t>
            </w:r>
          </w:p>
        </w:tc>
        <w:tc>
          <w:tcPr>
            <w:tcW w:w="1111" w:type="dxa"/>
            <w:tcBorders>
              <w:top w:val="single" w:sz="4" w:space="0" w:color="A6A6A6"/>
              <w:left w:val="single" w:sz="4" w:space="0" w:color="A6A6A6"/>
              <w:bottom w:val="single" w:sz="4" w:space="0" w:color="A6A6A6"/>
              <w:right w:val="single" w:sz="4" w:space="0" w:color="A6A6A6"/>
            </w:tcBorders>
            <w:noWrap/>
          </w:tcPr>
          <w:p w:rsidR="00F425CB" w:rsidRPr="00FF354E" w:rsidRDefault="00F425CB" w:rsidP="00A11198">
            <w:pPr>
              <w:pStyle w:val="TableText"/>
              <w:jc w:val="center"/>
              <w:rPr>
                <w:lang w:eastAsia="en-NZ"/>
              </w:rPr>
            </w:pP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tabs>
                <w:tab w:val="decimal" w:pos="513"/>
              </w:tabs>
              <w:rPr>
                <w:lang w:eastAsia="en-NZ"/>
              </w:rPr>
            </w:pPr>
            <w:r>
              <w:rPr>
                <w:lang w:eastAsia="en-NZ"/>
              </w:rPr>
              <w:t>3</w:t>
            </w:r>
          </w:p>
        </w:tc>
        <w:tc>
          <w:tcPr>
            <w:tcW w:w="1110" w:type="dxa"/>
            <w:tcBorders>
              <w:top w:val="single" w:sz="4" w:space="0" w:color="A6A6A6"/>
              <w:left w:val="single" w:sz="4" w:space="0" w:color="A6A6A6"/>
              <w:bottom w:val="single" w:sz="4" w:space="0" w:color="A6A6A6"/>
              <w:right w:val="single" w:sz="4" w:space="0" w:color="A6A6A6"/>
            </w:tcBorders>
            <w:noWrap/>
          </w:tcPr>
          <w:p w:rsidR="00F425CB" w:rsidRPr="00FF354E" w:rsidRDefault="00F425CB" w:rsidP="00A11198">
            <w:pPr>
              <w:pStyle w:val="TableText"/>
              <w:tabs>
                <w:tab w:val="decimal" w:pos="513"/>
              </w:tabs>
              <w:rPr>
                <w:lang w:eastAsia="en-NZ"/>
              </w:rPr>
            </w:pPr>
          </w:p>
        </w:tc>
        <w:tc>
          <w:tcPr>
            <w:tcW w:w="1111"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Pr>
                <w:lang w:eastAsia="en-NZ"/>
              </w:rPr>
              <w:t>25</w:t>
            </w:r>
          </w:p>
        </w:tc>
      </w:tr>
      <w:tr w:rsidR="00F425CB" w:rsidRPr="0021236A" w:rsidTr="00C73F47">
        <w:trPr>
          <w:cantSplit/>
        </w:trPr>
        <w:tc>
          <w:tcPr>
            <w:tcW w:w="1560" w:type="dxa"/>
            <w:tcBorders>
              <w:top w:val="single" w:sz="4" w:space="0" w:color="A6A6A6"/>
              <w:left w:val="single" w:sz="4" w:space="0" w:color="A6A6A6"/>
              <w:bottom w:val="single" w:sz="4" w:space="0" w:color="A6A6A6"/>
              <w:right w:val="single" w:sz="4" w:space="0" w:color="A6A6A6"/>
            </w:tcBorders>
          </w:tcPr>
          <w:p w:rsidR="00F425CB" w:rsidRPr="005D7367" w:rsidRDefault="00F425CB" w:rsidP="00A11198">
            <w:pPr>
              <w:pStyle w:val="TableText"/>
              <w:rPr>
                <w:lang w:eastAsia="en-NZ"/>
              </w:rPr>
            </w:pPr>
            <w:r w:rsidRPr="005D7367">
              <w:rPr>
                <w:lang w:eastAsia="en-NZ"/>
              </w:rPr>
              <w:t>Base</w:t>
            </w:r>
          </w:p>
        </w:tc>
        <w:tc>
          <w:tcPr>
            <w:tcW w:w="1134"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rPr>
                <w:lang w:eastAsia="en-NZ"/>
              </w:rPr>
            </w:pPr>
            <w:r>
              <w:rPr>
                <w:lang w:eastAsia="en-NZ"/>
              </w:rPr>
              <w:t>Current IR and RTR</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0</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4</w:t>
            </w:r>
          </w:p>
        </w:tc>
        <w:tc>
          <w:tcPr>
            <w:tcW w:w="1111"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3</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tabs>
                <w:tab w:val="decimal" w:pos="513"/>
              </w:tabs>
              <w:rPr>
                <w:lang w:eastAsia="en-NZ"/>
              </w:rPr>
            </w:pPr>
            <w:r w:rsidRPr="00107F69">
              <w:t>6</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tabs>
                <w:tab w:val="decimal" w:pos="513"/>
              </w:tabs>
              <w:rPr>
                <w:lang w:eastAsia="en-NZ"/>
              </w:rPr>
            </w:pPr>
            <w:r w:rsidRPr="00107F69">
              <w:t>0</w:t>
            </w:r>
          </w:p>
        </w:tc>
        <w:tc>
          <w:tcPr>
            <w:tcW w:w="1111"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25</w:t>
            </w:r>
          </w:p>
        </w:tc>
      </w:tr>
      <w:tr w:rsidR="00F425CB" w:rsidRPr="0021236A" w:rsidTr="00C73F47">
        <w:trPr>
          <w:cantSplit/>
        </w:trPr>
        <w:tc>
          <w:tcPr>
            <w:tcW w:w="1560" w:type="dxa"/>
            <w:tcBorders>
              <w:top w:val="single" w:sz="4" w:space="0" w:color="A6A6A6"/>
              <w:left w:val="single" w:sz="4" w:space="0" w:color="A6A6A6"/>
              <w:bottom w:val="single" w:sz="4" w:space="0" w:color="A6A6A6"/>
              <w:right w:val="single" w:sz="4" w:space="0" w:color="A6A6A6"/>
            </w:tcBorders>
          </w:tcPr>
          <w:p w:rsidR="00F425CB" w:rsidRPr="005D7367" w:rsidRDefault="00F425CB" w:rsidP="00A11198">
            <w:pPr>
              <w:pStyle w:val="TableText"/>
              <w:rPr>
                <w:lang w:eastAsia="en-NZ"/>
              </w:rPr>
            </w:pPr>
            <w:r w:rsidRPr="005D7367">
              <w:rPr>
                <w:lang w:eastAsia="en-NZ"/>
              </w:rPr>
              <w:t xml:space="preserve">Modest </w:t>
            </w:r>
            <w:r w:rsidR="00A11198">
              <w:rPr>
                <w:lang w:eastAsia="en-NZ"/>
              </w:rPr>
              <w:t>g</w:t>
            </w:r>
            <w:r w:rsidRPr="005D7367">
              <w:rPr>
                <w:lang w:eastAsia="en-NZ"/>
              </w:rPr>
              <w:t>rowth</w:t>
            </w:r>
          </w:p>
        </w:tc>
        <w:tc>
          <w:tcPr>
            <w:tcW w:w="1134"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rPr>
                <w:lang w:eastAsia="en-NZ"/>
              </w:rPr>
            </w:pPr>
            <w:r>
              <w:rPr>
                <w:lang w:eastAsia="en-NZ"/>
              </w:rPr>
              <w:t>40% IR**</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0</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4</w:t>
            </w:r>
          </w:p>
        </w:tc>
        <w:tc>
          <w:tcPr>
            <w:tcW w:w="1111"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4</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tabs>
                <w:tab w:val="decimal" w:pos="513"/>
              </w:tabs>
              <w:rPr>
                <w:lang w:eastAsia="en-NZ"/>
              </w:rPr>
            </w:pPr>
            <w:r w:rsidRPr="00107F69">
              <w:t>7</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tabs>
                <w:tab w:val="decimal" w:pos="513"/>
              </w:tabs>
              <w:rPr>
                <w:lang w:eastAsia="en-NZ"/>
              </w:rPr>
            </w:pPr>
            <w:r w:rsidRPr="00107F69">
              <w:t>2</w:t>
            </w:r>
          </w:p>
        </w:tc>
        <w:tc>
          <w:tcPr>
            <w:tcW w:w="1111"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27</w:t>
            </w:r>
          </w:p>
        </w:tc>
      </w:tr>
      <w:tr w:rsidR="00F425CB" w:rsidRPr="00777CD8" w:rsidTr="00C73F47">
        <w:trPr>
          <w:cantSplit/>
        </w:trPr>
        <w:tc>
          <w:tcPr>
            <w:tcW w:w="1560" w:type="dxa"/>
            <w:tcBorders>
              <w:top w:val="single" w:sz="4" w:space="0" w:color="A6A6A6"/>
              <w:left w:val="single" w:sz="4" w:space="0" w:color="A6A6A6"/>
              <w:bottom w:val="single" w:sz="4" w:space="0" w:color="A6A6A6"/>
              <w:right w:val="single" w:sz="4" w:space="0" w:color="A6A6A6"/>
            </w:tcBorders>
          </w:tcPr>
          <w:p w:rsidR="00F425CB" w:rsidRPr="005D7367" w:rsidRDefault="00F425CB" w:rsidP="00A11198">
            <w:pPr>
              <w:pStyle w:val="TableText"/>
              <w:rPr>
                <w:lang w:eastAsia="en-NZ"/>
              </w:rPr>
            </w:pPr>
            <w:r w:rsidRPr="005D7367">
              <w:rPr>
                <w:lang w:eastAsia="en-NZ"/>
              </w:rPr>
              <w:t>Growth</w:t>
            </w:r>
          </w:p>
        </w:tc>
        <w:tc>
          <w:tcPr>
            <w:tcW w:w="1134"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rPr>
                <w:lang w:eastAsia="en-NZ"/>
              </w:rPr>
            </w:pPr>
            <w:r>
              <w:rPr>
                <w:lang w:eastAsia="en-NZ"/>
              </w:rPr>
              <w:t>45% IR**</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1</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5</w:t>
            </w:r>
          </w:p>
        </w:tc>
        <w:tc>
          <w:tcPr>
            <w:tcW w:w="1111"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6</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tabs>
                <w:tab w:val="decimal" w:pos="513"/>
              </w:tabs>
              <w:rPr>
                <w:lang w:eastAsia="en-NZ"/>
              </w:rPr>
            </w:pPr>
            <w:r w:rsidRPr="00107F69">
              <w:t>9</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tabs>
                <w:tab w:val="decimal" w:pos="513"/>
              </w:tabs>
              <w:rPr>
                <w:lang w:eastAsia="en-NZ"/>
              </w:rPr>
            </w:pPr>
            <w:r w:rsidRPr="00107F69">
              <w:t>9</w:t>
            </w:r>
          </w:p>
        </w:tc>
        <w:tc>
          <w:tcPr>
            <w:tcW w:w="1111"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34</w:t>
            </w:r>
          </w:p>
        </w:tc>
      </w:tr>
      <w:tr w:rsidR="00F425CB" w:rsidRPr="0021236A" w:rsidTr="00C73F47">
        <w:trPr>
          <w:cantSplit/>
        </w:trPr>
        <w:tc>
          <w:tcPr>
            <w:tcW w:w="1560" w:type="dxa"/>
            <w:tcBorders>
              <w:top w:val="single" w:sz="4" w:space="0" w:color="A6A6A6"/>
              <w:left w:val="single" w:sz="4" w:space="0" w:color="A6A6A6"/>
              <w:bottom w:val="single" w:sz="4" w:space="0" w:color="A6A6A6"/>
              <w:right w:val="single" w:sz="4" w:space="0" w:color="A6A6A6"/>
            </w:tcBorders>
          </w:tcPr>
          <w:p w:rsidR="00F425CB" w:rsidRPr="005D7367" w:rsidRDefault="00F425CB" w:rsidP="00A11198">
            <w:pPr>
              <w:pStyle w:val="TableText"/>
              <w:rPr>
                <w:lang w:eastAsia="en-NZ"/>
              </w:rPr>
            </w:pPr>
            <w:r w:rsidRPr="005D7367">
              <w:rPr>
                <w:lang w:eastAsia="en-NZ"/>
              </w:rPr>
              <w:t xml:space="preserve">Maximal </w:t>
            </w:r>
            <w:r w:rsidR="00A11198">
              <w:rPr>
                <w:lang w:eastAsia="en-NZ"/>
              </w:rPr>
              <w:t>g</w:t>
            </w:r>
            <w:r w:rsidRPr="005D7367">
              <w:rPr>
                <w:lang w:eastAsia="en-NZ"/>
              </w:rPr>
              <w:t>rowth</w:t>
            </w:r>
          </w:p>
        </w:tc>
        <w:tc>
          <w:tcPr>
            <w:tcW w:w="1134"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rPr>
                <w:lang w:eastAsia="en-NZ"/>
              </w:rPr>
            </w:pPr>
            <w:r>
              <w:rPr>
                <w:lang w:eastAsia="en-NZ"/>
              </w:rPr>
              <w:t>50% IR**</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3</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7</w:t>
            </w:r>
          </w:p>
        </w:tc>
        <w:tc>
          <w:tcPr>
            <w:tcW w:w="1111"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8</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A11198" w:rsidP="00A11198">
            <w:pPr>
              <w:pStyle w:val="TableText"/>
              <w:tabs>
                <w:tab w:val="decimal" w:pos="513"/>
              </w:tabs>
              <w:rPr>
                <w:lang w:eastAsia="en-NZ"/>
              </w:rPr>
            </w:pPr>
            <w:r>
              <w:t>11</w:t>
            </w:r>
          </w:p>
        </w:tc>
        <w:tc>
          <w:tcPr>
            <w:tcW w:w="1110"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tabs>
                <w:tab w:val="decimal" w:pos="513"/>
              </w:tabs>
              <w:rPr>
                <w:lang w:eastAsia="en-NZ"/>
              </w:rPr>
            </w:pPr>
            <w:r w:rsidRPr="00107F69">
              <w:t>16</w:t>
            </w:r>
          </w:p>
        </w:tc>
        <w:tc>
          <w:tcPr>
            <w:tcW w:w="1111" w:type="dxa"/>
            <w:tcBorders>
              <w:top w:val="single" w:sz="4" w:space="0" w:color="A6A6A6"/>
              <w:left w:val="single" w:sz="4" w:space="0" w:color="A6A6A6"/>
              <w:bottom w:val="single" w:sz="4" w:space="0" w:color="A6A6A6"/>
              <w:right w:val="single" w:sz="4" w:space="0" w:color="A6A6A6"/>
            </w:tcBorders>
          </w:tcPr>
          <w:p w:rsidR="00F425CB" w:rsidRPr="00FF354E" w:rsidRDefault="00F425CB" w:rsidP="00A11198">
            <w:pPr>
              <w:pStyle w:val="TableText"/>
              <w:jc w:val="center"/>
              <w:rPr>
                <w:lang w:eastAsia="en-NZ"/>
              </w:rPr>
            </w:pPr>
            <w:r w:rsidRPr="00107F69">
              <w:t>41</w:t>
            </w:r>
          </w:p>
        </w:tc>
      </w:tr>
    </w:tbl>
    <w:p w:rsidR="00F425CB" w:rsidRDefault="00F425CB" w:rsidP="00A11198">
      <w:pPr>
        <w:pStyle w:val="Note"/>
      </w:pPr>
      <w:r>
        <w:rPr>
          <w:lang w:eastAsia="en-NZ"/>
        </w:rPr>
        <w:t>Increase per year</w:t>
      </w:r>
      <w:r w:rsidRPr="003719A5">
        <w:rPr>
          <w:lang w:eastAsia="en-NZ"/>
        </w:rPr>
        <w:t xml:space="preserve"> = new trainees graduating, </w:t>
      </w:r>
      <w:r>
        <w:rPr>
          <w:lang w:eastAsia="en-NZ"/>
        </w:rPr>
        <w:t>and/or the</w:t>
      </w:r>
      <w:r w:rsidRPr="008B2D8D">
        <w:rPr>
          <w:lang w:eastAsia="en-NZ"/>
        </w:rPr>
        <w:t xml:space="preserve"> </w:t>
      </w:r>
      <w:r>
        <w:rPr>
          <w:lang w:eastAsia="en-NZ"/>
        </w:rPr>
        <w:t xml:space="preserve">net result of </w:t>
      </w:r>
      <w:r w:rsidRPr="003719A5">
        <w:rPr>
          <w:lang w:eastAsia="en-NZ"/>
        </w:rPr>
        <w:t>existing graduates</w:t>
      </w:r>
      <w:r>
        <w:rPr>
          <w:lang w:eastAsia="en-NZ"/>
        </w:rPr>
        <w:t>/staff</w:t>
      </w:r>
      <w:r w:rsidRPr="003719A5">
        <w:rPr>
          <w:lang w:eastAsia="en-NZ"/>
        </w:rPr>
        <w:t xml:space="preserve"> retained</w:t>
      </w:r>
      <w:r>
        <w:rPr>
          <w:lang w:eastAsia="en-NZ"/>
        </w:rPr>
        <w:t>/returned</w:t>
      </w:r>
      <w:r w:rsidRPr="003719A5">
        <w:rPr>
          <w:lang w:eastAsia="en-NZ"/>
        </w:rPr>
        <w:t>.</w:t>
      </w:r>
      <w:r w:rsidR="007E7990">
        <w:rPr>
          <w:lang w:eastAsia="en-NZ"/>
        </w:rPr>
        <w:t xml:space="preserve"> </w:t>
      </w:r>
      <w:r>
        <w:rPr>
          <w:lang w:eastAsia="en-NZ"/>
        </w:rPr>
        <w:t xml:space="preserve">The </w:t>
      </w:r>
      <w:r w:rsidR="007E7990">
        <w:rPr>
          <w:lang w:eastAsia="en-NZ"/>
        </w:rPr>
        <w:t>‘</w:t>
      </w:r>
      <w:r>
        <w:rPr>
          <w:lang w:eastAsia="en-NZ"/>
        </w:rPr>
        <w:t>Net increase per year</w:t>
      </w:r>
      <w:r w:rsidR="007E7990">
        <w:rPr>
          <w:lang w:eastAsia="en-NZ"/>
        </w:rPr>
        <w:t>’</w:t>
      </w:r>
      <w:r>
        <w:rPr>
          <w:lang w:eastAsia="en-NZ"/>
        </w:rPr>
        <w:t xml:space="preserve"> adds the existing numbers graduating per year.</w:t>
      </w:r>
      <w:r w:rsidR="007E7990">
        <w:rPr>
          <w:lang w:eastAsia="en-NZ"/>
        </w:rPr>
        <w:t xml:space="preserve"> </w:t>
      </w:r>
      <w:r w:rsidRPr="006D65C4">
        <w:t xml:space="preserve">IR = </w:t>
      </w:r>
      <w:r>
        <w:t>i</w:t>
      </w:r>
      <w:r w:rsidRPr="006D65C4">
        <w:t xml:space="preserve">ntervention </w:t>
      </w:r>
      <w:r>
        <w:t>rate; RTR = retreatment rate.</w:t>
      </w:r>
    </w:p>
    <w:p w:rsidR="00F425CB" w:rsidRPr="007E7990" w:rsidRDefault="00F425CB" w:rsidP="00A11198">
      <w:pPr>
        <w:rPr>
          <w:lang w:eastAsia="en-NZ"/>
        </w:rPr>
      </w:pPr>
    </w:p>
    <w:p w:rsidR="00F425CB" w:rsidRPr="007E7990" w:rsidRDefault="00F425CB" w:rsidP="00A11198">
      <w:pPr>
        <w:pStyle w:val="Heading3"/>
      </w:pPr>
      <w:bookmarkStart w:id="105" w:name="_Toc367372305"/>
      <w:bookmarkStart w:id="106" w:name="_Toc376936370"/>
      <w:r w:rsidRPr="007E7990">
        <w:t>4.4.3</w:t>
      </w:r>
      <w:r w:rsidRPr="007E7990">
        <w:tab/>
        <w:t>Cost impacts</w:t>
      </w:r>
      <w:bookmarkEnd w:id="105"/>
      <w:bookmarkEnd w:id="106"/>
    </w:p>
    <w:p w:rsidR="00F425CB" w:rsidRPr="007E7990" w:rsidRDefault="00F425CB" w:rsidP="00A11198">
      <w:r w:rsidRPr="007E7990">
        <w:t xml:space="preserve">The operating </w:t>
      </w:r>
      <w:proofErr w:type="gramStart"/>
      <w:r w:rsidRPr="007E7990">
        <w:t>costs of the radiation therapy services in 2012 was</w:t>
      </w:r>
      <w:proofErr w:type="gramEnd"/>
      <w:r w:rsidRPr="007E7990">
        <w:t xml:space="preserve"> estimated to be $103</w:t>
      </w:r>
      <w:r w:rsidR="00504426">
        <w:t xml:space="preserve"> </w:t>
      </w:r>
      <w:r w:rsidRPr="007E7990">
        <w:t>m</w:t>
      </w:r>
      <w:r w:rsidR="00504426">
        <w:t>illion</w:t>
      </w:r>
      <w:r w:rsidRPr="007E7990">
        <w:t>.</w:t>
      </w:r>
      <w:r w:rsidR="007E7990" w:rsidRPr="007E7990">
        <w:t xml:space="preserve"> </w:t>
      </w:r>
      <w:r w:rsidRPr="007E7990">
        <w:t>This includes linac-related depreciation and costs of capital.</w:t>
      </w:r>
      <w:r w:rsidR="007E7990" w:rsidRPr="007E7990">
        <w:t xml:space="preserve"> </w:t>
      </w:r>
      <w:r w:rsidRPr="007E7990">
        <w:t xml:space="preserve">The expected growth in cancer registrations through incidence changes and the population growth is estimated to be around </w:t>
      </w:r>
      <w:r w:rsidRPr="007E7990">
        <w:rPr>
          <w:b/>
        </w:rPr>
        <w:t>$41</w:t>
      </w:r>
      <w:r w:rsidR="00A11198">
        <w:rPr>
          <w:b/>
        </w:rPr>
        <w:t> </w:t>
      </w:r>
      <w:r w:rsidRPr="007E7990">
        <w:t xml:space="preserve">million extra in operating costs per year by 2022 (see </w:t>
      </w:r>
      <w:r w:rsidR="00A11198">
        <w:t>Table 9</w:t>
      </w:r>
      <w:r w:rsidRPr="007E7990">
        <w:t>), including linac-related depreciation and costs of capital for radiation oncology, bringing total spending to $144</w:t>
      </w:r>
      <w:r w:rsidR="00504426">
        <w:t xml:space="preserve"> </w:t>
      </w:r>
      <w:r w:rsidRPr="007E7990">
        <w:t>m</w:t>
      </w:r>
      <w:r w:rsidR="00504426">
        <w:t>illion</w:t>
      </w:r>
      <w:r w:rsidRPr="007E7990">
        <w:t xml:space="preserve"> (in 2011/12 $$).</w:t>
      </w:r>
      <w:r w:rsidR="007E7990" w:rsidRPr="007E7990">
        <w:t xml:space="preserve"> </w:t>
      </w:r>
      <w:r w:rsidRPr="007E7990">
        <w:t>Total capital costs are estimated at $236 million over the 10-year period, a net present value (NPV) $184 million.</w:t>
      </w:r>
    </w:p>
    <w:p w:rsidR="007E7990" w:rsidRPr="007E7990" w:rsidRDefault="00F425CB" w:rsidP="00A11198">
      <w:pPr>
        <w:spacing w:before="240"/>
      </w:pPr>
      <w:r w:rsidRPr="007E7990">
        <w:lastRenderedPageBreak/>
        <w:t>Moving to a 45% IR would require an extra $36 million in operating costs per year over the Base scenario ($77 million additional compared with $41 million), but with a large increase of $92</w:t>
      </w:r>
      <w:r w:rsidR="00A11198">
        <w:t> </w:t>
      </w:r>
      <w:r w:rsidRPr="007E7990">
        <w:t>million in capital spend (an increase of $62 million in NPV).</w:t>
      </w:r>
    </w:p>
    <w:p w:rsidR="00F425CB" w:rsidRPr="007E7990" w:rsidRDefault="00F425CB" w:rsidP="00A11198"/>
    <w:p w:rsidR="00F425CB" w:rsidRDefault="00F425CB" w:rsidP="00A11198">
      <w:r w:rsidRPr="007E7990">
        <w:t xml:space="preserve">The $36 million additional operating cost </w:t>
      </w:r>
      <w:proofErr w:type="gramStart"/>
      <w:r w:rsidRPr="007E7990">
        <w:t>spend</w:t>
      </w:r>
      <w:proofErr w:type="gramEnd"/>
      <w:r w:rsidRPr="007E7990">
        <w:t xml:space="preserve"> if the national average moved to a 45% IR by 2022 can be apportioned amongst DHBs based on the population growth and current distance from the IR and RTR.</w:t>
      </w:r>
      <w:r w:rsidR="007E7990" w:rsidRPr="007E7990">
        <w:t xml:space="preserve"> </w:t>
      </w:r>
      <w:r w:rsidRPr="007E7990">
        <w:t>Using only publicly funded volumes and current IDF costs, there would need to be a shift of funding from other services to radiation oncology to cover the additional expenditure (</w:t>
      </w:r>
      <w:r w:rsidR="00A11198">
        <w:t>Figure 4</w:t>
      </w:r>
      <w:r w:rsidRPr="007E7990">
        <w:t>).</w:t>
      </w:r>
      <w:r w:rsidR="007E7990" w:rsidRPr="007E7990">
        <w:t xml:space="preserve"> </w:t>
      </w:r>
      <w:r w:rsidRPr="007E7990">
        <w:t>The demographic costs (</w:t>
      </w:r>
      <w:proofErr w:type="spellStart"/>
      <w:r w:rsidRPr="007E7990">
        <w:t>ie</w:t>
      </w:r>
      <w:proofErr w:type="spellEnd"/>
      <w:r w:rsidRPr="007E7990">
        <w:t>, as in the Base case) are assumed to be covered through annual demographic adjustment to the Population Based Funding Formula (PBFF).</w:t>
      </w:r>
      <w:r w:rsidR="007E7990" w:rsidRPr="007E7990">
        <w:t xml:space="preserve"> </w:t>
      </w:r>
      <w:r w:rsidRPr="007E7990">
        <w:t>The DHBs close to the 45% IR cluster at the left hand end of the graph in</w:t>
      </w:r>
      <w:r w:rsidR="00A11198">
        <w:t xml:space="preserve"> Figure 4</w:t>
      </w:r>
      <w:r w:rsidRPr="007E7990">
        <w:t>, while those requiring a larger proportionate spend on radiation oncology are at the right hand end.</w:t>
      </w:r>
      <w:r w:rsidR="007E7990" w:rsidRPr="007E7990">
        <w:t xml:space="preserve"> </w:t>
      </w:r>
      <w:r w:rsidRPr="007E7990">
        <w:t>For example, Nelson-Marlborough DHB would be spending around $1m a year in additional IDF costs for radiation therapy (around 0.3% of its total funding) if its population were accessing radiation therapy at a 45% IR.</w:t>
      </w:r>
    </w:p>
    <w:p w:rsidR="00A11198" w:rsidRPr="007E7990" w:rsidRDefault="00A11198" w:rsidP="00A11198"/>
    <w:p w:rsidR="00F425CB" w:rsidRPr="007E7990" w:rsidRDefault="00F425CB" w:rsidP="00A11198">
      <w:pPr>
        <w:pStyle w:val="Heading2"/>
      </w:pPr>
      <w:bookmarkStart w:id="107" w:name="_Toc376936371"/>
      <w:bookmarkStart w:id="108" w:name="_Toc384202862"/>
      <w:r w:rsidRPr="007E7990">
        <w:t>4.5</w:t>
      </w:r>
      <w:r w:rsidRPr="007E7990">
        <w:tab/>
        <w:t>Operational performance</w:t>
      </w:r>
      <w:bookmarkEnd w:id="107"/>
      <w:bookmarkEnd w:id="108"/>
    </w:p>
    <w:p w:rsidR="00F425CB" w:rsidRPr="007E7990" w:rsidRDefault="00F425CB" w:rsidP="00A11198">
      <w:r w:rsidRPr="007E7990">
        <w:t>Cancer centres will always seek improvements in operational performance.</w:t>
      </w:r>
      <w:r w:rsidR="007E7990" w:rsidRPr="007E7990">
        <w:t xml:space="preserve"> </w:t>
      </w:r>
      <w:r w:rsidRPr="007E7990">
        <w:t xml:space="preserve">Two specific factors are discussed here – variations in treatment times, and </w:t>
      </w:r>
      <w:r w:rsidR="007E7990" w:rsidRPr="007E7990">
        <w:t>‘</w:t>
      </w:r>
      <w:r w:rsidRPr="007E7990">
        <w:t>tipping point</w:t>
      </w:r>
      <w:r w:rsidR="007E7990" w:rsidRPr="007E7990">
        <w:t>’</w:t>
      </w:r>
      <w:r w:rsidRPr="007E7990">
        <w:t xml:space="preserve"> conditions.</w:t>
      </w:r>
    </w:p>
    <w:p w:rsidR="00F425CB" w:rsidRDefault="00F425CB" w:rsidP="00A11198"/>
    <w:p w:rsidR="00F425CB" w:rsidRPr="00490543" w:rsidRDefault="00F425CB" w:rsidP="00A11198">
      <w:pPr>
        <w:pStyle w:val="Figure"/>
      </w:pPr>
      <w:bookmarkStart w:id="109" w:name="_Ref367196136"/>
      <w:bookmarkStart w:id="110" w:name="_Ref367363369"/>
      <w:bookmarkStart w:id="111" w:name="_Toc384202910"/>
      <w:r w:rsidRPr="00490543">
        <w:rPr>
          <w:color w:val="000000"/>
        </w:rPr>
        <w:t xml:space="preserve">Figure </w:t>
      </w:r>
      <w:r w:rsidR="00A11198">
        <w:rPr>
          <w:color w:val="000000"/>
        </w:rPr>
        <w:t>4:</w:t>
      </w:r>
      <w:bookmarkEnd w:id="109"/>
      <w:r w:rsidR="007E7990">
        <w:rPr>
          <w:color w:val="000000"/>
        </w:rPr>
        <w:t xml:space="preserve"> </w:t>
      </w:r>
      <w:r w:rsidRPr="00490543">
        <w:t>Indicative national radiation oncology funding changes by DHB under the Growth scenario</w:t>
      </w:r>
      <w:bookmarkEnd w:id="110"/>
      <w:bookmarkEnd w:id="111"/>
    </w:p>
    <w:p w:rsidR="00F425CB" w:rsidRPr="00A11198" w:rsidRDefault="00790E10" w:rsidP="00F425CB">
      <w:r>
        <w:rPr>
          <w:noProof/>
          <w:lang w:eastAsia="en-NZ"/>
        </w:rPr>
        <w:drawing>
          <wp:inline distT="0" distB="0" distL="0" distR="0">
            <wp:extent cx="4867275" cy="3429000"/>
            <wp:effectExtent l="0" t="0" r="9525" b="0"/>
            <wp:docPr id="4" name="Picture 8" descr="Figure 4: Indicative national radiation oncology funding changes by DHB under the Growth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4: Indicative national radiation oncology funding changes by DHB under the Growth scenari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7275" cy="3429000"/>
                    </a:xfrm>
                    <a:prstGeom prst="rect">
                      <a:avLst/>
                    </a:prstGeom>
                    <a:noFill/>
                    <a:ln>
                      <a:noFill/>
                    </a:ln>
                  </pic:spPr>
                </pic:pic>
              </a:graphicData>
            </a:graphic>
          </wp:inline>
        </w:drawing>
      </w:r>
    </w:p>
    <w:p w:rsidR="00F425CB" w:rsidRDefault="00F425CB" w:rsidP="00045EDA">
      <w:pPr>
        <w:pStyle w:val="Note"/>
      </w:pPr>
      <w:r w:rsidRPr="00746E99">
        <w:t>Notes: Assumes all residents o</w:t>
      </w:r>
      <w:r>
        <w:t>f each DHB are receiving 45% IR</w:t>
      </w:r>
      <w:r w:rsidRPr="00746E99">
        <w:t xml:space="preserve">; 2011/12 IDF price x current attendances per person; </w:t>
      </w:r>
      <w:r>
        <w:t xml:space="preserve">that demographic growth is already funded; </w:t>
      </w:r>
      <w:r w:rsidRPr="00746E99">
        <w:t>and 2011/12 constant $$.</w:t>
      </w:r>
      <w:r w:rsidR="007E7990">
        <w:t xml:space="preserve"> </w:t>
      </w:r>
      <w:r w:rsidRPr="00746E99">
        <w:t>The % of total DHB funding is based on the total 2012/13 PBFF revenue for each DHB.</w:t>
      </w:r>
      <w:r w:rsidR="007E7990">
        <w:t xml:space="preserve"> </w:t>
      </w:r>
      <w:r w:rsidRPr="003C6296">
        <w:t>Sorted in order of proportion of total funding for that DHB that would need to be added to its radiation oncology spend (additional to the estimated demographic growth</w:t>
      </w:r>
      <w:r w:rsidRPr="00746E99">
        <w:t>).</w:t>
      </w:r>
      <w:r w:rsidR="007E7990">
        <w:t xml:space="preserve"> </w:t>
      </w:r>
      <w:r w:rsidRPr="00746E99">
        <w:t>Colour</w:t>
      </w:r>
      <w:r w:rsidR="001111C6">
        <w:noBreakHyphen/>
      </w:r>
      <w:r w:rsidRPr="00746E99">
        <w:t>coding indicates the DHBs served by each cancer centre.</w:t>
      </w:r>
    </w:p>
    <w:p w:rsidR="00F425CB" w:rsidRPr="007E7990" w:rsidRDefault="00F425CB" w:rsidP="001111C6">
      <w:pPr>
        <w:pStyle w:val="Heading3"/>
        <w:spacing w:before="360"/>
      </w:pPr>
      <w:bookmarkStart w:id="112" w:name="_Toc376936372"/>
      <w:r w:rsidRPr="007E7990">
        <w:lastRenderedPageBreak/>
        <w:t>4.5.1</w:t>
      </w:r>
      <w:r w:rsidR="00045EDA">
        <w:tab/>
      </w:r>
      <w:r w:rsidRPr="007E7990">
        <w:t>Treatments per course and treatment times</w:t>
      </w:r>
      <w:bookmarkEnd w:id="112"/>
    </w:p>
    <w:p w:rsidR="007E7990" w:rsidRDefault="00F425CB" w:rsidP="00045EDA">
      <w:r w:rsidRPr="007E7990">
        <w:t>The Model assumes the status quo – that is, centres will carry on at the same rate of treatments per course and time taken for each treatment as they do now.</w:t>
      </w:r>
      <w:r w:rsidR="007E7990" w:rsidRPr="007E7990">
        <w:t xml:space="preserve"> </w:t>
      </w:r>
      <w:r w:rsidRPr="007E7990">
        <w:t>However, the DHB centres currently vary significantly in these metrics, with treatments per course ranging from 12.8 to 16.8</w:t>
      </w:r>
      <w:r w:rsidR="00045EDA">
        <w:t> </w:t>
      </w:r>
      <w:r w:rsidRPr="007E7990">
        <w:t>(a national average of 14), and average treatment times ranging from 14 to 18.7 minutes (average 15.9).</w:t>
      </w:r>
      <w:r w:rsidR="007E7990" w:rsidRPr="007E7990">
        <w:t xml:space="preserve"> </w:t>
      </w:r>
      <w:r w:rsidRPr="007E7990">
        <w:t xml:space="preserve">Taken as a </w:t>
      </w:r>
      <w:r w:rsidR="007E7990" w:rsidRPr="007E7990">
        <w:t>‘</w:t>
      </w:r>
      <w:r w:rsidRPr="007E7990">
        <w:t>treatment minutes per course</w:t>
      </w:r>
      <w:r w:rsidR="007E7990" w:rsidRPr="007E7990">
        <w:t>’</w:t>
      </w:r>
      <w:r w:rsidRPr="007E7990">
        <w:t xml:space="preserve"> (excluding planning time), the national average is 223 minutes, with a range of 194 to 291.</w:t>
      </w:r>
      <w:r w:rsidR="007E7990" w:rsidRPr="007E7990">
        <w:t xml:space="preserve"> </w:t>
      </w:r>
      <w:r w:rsidRPr="007E7990">
        <w:t>Given this variability across centres, there are likely to be many aspects of service operations that could contribute to achieving efficiency gains.</w:t>
      </w:r>
      <w:r w:rsidR="007E7990" w:rsidRPr="007E7990">
        <w:t xml:space="preserve"> </w:t>
      </w:r>
      <w:r w:rsidRPr="007E7990">
        <w:t>DHB cancer centres will be constantly looking for operational gains to make best use of scarce workforce and financial resources, particularly before committing to new capital infrastructure.</w:t>
      </w:r>
      <w:r w:rsidR="007E7990" w:rsidRPr="007E7990">
        <w:t xml:space="preserve"> </w:t>
      </w:r>
      <w:r w:rsidRPr="007E7990">
        <w:t>Business cases for new builds will be likely to require details of comparative operational performance.</w:t>
      </w:r>
      <w:r w:rsidR="007E7990" w:rsidRPr="007E7990">
        <w:t xml:space="preserve"> </w:t>
      </w:r>
      <w:r w:rsidRPr="007E7990">
        <w:t>The Model enables assessment of the effects of varying treatments per course (</w:t>
      </w:r>
      <w:proofErr w:type="spellStart"/>
      <w:r w:rsidRPr="007E7990">
        <w:t>eg</w:t>
      </w:r>
      <w:proofErr w:type="spellEnd"/>
      <w:r w:rsidRPr="007E7990">
        <w:t xml:space="preserve">, </w:t>
      </w:r>
      <w:proofErr w:type="spellStart"/>
      <w:r w:rsidRPr="007E7990">
        <w:t>hypofractionation</w:t>
      </w:r>
      <w:proofErr w:type="spellEnd"/>
      <w:r w:rsidRPr="007E7990">
        <w:t>) and changes in the times per treatment.</w:t>
      </w:r>
    </w:p>
    <w:p w:rsidR="00045EDA" w:rsidRDefault="00045EDA" w:rsidP="00045EDA"/>
    <w:p w:rsidR="00A63022" w:rsidRPr="007E7990" w:rsidRDefault="00A63022" w:rsidP="00A63022">
      <w:pPr>
        <w:pStyle w:val="Heading3"/>
      </w:pPr>
      <w:r w:rsidRPr="007E7990">
        <w:t>4.5.2</w:t>
      </w:r>
      <w:r>
        <w:tab/>
      </w:r>
      <w:r w:rsidRPr="007E7990">
        <w:t>Tipping point</w:t>
      </w:r>
    </w:p>
    <w:p w:rsidR="00A63022" w:rsidRDefault="00A63022" w:rsidP="00A63022">
      <w:r w:rsidRPr="007E7990">
        <w:t>As a radiation therapy service reaches the point of needing a new linac, it is likely there would be changes in operations to delay the need for the next large capital spend, and to ensure that when the new linac commences operation it carries a reasonable load. Examples of such ‘tipping point’ operational changes might include running a 10-hour day in the months of highest volumes (as was done in Waikato in 2012 and 2013), evenings/weekends shifts, working public holidays, or subcontracting volumes to other centres. Note that the Model without a tipping point added assumes a new linac is required when the hours of operation needed in the busiest month of the year is exceeded (derived using one standard deviation added to the average). On average this might occur or be close to occurring in 2</w:t>
      </w:r>
      <w:r w:rsidR="00E5110C">
        <w:t>–</w:t>
      </w:r>
      <w:r w:rsidRPr="007E7990">
        <w:t>3 months of the year. The tipping point measures described (such as subcontracting or extending operational hours) would come into play for these maximal months. For the remainder of the year the centre will presumably be able to operate its normal hours.</w:t>
      </w:r>
    </w:p>
    <w:p w:rsidR="00A63022" w:rsidRPr="007E7990" w:rsidRDefault="00A63022" w:rsidP="00A63022"/>
    <w:p w:rsidR="00A63022" w:rsidRPr="007E7990" w:rsidRDefault="00A63022" w:rsidP="00045EDA"/>
    <w:p w:rsidR="00A63022" w:rsidRDefault="00A63022" w:rsidP="00045EDA">
      <w:pPr>
        <w:pStyle w:val="Table"/>
        <w:sectPr w:rsidR="00A63022" w:rsidSect="000A4D1A">
          <w:footerReference w:type="default" r:id="rId26"/>
          <w:pgSz w:w="11907" w:h="16834" w:code="9"/>
          <w:pgMar w:top="1418" w:right="1134" w:bottom="1418" w:left="1134" w:header="425" w:footer="567" w:gutter="284"/>
          <w:cols w:space="720"/>
        </w:sectPr>
      </w:pPr>
      <w:bookmarkStart w:id="113" w:name="_Ref367454317"/>
    </w:p>
    <w:p w:rsidR="00F425CB" w:rsidRPr="007E7990" w:rsidRDefault="00F425CB" w:rsidP="00045EDA">
      <w:pPr>
        <w:pStyle w:val="Table"/>
      </w:pPr>
      <w:bookmarkStart w:id="114" w:name="_Toc384202884"/>
      <w:r w:rsidRPr="007E7990">
        <w:lastRenderedPageBreak/>
        <w:t xml:space="preserve">Table </w:t>
      </w:r>
      <w:r w:rsidR="00045EDA">
        <w:t>9</w:t>
      </w:r>
      <w:bookmarkEnd w:id="113"/>
      <w:r w:rsidR="00045EDA">
        <w:t>:</w:t>
      </w:r>
      <w:r w:rsidR="007E7990" w:rsidRPr="007E7990">
        <w:t xml:space="preserve"> </w:t>
      </w:r>
      <w:r w:rsidRPr="007E7990">
        <w:t xml:space="preserve">National radiation oncology capacity model scenario </w:t>
      </w:r>
      <w:proofErr w:type="spellStart"/>
      <w:r w:rsidRPr="007E7990">
        <w:t>costings</w:t>
      </w:r>
      <w:bookmarkEnd w:id="114"/>
      <w:proofErr w:type="spellEnd"/>
    </w:p>
    <w:tbl>
      <w:tblPr>
        <w:tblW w:w="14601"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701"/>
        <w:gridCol w:w="1276"/>
        <w:gridCol w:w="992"/>
        <w:gridCol w:w="1560"/>
        <w:gridCol w:w="1701"/>
        <w:gridCol w:w="1842"/>
        <w:gridCol w:w="1843"/>
        <w:gridCol w:w="1843"/>
        <w:gridCol w:w="1843"/>
      </w:tblGrid>
      <w:tr w:rsidR="00F425CB" w:rsidRPr="001111C6" w:rsidTr="00C73F47">
        <w:trPr>
          <w:cantSplit/>
        </w:trPr>
        <w:tc>
          <w:tcPr>
            <w:tcW w:w="1701" w:type="dxa"/>
            <w:shd w:val="clear" w:color="auto" w:fill="BDE2FF"/>
          </w:tcPr>
          <w:p w:rsidR="00F425CB" w:rsidRPr="001111C6" w:rsidRDefault="00F425CB" w:rsidP="001111C6">
            <w:pPr>
              <w:pStyle w:val="TableText"/>
              <w:rPr>
                <w:b/>
              </w:rPr>
            </w:pPr>
            <w:r w:rsidRPr="001111C6">
              <w:rPr>
                <w:b/>
              </w:rPr>
              <w:t>Scenario</w:t>
            </w:r>
          </w:p>
        </w:tc>
        <w:tc>
          <w:tcPr>
            <w:tcW w:w="1276" w:type="dxa"/>
            <w:shd w:val="clear" w:color="auto" w:fill="BDE2FF"/>
          </w:tcPr>
          <w:p w:rsidR="00F425CB" w:rsidRPr="001111C6" w:rsidRDefault="00F425CB" w:rsidP="001111C6">
            <w:pPr>
              <w:pStyle w:val="TableText"/>
              <w:jc w:val="center"/>
              <w:rPr>
                <w:b/>
              </w:rPr>
            </w:pPr>
            <w:r w:rsidRPr="001111C6">
              <w:rPr>
                <w:b/>
              </w:rPr>
              <w:t>Rate</w:t>
            </w:r>
          </w:p>
        </w:tc>
        <w:tc>
          <w:tcPr>
            <w:tcW w:w="992" w:type="dxa"/>
            <w:shd w:val="clear" w:color="auto" w:fill="BDE2FF"/>
          </w:tcPr>
          <w:p w:rsidR="00F425CB" w:rsidRPr="001111C6" w:rsidRDefault="00F425CB" w:rsidP="001111C6">
            <w:pPr>
              <w:pStyle w:val="TableText"/>
              <w:jc w:val="center"/>
              <w:rPr>
                <w:b/>
              </w:rPr>
            </w:pPr>
            <w:r w:rsidRPr="001111C6">
              <w:rPr>
                <w:b/>
              </w:rPr>
              <w:t>New linacs</w:t>
            </w:r>
          </w:p>
        </w:tc>
        <w:tc>
          <w:tcPr>
            <w:tcW w:w="1560" w:type="dxa"/>
            <w:shd w:val="clear" w:color="auto" w:fill="BDE2FF"/>
          </w:tcPr>
          <w:p w:rsidR="00F425CB" w:rsidRPr="001111C6" w:rsidRDefault="00F425CB" w:rsidP="001111C6">
            <w:pPr>
              <w:pStyle w:val="TableText"/>
              <w:jc w:val="center"/>
              <w:rPr>
                <w:b/>
              </w:rPr>
            </w:pPr>
            <w:r w:rsidRPr="001111C6">
              <w:rPr>
                <w:b/>
              </w:rPr>
              <w:t>Replacement linacs</w:t>
            </w:r>
          </w:p>
        </w:tc>
        <w:tc>
          <w:tcPr>
            <w:tcW w:w="1701" w:type="dxa"/>
            <w:shd w:val="clear" w:color="auto" w:fill="BDE2FF"/>
          </w:tcPr>
          <w:p w:rsidR="00F425CB" w:rsidRPr="001111C6" w:rsidRDefault="00F425CB" w:rsidP="001111C6">
            <w:pPr>
              <w:pStyle w:val="TableText"/>
              <w:jc w:val="center"/>
              <w:rPr>
                <w:b/>
              </w:rPr>
            </w:pPr>
            <w:r w:rsidRPr="001111C6">
              <w:rPr>
                <w:b/>
                <w:lang w:eastAsia="en-NZ"/>
              </w:rPr>
              <w:t>Operating cost in 2022</w:t>
            </w:r>
            <w:r w:rsidR="001111C6" w:rsidRPr="001111C6">
              <w:rPr>
                <w:b/>
                <w:lang w:eastAsia="en-NZ"/>
              </w:rPr>
              <w:br/>
            </w:r>
            <w:r w:rsidRPr="001111C6">
              <w:rPr>
                <w:b/>
              </w:rPr>
              <w:t>$</w:t>
            </w:r>
            <w:r w:rsidR="001111C6" w:rsidRPr="001111C6">
              <w:rPr>
                <w:b/>
              </w:rPr>
              <w:t> </w:t>
            </w:r>
            <w:r w:rsidRPr="001111C6">
              <w:rPr>
                <w:b/>
              </w:rPr>
              <w:t>current^</w:t>
            </w:r>
          </w:p>
        </w:tc>
        <w:tc>
          <w:tcPr>
            <w:tcW w:w="1842" w:type="dxa"/>
            <w:shd w:val="clear" w:color="auto" w:fill="BDE2FF"/>
          </w:tcPr>
          <w:p w:rsidR="00F425CB" w:rsidRPr="001111C6" w:rsidRDefault="00F425CB" w:rsidP="001111C6">
            <w:pPr>
              <w:pStyle w:val="TableText"/>
              <w:jc w:val="center"/>
              <w:rPr>
                <w:b/>
                <w:i/>
                <w:iCs/>
              </w:rPr>
            </w:pPr>
            <w:r w:rsidRPr="001111C6">
              <w:rPr>
                <w:b/>
              </w:rPr>
              <w:t>Incremental operating cost</w:t>
            </w:r>
            <w:r w:rsidR="001111C6" w:rsidRPr="001111C6">
              <w:rPr>
                <w:b/>
              </w:rPr>
              <w:br/>
            </w:r>
            <w:r w:rsidRPr="001111C6">
              <w:rPr>
                <w:b/>
              </w:rPr>
              <w:t>$</w:t>
            </w:r>
            <w:r w:rsidR="001111C6" w:rsidRPr="001111C6">
              <w:rPr>
                <w:b/>
              </w:rPr>
              <w:t> </w:t>
            </w:r>
            <w:r w:rsidRPr="001111C6">
              <w:rPr>
                <w:b/>
              </w:rPr>
              <w:t>current^</w:t>
            </w:r>
          </w:p>
        </w:tc>
        <w:tc>
          <w:tcPr>
            <w:tcW w:w="1843" w:type="dxa"/>
            <w:shd w:val="clear" w:color="auto" w:fill="BDE2FF"/>
          </w:tcPr>
          <w:p w:rsidR="00F425CB" w:rsidRPr="001111C6" w:rsidRDefault="00F425CB" w:rsidP="001111C6">
            <w:pPr>
              <w:pStyle w:val="TableText"/>
              <w:jc w:val="center"/>
              <w:rPr>
                <w:b/>
              </w:rPr>
            </w:pPr>
            <w:r w:rsidRPr="001111C6">
              <w:rPr>
                <w:b/>
              </w:rPr>
              <w:t>Capital costs 2013</w:t>
            </w:r>
            <w:r w:rsidR="001111C6" w:rsidRPr="001111C6">
              <w:rPr>
                <w:b/>
              </w:rPr>
              <w:t>–</w:t>
            </w:r>
            <w:r w:rsidRPr="001111C6">
              <w:rPr>
                <w:b/>
              </w:rPr>
              <w:t>2022</w:t>
            </w:r>
            <w:r w:rsidR="001111C6" w:rsidRPr="001111C6">
              <w:rPr>
                <w:b/>
              </w:rPr>
              <w:br/>
            </w:r>
            <w:r w:rsidRPr="001111C6">
              <w:rPr>
                <w:b/>
              </w:rPr>
              <w:t>$</w:t>
            </w:r>
            <w:r w:rsidR="001111C6" w:rsidRPr="001111C6">
              <w:rPr>
                <w:b/>
              </w:rPr>
              <w:t> </w:t>
            </w:r>
            <w:r w:rsidRPr="001111C6">
              <w:rPr>
                <w:b/>
              </w:rPr>
              <w:t>current*</w:t>
            </w:r>
          </w:p>
        </w:tc>
        <w:tc>
          <w:tcPr>
            <w:tcW w:w="1843" w:type="dxa"/>
            <w:shd w:val="clear" w:color="auto" w:fill="BDE2FF"/>
          </w:tcPr>
          <w:p w:rsidR="00F425CB" w:rsidRPr="001111C6" w:rsidRDefault="00F425CB" w:rsidP="001111C6">
            <w:pPr>
              <w:pStyle w:val="TableText"/>
              <w:jc w:val="center"/>
              <w:rPr>
                <w:b/>
              </w:rPr>
            </w:pPr>
            <w:r w:rsidRPr="001111C6">
              <w:rPr>
                <w:b/>
              </w:rPr>
              <w:t>Capital present value</w:t>
            </w:r>
          </w:p>
        </w:tc>
        <w:tc>
          <w:tcPr>
            <w:tcW w:w="1843" w:type="dxa"/>
            <w:shd w:val="clear" w:color="auto" w:fill="BDE2FF"/>
          </w:tcPr>
          <w:p w:rsidR="00F425CB" w:rsidRPr="001111C6" w:rsidRDefault="00F425CB" w:rsidP="000A4F53">
            <w:pPr>
              <w:pStyle w:val="TableText"/>
              <w:jc w:val="center"/>
              <w:rPr>
                <w:b/>
              </w:rPr>
            </w:pPr>
            <w:r w:rsidRPr="001111C6">
              <w:rPr>
                <w:b/>
              </w:rPr>
              <w:t>Operating present value</w:t>
            </w:r>
            <w:r w:rsidRPr="000A4F53">
              <w:rPr>
                <w:b/>
                <w:vertAlign w:val="superscript"/>
              </w:rPr>
              <w:t>#</w:t>
            </w:r>
          </w:p>
        </w:tc>
      </w:tr>
      <w:tr w:rsidR="00F425CB" w:rsidRPr="00F21AD5" w:rsidTr="00C73F47">
        <w:trPr>
          <w:cantSplit/>
        </w:trPr>
        <w:tc>
          <w:tcPr>
            <w:tcW w:w="1701" w:type="dxa"/>
          </w:tcPr>
          <w:p w:rsidR="00F425CB" w:rsidRPr="00F21AD5" w:rsidRDefault="00F425CB" w:rsidP="001111C6">
            <w:pPr>
              <w:pStyle w:val="TableText"/>
            </w:pPr>
            <w:r w:rsidRPr="00F21AD5">
              <w:t>Base</w:t>
            </w:r>
          </w:p>
        </w:tc>
        <w:tc>
          <w:tcPr>
            <w:tcW w:w="1276" w:type="dxa"/>
          </w:tcPr>
          <w:p w:rsidR="00F425CB" w:rsidRPr="00F21AD5" w:rsidRDefault="00F425CB" w:rsidP="001111C6">
            <w:pPr>
              <w:pStyle w:val="TableText"/>
            </w:pPr>
            <w:r w:rsidRPr="00F21AD5">
              <w:t>Current IR</w:t>
            </w:r>
          </w:p>
        </w:tc>
        <w:tc>
          <w:tcPr>
            <w:tcW w:w="992" w:type="dxa"/>
          </w:tcPr>
          <w:p w:rsidR="00F425CB" w:rsidRPr="00F21AD5" w:rsidRDefault="00F425CB" w:rsidP="000A4F53">
            <w:pPr>
              <w:pStyle w:val="TableText"/>
              <w:tabs>
                <w:tab w:val="decimal" w:pos="463"/>
              </w:tabs>
              <w:rPr>
                <w:i/>
                <w:iCs/>
                <w:color w:val="404040"/>
              </w:rPr>
            </w:pPr>
            <w:r w:rsidRPr="00F21AD5">
              <w:t>8</w:t>
            </w:r>
          </w:p>
        </w:tc>
        <w:tc>
          <w:tcPr>
            <w:tcW w:w="1560" w:type="dxa"/>
          </w:tcPr>
          <w:p w:rsidR="00F425CB" w:rsidRPr="006836BD" w:rsidRDefault="00F425CB" w:rsidP="000A4F53">
            <w:pPr>
              <w:pStyle w:val="TableText"/>
              <w:jc w:val="center"/>
            </w:pPr>
            <w:r w:rsidRPr="006836BD">
              <w:t>28</w:t>
            </w:r>
          </w:p>
        </w:tc>
        <w:tc>
          <w:tcPr>
            <w:tcW w:w="1701" w:type="dxa"/>
          </w:tcPr>
          <w:p w:rsidR="00F425CB" w:rsidRPr="00F21AD5" w:rsidRDefault="00F425CB" w:rsidP="000A4F53">
            <w:pPr>
              <w:pStyle w:val="TableText"/>
              <w:jc w:val="center"/>
            </w:pPr>
            <w:r w:rsidRPr="00F21AD5">
              <w:t>$144m</w:t>
            </w:r>
          </w:p>
        </w:tc>
        <w:tc>
          <w:tcPr>
            <w:tcW w:w="1842" w:type="dxa"/>
          </w:tcPr>
          <w:p w:rsidR="00F425CB" w:rsidRPr="00F21AD5" w:rsidRDefault="00F425CB" w:rsidP="000A4F53">
            <w:pPr>
              <w:pStyle w:val="TableText"/>
              <w:jc w:val="center"/>
              <w:rPr>
                <w:rFonts w:eastAsia="MS Gothic"/>
                <w:color w:val="404040"/>
              </w:rPr>
            </w:pPr>
            <w:r w:rsidRPr="00F21AD5">
              <w:t>$41m</w:t>
            </w:r>
          </w:p>
        </w:tc>
        <w:tc>
          <w:tcPr>
            <w:tcW w:w="1843" w:type="dxa"/>
          </w:tcPr>
          <w:p w:rsidR="00F425CB" w:rsidRPr="00F21AD5" w:rsidRDefault="00F425CB" w:rsidP="000A4F53">
            <w:pPr>
              <w:pStyle w:val="TableText"/>
              <w:jc w:val="center"/>
            </w:pPr>
            <w:r w:rsidRPr="00F21AD5">
              <w:t>$236m</w:t>
            </w:r>
          </w:p>
        </w:tc>
        <w:tc>
          <w:tcPr>
            <w:tcW w:w="1843" w:type="dxa"/>
          </w:tcPr>
          <w:p w:rsidR="00F425CB" w:rsidRPr="006836BD" w:rsidRDefault="00F425CB" w:rsidP="000A4F53">
            <w:pPr>
              <w:pStyle w:val="TableText"/>
              <w:jc w:val="center"/>
              <w:rPr>
                <w:rFonts w:eastAsia="MS Gothic"/>
                <w:color w:val="404040"/>
              </w:rPr>
            </w:pPr>
            <w:r w:rsidRPr="006836BD">
              <w:t>$184m</w:t>
            </w:r>
          </w:p>
        </w:tc>
        <w:tc>
          <w:tcPr>
            <w:tcW w:w="1843" w:type="dxa"/>
          </w:tcPr>
          <w:p w:rsidR="00F425CB" w:rsidRPr="006836BD" w:rsidRDefault="00F425CB" w:rsidP="000A4F53">
            <w:pPr>
              <w:pStyle w:val="TableText"/>
              <w:jc w:val="center"/>
            </w:pPr>
            <w:r w:rsidRPr="006836BD">
              <w:t>$1,107m</w:t>
            </w:r>
          </w:p>
        </w:tc>
      </w:tr>
      <w:tr w:rsidR="00F425CB" w:rsidRPr="00F21AD5" w:rsidTr="00C73F47">
        <w:trPr>
          <w:cantSplit/>
        </w:trPr>
        <w:tc>
          <w:tcPr>
            <w:tcW w:w="1701" w:type="dxa"/>
          </w:tcPr>
          <w:p w:rsidR="00F425CB" w:rsidRPr="00F21AD5" w:rsidRDefault="00F425CB" w:rsidP="001111C6">
            <w:pPr>
              <w:pStyle w:val="TableText"/>
            </w:pPr>
            <w:r w:rsidRPr="00F21AD5">
              <w:t xml:space="preserve">Modest </w:t>
            </w:r>
            <w:r w:rsidR="001111C6">
              <w:t>g</w:t>
            </w:r>
            <w:r w:rsidRPr="00F21AD5">
              <w:t>rowth</w:t>
            </w:r>
          </w:p>
        </w:tc>
        <w:tc>
          <w:tcPr>
            <w:tcW w:w="1276" w:type="dxa"/>
          </w:tcPr>
          <w:p w:rsidR="00F425CB" w:rsidRPr="00F21AD5" w:rsidRDefault="00F425CB" w:rsidP="001111C6">
            <w:pPr>
              <w:pStyle w:val="TableText"/>
            </w:pPr>
            <w:r w:rsidRPr="00F21AD5">
              <w:t>40%</w:t>
            </w:r>
          </w:p>
        </w:tc>
        <w:tc>
          <w:tcPr>
            <w:tcW w:w="992" w:type="dxa"/>
          </w:tcPr>
          <w:p w:rsidR="00F425CB" w:rsidRPr="00F21AD5" w:rsidRDefault="00F425CB" w:rsidP="000A4F53">
            <w:pPr>
              <w:pStyle w:val="TableText"/>
              <w:tabs>
                <w:tab w:val="decimal" w:pos="463"/>
              </w:tabs>
              <w:rPr>
                <w:rFonts w:eastAsia="MS Gothic"/>
                <w:color w:val="404040"/>
              </w:rPr>
            </w:pPr>
            <w:r w:rsidRPr="00F21AD5">
              <w:t>10</w:t>
            </w:r>
          </w:p>
        </w:tc>
        <w:tc>
          <w:tcPr>
            <w:tcW w:w="1560" w:type="dxa"/>
          </w:tcPr>
          <w:p w:rsidR="00F425CB" w:rsidRPr="00F21AD5" w:rsidRDefault="00F425CB" w:rsidP="000A4F53">
            <w:pPr>
              <w:pStyle w:val="TableText"/>
              <w:jc w:val="center"/>
            </w:pPr>
            <w:r w:rsidRPr="00F21AD5">
              <w:t>28</w:t>
            </w:r>
          </w:p>
        </w:tc>
        <w:tc>
          <w:tcPr>
            <w:tcW w:w="1701" w:type="dxa"/>
          </w:tcPr>
          <w:p w:rsidR="00F425CB" w:rsidRPr="00F21AD5" w:rsidRDefault="00F425CB" w:rsidP="000A4F53">
            <w:pPr>
              <w:pStyle w:val="TableText"/>
              <w:jc w:val="center"/>
            </w:pPr>
            <w:r w:rsidRPr="00F21AD5">
              <w:t>$156m</w:t>
            </w:r>
          </w:p>
        </w:tc>
        <w:tc>
          <w:tcPr>
            <w:tcW w:w="1842" w:type="dxa"/>
          </w:tcPr>
          <w:p w:rsidR="00F425CB" w:rsidRPr="00F21AD5" w:rsidRDefault="00F425CB" w:rsidP="000A4F53">
            <w:pPr>
              <w:pStyle w:val="TableText"/>
              <w:jc w:val="center"/>
              <w:rPr>
                <w:rFonts w:eastAsia="MS Gothic"/>
                <w:color w:val="404040"/>
              </w:rPr>
            </w:pPr>
            <w:r w:rsidRPr="00F21AD5">
              <w:t>$52m</w:t>
            </w:r>
          </w:p>
        </w:tc>
        <w:tc>
          <w:tcPr>
            <w:tcW w:w="1843" w:type="dxa"/>
          </w:tcPr>
          <w:p w:rsidR="00F425CB" w:rsidRPr="00F21AD5" w:rsidRDefault="00F425CB" w:rsidP="000A4F53">
            <w:pPr>
              <w:pStyle w:val="TableText"/>
              <w:jc w:val="center"/>
            </w:pPr>
            <w:r w:rsidRPr="00F21AD5">
              <w:rPr>
                <w:color w:val="000000"/>
                <w:lang w:eastAsia="en-NZ"/>
              </w:rPr>
              <w:t>$2</w:t>
            </w:r>
            <w:r>
              <w:rPr>
                <w:color w:val="000000"/>
                <w:lang w:eastAsia="en-NZ"/>
              </w:rPr>
              <w:t>58</w:t>
            </w:r>
            <w:r w:rsidRPr="00F21AD5">
              <w:rPr>
                <w:color w:val="000000"/>
                <w:lang w:eastAsia="en-NZ"/>
              </w:rPr>
              <w:t>m</w:t>
            </w:r>
          </w:p>
        </w:tc>
        <w:tc>
          <w:tcPr>
            <w:tcW w:w="1843" w:type="dxa"/>
          </w:tcPr>
          <w:p w:rsidR="00F425CB" w:rsidRPr="006836BD" w:rsidRDefault="00F425CB" w:rsidP="000A4F53">
            <w:pPr>
              <w:pStyle w:val="TableText"/>
              <w:jc w:val="center"/>
              <w:rPr>
                <w:rFonts w:eastAsia="MS Gothic"/>
                <w:color w:val="404040"/>
              </w:rPr>
            </w:pPr>
            <w:r w:rsidRPr="00F21AD5">
              <w:t>$200m</w:t>
            </w:r>
          </w:p>
        </w:tc>
        <w:tc>
          <w:tcPr>
            <w:tcW w:w="1843" w:type="dxa"/>
          </w:tcPr>
          <w:p w:rsidR="00F425CB" w:rsidRPr="006836BD" w:rsidRDefault="00F425CB" w:rsidP="000A4F53">
            <w:pPr>
              <w:pStyle w:val="TableText"/>
              <w:jc w:val="center"/>
              <w:rPr>
                <w:rFonts w:eastAsia="MS Gothic"/>
                <w:color w:val="404040"/>
              </w:rPr>
            </w:pPr>
            <w:r w:rsidRPr="006836BD">
              <w:t>$1,144m</w:t>
            </w:r>
          </w:p>
        </w:tc>
      </w:tr>
      <w:tr w:rsidR="00F425CB" w:rsidRPr="00F21AD5" w:rsidTr="00C73F47">
        <w:trPr>
          <w:cantSplit/>
        </w:trPr>
        <w:tc>
          <w:tcPr>
            <w:tcW w:w="1701" w:type="dxa"/>
          </w:tcPr>
          <w:p w:rsidR="00F425CB" w:rsidRPr="00F21AD5" w:rsidRDefault="00F425CB" w:rsidP="001111C6">
            <w:pPr>
              <w:pStyle w:val="TableText"/>
            </w:pPr>
            <w:r w:rsidRPr="00F21AD5">
              <w:t>Growth</w:t>
            </w:r>
          </w:p>
        </w:tc>
        <w:tc>
          <w:tcPr>
            <w:tcW w:w="1276" w:type="dxa"/>
          </w:tcPr>
          <w:p w:rsidR="00F425CB" w:rsidRPr="00F21AD5" w:rsidRDefault="00F425CB" w:rsidP="001111C6">
            <w:pPr>
              <w:pStyle w:val="TableText"/>
            </w:pPr>
            <w:r w:rsidRPr="00F21AD5">
              <w:t>45%</w:t>
            </w:r>
          </w:p>
        </w:tc>
        <w:tc>
          <w:tcPr>
            <w:tcW w:w="992" w:type="dxa"/>
          </w:tcPr>
          <w:p w:rsidR="00F425CB" w:rsidRPr="00F21AD5" w:rsidRDefault="00F425CB" w:rsidP="000A4F53">
            <w:pPr>
              <w:pStyle w:val="TableText"/>
              <w:tabs>
                <w:tab w:val="decimal" w:pos="463"/>
              </w:tabs>
              <w:rPr>
                <w:rFonts w:eastAsia="MS Gothic"/>
                <w:color w:val="404040"/>
              </w:rPr>
            </w:pPr>
            <w:r w:rsidRPr="00F21AD5">
              <w:t>17</w:t>
            </w:r>
          </w:p>
        </w:tc>
        <w:tc>
          <w:tcPr>
            <w:tcW w:w="1560" w:type="dxa"/>
          </w:tcPr>
          <w:p w:rsidR="00F425CB" w:rsidRPr="00F21AD5" w:rsidRDefault="00F425CB" w:rsidP="000A4F53">
            <w:pPr>
              <w:pStyle w:val="TableText"/>
              <w:jc w:val="center"/>
            </w:pPr>
            <w:r w:rsidRPr="00F21AD5">
              <w:t>28</w:t>
            </w:r>
          </w:p>
        </w:tc>
        <w:tc>
          <w:tcPr>
            <w:tcW w:w="1701" w:type="dxa"/>
          </w:tcPr>
          <w:p w:rsidR="00F425CB" w:rsidRPr="00F21AD5" w:rsidRDefault="00F425CB" w:rsidP="000A4F53">
            <w:pPr>
              <w:pStyle w:val="TableText"/>
              <w:jc w:val="center"/>
            </w:pPr>
            <w:r w:rsidRPr="00F21AD5">
              <w:t>$181m</w:t>
            </w:r>
          </w:p>
        </w:tc>
        <w:tc>
          <w:tcPr>
            <w:tcW w:w="1842" w:type="dxa"/>
          </w:tcPr>
          <w:p w:rsidR="00F425CB" w:rsidRPr="00F21AD5" w:rsidRDefault="00F425CB" w:rsidP="000A4F53">
            <w:pPr>
              <w:pStyle w:val="TableText"/>
              <w:jc w:val="center"/>
              <w:rPr>
                <w:rFonts w:eastAsia="MS Gothic"/>
                <w:color w:val="404040"/>
              </w:rPr>
            </w:pPr>
            <w:r w:rsidRPr="00F21AD5">
              <w:t>$77m</w:t>
            </w:r>
          </w:p>
        </w:tc>
        <w:tc>
          <w:tcPr>
            <w:tcW w:w="1843" w:type="dxa"/>
          </w:tcPr>
          <w:p w:rsidR="00F425CB" w:rsidRPr="00F21AD5" w:rsidRDefault="00F425CB" w:rsidP="000A4F53">
            <w:pPr>
              <w:pStyle w:val="TableText"/>
              <w:jc w:val="center"/>
            </w:pPr>
            <w:r w:rsidRPr="00F21AD5">
              <w:rPr>
                <w:color w:val="000000"/>
                <w:lang w:eastAsia="en-NZ"/>
              </w:rPr>
              <w:t>$328m</w:t>
            </w:r>
          </w:p>
        </w:tc>
        <w:tc>
          <w:tcPr>
            <w:tcW w:w="1843" w:type="dxa"/>
          </w:tcPr>
          <w:p w:rsidR="00F425CB" w:rsidRPr="006836BD" w:rsidRDefault="00F425CB" w:rsidP="000A4F53">
            <w:pPr>
              <w:pStyle w:val="TableText"/>
              <w:jc w:val="center"/>
              <w:rPr>
                <w:rFonts w:eastAsia="MS Gothic"/>
                <w:color w:val="404040"/>
              </w:rPr>
            </w:pPr>
            <w:r w:rsidRPr="00F21AD5">
              <w:t>$246m</w:t>
            </w:r>
          </w:p>
        </w:tc>
        <w:tc>
          <w:tcPr>
            <w:tcW w:w="1843" w:type="dxa"/>
          </w:tcPr>
          <w:p w:rsidR="00F425CB" w:rsidRPr="006836BD" w:rsidRDefault="00F425CB" w:rsidP="000A4F53">
            <w:pPr>
              <w:pStyle w:val="TableText"/>
              <w:jc w:val="center"/>
              <w:rPr>
                <w:rFonts w:eastAsia="MS Gothic"/>
                <w:color w:val="404040"/>
              </w:rPr>
            </w:pPr>
            <w:r w:rsidRPr="006836BD">
              <w:t>$1,216m</w:t>
            </w:r>
          </w:p>
        </w:tc>
      </w:tr>
      <w:tr w:rsidR="00F425CB" w:rsidRPr="00F21AD5" w:rsidTr="00C73F47">
        <w:trPr>
          <w:cantSplit/>
        </w:trPr>
        <w:tc>
          <w:tcPr>
            <w:tcW w:w="1701" w:type="dxa"/>
          </w:tcPr>
          <w:p w:rsidR="00F425CB" w:rsidRPr="00F21AD5" w:rsidRDefault="00F425CB" w:rsidP="001111C6">
            <w:pPr>
              <w:pStyle w:val="TableText"/>
            </w:pPr>
            <w:r w:rsidRPr="00F21AD5">
              <w:t xml:space="preserve">Maximal </w:t>
            </w:r>
            <w:r w:rsidR="001111C6">
              <w:t>g</w:t>
            </w:r>
            <w:r w:rsidRPr="00F21AD5">
              <w:t>rowth</w:t>
            </w:r>
          </w:p>
        </w:tc>
        <w:tc>
          <w:tcPr>
            <w:tcW w:w="1276" w:type="dxa"/>
          </w:tcPr>
          <w:p w:rsidR="00F425CB" w:rsidRPr="00F21AD5" w:rsidRDefault="00F425CB" w:rsidP="001111C6">
            <w:pPr>
              <w:pStyle w:val="TableText"/>
            </w:pPr>
            <w:r w:rsidRPr="00F21AD5">
              <w:t>50%</w:t>
            </w:r>
          </w:p>
        </w:tc>
        <w:tc>
          <w:tcPr>
            <w:tcW w:w="992" w:type="dxa"/>
          </w:tcPr>
          <w:p w:rsidR="00F425CB" w:rsidRPr="00F21AD5" w:rsidRDefault="00F425CB" w:rsidP="000A4F53">
            <w:pPr>
              <w:pStyle w:val="TableText"/>
              <w:tabs>
                <w:tab w:val="decimal" w:pos="463"/>
              </w:tabs>
              <w:rPr>
                <w:rFonts w:eastAsia="MS Gothic"/>
                <w:color w:val="404040"/>
              </w:rPr>
            </w:pPr>
            <w:r w:rsidRPr="00F21AD5">
              <w:t>20</w:t>
            </w:r>
          </w:p>
        </w:tc>
        <w:tc>
          <w:tcPr>
            <w:tcW w:w="1560" w:type="dxa"/>
          </w:tcPr>
          <w:p w:rsidR="00F425CB" w:rsidRPr="006836BD" w:rsidRDefault="00F425CB" w:rsidP="000A4F53">
            <w:pPr>
              <w:pStyle w:val="TableText"/>
              <w:jc w:val="center"/>
            </w:pPr>
            <w:r w:rsidRPr="00F21AD5">
              <w:t>28</w:t>
            </w:r>
          </w:p>
        </w:tc>
        <w:tc>
          <w:tcPr>
            <w:tcW w:w="1701" w:type="dxa"/>
          </w:tcPr>
          <w:p w:rsidR="00F425CB" w:rsidRPr="00F21AD5" w:rsidRDefault="00F425CB" w:rsidP="000A4F53">
            <w:pPr>
              <w:pStyle w:val="TableText"/>
              <w:jc w:val="center"/>
            </w:pPr>
            <w:r w:rsidRPr="00F21AD5">
              <w:t>$200m</w:t>
            </w:r>
          </w:p>
        </w:tc>
        <w:tc>
          <w:tcPr>
            <w:tcW w:w="1842" w:type="dxa"/>
          </w:tcPr>
          <w:p w:rsidR="00F425CB" w:rsidRPr="00F21AD5" w:rsidRDefault="00F425CB" w:rsidP="000A4F53">
            <w:pPr>
              <w:pStyle w:val="TableText"/>
              <w:jc w:val="center"/>
              <w:rPr>
                <w:rFonts w:eastAsia="MS Gothic"/>
                <w:color w:val="404040"/>
              </w:rPr>
            </w:pPr>
            <w:r w:rsidRPr="00F21AD5">
              <w:t>$96m</w:t>
            </w:r>
          </w:p>
        </w:tc>
        <w:tc>
          <w:tcPr>
            <w:tcW w:w="1843" w:type="dxa"/>
          </w:tcPr>
          <w:p w:rsidR="00F425CB" w:rsidRPr="00F21AD5" w:rsidRDefault="00F425CB" w:rsidP="000A4F53">
            <w:pPr>
              <w:pStyle w:val="TableText"/>
              <w:jc w:val="center"/>
            </w:pPr>
            <w:r w:rsidRPr="00F21AD5">
              <w:rPr>
                <w:color w:val="000000"/>
                <w:lang w:eastAsia="en-NZ"/>
              </w:rPr>
              <w:t>$361m</w:t>
            </w:r>
          </w:p>
        </w:tc>
        <w:tc>
          <w:tcPr>
            <w:tcW w:w="1843" w:type="dxa"/>
          </w:tcPr>
          <w:p w:rsidR="00F425CB" w:rsidRPr="006836BD" w:rsidRDefault="00F425CB" w:rsidP="000A4F53">
            <w:pPr>
              <w:pStyle w:val="TableText"/>
              <w:jc w:val="center"/>
              <w:rPr>
                <w:rFonts w:eastAsia="MS Gothic"/>
                <w:color w:val="404040"/>
              </w:rPr>
            </w:pPr>
            <w:r w:rsidRPr="00F21AD5">
              <w:t>$271m</w:t>
            </w:r>
          </w:p>
        </w:tc>
        <w:tc>
          <w:tcPr>
            <w:tcW w:w="1843" w:type="dxa"/>
          </w:tcPr>
          <w:p w:rsidR="00F425CB" w:rsidRPr="006836BD" w:rsidRDefault="00F425CB" w:rsidP="000A4F53">
            <w:pPr>
              <w:pStyle w:val="TableText"/>
              <w:jc w:val="center"/>
              <w:rPr>
                <w:rFonts w:eastAsia="MS Gothic"/>
                <w:color w:val="404040"/>
              </w:rPr>
            </w:pPr>
            <w:r w:rsidRPr="006836BD">
              <w:t>$1,280m</w:t>
            </w:r>
          </w:p>
        </w:tc>
      </w:tr>
    </w:tbl>
    <w:p w:rsidR="00F425CB" w:rsidRPr="00746E99" w:rsidRDefault="00F425CB" w:rsidP="001111C6">
      <w:pPr>
        <w:pStyle w:val="Note"/>
      </w:pPr>
      <w:r w:rsidRPr="00746E99">
        <w:t>Notes:</w:t>
      </w:r>
    </w:p>
    <w:p w:rsidR="00F425CB" w:rsidRPr="00746E99" w:rsidRDefault="00F425CB" w:rsidP="001111C6">
      <w:pPr>
        <w:pStyle w:val="Note"/>
      </w:pPr>
      <w:proofErr w:type="gramStart"/>
      <w:r w:rsidRPr="00746E99">
        <w:t>Based on a 2% inflation rate per annum, and an 8% discount rate.</w:t>
      </w:r>
      <w:proofErr w:type="gramEnd"/>
      <w:r w:rsidR="007E7990">
        <w:t xml:space="preserve"> </w:t>
      </w:r>
      <w:r>
        <w:t>IR = intervention rate</w:t>
      </w:r>
    </w:p>
    <w:p w:rsidR="00F425CB" w:rsidRPr="00746E99" w:rsidRDefault="00F425CB" w:rsidP="001111C6">
      <w:pPr>
        <w:pStyle w:val="Note"/>
        <w:ind w:left="284" w:hanging="284"/>
      </w:pPr>
      <w:r w:rsidRPr="00746E99">
        <w:t>*</w:t>
      </w:r>
      <w:r w:rsidR="001111C6">
        <w:tab/>
      </w:r>
      <w:r w:rsidRPr="00746E99">
        <w:t>Includes scheduled linac replacements (2</w:t>
      </w:r>
      <w:r>
        <w:t>8</w:t>
      </w:r>
      <w:r w:rsidRPr="00746E99">
        <w:t xml:space="preserve"> existing linacs to be replaced over the planning period</w:t>
      </w:r>
      <w:r>
        <w:t xml:space="preserve"> = $152m</w:t>
      </w:r>
      <w:r w:rsidRPr="00746E99">
        <w:t>) and software upgrades for existing linacs; includes bunker construction costs for new builds</w:t>
      </w:r>
      <w:r>
        <w:t>.</w:t>
      </w:r>
      <w:r w:rsidR="007E7990">
        <w:t xml:space="preserve"> </w:t>
      </w:r>
      <w:r>
        <w:t>The 2014 Tauranga linacs are assumed to have been financed and are not included here.</w:t>
      </w:r>
    </w:p>
    <w:p w:rsidR="007E7990" w:rsidRDefault="00F425CB" w:rsidP="001111C6">
      <w:pPr>
        <w:pStyle w:val="Note"/>
        <w:ind w:left="284" w:hanging="284"/>
      </w:pPr>
      <w:r w:rsidRPr="00746E99">
        <w:t>^</w:t>
      </w:r>
      <w:r w:rsidR="001111C6">
        <w:tab/>
      </w:r>
      <w:r>
        <w:t>2012 operating cost estimated at $103m.</w:t>
      </w:r>
      <w:r w:rsidR="007E7990">
        <w:t xml:space="preserve"> </w:t>
      </w:r>
      <w:proofErr w:type="gramStart"/>
      <w:r w:rsidRPr="00746E99">
        <w:t>Includes additional operating expenditure arising from increased linac and workforce capacity</w:t>
      </w:r>
      <w:r>
        <w:t xml:space="preserve"> including</w:t>
      </w:r>
      <w:r w:rsidRPr="00746E99">
        <w:t xml:space="preserve"> </w:t>
      </w:r>
      <w:r>
        <w:t>linac-related depreciation and costs of capital</w:t>
      </w:r>
      <w:r w:rsidR="001111C6">
        <w:t>.</w:t>
      </w:r>
      <w:proofErr w:type="gramEnd"/>
    </w:p>
    <w:p w:rsidR="00F425CB" w:rsidRPr="00746E99" w:rsidRDefault="00F425CB" w:rsidP="001111C6">
      <w:pPr>
        <w:pStyle w:val="Note"/>
        <w:ind w:left="284" w:hanging="284"/>
      </w:pPr>
      <w:r w:rsidRPr="00746E99">
        <w:t>#</w:t>
      </w:r>
      <w:r w:rsidR="001111C6">
        <w:tab/>
      </w:r>
      <w:r w:rsidRPr="00746E99">
        <w:t xml:space="preserve">Total </w:t>
      </w:r>
      <w:proofErr w:type="spellStart"/>
      <w:r w:rsidRPr="00746E99">
        <w:t>cashflow</w:t>
      </w:r>
      <w:proofErr w:type="spellEnd"/>
      <w:r w:rsidRPr="00746E99">
        <w:t xml:space="preserve"> for 10-year period, which includes estimated current operating expenditure</w:t>
      </w:r>
      <w:r w:rsidR="001111C6">
        <w:t>.</w:t>
      </w:r>
    </w:p>
    <w:p w:rsidR="00F425CB" w:rsidRDefault="00F425CB" w:rsidP="001111C6"/>
    <w:p w:rsidR="00A63022" w:rsidRDefault="00A63022" w:rsidP="001111C6">
      <w:pPr>
        <w:pStyle w:val="Heading3"/>
        <w:sectPr w:rsidR="00A63022" w:rsidSect="00A63022">
          <w:pgSz w:w="16834" w:h="11907" w:orient="landscape" w:code="9"/>
          <w:pgMar w:top="1134" w:right="1134" w:bottom="1134" w:left="1134" w:header="425" w:footer="567" w:gutter="0"/>
          <w:cols w:space="720"/>
          <w:docGrid w:linePitch="299"/>
        </w:sectPr>
      </w:pPr>
      <w:bookmarkStart w:id="115" w:name="_Toc376936373"/>
    </w:p>
    <w:p w:rsidR="00F425CB" w:rsidRPr="007E7990" w:rsidRDefault="00F425CB" w:rsidP="00A63022">
      <w:pPr>
        <w:pStyle w:val="Heading3"/>
      </w:pPr>
      <w:bookmarkStart w:id="116" w:name="_Toc376936374"/>
      <w:bookmarkEnd w:id="115"/>
      <w:r w:rsidRPr="007E7990">
        <w:lastRenderedPageBreak/>
        <w:t>4.5.3</w:t>
      </w:r>
      <w:r w:rsidR="00A63022">
        <w:tab/>
      </w:r>
      <w:r w:rsidRPr="007E7990">
        <w:t>Operational gains</w:t>
      </w:r>
      <w:bookmarkEnd w:id="116"/>
    </w:p>
    <w:p w:rsidR="00F425CB" w:rsidRPr="007E7990" w:rsidRDefault="00F425CB" w:rsidP="00A63022">
      <w:r w:rsidRPr="007E7990">
        <w:t xml:space="preserve">As an example, a conservative approach might assume a 1% improvement per </w:t>
      </w:r>
      <w:proofErr w:type="gramStart"/>
      <w:r w:rsidRPr="007E7990">
        <w:t>annum,</w:t>
      </w:r>
      <w:proofErr w:type="gramEnd"/>
      <w:r w:rsidRPr="007E7990">
        <w:t xml:space="preserve"> or 10% over 10</w:t>
      </w:r>
      <w:r w:rsidR="00A63022">
        <w:t> </w:t>
      </w:r>
      <w:r w:rsidRPr="007E7990">
        <w:t>years at a national level in either treatments per course, or times per treatment, or a combination of the two. Individual centre rates will vary, but the national average should be modifiable.</w:t>
      </w:r>
      <w:r w:rsidR="007E7990" w:rsidRPr="007E7990">
        <w:t xml:space="preserve"> </w:t>
      </w:r>
      <w:r w:rsidRPr="007E7990">
        <w:t>To this might be added the equivalent tipping point response of running the existing linacs at 10</w:t>
      </w:r>
      <w:r w:rsidR="00A63022">
        <w:t> </w:t>
      </w:r>
      <w:r w:rsidRPr="007E7990">
        <w:t>hours per day, as has been done at Waikato</w:t>
      </w:r>
      <w:r w:rsidR="00A63022">
        <w:t>.</w:t>
      </w:r>
      <w:r w:rsidRPr="00A63022">
        <w:rPr>
          <w:rStyle w:val="FootnoteReference"/>
        </w:rPr>
        <w:footnoteReference w:id="25"/>
      </w:r>
      <w:r w:rsidR="007E7990" w:rsidRPr="007E7990">
        <w:t xml:space="preserve"> </w:t>
      </w:r>
      <w:r w:rsidRPr="007E7990">
        <w:t>Actual tipping point changes would vary from centre to centre as noted above, but for modelling purposes are assumed to have the impact equivalent to the 10</w:t>
      </w:r>
      <w:r w:rsidR="00A63022">
        <w:t> </w:t>
      </w:r>
      <w:r w:rsidRPr="007E7990">
        <w:t>hours a day operation.</w:t>
      </w:r>
      <w:r w:rsidR="007E7990" w:rsidRPr="007E7990">
        <w:t xml:space="preserve"> </w:t>
      </w:r>
      <w:r w:rsidRPr="007E7990">
        <w:t xml:space="preserve">Based on these changes a new capacity forecast is shown in </w:t>
      </w:r>
      <w:r w:rsidR="00A63022">
        <w:t>Table 10</w:t>
      </w:r>
      <w:r w:rsidRPr="007E7990">
        <w:t>, with concomitant new workforce and cost estimates (</w:t>
      </w:r>
      <w:r w:rsidR="00A63022">
        <w:t>Tables 11 and 13</w:t>
      </w:r>
      <w:r w:rsidRPr="007E7990">
        <w:t>).</w:t>
      </w:r>
    </w:p>
    <w:p w:rsidR="00F425CB" w:rsidRPr="007E7990" w:rsidRDefault="00F425CB" w:rsidP="00A63022"/>
    <w:p w:rsidR="00F425CB" w:rsidRPr="007E7990" w:rsidRDefault="00F425CB" w:rsidP="00A63022">
      <w:pPr>
        <w:pStyle w:val="Table"/>
      </w:pPr>
      <w:bookmarkStart w:id="117" w:name="_Ref369092893"/>
      <w:bookmarkStart w:id="118" w:name="_Ref369156762"/>
      <w:bookmarkStart w:id="119" w:name="_Toc384202885"/>
      <w:r w:rsidRPr="007E7990">
        <w:t xml:space="preserve">Table </w:t>
      </w:r>
      <w:r w:rsidR="00A63022">
        <w:t>10</w:t>
      </w:r>
      <w:bookmarkEnd w:id="117"/>
      <w:r w:rsidR="00A63022">
        <w:t>:</w:t>
      </w:r>
      <w:r w:rsidR="007E7990" w:rsidRPr="007E7990">
        <w:t xml:space="preserve"> </w:t>
      </w:r>
      <w:r w:rsidRPr="007E7990">
        <w:t>Model scenarios with</w:t>
      </w:r>
      <w:bookmarkEnd w:id="118"/>
      <w:r w:rsidRPr="007E7990">
        <w:t xml:space="preserve"> operational gains and/or tipping point measures</w:t>
      </w:r>
      <w:bookmarkEnd w:id="119"/>
    </w:p>
    <w:tbl>
      <w:tblPr>
        <w:tblW w:w="0" w:type="auto"/>
        <w:tblInd w:w="108" w:type="dxa"/>
        <w:tblLayout w:type="fixed"/>
        <w:tblLook w:val="00A0" w:firstRow="1" w:lastRow="0" w:firstColumn="1" w:lastColumn="0" w:noHBand="0" w:noVBand="0"/>
      </w:tblPr>
      <w:tblGrid>
        <w:gridCol w:w="1560"/>
        <w:gridCol w:w="1854"/>
        <w:gridCol w:w="1406"/>
        <w:gridCol w:w="1843"/>
        <w:gridCol w:w="1346"/>
        <w:gridCol w:w="1347"/>
      </w:tblGrid>
      <w:tr w:rsidR="00E5110C" w:rsidRPr="00E5110C" w:rsidTr="00C73F47">
        <w:trPr>
          <w:cantSplit/>
        </w:trPr>
        <w:tc>
          <w:tcPr>
            <w:tcW w:w="1560" w:type="dxa"/>
            <w:vMerge w:val="restart"/>
            <w:tcBorders>
              <w:top w:val="single" w:sz="4" w:space="0" w:color="A6A6A6"/>
              <w:left w:val="single" w:sz="4" w:space="0" w:color="A6A6A6"/>
              <w:right w:val="single" w:sz="4" w:space="0" w:color="A6A6A6"/>
            </w:tcBorders>
            <w:shd w:val="clear" w:color="auto" w:fill="BDE2FF"/>
            <w:tcMar>
              <w:top w:w="0" w:type="dxa"/>
              <w:left w:w="108" w:type="dxa"/>
              <w:bottom w:w="0" w:type="dxa"/>
              <w:right w:w="108" w:type="dxa"/>
            </w:tcMar>
          </w:tcPr>
          <w:p w:rsidR="00E5110C" w:rsidRPr="00E5110C" w:rsidRDefault="00E5110C" w:rsidP="00E5110C">
            <w:pPr>
              <w:pStyle w:val="TableText"/>
              <w:rPr>
                <w:b/>
                <w:lang w:eastAsia="en-NZ"/>
              </w:rPr>
            </w:pPr>
            <w:r w:rsidRPr="00E5110C">
              <w:rPr>
                <w:b/>
                <w:lang w:eastAsia="en-NZ"/>
              </w:rPr>
              <w:t>Scenario</w:t>
            </w:r>
          </w:p>
        </w:tc>
        <w:tc>
          <w:tcPr>
            <w:tcW w:w="1854" w:type="dxa"/>
            <w:vMerge w:val="restart"/>
            <w:tcBorders>
              <w:top w:val="single" w:sz="4" w:space="0" w:color="A6A6A6"/>
              <w:left w:val="single" w:sz="4" w:space="0" w:color="A6A6A6"/>
              <w:right w:val="single" w:sz="4" w:space="0" w:color="A6A6A6"/>
            </w:tcBorders>
            <w:shd w:val="clear" w:color="auto" w:fill="BDE2FF"/>
            <w:tcMar>
              <w:top w:w="0" w:type="dxa"/>
              <w:left w:w="108" w:type="dxa"/>
              <w:bottom w:w="0" w:type="dxa"/>
              <w:right w:w="108" w:type="dxa"/>
            </w:tcMar>
          </w:tcPr>
          <w:p w:rsidR="00E5110C" w:rsidRPr="00E5110C" w:rsidRDefault="00E5110C" w:rsidP="00E5110C">
            <w:pPr>
              <w:pStyle w:val="TableText"/>
              <w:rPr>
                <w:b/>
                <w:lang w:eastAsia="en-NZ"/>
              </w:rPr>
            </w:pPr>
            <w:r w:rsidRPr="00E5110C">
              <w:rPr>
                <w:b/>
                <w:lang w:eastAsia="en-NZ"/>
              </w:rPr>
              <w:t>Rate</w:t>
            </w:r>
          </w:p>
        </w:tc>
        <w:tc>
          <w:tcPr>
            <w:tcW w:w="5942" w:type="dxa"/>
            <w:gridSpan w:val="4"/>
            <w:tcBorders>
              <w:top w:val="single" w:sz="4" w:space="0" w:color="A6A6A6"/>
              <w:left w:val="single" w:sz="4" w:space="0" w:color="A6A6A6"/>
              <w:bottom w:val="single" w:sz="4" w:space="0" w:color="A6A6A6"/>
              <w:right w:val="single" w:sz="4" w:space="0" w:color="A6A6A6"/>
            </w:tcBorders>
            <w:shd w:val="clear" w:color="auto" w:fill="BDE2FF"/>
          </w:tcPr>
          <w:p w:rsidR="00E5110C" w:rsidRPr="00E5110C" w:rsidRDefault="00E5110C" w:rsidP="00E5110C">
            <w:pPr>
              <w:pStyle w:val="TableText"/>
              <w:jc w:val="center"/>
              <w:rPr>
                <w:b/>
                <w:lang w:eastAsia="en-NZ"/>
              </w:rPr>
            </w:pPr>
            <w:r w:rsidRPr="00E5110C">
              <w:rPr>
                <w:b/>
                <w:lang w:eastAsia="en-NZ"/>
              </w:rPr>
              <w:t>Added linacs</w:t>
            </w:r>
          </w:p>
        </w:tc>
      </w:tr>
      <w:tr w:rsidR="00E5110C" w:rsidRPr="00E5110C" w:rsidTr="00C73F47">
        <w:trPr>
          <w:cantSplit/>
        </w:trPr>
        <w:tc>
          <w:tcPr>
            <w:tcW w:w="1560" w:type="dxa"/>
            <w:vMerge/>
            <w:tcBorders>
              <w:left w:val="single" w:sz="4" w:space="0" w:color="A6A6A6"/>
              <w:bottom w:val="single" w:sz="4" w:space="0" w:color="A6A6A6"/>
              <w:right w:val="single" w:sz="4" w:space="0" w:color="A6A6A6"/>
            </w:tcBorders>
            <w:shd w:val="clear" w:color="auto" w:fill="BDE2FF"/>
          </w:tcPr>
          <w:p w:rsidR="00E5110C" w:rsidRPr="00E5110C" w:rsidRDefault="00E5110C" w:rsidP="00E5110C">
            <w:pPr>
              <w:pStyle w:val="TableText"/>
              <w:rPr>
                <w:b/>
                <w:lang w:eastAsia="en-NZ"/>
              </w:rPr>
            </w:pPr>
          </w:p>
        </w:tc>
        <w:tc>
          <w:tcPr>
            <w:tcW w:w="1854" w:type="dxa"/>
            <w:vMerge/>
            <w:tcBorders>
              <w:left w:val="single" w:sz="4" w:space="0" w:color="A6A6A6"/>
              <w:bottom w:val="single" w:sz="4" w:space="0" w:color="A6A6A6"/>
              <w:right w:val="single" w:sz="4" w:space="0" w:color="A6A6A6"/>
            </w:tcBorders>
            <w:shd w:val="clear" w:color="auto" w:fill="BDE2FF"/>
          </w:tcPr>
          <w:p w:rsidR="00E5110C" w:rsidRPr="00E5110C" w:rsidRDefault="00E5110C" w:rsidP="00E5110C">
            <w:pPr>
              <w:pStyle w:val="TableText"/>
              <w:rPr>
                <w:b/>
                <w:lang w:eastAsia="en-NZ"/>
              </w:rPr>
            </w:pPr>
          </w:p>
        </w:tc>
        <w:tc>
          <w:tcPr>
            <w:tcW w:w="1406" w:type="dxa"/>
            <w:tcBorders>
              <w:top w:val="single" w:sz="4" w:space="0" w:color="A6A6A6"/>
              <w:left w:val="single" w:sz="4" w:space="0" w:color="A6A6A6"/>
              <w:bottom w:val="single" w:sz="4" w:space="0" w:color="A6A6A6"/>
              <w:right w:val="single" w:sz="4" w:space="0" w:color="A6A6A6"/>
            </w:tcBorders>
            <w:shd w:val="clear" w:color="auto" w:fill="BDE2FF"/>
          </w:tcPr>
          <w:p w:rsidR="00E5110C" w:rsidRPr="00E5110C" w:rsidRDefault="00E5110C" w:rsidP="00E5110C">
            <w:pPr>
              <w:pStyle w:val="TableText"/>
              <w:jc w:val="center"/>
              <w:rPr>
                <w:b/>
                <w:lang w:eastAsia="en-NZ"/>
              </w:rPr>
            </w:pPr>
            <w:r w:rsidRPr="00E5110C">
              <w:rPr>
                <w:b/>
                <w:lang w:eastAsia="en-NZ"/>
              </w:rPr>
              <w:t>Current parameters</w:t>
            </w:r>
          </w:p>
        </w:tc>
        <w:tc>
          <w:tcPr>
            <w:tcW w:w="1843" w:type="dxa"/>
            <w:tcBorders>
              <w:top w:val="single" w:sz="4" w:space="0" w:color="A6A6A6"/>
              <w:left w:val="single" w:sz="4" w:space="0" w:color="A6A6A6"/>
              <w:bottom w:val="single" w:sz="4" w:space="0" w:color="A6A6A6"/>
              <w:right w:val="single" w:sz="4" w:space="0" w:color="A6A6A6"/>
            </w:tcBorders>
            <w:shd w:val="clear" w:color="auto" w:fill="BDE2FF"/>
          </w:tcPr>
          <w:p w:rsidR="00E5110C" w:rsidRPr="00E5110C" w:rsidRDefault="00E5110C" w:rsidP="00E5110C">
            <w:pPr>
              <w:pStyle w:val="TableText"/>
              <w:jc w:val="center"/>
              <w:rPr>
                <w:b/>
                <w:lang w:eastAsia="en-NZ"/>
              </w:rPr>
            </w:pPr>
            <w:r w:rsidRPr="00E5110C">
              <w:rPr>
                <w:b/>
                <w:lang w:eastAsia="en-NZ"/>
              </w:rPr>
              <w:t>1% pa operational gains</w:t>
            </w:r>
          </w:p>
        </w:tc>
        <w:tc>
          <w:tcPr>
            <w:tcW w:w="1346" w:type="dxa"/>
            <w:tcBorders>
              <w:top w:val="single" w:sz="4" w:space="0" w:color="A6A6A6"/>
              <w:left w:val="single" w:sz="4" w:space="0" w:color="A6A6A6"/>
              <w:bottom w:val="single" w:sz="4" w:space="0" w:color="A6A6A6"/>
              <w:right w:val="single" w:sz="4" w:space="0" w:color="A6A6A6"/>
            </w:tcBorders>
            <w:shd w:val="clear" w:color="auto" w:fill="BDE2FF"/>
            <w:tcMar>
              <w:top w:w="0" w:type="dxa"/>
              <w:left w:w="108" w:type="dxa"/>
              <w:bottom w:w="0" w:type="dxa"/>
              <w:right w:w="108" w:type="dxa"/>
            </w:tcMar>
          </w:tcPr>
          <w:p w:rsidR="00E5110C" w:rsidRPr="00E5110C" w:rsidRDefault="00E5110C" w:rsidP="00E5110C">
            <w:pPr>
              <w:pStyle w:val="TableText"/>
              <w:jc w:val="center"/>
              <w:rPr>
                <w:b/>
                <w:lang w:eastAsia="en-NZ"/>
              </w:rPr>
            </w:pPr>
            <w:r w:rsidRPr="00E5110C">
              <w:rPr>
                <w:b/>
                <w:lang w:eastAsia="en-NZ"/>
              </w:rPr>
              <w:t>Tipping point</w:t>
            </w:r>
          </w:p>
        </w:tc>
        <w:tc>
          <w:tcPr>
            <w:tcW w:w="1347" w:type="dxa"/>
            <w:tcBorders>
              <w:top w:val="single" w:sz="4" w:space="0" w:color="A6A6A6"/>
              <w:left w:val="single" w:sz="4" w:space="0" w:color="A6A6A6"/>
              <w:bottom w:val="single" w:sz="4" w:space="0" w:color="A6A6A6"/>
              <w:right w:val="single" w:sz="4" w:space="0" w:color="A6A6A6"/>
            </w:tcBorders>
            <w:shd w:val="clear" w:color="auto" w:fill="BDE2FF"/>
            <w:tcMar>
              <w:top w:w="0" w:type="dxa"/>
              <w:left w:w="108" w:type="dxa"/>
              <w:bottom w:w="0" w:type="dxa"/>
              <w:right w:w="108" w:type="dxa"/>
            </w:tcMar>
          </w:tcPr>
          <w:p w:rsidR="00E5110C" w:rsidRPr="00E5110C" w:rsidRDefault="00E5110C" w:rsidP="00E5110C">
            <w:pPr>
              <w:pStyle w:val="TableText"/>
              <w:jc w:val="center"/>
              <w:rPr>
                <w:b/>
                <w:lang w:eastAsia="en-NZ"/>
              </w:rPr>
            </w:pPr>
            <w:r>
              <w:rPr>
                <w:b/>
                <w:lang w:eastAsia="en-NZ"/>
              </w:rPr>
              <w:t>1% and</w:t>
            </w:r>
            <w:r w:rsidRPr="00E5110C">
              <w:rPr>
                <w:b/>
                <w:lang w:eastAsia="en-NZ"/>
              </w:rPr>
              <w:t xml:space="preserve"> tipping point</w:t>
            </w:r>
          </w:p>
        </w:tc>
      </w:tr>
      <w:tr w:rsidR="00F425CB" w:rsidRPr="002D3877" w:rsidTr="00C73F47">
        <w:trPr>
          <w:cantSplit/>
        </w:trPr>
        <w:tc>
          <w:tcPr>
            <w:tcW w:w="1560"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rPr>
                <w:lang w:eastAsia="en-NZ"/>
              </w:rPr>
            </w:pPr>
            <w:r w:rsidRPr="001C5653">
              <w:rPr>
                <w:lang w:eastAsia="en-NZ"/>
              </w:rPr>
              <w:t>Base</w:t>
            </w:r>
          </w:p>
        </w:tc>
        <w:tc>
          <w:tcPr>
            <w:tcW w:w="1854"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rPr>
                <w:lang w:eastAsia="en-NZ"/>
              </w:rPr>
            </w:pPr>
            <w:r w:rsidRPr="001C5653">
              <w:rPr>
                <w:lang w:eastAsia="en-NZ"/>
              </w:rPr>
              <w:t>Current IR and RTR</w:t>
            </w:r>
          </w:p>
        </w:tc>
        <w:tc>
          <w:tcPr>
            <w:tcW w:w="1406"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tabs>
                <w:tab w:val="decimal" w:pos="680"/>
              </w:tabs>
              <w:rPr>
                <w:lang w:eastAsia="en-NZ"/>
              </w:rPr>
            </w:pPr>
            <w:r w:rsidRPr="001C5653">
              <w:rPr>
                <w:lang w:eastAsia="en-NZ"/>
              </w:rPr>
              <w:t>8</w:t>
            </w:r>
          </w:p>
        </w:tc>
        <w:tc>
          <w:tcPr>
            <w:tcW w:w="1843"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tabs>
                <w:tab w:val="decimal" w:pos="884"/>
              </w:tabs>
              <w:rPr>
                <w:lang w:eastAsia="en-NZ"/>
              </w:rPr>
            </w:pPr>
            <w:r w:rsidRPr="001C5653">
              <w:rPr>
                <w:lang w:eastAsia="en-NZ"/>
              </w:rPr>
              <w:t>6</w:t>
            </w:r>
          </w:p>
        </w:tc>
        <w:tc>
          <w:tcPr>
            <w:tcW w:w="1346"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1C5653" w:rsidRDefault="00F425CB" w:rsidP="00E5110C">
            <w:pPr>
              <w:pStyle w:val="TableText"/>
              <w:tabs>
                <w:tab w:val="decimal" w:pos="680"/>
              </w:tabs>
              <w:rPr>
                <w:lang w:eastAsia="en-NZ"/>
              </w:rPr>
            </w:pPr>
            <w:r w:rsidRPr="001C5653">
              <w:rPr>
                <w:lang w:eastAsia="en-NZ"/>
              </w:rPr>
              <w:t>4</w:t>
            </w:r>
          </w:p>
        </w:tc>
        <w:tc>
          <w:tcPr>
            <w:tcW w:w="1347"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1C5653" w:rsidRDefault="00F425CB" w:rsidP="00E5110C">
            <w:pPr>
              <w:pStyle w:val="TableText"/>
              <w:jc w:val="center"/>
              <w:rPr>
                <w:lang w:eastAsia="en-NZ"/>
              </w:rPr>
            </w:pPr>
            <w:r w:rsidRPr="001C5653">
              <w:rPr>
                <w:lang w:eastAsia="en-NZ"/>
              </w:rPr>
              <w:t>3</w:t>
            </w:r>
          </w:p>
        </w:tc>
      </w:tr>
      <w:tr w:rsidR="00F425CB" w:rsidRPr="002D3877" w:rsidTr="00C73F47">
        <w:trPr>
          <w:cantSplit/>
        </w:trPr>
        <w:tc>
          <w:tcPr>
            <w:tcW w:w="1560"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rPr>
                <w:lang w:eastAsia="en-NZ"/>
              </w:rPr>
            </w:pPr>
            <w:r w:rsidRPr="001C5653">
              <w:rPr>
                <w:lang w:eastAsia="en-NZ"/>
              </w:rPr>
              <w:t xml:space="preserve">Modest </w:t>
            </w:r>
            <w:r w:rsidR="00E5110C">
              <w:rPr>
                <w:lang w:eastAsia="en-NZ"/>
              </w:rPr>
              <w:t>g</w:t>
            </w:r>
            <w:r w:rsidRPr="001C5653">
              <w:rPr>
                <w:lang w:eastAsia="en-NZ"/>
              </w:rPr>
              <w:t>rowth</w:t>
            </w:r>
          </w:p>
        </w:tc>
        <w:tc>
          <w:tcPr>
            <w:tcW w:w="1854"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rPr>
                <w:lang w:eastAsia="en-NZ"/>
              </w:rPr>
            </w:pPr>
            <w:r w:rsidRPr="001C5653">
              <w:rPr>
                <w:lang w:eastAsia="en-NZ"/>
              </w:rPr>
              <w:t>40% IR</w:t>
            </w:r>
          </w:p>
        </w:tc>
        <w:tc>
          <w:tcPr>
            <w:tcW w:w="1406"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tabs>
                <w:tab w:val="decimal" w:pos="680"/>
              </w:tabs>
              <w:rPr>
                <w:lang w:eastAsia="en-NZ"/>
              </w:rPr>
            </w:pPr>
            <w:r w:rsidRPr="001C5653">
              <w:rPr>
                <w:lang w:eastAsia="en-NZ"/>
              </w:rPr>
              <w:t>10</w:t>
            </w:r>
          </w:p>
        </w:tc>
        <w:tc>
          <w:tcPr>
            <w:tcW w:w="1843"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tabs>
                <w:tab w:val="decimal" w:pos="884"/>
              </w:tabs>
              <w:rPr>
                <w:lang w:eastAsia="en-NZ"/>
              </w:rPr>
            </w:pPr>
            <w:r w:rsidRPr="001C5653">
              <w:rPr>
                <w:lang w:eastAsia="en-NZ"/>
              </w:rPr>
              <w:t>7</w:t>
            </w:r>
          </w:p>
        </w:tc>
        <w:tc>
          <w:tcPr>
            <w:tcW w:w="1346"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1C5653" w:rsidRDefault="00F425CB" w:rsidP="00E5110C">
            <w:pPr>
              <w:pStyle w:val="TableText"/>
              <w:tabs>
                <w:tab w:val="decimal" w:pos="680"/>
              </w:tabs>
              <w:rPr>
                <w:lang w:eastAsia="en-NZ"/>
              </w:rPr>
            </w:pPr>
            <w:r w:rsidRPr="001C5653">
              <w:rPr>
                <w:lang w:eastAsia="en-NZ"/>
              </w:rPr>
              <w:t>5</w:t>
            </w:r>
          </w:p>
        </w:tc>
        <w:tc>
          <w:tcPr>
            <w:tcW w:w="1347"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1C5653" w:rsidRDefault="00F425CB" w:rsidP="00E5110C">
            <w:pPr>
              <w:pStyle w:val="TableText"/>
              <w:jc w:val="center"/>
              <w:rPr>
                <w:lang w:eastAsia="en-NZ"/>
              </w:rPr>
            </w:pPr>
            <w:r w:rsidRPr="001C5653">
              <w:rPr>
                <w:lang w:eastAsia="en-NZ"/>
              </w:rPr>
              <w:t>4</w:t>
            </w:r>
          </w:p>
        </w:tc>
      </w:tr>
      <w:tr w:rsidR="00F425CB" w:rsidRPr="002D3877" w:rsidTr="00C73F47">
        <w:trPr>
          <w:cantSplit/>
        </w:trPr>
        <w:tc>
          <w:tcPr>
            <w:tcW w:w="1560"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rPr>
                <w:lang w:eastAsia="en-NZ"/>
              </w:rPr>
            </w:pPr>
            <w:r w:rsidRPr="001C5653">
              <w:rPr>
                <w:lang w:eastAsia="en-NZ"/>
              </w:rPr>
              <w:t>Growth</w:t>
            </w:r>
          </w:p>
        </w:tc>
        <w:tc>
          <w:tcPr>
            <w:tcW w:w="1854"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rPr>
                <w:lang w:eastAsia="en-NZ"/>
              </w:rPr>
            </w:pPr>
            <w:r w:rsidRPr="001C5653">
              <w:rPr>
                <w:lang w:eastAsia="en-NZ"/>
              </w:rPr>
              <w:t>45% IR</w:t>
            </w:r>
          </w:p>
        </w:tc>
        <w:tc>
          <w:tcPr>
            <w:tcW w:w="1406"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tabs>
                <w:tab w:val="decimal" w:pos="680"/>
              </w:tabs>
              <w:rPr>
                <w:lang w:eastAsia="en-NZ"/>
              </w:rPr>
            </w:pPr>
            <w:r w:rsidRPr="001C5653">
              <w:rPr>
                <w:lang w:eastAsia="en-NZ"/>
              </w:rPr>
              <w:t>17</w:t>
            </w:r>
          </w:p>
        </w:tc>
        <w:tc>
          <w:tcPr>
            <w:tcW w:w="1843"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tabs>
                <w:tab w:val="decimal" w:pos="884"/>
              </w:tabs>
              <w:rPr>
                <w:lang w:eastAsia="en-NZ"/>
              </w:rPr>
            </w:pPr>
            <w:r w:rsidRPr="001C5653">
              <w:rPr>
                <w:lang w:eastAsia="en-NZ"/>
              </w:rPr>
              <w:t>11</w:t>
            </w:r>
          </w:p>
        </w:tc>
        <w:tc>
          <w:tcPr>
            <w:tcW w:w="1346"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1C5653" w:rsidRDefault="00F425CB" w:rsidP="00E5110C">
            <w:pPr>
              <w:pStyle w:val="TableText"/>
              <w:tabs>
                <w:tab w:val="decimal" w:pos="680"/>
              </w:tabs>
              <w:rPr>
                <w:lang w:eastAsia="en-NZ"/>
              </w:rPr>
            </w:pPr>
            <w:r w:rsidRPr="001C5653">
              <w:rPr>
                <w:lang w:eastAsia="en-NZ"/>
              </w:rPr>
              <w:t>7</w:t>
            </w:r>
          </w:p>
        </w:tc>
        <w:tc>
          <w:tcPr>
            <w:tcW w:w="1347"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1C5653" w:rsidRDefault="00F425CB" w:rsidP="00E5110C">
            <w:pPr>
              <w:pStyle w:val="TableText"/>
              <w:jc w:val="center"/>
              <w:rPr>
                <w:lang w:eastAsia="en-NZ"/>
              </w:rPr>
            </w:pPr>
            <w:r w:rsidRPr="001C5653">
              <w:rPr>
                <w:lang w:eastAsia="en-NZ"/>
              </w:rPr>
              <w:t>6</w:t>
            </w:r>
          </w:p>
        </w:tc>
      </w:tr>
      <w:tr w:rsidR="00F425CB" w:rsidRPr="002D3877" w:rsidTr="00C73F47">
        <w:trPr>
          <w:cantSplit/>
        </w:trPr>
        <w:tc>
          <w:tcPr>
            <w:tcW w:w="1560"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rPr>
                <w:lang w:eastAsia="en-NZ"/>
              </w:rPr>
            </w:pPr>
            <w:r w:rsidRPr="001C5653">
              <w:rPr>
                <w:lang w:eastAsia="en-NZ"/>
              </w:rPr>
              <w:t xml:space="preserve">Maximal </w:t>
            </w:r>
            <w:r w:rsidR="00E5110C">
              <w:rPr>
                <w:lang w:eastAsia="en-NZ"/>
              </w:rPr>
              <w:t>g</w:t>
            </w:r>
            <w:r w:rsidRPr="001C5653">
              <w:rPr>
                <w:lang w:eastAsia="en-NZ"/>
              </w:rPr>
              <w:t>rowth</w:t>
            </w:r>
          </w:p>
        </w:tc>
        <w:tc>
          <w:tcPr>
            <w:tcW w:w="1854"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rPr>
                <w:lang w:eastAsia="en-NZ"/>
              </w:rPr>
            </w:pPr>
            <w:r w:rsidRPr="001C5653">
              <w:rPr>
                <w:lang w:eastAsia="en-NZ"/>
              </w:rPr>
              <w:t>50% IR</w:t>
            </w:r>
          </w:p>
        </w:tc>
        <w:tc>
          <w:tcPr>
            <w:tcW w:w="1406"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tabs>
                <w:tab w:val="decimal" w:pos="680"/>
              </w:tabs>
              <w:rPr>
                <w:lang w:eastAsia="en-NZ"/>
              </w:rPr>
            </w:pPr>
            <w:r w:rsidRPr="001C5653">
              <w:rPr>
                <w:lang w:eastAsia="en-NZ"/>
              </w:rPr>
              <w:t>20</w:t>
            </w:r>
          </w:p>
        </w:tc>
        <w:tc>
          <w:tcPr>
            <w:tcW w:w="1843" w:type="dxa"/>
            <w:tcBorders>
              <w:top w:val="single" w:sz="4" w:space="0" w:color="A6A6A6"/>
              <w:left w:val="single" w:sz="4" w:space="0" w:color="A6A6A6"/>
              <w:bottom w:val="single" w:sz="4" w:space="0" w:color="A6A6A6"/>
              <w:right w:val="single" w:sz="4" w:space="0" w:color="A6A6A6"/>
            </w:tcBorders>
          </w:tcPr>
          <w:p w:rsidR="00F425CB" w:rsidRPr="001C5653" w:rsidRDefault="00F425CB" w:rsidP="00E5110C">
            <w:pPr>
              <w:pStyle w:val="TableText"/>
              <w:tabs>
                <w:tab w:val="decimal" w:pos="884"/>
              </w:tabs>
              <w:rPr>
                <w:lang w:eastAsia="en-NZ"/>
              </w:rPr>
            </w:pPr>
            <w:r w:rsidRPr="001C5653">
              <w:rPr>
                <w:lang w:eastAsia="en-NZ"/>
              </w:rPr>
              <w:t>17</w:t>
            </w:r>
          </w:p>
        </w:tc>
        <w:tc>
          <w:tcPr>
            <w:tcW w:w="1346"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1C5653" w:rsidRDefault="00F425CB" w:rsidP="00E5110C">
            <w:pPr>
              <w:pStyle w:val="TableText"/>
              <w:tabs>
                <w:tab w:val="decimal" w:pos="680"/>
              </w:tabs>
              <w:rPr>
                <w:lang w:eastAsia="en-NZ"/>
              </w:rPr>
            </w:pPr>
            <w:r w:rsidRPr="001C5653">
              <w:rPr>
                <w:lang w:eastAsia="en-NZ"/>
              </w:rPr>
              <w:t>11</w:t>
            </w:r>
          </w:p>
        </w:tc>
        <w:tc>
          <w:tcPr>
            <w:tcW w:w="1347"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1C5653" w:rsidRDefault="00F425CB" w:rsidP="00E5110C">
            <w:pPr>
              <w:pStyle w:val="TableText"/>
              <w:jc w:val="center"/>
              <w:rPr>
                <w:lang w:eastAsia="en-NZ"/>
              </w:rPr>
            </w:pPr>
            <w:r w:rsidRPr="001C5653">
              <w:rPr>
                <w:lang w:eastAsia="en-NZ"/>
              </w:rPr>
              <w:t>7</w:t>
            </w:r>
          </w:p>
        </w:tc>
      </w:tr>
    </w:tbl>
    <w:p w:rsidR="00F425CB" w:rsidRPr="007E7990" w:rsidRDefault="00F425CB" w:rsidP="00E5110C">
      <w:pPr>
        <w:pStyle w:val="Note"/>
      </w:pPr>
      <w:r w:rsidRPr="007E7990">
        <w:t>IR = Intervention rate, RTR Retreatment rate.</w:t>
      </w:r>
      <w:r w:rsidR="007E7990" w:rsidRPr="007E7990">
        <w:t xml:space="preserve"> </w:t>
      </w:r>
      <w:r w:rsidRPr="007E7990">
        <w:t>Operational gains are in reduced treatments per course, or reduced treatment times.</w:t>
      </w:r>
      <w:r w:rsidR="007E7990" w:rsidRPr="007E7990">
        <w:t xml:space="preserve"> ‘</w:t>
      </w:r>
      <w:r w:rsidRPr="007E7990">
        <w:t>Tipping point</w:t>
      </w:r>
      <w:r w:rsidR="007E7990" w:rsidRPr="007E7990">
        <w:t>’</w:t>
      </w:r>
      <w:r w:rsidRPr="007E7990">
        <w:t xml:space="preserve"> includes capacity-increasing measures set at the equivalent of running existing linacs to 10 hours per day.</w:t>
      </w:r>
    </w:p>
    <w:p w:rsidR="00F425CB" w:rsidRPr="007E7990" w:rsidRDefault="00F425CB" w:rsidP="00E5110C"/>
    <w:p w:rsidR="00F425CB" w:rsidRPr="007E7990" w:rsidRDefault="00F425CB" w:rsidP="00E5110C">
      <w:r w:rsidRPr="007E7990">
        <w:t>The model is very sensitive to the tipping point and operational changes that might be possible.</w:t>
      </w:r>
      <w:r w:rsidR="007E7990" w:rsidRPr="007E7990">
        <w:t xml:space="preserve"> </w:t>
      </w:r>
      <w:r w:rsidRPr="007E7990">
        <w:t>If able to be implemented, this would see a dramatic fall in the number of new linacs being needed.</w:t>
      </w:r>
      <w:r w:rsidR="007E7990" w:rsidRPr="007E7990">
        <w:t xml:space="preserve"> </w:t>
      </w:r>
      <w:r w:rsidRPr="007E7990">
        <w:t>For the Base scenario, it would reduce the eight additional linacs to an additional three over the next 10</w:t>
      </w:r>
      <w:r w:rsidR="00E5110C">
        <w:t> </w:t>
      </w:r>
      <w:r w:rsidRPr="007E7990">
        <w:t>years.</w:t>
      </w:r>
      <w:r w:rsidR="007E7990" w:rsidRPr="007E7990">
        <w:t xml:space="preserve"> </w:t>
      </w:r>
      <w:r w:rsidRPr="007E7990">
        <w:t xml:space="preserve">The timing of the build would shift back, the Model nominally suggesting one new linac in 2019 at Capital </w:t>
      </w:r>
      <w:r w:rsidR="00E5110C">
        <w:t xml:space="preserve">&amp; </w:t>
      </w:r>
      <w:r w:rsidRPr="007E7990">
        <w:t>Coast, and two in 2022 at Auckland in the Base scenario including operational gains and tipping point changes.</w:t>
      </w:r>
      <w:r w:rsidR="007E7990" w:rsidRPr="007E7990">
        <w:t xml:space="preserve"> </w:t>
      </w:r>
      <w:r w:rsidRPr="007E7990">
        <w:t>The recent investments in linacs, and the two additional being commissioned for Tauranga, would be largely sufficient for current average IR given the assumed productivity gains.</w:t>
      </w:r>
    </w:p>
    <w:p w:rsidR="00F425CB" w:rsidRPr="007E7990" w:rsidRDefault="00F425CB" w:rsidP="00E5110C"/>
    <w:p w:rsidR="007E7990" w:rsidRPr="007E7990" w:rsidRDefault="00F425CB" w:rsidP="00E5110C">
      <w:r w:rsidRPr="007E7990">
        <w:t>The Modest Growth scenario with the average IR increasing to 40% would mean a further two linacs added to get 10 new builds.</w:t>
      </w:r>
      <w:r w:rsidR="007E7990" w:rsidRPr="007E7990">
        <w:t xml:space="preserve"> </w:t>
      </w:r>
      <w:r w:rsidRPr="007E7990">
        <w:t>Including tipping point and operational gain assumptions add only one more linac to four new builds – nominally one for Auckland in 2018, one for MidCentral and another for Auckland in 2019, and one for Canterbury in 2020.</w:t>
      </w:r>
    </w:p>
    <w:p w:rsidR="00F425CB" w:rsidRPr="007E7990" w:rsidRDefault="00F425CB" w:rsidP="00E5110C"/>
    <w:p w:rsidR="00F425CB" w:rsidRPr="007E7990" w:rsidRDefault="00F425CB" w:rsidP="00E5110C">
      <w:pPr>
        <w:keepLines/>
      </w:pPr>
      <w:r>
        <w:lastRenderedPageBreak/>
        <w:t xml:space="preserve">Adding the </w:t>
      </w:r>
      <w:r w:rsidRPr="007E7990">
        <w:t>tipping point and operational gains</w:t>
      </w:r>
      <w:r>
        <w:t xml:space="preserve"> to the </w:t>
      </w:r>
      <w:r w:rsidRPr="007E7990">
        <w:t>45% IR Growth scenario would drop the additional 17 linacs to a suggested need for six.</w:t>
      </w:r>
      <w:r w:rsidR="007E7990" w:rsidRPr="007E7990">
        <w:t xml:space="preserve"> </w:t>
      </w:r>
      <w:r w:rsidRPr="007E7990">
        <w:t>These would come in earlier than in the Modest Growth scenario, with the Model suggesting three for Auckland (two in 2017, and one in 2022), one for MidCentral in 2016, one for Canterbury in 2018, and one for Capital and Coast in 2019 (</w:t>
      </w:r>
      <w:r w:rsidR="00E5110C">
        <w:t>Table 14</w:t>
      </w:r>
      <w:r w:rsidRPr="007E7990">
        <w:t xml:space="preserve"> below).</w:t>
      </w:r>
      <w:r w:rsidR="007E7990" w:rsidRPr="007E7990">
        <w:t xml:space="preserve"> </w:t>
      </w:r>
      <w:r w:rsidRPr="007E7990">
        <w:t>The Maximal Growth scenario at 50% would suggest the need for one additional linac rather than three without the tipping point and operational gain assumptions, coming in around a year earlier than in the Growth scenario.</w:t>
      </w:r>
    </w:p>
    <w:p w:rsidR="00F425CB" w:rsidRPr="007E7990" w:rsidRDefault="00F425CB" w:rsidP="00E5110C"/>
    <w:p w:rsidR="00F425CB" w:rsidRPr="00490543" w:rsidRDefault="00F425CB" w:rsidP="00E5110C">
      <w:pPr>
        <w:pStyle w:val="Table"/>
      </w:pPr>
      <w:bookmarkStart w:id="120" w:name="_Ref369092904"/>
      <w:bookmarkStart w:id="121" w:name="_Toc384202886"/>
      <w:r w:rsidRPr="00490543">
        <w:t xml:space="preserve">Table </w:t>
      </w:r>
      <w:r w:rsidR="00E5110C">
        <w:t>11</w:t>
      </w:r>
      <w:bookmarkEnd w:id="120"/>
      <w:r w:rsidR="00E5110C">
        <w:t>:</w:t>
      </w:r>
      <w:r w:rsidR="007E7990">
        <w:t xml:space="preserve"> </w:t>
      </w:r>
      <w:r w:rsidRPr="00490543">
        <w:t>Workforce increases needed by scenario, average per year increase to 2022 including operational performance gains</w:t>
      </w:r>
      <w:bookmarkEnd w:id="121"/>
    </w:p>
    <w:tbl>
      <w:tblPr>
        <w:tblW w:w="9356" w:type="dxa"/>
        <w:tblInd w:w="57" w:type="dxa"/>
        <w:tblLayout w:type="fixed"/>
        <w:tblCellMar>
          <w:left w:w="57" w:type="dxa"/>
          <w:right w:w="57" w:type="dxa"/>
        </w:tblCellMar>
        <w:tblLook w:val="00A0" w:firstRow="1" w:lastRow="0" w:firstColumn="1" w:lastColumn="0" w:noHBand="0" w:noVBand="0"/>
      </w:tblPr>
      <w:tblGrid>
        <w:gridCol w:w="851"/>
        <w:gridCol w:w="1145"/>
        <w:gridCol w:w="1226"/>
        <w:gridCol w:w="1227"/>
        <w:gridCol w:w="1227"/>
        <w:gridCol w:w="1226"/>
        <w:gridCol w:w="1227"/>
        <w:gridCol w:w="1227"/>
      </w:tblGrid>
      <w:tr w:rsidR="00E5110C" w:rsidRPr="00E5110C" w:rsidTr="00C73F47">
        <w:trPr>
          <w:cantSplit/>
        </w:trPr>
        <w:tc>
          <w:tcPr>
            <w:tcW w:w="851" w:type="dxa"/>
            <w:vMerge w:val="restart"/>
            <w:tcBorders>
              <w:top w:val="single" w:sz="4" w:space="0" w:color="A6A6A6"/>
              <w:left w:val="single" w:sz="4" w:space="0" w:color="A6A6A6"/>
              <w:right w:val="single" w:sz="4" w:space="0" w:color="A6A6A6"/>
            </w:tcBorders>
            <w:shd w:val="clear" w:color="000000" w:fill="BDE2FF"/>
          </w:tcPr>
          <w:p w:rsidR="00E5110C" w:rsidRPr="00E5110C" w:rsidRDefault="00E5110C" w:rsidP="00E5110C">
            <w:pPr>
              <w:pStyle w:val="TableText"/>
              <w:rPr>
                <w:b/>
                <w:sz w:val="17"/>
                <w:szCs w:val="17"/>
                <w:lang w:eastAsia="en-NZ"/>
              </w:rPr>
            </w:pPr>
            <w:r w:rsidRPr="00E5110C">
              <w:rPr>
                <w:b/>
                <w:sz w:val="17"/>
                <w:szCs w:val="17"/>
                <w:lang w:eastAsia="en-NZ"/>
              </w:rPr>
              <w:t>Scenario</w:t>
            </w:r>
          </w:p>
        </w:tc>
        <w:tc>
          <w:tcPr>
            <w:tcW w:w="1145" w:type="dxa"/>
            <w:vMerge w:val="restart"/>
            <w:tcBorders>
              <w:top w:val="single" w:sz="4" w:space="0" w:color="A6A6A6"/>
              <w:left w:val="single" w:sz="4" w:space="0" w:color="A6A6A6"/>
              <w:right w:val="single" w:sz="4" w:space="0" w:color="A6A6A6"/>
            </w:tcBorders>
            <w:shd w:val="clear" w:color="000000" w:fill="BDE2FF"/>
          </w:tcPr>
          <w:p w:rsidR="00E5110C" w:rsidRPr="00E5110C" w:rsidRDefault="00E5110C" w:rsidP="00E5110C">
            <w:pPr>
              <w:pStyle w:val="TableText"/>
              <w:jc w:val="center"/>
              <w:rPr>
                <w:b/>
                <w:sz w:val="17"/>
                <w:szCs w:val="17"/>
                <w:lang w:eastAsia="en-NZ"/>
              </w:rPr>
            </w:pPr>
            <w:r w:rsidRPr="00E5110C">
              <w:rPr>
                <w:b/>
                <w:sz w:val="17"/>
                <w:szCs w:val="17"/>
                <w:lang w:eastAsia="en-NZ"/>
              </w:rPr>
              <w:t>Intervention rate</w:t>
            </w:r>
          </w:p>
        </w:tc>
        <w:tc>
          <w:tcPr>
            <w:tcW w:w="2453" w:type="dxa"/>
            <w:gridSpan w:val="2"/>
            <w:tcBorders>
              <w:top w:val="single" w:sz="4" w:space="0" w:color="A6A6A6"/>
              <w:left w:val="single" w:sz="4" w:space="0" w:color="A6A6A6"/>
              <w:bottom w:val="single" w:sz="4" w:space="0" w:color="A6A6A6"/>
              <w:right w:val="single" w:sz="4" w:space="0" w:color="A6A6A6"/>
            </w:tcBorders>
            <w:shd w:val="clear" w:color="000000" w:fill="BDE2FF"/>
          </w:tcPr>
          <w:p w:rsidR="00E5110C" w:rsidRPr="00E5110C" w:rsidRDefault="00E5110C" w:rsidP="00E5110C">
            <w:pPr>
              <w:pStyle w:val="TableText"/>
              <w:jc w:val="center"/>
              <w:rPr>
                <w:b/>
                <w:sz w:val="17"/>
                <w:szCs w:val="17"/>
                <w:lang w:eastAsia="en-NZ"/>
              </w:rPr>
            </w:pPr>
            <w:r w:rsidRPr="00E5110C">
              <w:rPr>
                <w:b/>
                <w:sz w:val="17"/>
                <w:szCs w:val="17"/>
                <w:lang w:eastAsia="en-NZ"/>
              </w:rPr>
              <w:t>Radiation oncologists</w:t>
            </w:r>
            <w:r w:rsidRPr="00E5110C">
              <w:rPr>
                <w:b/>
                <w:sz w:val="17"/>
                <w:szCs w:val="17"/>
                <w:lang w:eastAsia="en-NZ"/>
              </w:rPr>
              <w:br/>
              <w:t>(increase per year)</w:t>
            </w:r>
          </w:p>
        </w:tc>
        <w:tc>
          <w:tcPr>
            <w:tcW w:w="2453" w:type="dxa"/>
            <w:gridSpan w:val="2"/>
            <w:tcBorders>
              <w:top w:val="single" w:sz="4" w:space="0" w:color="A6A6A6"/>
              <w:left w:val="single" w:sz="4" w:space="0" w:color="A6A6A6"/>
              <w:bottom w:val="single" w:sz="4" w:space="0" w:color="A6A6A6"/>
              <w:right w:val="single" w:sz="4" w:space="0" w:color="A6A6A6"/>
            </w:tcBorders>
            <w:shd w:val="clear" w:color="000000" w:fill="BDE2FF"/>
          </w:tcPr>
          <w:p w:rsidR="00E5110C" w:rsidRPr="00E5110C" w:rsidRDefault="00E5110C" w:rsidP="00E5110C">
            <w:pPr>
              <w:pStyle w:val="TableText"/>
              <w:jc w:val="center"/>
              <w:rPr>
                <w:b/>
                <w:sz w:val="17"/>
                <w:szCs w:val="17"/>
                <w:lang w:eastAsia="en-NZ"/>
              </w:rPr>
            </w:pPr>
            <w:r w:rsidRPr="00E5110C">
              <w:rPr>
                <w:b/>
                <w:sz w:val="17"/>
                <w:szCs w:val="17"/>
                <w:lang w:eastAsia="en-NZ"/>
              </w:rPr>
              <w:t>Medical physicists</w:t>
            </w:r>
            <w:r w:rsidRPr="00E5110C">
              <w:rPr>
                <w:b/>
                <w:sz w:val="17"/>
                <w:szCs w:val="17"/>
                <w:lang w:eastAsia="en-NZ"/>
              </w:rPr>
              <w:br/>
              <w:t>(increase per year)</w:t>
            </w:r>
          </w:p>
        </w:tc>
        <w:tc>
          <w:tcPr>
            <w:tcW w:w="2454" w:type="dxa"/>
            <w:gridSpan w:val="2"/>
            <w:tcBorders>
              <w:top w:val="single" w:sz="4" w:space="0" w:color="A6A6A6"/>
              <w:left w:val="single" w:sz="4" w:space="0" w:color="A6A6A6"/>
              <w:bottom w:val="single" w:sz="4" w:space="0" w:color="A6A6A6"/>
              <w:right w:val="single" w:sz="4" w:space="0" w:color="A6A6A6"/>
            </w:tcBorders>
            <w:shd w:val="clear" w:color="000000" w:fill="BDE2FF"/>
          </w:tcPr>
          <w:p w:rsidR="00E5110C" w:rsidRPr="00E5110C" w:rsidRDefault="00E5110C" w:rsidP="00E5110C">
            <w:pPr>
              <w:pStyle w:val="TableText"/>
              <w:jc w:val="center"/>
              <w:rPr>
                <w:b/>
                <w:sz w:val="17"/>
                <w:szCs w:val="17"/>
                <w:lang w:eastAsia="en-NZ"/>
              </w:rPr>
            </w:pPr>
            <w:r w:rsidRPr="00E5110C">
              <w:rPr>
                <w:b/>
                <w:sz w:val="17"/>
                <w:szCs w:val="17"/>
                <w:lang w:eastAsia="en-NZ"/>
              </w:rPr>
              <w:t>Radiation therapists</w:t>
            </w:r>
            <w:r w:rsidRPr="00E5110C">
              <w:rPr>
                <w:b/>
                <w:sz w:val="17"/>
                <w:szCs w:val="17"/>
                <w:lang w:eastAsia="en-NZ"/>
              </w:rPr>
              <w:br/>
              <w:t>(increase per year)</w:t>
            </w:r>
          </w:p>
        </w:tc>
      </w:tr>
      <w:tr w:rsidR="00E5110C" w:rsidRPr="00E5110C" w:rsidTr="00C73F47">
        <w:trPr>
          <w:cantSplit/>
        </w:trPr>
        <w:tc>
          <w:tcPr>
            <w:tcW w:w="851" w:type="dxa"/>
            <w:vMerge/>
            <w:tcBorders>
              <w:left w:val="single" w:sz="4" w:space="0" w:color="A6A6A6"/>
              <w:bottom w:val="single" w:sz="4" w:space="0" w:color="A6A6A6"/>
              <w:right w:val="single" w:sz="4" w:space="0" w:color="A6A6A6"/>
            </w:tcBorders>
            <w:shd w:val="clear" w:color="000000" w:fill="BDE2FF"/>
          </w:tcPr>
          <w:p w:rsidR="00E5110C" w:rsidRPr="00E5110C" w:rsidRDefault="00E5110C" w:rsidP="00E5110C">
            <w:pPr>
              <w:pStyle w:val="TableText"/>
              <w:rPr>
                <w:b/>
                <w:sz w:val="17"/>
                <w:szCs w:val="17"/>
                <w:lang w:eastAsia="en-NZ"/>
              </w:rPr>
            </w:pPr>
          </w:p>
        </w:tc>
        <w:tc>
          <w:tcPr>
            <w:tcW w:w="1145" w:type="dxa"/>
            <w:vMerge/>
            <w:tcBorders>
              <w:left w:val="single" w:sz="4" w:space="0" w:color="A6A6A6"/>
              <w:bottom w:val="single" w:sz="4" w:space="0" w:color="A6A6A6"/>
              <w:right w:val="single" w:sz="4" w:space="0" w:color="A6A6A6"/>
            </w:tcBorders>
            <w:shd w:val="clear" w:color="000000" w:fill="BDE2FF"/>
          </w:tcPr>
          <w:p w:rsidR="00E5110C" w:rsidRPr="00E5110C" w:rsidRDefault="00E5110C" w:rsidP="00E5110C">
            <w:pPr>
              <w:pStyle w:val="TableText"/>
              <w:rPr>
                <w:b/>
                <w:sz w:val="17"/>
                <w:szCs w:val="17"/>
                <w:lang w:eastAsia="en-NZ"/>
              </w:rPr>
            </w:pPr>
          </w:p>
        </w:tc>
        <w:tc>
          <w:tcPr>
            <w:tcW w:w="1226" w:type="dxa"/>
            <w:tcBorders>
              <w:top w:val="single" w:sz="4" w:space="0" w:color="A6A6A6"/>
              <w:left w:val="single" w:sz="4" w:space="0" w:color="A6A6A6"/>
              <w:bottom w:val="single" w:sz="4" w:space="0" w:color="A6A6A6"/>
              <w:right w:val="single" w:sz="4" w:space="0" w:color="A6A6A6"/>
            </w:tcBorders>
            <w:shd w:val="clear" w:color="000000" w:fill="BDE2FF"/>
          </w:tcPr>
          <w:p w:rsidR="00E5110C" w:rsidRPr="00E5110C" w:rsidRDefault="00E5110C" w:rsidP="00E5110C">
            <w:pPr>
              <w:pStyle w:val="TableText"/>
              <w:jc w:val="center"/>
              <w:rPr>
                <w:b/>
                <w:sz w:val="17"/>
                <w:szCs w:val="17"/>
                <w:lang w:eastAsia="en-NZ"/>
              </w:rPr>
            </w:pPr>
            <w:r w:rsidRPr="00E5110C">
              <w:rPr>
                <w:b/>
                <w:sz w:val="17"/>
                <w:szCs w:val="17"/>
                <w:lang w:eastAsia="en-NZ"/>
              </w:rPr>
              <w:t>Current parameters</w:t>
            </w:r>
          </w:p>
        </w:tc>
        <w:tc>
          <w:tcPr>
            <w:tcW w:w="1227" w:type="dxa"/>
            <w:tcBorders>
              <w:top w:val="single" w:sz="4" w:space="0" w:color="A6A6A6"/>
              <w:left w:val="single" w:sz="4" w:space="0" w:color="A6A6A6"/>
              <w:bottom w:val="single" w:sz="4" w:space="0" w:color="A6A6A6"/>
              <w:right w:val="single" w:sz="4" w:space="0" w:color="A6A6A6"/>
            </w:tcBorders>
            <w:shd w:val="clear" w:color="000000" w:fill="BDE2FF"/>
          </w:tcPr>
          <w:p w:rsidR="00E5110C" w:rsidRPr="00E5110C" w:rsidRDefault="00E5110C" w:rsidP="00E5110C">
            <w:pPr>
              <w:pStyle w:val="TableText"/>
              <w:jc w:val="center"/>
              <w:rPr>
                <w:b/>
                <w:sz w:val="17"/>
                <w:szCs w:val="17"/>
                <w:lang w:eastAsia="en-NZ"/>
              </w:rPr>
            </w:pPr>
            <w:r w:rsidRPr="00E5110C">
              <w:rPr>
                <w:b/>
                <w:color w:val="000000"/>
                <w:sz w:val="17"/>
                <w:szCs w:val="17"/>
                <w:lang w:eastAsia="en-NZ"/>
              </w:rPr>
              <w:t>1% pa operational gains*</w:t>
            </w:r>
          </w:p>
        </w:tc>
        <w:tc>
          <w:tcPr>
            <w:tcW w:w="1227" w:type="dxa"/>
            <w:tcBorders>
              <w:top w:val="single" w:sz="4" w:space="0" w:color="A6A6A6"/>
              <w:left w:val="single" w:sz="4" w:space="0" w:color="A6A6A6"/>
              <w:bottom w:val="single" w:sz="4" w:space="0" w:color="A6A6A6"/>
              <w:right w:val="single" w:sz="4" w:space="0" w:color="A6A6A6"/>
            </w:tcBorders>
            <w:shd w:val="clear" w:color="000000" w:fill="BDE2FF"/>
          </w:tcPr>
          <w:p w:rsidR="00E5110C" w:rsidRPr="00E5110C" w:rsidRDefault="00E5110C" w:rsidP="00E5110C">
            <w:pPr>
              <w:pStyle w:val="TableText"/>
              <w:jc w:val="center"/>
              <w:rPr>
                <w:b/>
                <w:sz w:val="17"/>
                <w:szCs w:val="17"/>
                <w:lang w:eastAsia="en-NZ"/>
              </w:rPr>
            </w:pPr>
            <w:r w:rsidRPr="00E5110C">
              <w:rPr>
                <w:b/>
                <w:sz w:val="17"/>
                <w:szCs w:val="17"/>
                <w:lang w:eastAsia="en-NZ"/>
              </w:rPr>
              <w:t>Current parameters</w:t>
            </w:r>
          </w:p>
        </w:tc>
        <w:tc>
          <w:tcPr>
            <w:tcW w:w="1226" w:type="dxa"/>
            <w:tcBorders>
              <w:top w:val="single" w:sz="4" w:space="0" w:color="A6A6A6"/>
              <w:left w:val="single" w:sz="4" w:space="0" w:color="A6A6A6"/>
              <w:bottom w:val="single" w:sz="4" w:space="0" w:color="A6A6A6"/>
              <w:right w:val="single" w:sz="4" w:space="0" w:color="A6A6A6"/>
            </w:tcBorders>
            <w:shd w:val="clear" w:color="000000" w:fill="BDE2FF"/>
          </w:tcPr>
          <w:p w:rsidR="00E5110C" w:rsidRPr="00E5110C" w:rsidRDefault="00E5110C" w:rsidP="00E5110C">
            <w:pPr>
              <w:pStyle w:val="TableText"/>
              <w:jc w:val="center"/>
              <w:rPr>
                <w:b/>
                <w:sz w:val="17"/>
                <w:szCs w:val="17"/>
                <w:lang w:eastAsia="en-NZ"/>
              </w:rPr>
            </w:pPr>
            <w:r w:rsidRPr="00E5110C">
              <w:rPr>
                <w:b/>
                <w:color w:val="000000"/>
                <w:sz w:val="17"/>
                <w:szCs w:val="17"/>
                <w:lang w:eastAsia="en-NZ"/>
              </w:rPr>
              <w:t>1% pa operational gains*</w:t>
            </w:r>
          </w:p>
        </w:tc>
        <w:tc>
          <w:tcPr>
            <w:tcW w:w="1227" w:type="dxa"/>
            <w:tcBorders>
              <w:top w:val="single" w:sz="4" w:space="0" w:color="A6A6A6"/>
              <w:left w:val="single" w:sz="4" w:space="0" w:color="A6A6A6"/>
              <w:bottom w:val="single" w:sz="4" w:space="0" w:color="A6A6A6"/>
              <w:right w:val="single" w:sz="4" w:space="0" w:color="A6A6A6"/>
            </w:tcBorders>
            <w:shd w:val="clear" w:color="000000" w:fill="BDE2FF"/>
          </w:tcPr>
          <w:p w:rsidR="00E5110C" w:rsidRPr="00E5110C" w:rsidRDefault="00E5110C" w:rsidP="00E5110C">
            <w:pPr>
              <w:pStyle w:val="TableText"/>
              <w:jc w:val="center"/>
              <w:rPr>
                <w:b/>
                <w:sz w:val="17"/>
                <w:szCs w:val="17"/>
                <w:lang w:eastAsia="en-NZ"/>
              </w:rPr>
            </w:pPr>
            <w:r w:rsidRPr="00E5110C">
              <w:rPr>
                <w:b/>
                <w:sz w:val="17"/>
                <w:szCs w:val="17"/>
                <w:lang w:eastAsia="en-NZ"/>
              </w:rPr>
              <w:t>Current parameters</w:t>
            </w:r>
          </w:p>
        </w:tc>
        <w:tc>
          <w:tcPr>
            <w:tcW w:w="1227" w:type="dxa"/>
            <w:tcBorders>
              <w:top w:val="single" w:sz="4" w:space="0" w:color="A6A6A6"/>
              <w:left w:val="single" w:sz="4" w:space="0" w:color="A6A6A6"/>
              <w:bottom w:val="single" w:sz="4" w:space="0" w:color="A6A6A6"/>
              <w:right w:val="single" w:sz="4" w:space="0" w:color="A6A6A6"/>
            </w:tcBorders>
            <w:shd w:val="clear" w:color="000000" w:fill="BDE2FF"/>
          </w:tcPr>
          <w:p w:rsidR="00E5110C" w:rsidRPr="00E5110C" w:rsidRDefault="00E5110C" w:rsidP="00E5110C">
            <w:pPr>
              <w:pStyle w:val="TableText"/>
              <w:jc w:val="center"/>
              <w:rPr>
                <w:b/>
                <w:sz w:val="17"/>
                <w:szCs w:val="17"/>
                <w:lang w:eastAsia="en-NZ"/>
              </w:rPr>
            </w:pPr>
            <w:r w:rsidRPr="00E5110C">
              <w:rPr>
                <w:b/>
                <w:color w:val="000000"/>
                <w:sz w:val="17"/>
                <w:szCs w:val="17"/>
                <w:lang w:eastAsia="en-NZ"/>
              </w:rPr>
              <w:t>1% pa operational gains*</w:t>
            </w:r>
          </w:p>
        </w:tc>
      </w:tr>
      <w:tr w:rsidR="00F425CB" w:rsidRPr="001C250F" w:rsidTr="00C73F47">
        <w:trPr>
          <w:cantSplit/>
        </w:trPr>
        <w:tc>
          <w:tcPr>
            <w:tcW w:w="851" w:type="dxa"/>
            <w:tcBorders>
              <w:top w:val="single" w:sz="4" w:space="0" w:color="A6A6A6"/>
              <w:left w:val="single" w:sz="4" w:space="0" w:color="A6A6A6"/>
              <w:bottom w:val="single" w:sz="4" w:space="0" w:color="A6A6A6"/>
              <w:right w:val="single" w:sz="4" w:space="0" w:color="A6A6A6"/>
            </w:tcBorders>
            <w:noWrap/>
          </w:tcPr>
          <w:p w:rsidR="00F425CB" w:rsidRPr="00E5110C" w:rsidRDefault="00F425CB" w:rsidP="00E5110C">
            <w:pPr>
              <w:pStyle w:val="TableText"/>
              <w:rPr>
                <w:sz w:val="17"/>
                <w:szCs w:val="17"/>
                <w:lang w:eastAsia="en-NZ"/>
              </w:rPr>
            </w:pPr>
            <w:r w:rsidRPr="00E5110C">
              <w:rPr>
                <w:sz w:val="17"/>
                <w:szCs w:val="17"/>
                <w:lang w:eastAsia="en-NZ"/>
              </w:rPr>
              <w:t>Base</w:t>
            </w:r>
          </w:p>
        </w:tc>
        <w:tc>
          <w:tcPr>
            <w:tcW w:w="1145"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rPr>
                <w:sz w:val="17"/>
                <w:szCs w:val="17"/>
                <w:lang w:eastAsia="en-NZ"/>
              </w:rPr>
            </w:pPr>
            <w:r w:rsidRPr="00E5110C">
              <w:rPr>
                <w:sz w:val="17"/>
                <w:szCs w:val="17"/>
                <w:lang w:eastAsia="en-NZ"/>
              </w:rPr>
              <w:t>Current</w:t>
            </w:r>
          </w:p>
        </w:tc>
        <w:tc>
          <w:tcPr>
            <w:tcW w:w="1226" w:type="dxa"/>
            <w:tcBorders>
              <w:top w:val="single" w:sz="4" w:space="0" w:color="A6A6A6"/>
              <w:left w:val="single" w:sz="4" w:space="0" w:color="A6A6A6"/>
              <w:bottom w:val="single" w:sz="4" w:space="0" w:color="A6A6A6"/>
              <w:right w:val="single" w:sz="4" w:space="0" w:color="A6A6A6"/>
            </w:tcBorders>
            <w:noWrap/>
          </w:tcPr>
          <w:p w:rsidR="00F425CB" w:rsidRPr="00E5110C" w:rsidRDefault="00F425CB" w:rsidP="00E5110C">
            <w:pPr>
              <w:pStyle w:val="TableText"/>
              <w:jc w:val="center"/>
              <w:rPr>
                <w:sz w:val="17"/>
                <w:szCs w:val="17"/>
                <w:lang w:eastAsia="en-NZ"/>
              </w:rPr>
            </w:pPr>
            <w:r w:rsidRPr="00E5110C">
              <w:rPr>
                <w:sz w:val="17"/>
                <w:szCs w:val="17"/>
                <w:lang w:eastAsia="en-NZ"/>
              </w:rPr>
              <w:t>0</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0</w:t>
            </w:r>
          </w:p>
        </w:tc>
        <w:tc>
          <w:tcPr>
            <w:tcW w:w="1227" w:type="dxa"/>
            <w:tcBorders>
              <w:top w:val="single" w:sz="4" w:space="0" w:color="A6A6A6"/>
              <w:left w:val="single" w:sz="4" w:space="0" w:color="A6A6A6"/>
              <w:bottom w:val="single" w:sz="4" w:space="0" w:color="A6A6A6"/>
              <w:right w:val="single" w:sz="4" w:space="0" w:color="A6A6A6"/>
            </w:tcBorders>
            <w:noWrap/>
          </w:tcPr>
          <w:p w:rsidR="00F425CB" w:rsidRPr="00E5110C" w:rsidRDefault="00F425CB" w:rsidP="00E5110C">
            <w:pPr>
              <w:pStyle w:val="TableText"/>
              <w:jc w:val="center"/>
              <w:rPr>
                <w:sz w:val="17"/>
                <w:szCs w:val="17"/>
                <w:lang w:eastAsia="en-NZ"/>
              </w:rPr>
            </w:pPr>
            <w:r w:rsidRPr="00E5110C">
              <w:rPr>
                <w:sz w:val="17"/>
                <w:szCs w:val="17"/>
                <w:lang w:eastAsia="en-NZ"/>
              </w:rPr>
              <w:t>3</w:t>
            </w:r>
          </w:p>
        </w:tc>
        <w:tc>
          <w:tcPr>
            <w:tcW w:w="1226"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1.5</w:t>
            </w:r>
          </w:p>
        </w:tc>
        <w:tc>
          <w:tcPr>
            <w:tcW w:w="1227" w:type="dxa"/>
            <w:tcBorders>
              <w:top w:val="single" w:sz="4" w:space="0" w:color="A6A6A6"/>
              <w:left w:val="single" w:sz="4" w:space="0" w:color="A6A6A6"/>
              <w:bottom w:val="single" w:sz="4" w:space="0" w:color="A6A6A6"/>
              <w:right w:val="single" w:sz="4" w:space="0" w:color="A6A6A6"/>
            </w:tcBorders>
            <w:noWrap/>
          </w:tcPr>
          <w:p w:rsidR="00F425CB" w:rsidRPr="00E5110C" w:rsidRDefault="00F425CB" w:rsidP="00E5110C">
            <w:pPr>
              <w:pStyle w:val="TableText"/>
              <w:tabs>
                <w:tab w:val="decimal" w:pos="673"/>
              </w:tabs>
              <w:rPr>
                <w:sz w:val="17"/>
                <w:szCs w:val="17"/>
                <w:lang w:eastAsia="en-NZ"/>
              </w:rPr>
            </w:pPr>
            <w:r w:rsidRPr="00E5110C">
              <w:rPr>
                <w:sz w:val="17"/>
                <w:szCs w:val="17"/>
                <w:lang w:eastAsia="en-NZ"/>
              </w:rPr>
              <w:t>0</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tabs>
                <w:tab w:val="decimal" w:pos="673"/>
              </w:tabs>
              <w:rPr>
                <w:sz w:val="17"/>
                <w:szCs w:val="17"/>
                <w:lang w:eastAsia="en-NZ"/>
              </w:rPr>
            </w:pPr>
            <w:r w:rsidRPr="00E5110C">
              <w:rPr>
                <w:sz w:val="17"/>
                <w:szCs w:val="17"/>
                <w:lang w:eastAsia="en-NZ"/>
              </w:rPr>
              <w:t>0</w:t>
            </w:r>
          </w:p>
        </w:tc>
      </w:tr>
      <w:tr w:rsidR="00F425CB" w:rsidRPr="001C250F" w:rsidTr="00C73F47">
        <w:trPr>
          <w:cantSplit/>
        </w:trPr>
        <w:tc>
          <w:tcPr>
            <w:tcW w:w="851"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rPr>
                <w:sz w:val="17"/>
                <w:szCs w:val="17"/>
                <w:lang w:eastAsia="en-NZ"/>
              </w:rPr>
            </w:pPr>
            <w:r w:rsidRPr="00E5110C">
              <w:rPr>
                <w:sz w:val="17"/>
                <w:szCs w:val="17"/>
                <w:lang w:eastAsia="en-NZ"/>
              </w:rPr>
              <w:t xml:space="preserve">Modest </w:t>
            </w:r>
            <w:r w:rsidR="00E5110C" w:rsidRPr="00E5110C">
              <w:rPr>
                <w:sz w:val="17"/>
                <w:szCs w:val="17"/>
                <w:lang w:eastAsia="en-NZ"/>
              </w:rPr>
              <w:t>g</w:t>
            </w:r>
            <w:r w:rsidRPr="00E5110C">
              <w:rPr>
                <w:sz w:val="17"/>
                <w:szCs w:val="17"/>
                <w:lang w:eastAsia="en-NZ"/>
              </w:rPr>
              <w:t>rowth</w:t>
            </w:r>
          </w:p>
        </w:tc>
        <w:tc>
          <w:tcPr>
            <w:tcW w:w="1145" w:type="dxa"/>
            <w:tcBorders>
              <w:top w:val="single" w:sz="4" w:space="0" w:color="A6A6A6"/>
              <w:left w:val="single" w:sz="4" w:space="0" w:color="A6A6A6"/>
              <w:bottom w:val="single" w:sz="4" w:space="0" w:color="A6A6A6"/>
              <w:right w:val="single" w:sz="4" w:space="0" w:color="A6A6A6"/>
            </w:tcBorders>
          </w:tcPr>
          <w:p w:rsidR="00F425CB" w:rsidRPr="00E5110C" w:rsidRDefault="00E5110C" w:rsidP="00E5110C">
            <w:pPr>
              <w:pStyle w:val="TableText"/>
              <w:rPr>
                <w:sz w:val="17"/>
                <w:szCs w:val="17"/>
                <w:lang w:eastAsia="en-NZ"/>
              </w:rPr>
            </w:pPr>
            <w:r w:rsidRPr="00E5110C">
              <w:rPr>
                <w:sz w:val="17"/>
                <w:szCs w:val="17"/>
                <w:lang w:eastAsia="en-NZ"/>
              </w:rPr>
              <w:t>40%</w:t>
            </w:r>
          </w:p>
        </w:tc>
        <w:tc>
          <w:tcPr>
            <w:tcW w:w="1226"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0</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0</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4</w:t>
            </w:r>
          </w:p>
        </w:tc>
        <w:tc>
          <w:tcPr>
            <w:tcW w:w="1226"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3</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tabs>
                <w:tab w:val="decimal" w:pos="673"/>
              </w:tabs>
              <w:rPr>
                <w:sz w:val="17"/>
                <w:szCs w:val="17"/>
                <w:lang w:eastAsia="en-NZ"/>
              </w:rPr>
            </w:pPr>
            <w:r w:rsidRPr="00E5110C">
              <w:rPr>
                <w:sz w:val="17"/>
                <w:szCs w:val="17"/>
                <w:lang w:eastAsia="en-NZ"/>
              </w:rPr>
              <w:t>2</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tabs>
                <w:tab w:val="decimal" w:pos="673"/>
              </w:tabs>
              <w:rPr>
                <w:sz w:val="17"/>
                <w:szCs w:val="17"/>
                <w:lang w:eastAsia="en-NZ"/>
              </w:rPr>
            </w:pPr>
            <w:r w:rsidRPr="00E5110C">
              <w:rPr>
                <w:sz w:val="17"/>
                <w:szCs w:val="17"/>
                <w:lang w:eastAsia="en-NZ"/>
              </w:rPr>
              <w:t>0</w:t>
            </w:r>
          </w:p>
        </w:tc>
      </w:tr>
      <w:tr w:rsidR="00F425CB" w:rsidRPr="001C250F" w:rsidTr="00C73F47">
        <w:trPr>
          <w:cantSplit/>
        </w:trPr>
        <w:tc>
          <w:tcPr>
            <w:tcW w:w="851"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rPr>
                <w:sz w:val="17"/>
                <w:szCs w:val="17"/>
                <w:lang w:eastAsia="en-NZ"/>
              </w:rPr>
            </w:pPr>
            <w:r w:rsidRPr="00E5110C">
              <w:rPr>
                <w:sz w:val="17"/>
                <w:szCs w:val="17"/>
                <w:lang w:eastAsia="en-NZ"/>
              </w:rPr>
              <w:t>Growth</w:t>
            </w:r>
          </w:p>
        </w:tc>
        <w:tc>
          <w:tcPr>
            <w:tcW w:w="1145"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rPr>
                <w:sz w:val="17"/>
                <w:szCs w:val="17"/>
                <w:lang w:eastAsia="en-NZ"/>
              </w:rPr>
            </w:pPr>
            <w:r w:rsidRPr="00E5110C">
              <w:rPr>
                <w:sz w:val="17"/>
                <w:szCs w:val="17"/>
                <w:lang w:eastAsia="en-NZ"/>
              </w:rPr>
              <w:t>45%</w:t>
            </w:r>
          </w:p>
        </w:tc>
        <w:tc>
          <w:tcPr>
            <w:tcW w:w="1226"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1</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1</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6</w:t>
            </w:r>
          </w:p>
        </w:tc>
        <w:tc>
          <w:tcPr>
            <w:tcW w:w="1226"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5</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tabs>
                <w:tab w:val="decimal" w:pos="673"/>
              </w:tabs>
              <w:rPr>
                <w:sz w:val="17"/>
                <w:szCs w:val="17"/>
                <w:lang w:eastAsia="en-NZ"/>
              </w:rPr>
            </w:pPr>
            <w:r w:rsidRPr="00E5110C">
              <w:rPr>
                <w:sz w:val="17"/>
                <w:szCs w:val="17"/>
                <w:lang w:eastAsia="en-NZ"/>
              </w:rPr>
              <w:t>9</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tabs>
                <w:tab w:val="decimal" w:pos="673"/>
              </w:tabs>
              <w:rPr>
                <w:sz w:val="17"/>
                <w:szCs w:val="17"/>
                <w:lang w:eastAsia="en-NZ"/>
              </w:rPr>
            </w:pPr>
            <w:r w:rsidRPr="00E5110C">
              <w:rPr>
                <w:sz w:val="17"/>
                <w:szCs w:val="17"/>
                <w:lang w:eastAsia="en-NZ"/>
              </w:rPr>
              <w:t>4</w:t>
            </w:r>
          </w:p>
        </w:tc>
      </w:tr>
      <w:tr w:rsidR="00F425CB" w:rsidRPr="001C250F" w:rsidTr="00C73F47">
        <w:trPr>
          <w:cantSplit/>
        </w:trPr>
        <w:tc>
          <w:tcPr>
            <w:tcW w:w="851"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rPr>
                <w:sz w:val="17"/>
                <w:szCs w:val="17"/>
                <w:lang w:eastAsia="en-NZ"/>
              </w:rPr>
            </w:pPr>
            <w:r w:rsidRPr="00E5110C">
              <w:rPr>
                <w:sz w:val="17"/>
                <w:szCs w:val="17"/>
                <w:lang w:eastAsia="en-NZ"/>
              </w:rPr>
              <w:t xml:space="preserve">Maximal </w:t>
            </w:r>
            <w:r w:rsidR="00E5110C" w:rsidRPr="00E5110C">
              <w:rPr>
                <w:sz w:val="17"/>
                <w:szCs w:val="17"/>
                <w:lang w:eastAsia="en-NZ"/>
              </w:rPr>
              <w:t>g</w:t>
            </w:r>
            <w:r w:rsidRPr="00E5110C">
              <w:rPr>
                <w:sz w:val="17"/>
                <w:szCs w:val="17"/>
                <w:lang w:eastAsia="en-NZ"/>
              </w:rPr>
              <w:t>rowth</w:t>
            </w:r>
          </w:p>
        </w:tc>
        <w:tc>
          <w:tcPr>
            <w:tcW w:w="1145" w:type="dxa"/>
            <w:tcBorders>
              <w:top w:val="single" w:sz="4" w:space="0" w:color="A6A6A6"/>
              <w:left w:val="single" w:sz="4" w:space="0" w:color="A6A6A6"/>
              <w:bottom w:val="single" w:sz="4" w:space="0" w:color="A6A6A6"/>
              <w:right w:val="single" w:sz="4" w:space="0" w:color="A6A6A6"/>
            </w:tcBorders>
          </w:tcPr>
          <w:p w:rsidR="00F425CB" w:rsidRPr="00E5110C" w:rsidRDefault="00E5110C" w:rsidP="00E5110C">
            <w:pPr>
              <w:pStyle w:val="TableText"/>
              <w:rPr>
                <w:sz w:val="17"/>
                <w:szCs w:val="17"/>
                <w:lang w:eastAsia="en-NZ"/>
              </w:rPr>
            </w:pPr>
            <w:r w:rsidRPr="00E5110C">
              <w:rPr>
                <w:sz w:val="17"/>
                <w:szCs w:val="17"/>
                <w:lang w:eastAsia="en-NZ"/>
              </w:rPr>
              <w:t>50%</w:t>
            </w:r>
          </w:p>
        </w:tc>
        <w:tc>
          <w:tcPr>
            <w:tcW w:w="1226"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3</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3</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8</w:t>
            </w:r>
          </w:p>
        </w:tc>
        <w:tc>
          <w:tcPr>
            <w:tcW w:w="1226"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jc w:val="center"/>
              <w:rPr>
                <w:sz w:val="17"/>
                <w:szCs w:val="17"/>
                <w:lang w:eastAsia="en-NZ"/>
              </w:rPr>
            </w:pPr>
            <w:r w:rsidRPr="00E5110C">
              <w:rPr>
                <w:sz w:val="17"/>
                <w:szCs w:val="17"/>
                <w:lang w:eastAsia="en-NZ"/>
              </w:rPr>
              <w:t>7</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tabs>
                <w:tab w:val="decimal" w:pos="673"/>
              </w:tabs>
              <w:rPr>
                <w:sz w:val="17"/>
                <w:szCs w:val="17"/>
                <w:lang w:eastAsia="en-NZ"/>
              </w:rPr>
            </w:pPr>
            <w:r w:rsidRPr="00E5110C">
              <w:rPr>
                <w:sz w:val="17"/>
                <w:szCs w:val="17"/>
                <w:lang w:eastAsia="en-NZ"/>
              </w:rPr>
              <w:t>16</w:t>
            </w:r>
          </w:p>
        </w:tc>
        <w:tc>
          <w:tcPr>
            <w:tcW w:w="1227" w:type="dxa"/>
            <w:tcBorders>
              <w:top w:val="single" w:sz="4" w:space="0" w:color="A6A6A6"/>
              <w:left w:val="single" w:sz="4" w:space="0" w:color="A6A6A6"/>
              <w:bottom w:val="single" w:sz="4" w:space="0" w:color="A6A6A6"/>
              <w:right w:val="single" w:sz="4" w:space="0" w:color="A6A6A6"/>
            </w:tcBorders>
          </w:tcPr>
          <w:p w:rsidR="00F425CB" w:rsidRPr="00E5110C" w:rsidRDefault="00F425CB" w:rsidP="00E5110C">
            <w:pPr>
              <w:pStyle w:val="TableText"/>
              <w:tabs>
                <w:tab w:val="decimal" w:pos="673"/>
              </w:tabs>
              <w:rPr>
                <w:sz w:val="17"/>
                <w:szCs w:val="17"/>
                <w:lang w:eastAsia="en-NZ"/>
              </w:rPr>
            </w:pPr>
            <w:r w:rsidRPr="00E5110C">
              <w:rPr>
                <w:sz w:val="17"/>
                <w:szCs w:val="17"/>
                <w:lang w:eastAsia="en-NZ"/>
              </w:rPr>
              <w:t>10</w:t>
            </w:r>
          </w:p>
        </w:tc>
      </w:tr>
    </w:tbl>
    <w:p w:rsidR="007E7990" w:rsidRPr="00E5110C" w:rsidRDefault="00F425CB" w:rsidP="00E5110C">
      <w:pPr>
        <w:pStyle w:val="Note"/>
        <w:spacing w:before="60"/>
        <w:rPr>
          <w:sz w:val="17"/>
          <w:szCs w:val="17"/>
          <w:lang w:eastAsia="en-NZ"/>
        </w:rPr>
      </w:pPr>
      <w:r w:rsidRPr="00E5110C">
        <w:rPr>
          <w:sz w:val="17"/>
          <w:szCs w:val="17"/>
          <w:lang w:eastAsia="en-NZ"/>
        </w:rPr>
        <w:t>Increase per year is the additional needed, either new trainees graduating, or additional existing graduates/staff retained.</w:t>
      </w:r>
    </w:p>
    <w:p w:rsidR="007E7990" w:rsidRPr="00E5110C" w:rsidRDefault="00F425CB" w:rsidP="00E5110C">
      <w:pPr>
        <w:pStyle w:val="Note"/>
        <w:spacing w:before="60"/>
        <w:ind w:left="284" w:hanging="284"/>
        <w:rPr>
          <w:sz w:val="17"/>
          <w:szCs w:val="17"/>
          <w:lang w:eastAsia="en-NZ"/>
        </w:rPr>
      </w:pPr>
      <w:r w:rsidRPr="00E5110C">
        <w:rPr>
          <w:sz w:val="17"/>
          <w:szCs w:val="17"/>
          <w:lang w:eastAsia="en-NZ"/>
        </w:rPr>
        <w:t>*</w:t>
      </w:r>
      <w:r w:rsidR="00E5110C" w:rsidRPr="00E5110C">
        <w:rPr>
          <w:sz w:val="17"/>
          <w:szCs w:val="17"/>
          <w:lang w:eastAsia="en-NZ"/>
        </w:rPr>
        <w:tab/>
      </w:r>
      <w:r w:rsidRPr="00E5110C">
        <w:rPr>
          <w:sz w:val="17"/>
          <w:szCs w:val="17"/>
          <w:lang w:eastAsia="en-NZ"/>
        </w:rPr>
        <w:t xml:space="preserve">Assumes 10% operational gain over 10 years or 1% pa – </w:t>
      </w:r>
      <w:proofErr w:type="spellStart"/>
      <w:r w:rsidRPr="00E5110C">
        <w:rPr>
          <w:sz w:val="17"/>
          <w:szCs w:val="17"/>
          <w:lang w:eastAsia="en-NZ"/>
        </w:rPr>
        <w:t>eg</w:t>
      </w:r>
      <w:proofErr w:type="spellEnd"/>
      <w:r w:rsidRPr="00E5110C">
        <w:rPr>
          <w:sz w:val="17"/>
          <w:szCs w:val="17"/>
          <w:lang w:eastAsia="en-NZ"/>
        </w:rPr>
        <w:t>, through fewer attendances per course (</w:t>
      </w:r>
      <w:proofErr w:type="spellStart"/>
      <w:r w:rsidRPr="00E5110C">
        <w:rPr>
          <w:sz w:val="17"/>
          <w:szCs w:val="17"/>
          <w:lang w:eastAsia="en-NZ"/>
        </w:rPr>
        <w:t>hypofractionation</w:t>
      </w:r>
      <w:proofErr w:type="spellEnd"/>
      <w:r w:rsidRPr="00E5110C">
        <w:rPr>
          <w:sz w:val="17"/>
          <w:szCs w:val="17"/>
          <w:lang w:eastAsia="en-NZ"/>
        </w:rPr>
        <w:t>) or less time per attendance.</w:t>
      </w:r>
    </w:p>
    <w:p w:rsidR="00F425CB" w:rsidRPr="00E5110C" w:rsidRDefault="00F425CB" w:rsidP="00E5110C">
      <w:pPr>
        <w:pStyle w:val="Note"/>
        <w:spacing w:before="60"/>
        <w:rPr>
          <w:sz w:val="17"/>
          <w:szCs w:val="17"/>
        </w:rPr>
      </w:pPr>
      <w:r w:rsidRPr="00E5110C">
        <w:rPr>
          <w:sz w:val="17"/>
          <w:szCs w:val="17"/>
        </w:rPr>
        <w:t>IR = intervention rate; RTR = retreatment rate.</w:t>
      </w:r>
    </w:p>
    <w:p w:rsidR="00F425CB" w:rsidRPr="007E7990" w:rsidRDefault="00F425CB" w:rsidP="00E5110C"/>
    <w:p w:rsidR="007E7990" w:rsidRPr="007E7990" w:rsidRDefault="00F425CB" w:rsidP="00E5110C">
      <w:r w:rsidRPr="007E7990">
        <w:rPr>
          <w:lang w:eastAsia="en-NZ"/>
        </w:rPr>
        <w:t>While adding the 1% pa oper</w:t>
      </w:r>
      <w:r w:rsidR="005A0299">
        <w:rPr>
          <w:lang w:eastAsia="en-NZ"/>
        </w:rPr>
        <w:t>ational gains does not affect radiation oncologist</w:t>
      </w:r>
      <w:r w:rsidRPr="007E7990">
        <w:rPr>
          <w:lang w:eastAsia="en-NZ"/>
        </w:rPr>
        <w:t xml:space="preserve"> requireme</w:t>
      </w:r>
      <w:r w:rsidR="00504426">
        <w:rPr>
          <w:lang w:eastAsia="en-NZ"/>
        </w:rPr>
        <w:t>nts, it has a strong effect on medical physicist and radiation therapist</w:t>
      </w:r>
      <w:r w:rsidRPr="007E7990">
        <w:rPr>
          <w:lang w:eastAsia="en-NZ"/>
        </w:rPr>
        <w:t xml:space="preserve"> numbers (</w:t>
      </w:r>
      <w:r w:rsidR="00E5110C">
        <w:rPr>
          <w:lang w:eastAsia="en-NZ"/>
        </w:rPr>
        <w:t>Table 11</w:t>
      </w:r>
      <w:r w:rsidRPr="007E7990">
        <w:t>).</w:t>
      </w:r>
      <w:r w:rsidR="007E7990" w:rsidRPr="007E7990">
        <w:t xml:space="preserve"> </w:t>
      </w:r>
      <w:r w:rsidRPr="007E7990">
        <w:rPr>
          <w:lang w:eastAsia="en-NZ"/>
        </w:rPr>
        <w:t xml:space="preserve">A </w:t>
      </w:r>
      <w:r w:rsidR="007E7990" w:rsidRPr="007E7990">
        <w:rPr>
          <w:lang w:eastAsia="en-NZ"/>
        </w:rPr>
        <w:t>‘</w:t>
      </w:r>
      <w:r w:rsidRPr="007E7990">
        <w:rPr>
          <w:lang w:eastAsia="en-NZ"/>
        </w:rPr>
        <w:t>saving</w:t>
      </w:r>
      <w:r w:rsidR="007E7990" w:rsidRPr="007E7990">
        <w:rPr>
          <w:lang w:eastAsia="en-NZ"/>
        </w:rPr>
        <w:t>’</w:t>
      </w:r>
      <w:r w:rsidR="00504426">
        <w:rPr>
          <w:lang w:eastAsia="en-NZ"/>
        </w:rPr>
        <w:t xml:space="preserve"> of one to two medical physicists and four to five radiation therapist</w:t>
      </w:r>
      <w:r w:rsidRPr="007E7990">
        <w:rPr>
          <w:lang w:eastAsia="en-NZ"/>
        </w:rPr>
        <w:t>s per year might be possible within each scenario.</w:t>
      </w:r>
      <w:r w:rsidR="007E7990" w:rsidRPr="007E7990">
        <w:rPr>
          <w:lang w:eastAsia="en-NZ"/>
        </w:rPr>
        <w:t xml:space="preserve"> </w:t>
      </w:r>
      <w:r w:rsidRPr="007E7990">
        <w:rPr>
          <w:lang w:eastAsia="en-NZ"/>
        </w:rPr>
        <w:t>Medical physicist numbers still look very low though.</w:t>
      </w:r>
      <w:r w:rsidR="007E7990" w:rsidRPr="007E7990">
        <w:rPr>
          <w:lang w:eastAsia="en-NZ"/>
        </w:rPr>
        <w:t xml:space="preserve"> </w:t>
      </w:r>
      <w:r w:rsidRPr="007E7990">
        <w:rPr>
          <w:lang w:eastAsia="en-NZ"/>
        </w:rPr>
        <w:t xml:space="preserve">Overall the shortfall by 2022 per discipline for the Growth scenario </w:t>
      </w:r>
      <w:r w:rsidRPr="007E7990">
        <w:t xml:space="preserve">compared to the current workforce numbers and expected proportion of training output retained in the New Zealand </w:t>
      </w:r>
      <w:r w:rsidR="00504426">
        <w:t xml:space="preserve">health system is </w:t>
      </w:r>
      <w:r w:rsidR="00F509F2">
        <w:t>seven r</w:t>
      </w:r>
      <w:r w:rsidR="00504426">
        <w:t xml:space="preserve">adiation oncologists, 30 </w:t>
      </w:r>
      <w:r w:rsidR="00504426">
        <w:rPr>
          <w:lang w:eastAsia="en-NZ"/>
        </w:rPr>
        <w:t>medical physicist</w:t>
      </w:r>
      <w:r w:rsidR="00504426">
        <w:t>s, and 25 radiation therapist</w:t>
      </w:r>
      <w:r w:rsidRPr="007E7990">
        <w:t>s.</w:t>
      </w:r>
      <w:r w:rsidR="007E7990" w:rsidRPr="007E7990">
        <w:t xml:space="preserve"> </w:t>
      </w:r>
      <w:r w:rsidRPr="007E7990">
        <w:t>It is unlikely that the shortfall of medical physicists will be able to be made up simply by increasing training places (</w:t>
      </w:r>
      <w:r w:rsidR="00E5110C">
        <w:t>Table 12</w:t>
      </w:r>
      <w:r w:rsidRPr="007E7990">
        <w:t>), but a near-doubling of training places over the next five years would go some way to improve matters.</w:t>
      </w:r>
      <w:r w:rsidR="007E7990" w:rsidRPr="007E7990">
        <w:t xml:space="preserve"> </w:t>
      </w:r>
      <w:r w:rsidRPr="007E7990">
        <w:t>Increased efforts on retention of new graduates and of existing staff are essential.</w:t>
      </w:r>
    </w:p>
    <w:p w:rsidR="00F425CB" w:rsidRPr="007E7990" w:rsidRDefault="00F425CB" w:rsidP="00177F46"/>
    <w:p w:rsidR="00F425CB" w:rsidRPr="00490543" w:rsidRDefault="00F425CB" w:rsidP="00177F46">
      <w:pPr>
        <w:pStyle w:val="Table"/>
      </w:pPr>
      <w:bookmarkStart w:id="122" w:name="_Ref369685808"/>
      <w:bookmarkStart w:id="123" w:name="_Toc384202887"/>
      <w:r w:rsidRPr="00490543">
        <w:lastRenderedPageBreak/>
        <w:t xml:space="preserve">Table </w:t>
      </w:r>
      <w:r w:rsidR="00177F46">
        <w:t>12</w:t>
      </w:r>
      <w:bookmarkEnd w:id="122"/>
      <w:r w:rsidR="00177F46">
        <w:t>:</w:t>
      </w:r>
      <w:r w:rsidR="007E7990">
        <w:t xml:space="preserve"> </w:t>
      </w:r>
      <w:r w:rsidRPr="00490543">
        <w:t>Training places needed by scenario to 2022 if all workforce gains were to come from increased training numbers</w:t>
      </w:r>
      <w:bookmarkEnd w:id="123"/>
    </w:p>
    <w:tbl>
      <w:tblPr>
        <w:tblW w:w="9356" w:type="dxa"/>
        <w:tblInd w:w="108" w:type="dxa"/>
        <w:tblLayout w:type="fixed"/>
        <w:tblLook w:val="00A0" w:firstRow="1" w:lastRow="0" w:firstColumn="1" w:lastColumn="0" w:noHBand="0" w:noVBand="0"/>
      </w:tblPr>
      <w:tblGrid>
        <w:gridCol w:w="1210"/>
        <w:gridCol w:w="1909"/>
        <w:gridCol w:w="1039"/>
        <w:gridCol w:w="1040"/>
        <w:gridCol w:w="1039"/>
        <w:gridCol w:w="1040"/>
        <w:gridCol w:w="1039"/>
        <w:gridCol w:w="1040"/>
      </w:tblGrid>
      <w:tr w:rsidR="00177F46" w:rsidRPr="0021236A" w:rsidTr="00C73F47">
        <w:trPr>
          <w:cantSplit/>
        </w:trPr>
        <w:tc>
          <w:tcPr>
            <w:tcW w:w="1210" w:type="dxa"/>
            <w:vMerge w:val="restart"/>
            <w:tcBorders>
              <w:top w:val="single" w:sz="4" w:space="0" w:color="A6A6A6"/>
              <w:left w:val="single" w:sz="4" w:space="0" w:color="A6A6A6"/>
              <w:right w:val="single" w:sz="4" w:space="0" w:color="A6A6A6"/>
            </w:tcBorders>
            <w:shd w:val="clear" w:color="000000" w:fill="BDE2FF"/>
          </w:tcPr>
          <w:p w:rsidR="00177F46" w:rsidRPr="00177F46" w:rsidRDefault="00177F46" w:rsidP="00C10298">
            <w:pPr>
              <w:pStyle w:val="TableText"/>
              <w:keepNext/>
              <w:rPr>
                <w:b/>
                <w:lang w:eastAsia="en-NZ"/>
              </w:rPr>
            </w:pPr>
            <w:r w:rsidRPr="00177F46">
              <w:rPr>
                <w:b/>
                <w:lang w:eastAsia="en-NZ"/>
              </w:rPr>
              <w:t>Scenario</w:t>
            </w:r>
          </w:p>
        </w:tc>
        <w:tc>
          <w:tcPr>
            <w:tcW w:w="1909" w:type="dxa"/>
            <w:vMerge w:val="restart"/>
            <w:tcBorders>
              <w:top w:val="single" w:sz="4" w:space="0" w:color="A6A6A6"/>
              <w:left w:val="single" w:sz="4" w:space="0" w:color="A6A6A6"/>
              <w:right w:val="single" w:sz="4" w:space="0" w:color="A6A6A6"/>
            </w:tcBorders>
            <w:shd w:val="clear" w:color="000000" w:fill="BDE2FF"/>
          </w:tcPr>
          <w:p w:rsidR="00177F46" w:rsidRPr="00177F46" w:rsidRDefault="00177F46" w:rsidP="00C10298">
            <w:pPr>
              <w:pStyle w:val="TableText"/>
              <w:keepNext/>
              <w:rPr>
                <w:b/>
                <w:lang w:eastAsia="en-NZ"/>
              </w:rPr>
            </w:pPr>
            <w:r w:rsidRPr="00177F46">
              <w:rPr>
                <w:b/>
                <w:lang w:eastAsia="en-NZ"/>
              </w:rPr>
              <w:t>Rate</w:t>
            </w:r>
          </w:p>
        </w:tc>
        <w:tc>
          <w:tcPr>
            <w:tcW w:w="2079" w:type="dxa"/>
            <w:gridSpan w:val="2"/>
            <w:tcBorders>
              <w:top w:val="single" w:sz="4" w:space="0" w:color="A6A6A6"/>
              <w:left w:val="single" w:sz="4" w:space="0" w:color="A6A6A6"/>
              <w:bottom w:val="single" w:sz="4" w:space="0" w:color="A6A6A6"/>
              <w:right w:val="single" w:sz="4" w:space="0" w:color="A6A6A6"/>
            </w:tcBorders>
            <w:shd w:val="clear" w:color="000000" w:fill="BDE2FF"/>
          </w:tcPr>
          <w:p w:rsidR="00177F46" w:rsidRPr="00C10298" w:rsidRDefault="00177F46" w:rsidP="00C10298">
            <w:pPr>
              <w:pStyle w:val="TableText"/>
              <w:keepNext/>
              <w:jc w:val="center"/>
              <w:rPr>
                <w:rFonts w:ascii="Arial Bold" w:hAnsi="Arial Bold"/>
                <w:b/>
                <w:spacing w:val="-2"/>
                <w:lang w:eastAsia="en-NZ"/>
              </w:rPr>
            </w:pPr>
            <w:r w:rsidRPr="00C10298">
              <w:rPr>
                <w:rFonts w:ascii="Arial Bold" w:hAnsi="Arial Bold"/>
                <w:b/>
                <w:spacing w:val="-2"/>
                <w:lang w:eastAsia="en-NZ"/>
              </w:rPr>
              <w:t>Radiation oncologists</w:t>
            </w:r>
          </w:p>
        </w:tc>
        <w:tc>
          <w:tcPr>
            <w:tcW w:w="2079" w:type="dxa"/>
            <w:gridSpan w:val="2"/>
            <w:tcBorders>
              <w:top w:val="single" w:sz="4" w:space="0" w:color="A6A6A6"/>
              <w:left w:val="single" w:sz="4" w:space="0" w:color="A6A6A6"/>
              <w:bottom w:val="single" w:sz="4" w:space="0" w:color="A6A6A6"/>
              <w:right w:val="single" w:sz="4" w:space="0" w:color="A6A6A6"/>
            </w:tcBorders>
            <w:shd w:val="clear" w:color="000000" w:fill="BDE2FF"/>
          </w:tcPr>
          <w:p w:rsidR="00177F46" w:rsidRPr="00177F46" w:rsidRDefault="00177F46" w:rsidP="00C10298">
            <w:pPr>
              <w:pStyle w:val="TableText"/>
              <w:keepNext/>
              <w:jc w:val="center"/>
              <w:rPr>
                <w:b/>
                <w:lang w:eastAsia="en-NZ"/>
              </w:rPr>
            </w:pPr>
            <w:r w:rsidRPr="00177F46">
              <w:rPr>
                <w:b/>
                <w:lang w:eastAsia="en-NZ"/>
              </w:rPr>
              <w:t>Medical physicists</w:t>
            </w:r>
          </w:p>
        </w:tc>
        <w:tc>
          <w:tcPr>
            <w:tcW w:w="2079" w:type="dxa"/>
            <w:gridSpan w:val="2"/>
            <w:tcBorders>
              <w:top w:val="single" w:sz="4" w:space="0" w:color="A6A6A6"/>
              <w:left w:val="single" w:sz="4" w:space="0" w:color="A6A6A6"/>
              <w:bottom w:val="single" w:sz="4" w:space="0" w:color="A6A6A6"/>
              <w:right w:val="single" w:sz="4" w:space="0" w:color="A6A6A6"/>
            </w:tcBorders>
            <w:shd w:val="clear" w:color="000000" w:fill="BDE2FF"/>
          </w:tcPr>
          <w:p w:rsidR="00177F46" w:rsidRPr="00177F46" w:rsidRDefault="00177F46" w:rsidP="00C10298">
            <w:pPr>
              <w:pStyle w:val="TableText"/>
              <w:keepNext/>
              <w:jc w:val="center"/>
              <w:rPr>
                <w:b/>
                <w:lang w:eastAsia="en-NZ"/>
              </w:rPr>
            </w:pPr>
            <w:r w:rsidRPr="00177F46">
              <w:rPr>
                <w:b/>
                <w:lang w:eastAsia="en-NZ"/>
              </w:rPr>
              <w:t>Radiation therapists</w:t>
            </w:r>
          </w:p>
        </w:tc>
      </w:tr>
      <w:tr w:rsidR="00177F46" w:rsidRPr="0021236A" w:rsidTr="00C73F47">
        <w:trPr>
          <w:cantSplit/>
        </w:trPr>
        <w:tc>
          <w:tcPr>
            <w:tcW w:w="1210" w:type="dxa"/>
            <w:vMerge/>
            <w:tcBorders>
              <w:left w:val="single" w:sz="4" w:space="0" w:color="A6A6A6"/>
              <w:bottom w:val="single" w:sz="4" w:space="0" w:color="A6A6A6"/>
              <w:right w:val="single" w:sz="4" w:space="0" w:color="A6A6A6"/>
            </w:tcBorders>
            <w:shd w:val="clear" w:color="000000" w:fill="BDE2FF"/>
          </w:tcPr>
          <w:p w:rsidR="00177F46" w:rsidRPr="0021236A" w:rsidRDefault="00177F46" w:rsidP="00C10298">
            <w:pPr>
              <w:pStyle w:val="TableText"/>
              <w:keepNext/>
              <w:rPr>
                <w:lang w:eastAsia="en-NZ"/>
              </w:rPr>
            </w:pPr>
          </w:p>
        </w:tc>
        <w:tc>
          <w:tcPr>
            <w:tcW w:w="1909" w:type="dxa"/>
            <w:vMerge/>
            <w:tcBorders>
              <w:left w:val="single" w:sz="4" w:space="0" w:color="A6A6A6"/>
              <w:bottom w:val="single" w:sz="4" w:space="0" w:color="A6A6A6"/>
              <w:right w:val="single" w:sz="4" w:space="0" w:color="A6A6A6"/>
            </w:tcBorders>
            <w:shd w:val="clear" w:color="000000" w:fill="BDE2FF"/>
          </w:tcPr>
          <w:p w:rsidR="00177F46" w:rsidRPr="0021236A" w:rsidRDefault="00177F46" w:rsidP="00C10298">
            <w:pPr>
              <w:pStyle w:val="TableText"/>
              <w:keepNext/>
              <w:rPr>
                <w:lang w:eastAsia="en-NZ"/>
              </w:rPr>
            </w:pPr>
          </w:p>
        </w:tc>
        <w:tc>
          <w:tcPr>
            <w:tcW w:w="1039" w:type="dxa"/>
            <w:tcBorders>
              <w:top w:val="single" w:sz="4" w:space="0" w:color="A6A6A6"/>
              <w:left w:val="single" w:sz="4" w:space="0" w:color="A6A6A6"/>
              <w:bottom w:val="single" w:sz="4" w:space="0" w:color="A6A6A6"/>
              <w:right w:val="single" w:sz="4" w:space="0" w:color="A6A6A6"/>
            </w:tcBorders>
            <w:shd w:val="clear" w:color="000000" w:fill="BDE2FF"/>
          </w:tcPr>
          <w:p w:rsidR="00177F46" w:rsidRPr="00177F46" w:rsidRDefault="00177F46" w:rsidP="00C10298">
            <w:pPr>
              <w:pStyle w:val="TableText"/>
              <w:keepNext/>
              <w:jc w:val="center"/>
              <w:rPr>
                <w:b/>
                <w:lang w:eastAsia="en-NZ"/>
              </w:rPr>
            </w:pPr>
            <w:r w:rsidRPr="00177F46">
              <w:rPr>
                <w:b/>
                <w:lang w:eastAsia="en-NZ"/>
              </w:rPr>
              <w:t>Total</w:t>
            </w:r>
          </w:p>
        </w:tc>
        <w:tc>
          <w:tcPr>
            <w:tcW w:w="1040" w:type="dxa"/>
            <w:tcBorders>
              <w:top w:val="single" w:sz="4" w:space="0" w:color="A6A6A6"/>
              <w:left w:val="single" w:sz="4" w:space="0" w:color="A6A6A6"/>
              <w:bottom w:val="single" w:sz="4" w:space="0" w:color="A6A6A6"/>
              <w:right w:val="single" w:sz="4" w:space="0" w:color="A6A6A6"/>
            </w:tcBorders>
            <w:shd w:val="clear" w:color="000000" w:fill="BDE2FF"/>
          </w:tcPr>
          <w:p w:rsidR="00177F46" w:rsidRPr="00177F46" w:rsidRDefault="00177F46" w:rsidP="00C10298">
            <w:pPr>
              <w:pStyle w:val="TableText"/>
              <w:keepNext/>
              <w:jc w:val="center"/>
              <w:rPr>
                <w:b/>
                <w:lang w:eastAsia="en-NZ"/>
              </w:rPr>
            </w:pPr>
            <w:r w:rsidRPr="00177F46">
              <w:rPr>
                <w:b/>
                <w:lang w:eastAsia="en-NZ"/>
              </w:rPr>
              <w:t>Increase</w:t>
            </w:r>
          </w:p>
        </w:tc>
        <w:tc>
          <w:tcPr>
            <w:tcW w:w="1039" w:type="dxa"/>
            <w:tcBorders>
              <w:top w:val="single" w:sz="4" w:space="0" w:color="A6A6A6"/>
              <w:left w:val="single" w:sz="4" w:space="0" w:color="A6A6A6"/>
              <w:bottom w:val="single" w:sz="4" w:space="0" w:color="A6A6A6"/>
              <w:right w:val="single" w:sz="4" w:space="0" w:color="A6A6A6"/>
            </w:tcBorders>
            <w:shd w:val="clear" w:color="000000" w:fill="BDE2FF"/>
          </w:tcPr>
          <w:p w:rsidR="00177F46" w:rsidRPr="00177F46" w:rsidRDefault="00177F46" w:rsidP="00C10298">
            <w:pPr>
              <w:pStyle w:val="TableText"/>
              <w:keepNext/>
              <w:jc w:val="center"/>
              <w:rPr>
                <w:b/>
                <w:lang w:eastAsia="en-NZ"/>
              </w:rPr>
            </w:pPr>
            <w:r w:rsidRPr="00177F46">
              <w:rPr>
                <w:b/>
                <w:lang w:eastAsia="en-NZ"/>
              </w:rPr>
              <w:t>Total</w:t>
            </w:r>
          </w:p>
        </w:tc>
        <w:tc>
          <w:tcPr>
            <w:tcW w:w="1040" w:type="dxa"/>
            <w:tcBorders>
              <w:top w:val="single" w:sz="4" w:space="0" w:color="A6A6A6"/>
              <w:left w:val="single" w:sz="4" w:space="0" w:color="A6A6A6"/>
              <w:bottom w:val="single" w:sz="4" w:space="0" w:color="A6A6A6"/>
              <w:right w:val="single" w:sz="4" w:space="0" w:color="A6A6A6"/>
            </w:tcBorders>
            <w:shd w:val="clear" w:color="000000" w:fill="BDE2FF"/>
          </w:tcPr>
          <w:p w:rsidR="00177F46" w:rsidRPr="00177F46" w:rsidRDefault="00177F46" w:rsidP="00C10298">
            <w:pPr>
              <w:pStyle w:val="TableText"/>
              <w:keepNext/>
              <w:jc w:val="center"/>
              <w:rPr>
                <w:b/>
                <w:lang w:eastAsia="en-NZ"/>
              </w:rPr>
            </w:pPr>
            <w:r w:rsidRPr="00177F46">
              <w:rPr>
                <w:b/>
                <w:lang w:eastAsia="en-NZ"/>
              </w:rPr>
              <w:t>Increase</w:t>
            </w:r>
          </w:p>
        </w:tc>
        <w:tc>
          <w:tcPr>
            <w:tcW w:w="1039" w:type="dxa"/>
            <w:tcBorders>
              <w:top w:val="single" w:sz="4" w:space="0" w:color="A6A6A6"/>
              <w:left w:val="single" w:sz="4" w:space="0" w:color="A6A6A6"/>
              <w:bottom w:val="single" w:sz="4" w:space="0" w:color="A6A6A6"/>
              <w:right w:val="single" w:sz="4" w:space="0" w:color="A6A6A6"/>
            </w:tcBorders>
            <w:shd w:val="clear" w:color="000000" w:fill="BDE2FF"/>
          </w:tcPr>
          <w:p w:rsidR="00177F46" w:rsidRPr="00177F46" w:rsidRDefault="00177F46" w:rsidP="00C10298">
            <w:pPr>
              <w:pStyle w:val="TableText"/>
              <w:keepNext/>
              <w:jc w:val="center"/>
              <w:rPr>
                <w:b/>
                <w:lang w:eastAsia="en-NZ"/>
              </w:rPr>
            </w:pPr>
            <w:r w:rsidRPr="00177F46">
              <w:rPr>
                <w:b/>
                <w:lang w:eastAsia="en-NZ"/>
              </w:rPr>
              <w:t>Total</w:t>
            </w:r>
          </w:p>
        </w:tc>
        <w:tc>
          <w:tcPr>
            <w:tcW w:w="1040" w:type="dxa"/>
            <w:tcBorders>
              <w:top w:val="single" w:sz="4" w:space="0" w:color="A6A6A6"/>
              <w:left w:val="single" w:sz="4" w:space="0" w:color="A6A6A6"/>
              <w:bottom w:val="single" w:sz="4" w:space="0" w:color="A6A6A6"/>
              <w:right w:val="single" w:sz="4" w:space="0" w:color="A6A6A6"/>
            </w:tcBorders>
            <w:shd w:val="clear" w:color="000000" w:fill="BDE2FF"/>
          </w:tcPr>
          <w:p w:rsidR="00177F46" w:rsidRPr="00177F46" w:rsidRDefault="00177F46" w:rsidP="00C10298">
            <w:pPr>
              <w:pStyle w:val="TableText"/>
              <w:keepNext/>
              <w:jc w:val="center"/>
              <w:rPr>
                <w:b/>
                <w:lang w:eastAsia="en-NZ"/>
              </w:rPr>
            </w:pPr>
            <w:r w:rsidRPr="00177F46">
              <w:rPr>
                <w:b/>
                <w:lang w:eastAsia="en-NZ"/>
              </w:rPr>
              <w:t>Increase</w:t>
            </w:r>
          </w:p>
        </w:tc>
      </w:tr>
      <w:tr w:rsidR="00F425CB" w:rsidRPr="0021236A" w:rsidTr="00C73F47">
        <w:trPr>
          <w:cantSplit/>
        </w:trPr>
        <w:tc>
          <w:tcPr>
            <w:tcW w:w="3119" w:type="dxa"/>
            <w:gridSpan w:val="2"/>
            <w:tcBorders>
              <w:top w:val="single" w:sz="4" w:space="0" w:color="A6A6A6"/>
              <w:left w:val="single" w:sz="4" w:space="0" w:color="A6A6A6"/>
              <w:bottom w:val="single" w:sz="4" w:space="0" w:color="A6A6A6"/>
              <w:right w:val="single" w:sz="4" w:space="0" w:color="A6A6A6"/>
            </w:tcBorders>
            <w:noWrap/>
          </w:tcPr>
          <w:p w:rsidR="00F425CB" w:rsidRPr="0021236A" w:rsidRDefault="00F425CB" w:rsidP="00C10298">
            <w:pPr>
              <w:pStyle w:val="TableText"/>
              <w:keepNext/>
              <w:rPr>
                <w:lang w:eastAsia="en-NZ"/>
              </w:rPr>
            </w:pPr>
            <w:r w:rsidRPr="0021236A">
              <w:rPr>
                <w:lang w:eastAsia="en-NZ"/>
              </w:rPr>
              <w:t xml:space="preserve">Current </w:t>
            </w:r>
            <w:r>
              <w:rPr>
                <w:lang w:eastAsia="en-NZ"/>
              </w:rPr>
              <w:t>training places</w:t>
            </w:r>
          </w:p>
        </w:tc>
        <w:tc>
          <w:tcPr>
            <w:tcW w:w="1039" w:type="dxa"/>
            <w:tcBorders>
              <w:top w:val="single" w:sz="4" w:space="0" w:color="A6A6A6"/>
              <w:left w:val="single" w:sz="4" w:space="0" w:color="A6A6A6"/>
              <w:bottom w:val="single" w:sz="4" w:space="0" w:color="A6A6A6"/>
              <w:right w:val="single" w:sz="4" w:space="0" w:color="A6A6A6"/>
            </w:tcBorders>
            <w:noWrap/>
          </w:tcPr>
          <w:p w:rsidR="00F425CB" w:rsidRPr="0021236A" w:rsidRDefault="00F425CB" w:rsidP="00C10298">
            <w:pPr>
              <w:pStyle w:val="TableText"/>
              <w:keepNext/>
              <w:jc w:val="center"/>
              <w:rPr>
                <w:lang w:eastAsia="en-NZ"/>
              </w:rPr>
            </w:pPr>
            <w:r>
              <w:rPr>
                <w:lang w:eastAsia="en-NZ"/>
              </w:rPr>
              <w:t>22</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464"/>
              </w:tabs>
              <w:rPr>
                <w:lang w:eastAsia="en-NZ"/>
              </w:rPr>
            </w:pPr>
          </w:p>
        </w:tc>
        <w:tc>
          <w:tcPr>
            <w:tcW w:w="1039" w:type="dxa"/>
            <w:tcBorders>
              <w:top w:val="single" w:sz="4" w:space="0" w:color="A6A6A6"/>
              <w:left w:val="single" w:sz="4" w:space="0" w:color="A6A6A6"/>
              <w:bottom w:val="single" w:sz="4" w:space="0" w:color="A6A6A6"/>
              <w:right w:val="single" w:sz="4" w:space="0" w:color="A6A6A6"/>
            </w:tcBorders>
            <w:noWrap/>
          </w:tcPr>
          <w:p w:rsidR="00F425CB" w:rsidRPr="0021236A" w:rsidRDefault="00F425CB" w:rsidP="00C10298">
            <w:pPr>
              <w:pStyle w:val="TableText"/>
              <w:keepNext/>
              <w:jc w:val="center"/>
              <w:rPr>
                <w:lang w:eastAsia="en-NZ"/>
              </w:rPr>
            </w:pPr>
            <w:r>
              <w:rPr>
                <w:lang w:eastAsia="en-NZ"/>
              </w:rPr>
              <w:t>18</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506"/>
              </w:tabs>
              <w:rPr>
                <w:lang w:eastAsia="en-NZ"/>
              </w:rPr>
            </w:pPr>
          </w:p>
        </w:tc>
        <w:tc>
          <w:tcPr>
            <w:tcW w:w="1039" w:type="dxa"/>
            <w:tcBorders>
              <w:top w:val="single" w:sz="4" w:space="0" w:color="A6A6A6"/>
              <w:left w:val="single" w:sz="4" w:space="0" w:color="A6A6A6"/>
              <w:bottom w:val="single" w:sz="4" w:space="0" w:color="A6A6A6"/>
              <w:right w:val="single" w:sz="4" w:space="0" w:color="A6A6A6"/>
            </w:tcBorders>
            <w:noWrap/>
          </w:tcPr>
          <w:p w:rsidR="00F425CB" w:rsidRPr="0021236A" w:rsidRDefault="00F425CB" w:rsidP="00C10298">
            <w:pPr>
              <w:pStyle w:val="TableText"/>
              <w:keepNext/>
              <w:tabs>
                <w:tab w:val="decimal" w:pos="567"/>
              </w:tabs>
              <w:rPr>
                <w:lang w:eastAsia="en-NZ"/>
              </w:rPr>
            </w:pPr>
            <w:r>
              <w:rPr>
                <w:lang w:eastAsia="en-NZ"/>
              </w:rPr>
              <w:t>90</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459"/>
              </w:tabs>
              <w:rPr>
                <w:lang w:eastAsia="en-NZ"/>
              </w:rPr>
            </w:pPr>
          </w:p>
        </w:tc>
      </w:tr>
      <w:tr w:rsidR="00F425CB" w:rsidRPr="0021236A" w:rsidTr="00C73F47">
        <w:trPr>
          <w:cantSplit/>
        </w:trPr>
        <w:tc>
          <w:tcPr>
            <w:tcW w:w="121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rPr>
                <w:lang w:eastAsia="en-NZ"/>
              </w:rPr>
            </w:pPr>
            <w:r w:rsidRPr="0021236A">
              <w:rPr>
                <w:lang w:eastAsia="en-NZ"/>
              </w:rPr>
              <w:t>Base</w:t>
            </w:r>
          </w:p>
        </w:tc>
        <w:tc>
          <w:tcPr>
            <w:tcW w:w="190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rPr>
                <w:lang w:eastAsia="en-NZ"/>
              </w:rPr>
            </w:pPr>
            <w:r w:rsidRPr="0021236A">
              <w:rPr>
                <w:lang w:eastAsia="en-NZ"/>
              </w:rPr>
              <w:t>Current IR and RTR</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jc w:val="center"/>
              <w:rPr>
                <w:lang w:eastAsia="en-NZ"/>
              </w:rPr>
            </w:pPr>
            <w:r>
              <w:rPr>
                <w:lang w:eastAsia="en-NZ"/>
              </w:rPr>
              <w:t>22</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464"/>
              </w:tabs>
              <w:rPr>
                <w:lang w:eastAsia="en-NZ"/>
              </w:rPr>
            </w:pPr>
            <w:r>
              <w:rPr>
                <w:lang w:eastAsia="en-NZ"/>
              </w:rPr>
              <w:t>0</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jc w:val="center"/>
              <w:rPr>
                <w:lang w:eastAsia="en-NZ"/>
              </w:rPr>
            </w:pPr>
            <w:r>
              <w:rPr>
                <w:lang w:eastAsia="en-NZ"/>
              </w:rPr>
              <w:t>35</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506"/>
              </w:tabs>
              <w:rPr>
                <w:lang w:eastAsia="en-NZ"/>
              </w:rPr>
            </w:pPr>
            <w:r>
              <w:rPr>
                <w:lang w:eastAsia="en-NZ"/>
              </w:rPr>
              <w:t>17</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567"/>
              </w:tabs>
              <w:rPr>
                <w:lang w:eastAsia="en-NZ"/>
              </w:rPr>
            </w:pPr>
            <w:r>
              <w:rPr>
                <w:lang w:eastAsia="en-NZ"/>
              </w:rPr>
              <w:t>90</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459"/>
              </w:tabs>
              <w:rPr>
                <w:lang w:eastAsia="en-NZ"/>
              </w:rPr>
            </w:pPr>
            <w:r w:rsidRPr="0021236A">
              <w:rPr>
                <w:lang w:eastAsia="en-NZ"/>
              </w:rPr>
              <w:t>0</w:t>
            </w:r>
          </w:p>
        </w:tc>
      </w:tr>
      <w:tr w:rsidR="00F425CB" w:rsidRPr="0021236A" w:rsidTr="00C73F47">
        <w:trPr>
          <w:cantSplit/>
        </w:trPr>
        <w:tc>
          <w:tcPr>
            <w:tcW w:w="121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rPr>
                <w:lang w:eastAsia="en-NZ"/>
              </w:rPr>
            </w:pPr>
          </w:p>
        </w:tc>
        <w:tc>
          <w:tcPr>
            <w:tcW w:w="190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rPr>
                <w:lang w:eastAsia="en-NZ"/>
              </w:rPr>
            </w:pPr>
            <w:r w:rsidRPr="0021236A">
              <w:rPr>
                <w:lang w:eastAsia="en-NZ"/>
              </w:rPr>
              <w:t xml:space="preserve">As Base, </w:t>
            </w:r>
            <w:r>
              <w:rPr>
                <w:lang w:eastAsia="en-NZ"/>
              </w:rPr>
              <w:t xml:space="preserve">plus </w:t>
            </w:r>
            <w:r w:rsidRPr="0021236A">
              <w:rPr>
                <w:lang w:eastAsia="en-NZ"/>
              </w:rPr>
              <w:t xml:space="preserve">1% pa </w:t>
            </w:r>
            <w:r>
              <w:rPr>
                <w:lang w:eastAsia="en-NZ"/>
              </w:rPr>
              <w:t>operational</w:t>
            </w:r>
            <w:r w:rsidRPr="0021236A">
              <w:rPr>
                <w:lang w:eastAsia="en-NZ"/>
              </w:rPr>
              <w:t xml:space="preserve"> gain**</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jc w:val="center"/>
              <w:rPr>
                <w:lang w:eastAsia="en-NZ"/>
              </w:rPr>
            </w:pPr>
            <w:r>
              <w:rPr>
                <w:lang w:eastAsia="en-NZ"/>
              </w:rPr>
              <w:t>22</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464"/>
              </w:tabs>
              <w:rPr>
                <w:lang w:eastAsia="en-NZ"/>
              </w:rPr>
            </w:pPr>
            <w:r>
              <w:rPr>
                <w:lang w:eastAsia="en-NZ"/>
              </w:rPr>
              <w:t>0</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jc w:val="center"/>
              <w:rPr>
                <w:lang w:eastAsia="en-NZ"/>
              </w:rPr>
            </w:pPr>
            <w:r>
              <w:rPr>
                <w:lang w:eastAsia="en-NZ"/>
              </w:rPr>
              <w:t>26</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506"/>
              </w:tabs>
              <w:rPr>
                <w:lang w:eastAsia="en-NZ"/>
              </w:rPr>
            </w:pPr>
            <w:r>
              <w:rPr>
                <w:lang w:eastAsia="en-NZ"/>
              </w:rPr>
              <w:t>8</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567"/>
              </w:tabs>
              <w:rPr>
                <w:lang w:eastAsia="en-NZ"/>
              </w:rPr>
            </w:pPr>
            <w:r>
              <w:rPr>
                <w:lang w:eastAsia="en-NZ"/>
              </w:rPr>
              <w:t>90</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459"/>
              </w:tabs>
              <w:rPr>
                <w:lang w:eastAsia="en-NZ"/>
              </w:rPr>
            </w:pPr>
            <w:r>
              <w:rPr>
                <w:lang w:eastAsia="en-NZ"/>
              </w:rPr>
              <w:t>0</w:t>
            </w:r>
          </w:p>
        </w:tc>
      </w:tr>
      <w:tr w:rsidR="00F425CB" w:rsidRPr="0021236A" w:rsidTr="00C73F47">
        <w:trPr>
          <w:cantSplit/>
        </w:trPr>
        <w:tc>
          <w:tcPr>
            <w:tcW w:w="121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rPr>
                <w:lang w:eastAsia="en-NZ"/>
              </w:rPr>
            </w:pPr>
            <w:r w:rsidRPr="0021236A">
              <w:rPr>
                <w:lang w:eastAsia="en-NZ"/>
              </w:rPr>
              <w:t xml:space="preserve">Modest </w:t>
            </w:r>
            <w:r w:rsidR="00177F46">
              <w:rPr>
                <w:lang w:eastAsia="en-NZ"/>
              </w:rPr>
              <w:t>g</w:t>
            </w:r>
            <w:r w:rsidRPr="0021236A">
              <w:rPr>
                <w:lang w:eastAsia="en-NZ"/>
              </w:rPr>
              <w:t>rowth</w:t>
            </w:r>
          </w:p>
        </w:tc>
        <w:tc>
          <w:tcPr>
            <w:tcW w:w="190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rPr>
                <w:lang w:eastAsia="en-NZ"/>
              </w:rPr>
            </w:pPr>
            <w:r w:rsidRPr="0021236A">
              <w:rPr>
                <w:lang w:eastAsia="en-NZ"/>
              </w:rPr>
              <w:t>40% IR</w:t>
            </w:r>
            <w:r>
              <w:rPr>
                <w:lang w:eastAsia="en-NZ"/>
              </w:rPr>
              <w:t xml:space="preserve"> plus gains</w:t>
            </w:r>
            <w:r w:rsidRPr="0021236A">
              <w:rPr>
                <w:lang w:eastAsia="en-NZ"/>
              </w:rPr>
              <w:t>**</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jc w:val="center"/>
              <w:rPr>
                <w:lang w:eastAsia="en-NZ"/>
              </w:rPr>
            </w:pPr>
            <w:r>
              <w:rPr>
                <w:lang w:eastAsia="en-NZ"/>
              </w:rPr>
              <w:t>22</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464"/>
              </w:tabs>
              <w:rPr>
                <w:lang w:eastAsia="en-NZ"/>
              </w:rPr>
            </w:pPr>
            <w:r>
              <w:rPr>
                <w:lang w:eastAsia="en-NZ"/>
              </w:rPr>
              <w:t>0</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jc w:val="center"/>
              <w:rPr>
                <w:lang w:eastAsia="en-NZ"/>
              </w:rPr>
            </w:pPr>
            <w:r>
              <w:rPr>
                <w:lang w:eastAsia="en-NZ"/>
              </w:rPr>
              <w:t>35</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506"/>
              </w:tabs>
              <w:rPr>
                <w:lang w:eastAsia="en-NZ"/>
              </w:rPr>
            </w:pPr>
            <w:r>
              <w:rPr>
                <w:lang w:eastAsia="en-NZ"/>
              </w:rPr>
              <w:t>17</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567"/>
              </w:tabs>
              <w:rPr>
                <w:lang w:eastAsia="en-NZ"/>
              </w:rPr>
            </w:pPr>
            <w:r>
              <w:rPr>
                <w:lang w:eastAsia="en-NZ"/>
              </w:rPr>
              <w:t>90</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keepNext/>
              <w:tabs>
                <w:tab w:val="decimal" w:pos="459"/>
              </w:tabs>
              <w:rPr>
                <w:lang w:eastAsia="en-NZ"/>
              </w:rPr>
            </w:pPr>
            <w:r>
              <w:rPr>
                <w:lang w:eastAsia="en-NZ"/>
              </w:rPr>
              <w:t>0</w:t>
            </w:r>
          </w:p>
        </w:tc>
      </w:tr>
      <w:tr w:rsidR="00F425CB" w:rsidRPr="00777CD8" w:rsidTr="00C73F47">
        <w:trPr>
          <w:cantSplit/>
        </w:trPr>
        <w:tc>
          <w:tcPr>
            <w:tcW w:w="1210" w:type="dxa"/>
            <w:tcBorders>
              <w:top w:val="single" w:sz="4" w:space="0" w:color="A6A6A6"/>
              <w:left w:val="single" w:sz="4" w:space="0" w:color="A6A6A6"/>
              <w:bottom w:val="single" w:sz="4" w:space="0" w:color="A6A6A6"/>
              <w:right w:val="single" w:sz="4" w:space="0" w:color="A6A6A6"/>
            </w:tcBorders>
          </w:tcPr>
          <w:p w:rsidR="00F425CB" w:rsidRPr="00777CD8" w:rsidRDefault="00F425CB" w:rsidP="00177F46">
            <w:pPr>
              <w:pStyle w:val="TableText"/>
              <w:rPr>
                <w:lang w:eastAsia="en-NZ"/>
              </w:rPr>
            </w:pPr>
            <w:r w:rsidRPr="00777CD8">
              <w:rPr>
                <w:lang w:eastAsia="en-NZ"/>
              </w:rPr>
              <w:t>Growth</w:t>
            </w:r>
          </w:p>
        </w:tc>
        <w:tc>
          <w:tcPr>
            <w:tcW w:w="1909" w:type="dxa"/>
            <w:tcBorders>
              <w:top w:val="single" w:sz="4" w:space="0" w:color="A6A6A6"/>
              <w:left w:val="single" w:sz="4" w:space="0" w:color="A6A6A6"/>
              <w:bottom w:val="single" w:sz="4" w:space="0" w:color="A6A6A6"/>
              <w:right w:val="single" w:sz="4" w:space="0" w:color="A6A6A6"/>
            </w:tcBorders>
          </w:tcPr>
          <w:p w:rsidR="00F425CB" w:rsidRPr="00777CD8" w:rsidRDefault="00F425CB" w:rsidP="00C10298">
            <w:pPr>
              <w:pStyle w:val="TableText"/>
              <w:rPr>
                <w:lang w:eastAsia="en-NZ"/>
              </w:rPr>
            </w:pPr>
            <w:r w:rsidRPr="00777CD8">
              <w:rPr>
                <w:lang w:eastAsia="en-NZ"/>
              </w:rPr>
              <w:t>45% IR</w:t>
            </w:r>
            <w:r>
              <w:rPr>
                <w:lang w:eastAsia="en-NZ"/>
              </w:rPr>
              <w:t xml:space="preserve"> </w:t>
            </w:r>
            <w:r w:rsidRPr="00710AE1">
              <w:rPr>
                <w:lang w:eastAsia="en-NZ"/>
              </w:rPr>
              <w:t>plus gains</w:t>
            </w:r>
            <w:r w:rsidRPr="00777CD8">
              <w:rPr>
                <w:lang w:eastAsia="en-NZ"/>
              </w:rPr>
              <w:t>**</w:t>
            </w:r>
          </w:p>
        </w:tc>
        <w:tc>
          <w:tcPr>
            <w:tcW w:w="1039" w:type="dxa"/>
            <w:tcBorders>
              <w:top w:val="single" w:sz="4" w:space="0" w:color="A6A6A6"/>
              <w:left w:val="single" w:sz="4" w:space="0" w:color="A6A6A6"/>
              <w:bottom w:val="single" w:sz="4" w:space="0" w:color="A6A6A6"/>
              <w:right w:val="single" w:sz="4" w:space="0" w:color="A6A6A6"/>
            </w:tcBorders>
          </w:tcPr>
          <w:p w:rsidR="00F425CB" w:rsidRPr="00777CD8" w:rsidRDefault="00F425CB" w:rsidP="00C10298">
            <w:pPr>
              <w:pStyle w:val="TableText"/>
              <w:jc w:val="center"/>
              <w:rPr>
                <w:lang w:eastAsia="en-NZ"/>
              </w:rPr>
            </w:pPr>
            <w:r>
              <w:rPr>
                <w:lang w:eastAsia="en-NZ"/>
              </w:rPr>
              <w:t>28</w:t>
            </w:r>
          </w:p>
        </w:tc>
        <w:tc>
          <w:tcPr>
            <w:tcW w:w="1040" w:type="dxa"/>
            <w:tcBorders>
              <w:top w:val="single" w:sz="4" w:space="0" w:color="A6A6A6"/>
              <w:left w:val="single" w:sz="4" w:space="0" w:color="A6A6A6"/>
              <w:bottom w:val="single" w:sz="4" w:space="0" w:color="A6A6A6"/>
              <w:right w:val="single" w:sz="4" w:space="0" w:color="A6A6A6"/>
            </w:tcBorders>
          </w:tcPr>
          <w:p w:rsidR="00F425CB" w:rsidRPr="00777CD8" w:rsidRDefault="00F425CB" w:rsidP="00C10298">
            <w:pPr>
              <w:pStyle w:val="TableText"/>
              <w:tabs>
                <w:tab w:val="decimal" w:pos="464"/>
              </w:tabs>
              <w:rPr>
                <w:lang w:eastAsia="en-NZ"/>
              </w:rPr>
            </w:pPr>
            <w:r>
              <w:rPr>
                <w:lang w:eastAsia="en-NZ"/>
              </w:rPr>
              <w:t>6</w:t>
            </w:r>
          </w:p>
        </w:tc>
        <w:tc>
          <w:tcPr>
            <w:tcW w:w="1039" w:type="dxa"/>
            <w:tcBorders>
              <w:top w:val="single" w:sz="4" w:space="0" w:color="A6A6A6"/>
              <w:left w:val="single" w:sz="4" w:space="0" w:color="A6A6A6"/>
              <w:bottom w:val="single" w:sz="4" w:space="0" w:color="A6A6A6"/>
              <w:right w:val="single" w:sz="4" w:space="0" w:color="A6A6A6"/>
            </w:tcBorders>
          </w:tcPr>
          <w:p w:rsidR="00F425CB" w:rsidRPr="00777CD8" w:rsidRDefault="00F425CB" w:rsidP="00C10298">
            <w:pPr>
              <w:pStyle w:val="TableText"/>
              <w:jc w:val="center"/>
              <w:rPr>
                <w:lang w:eastAsia="en-NZ"/>
              </w:rPr>
            </w:pPr>
            <w:r>
              <w:rPr>
                <w:lang w:eastAsia="en-NZ"/>
              </w:rPr>
              <w:t>47</w:t>
            </w:r>
          </w:p>
        </w:tc>
        <w:tc>
          <w:tcPr>
            <w:tcW w:w="1040" w:type="dxa"/>
            <w:tcBorders>
              <w:top w:val="single" w:sz="4" w:space="0" w:color="A6A6A6"/>
              <w:left w:val="single" w:sz="4" w:space="0" w:color="A6A6A6"/>
              <w:bottom w:val="single" w:sz="4" w:space="0" w:color="A6A6A6"/>
              <w:right w:val="single" w:sz="4" w:space="0" w:color="A6A6A6"/>
            </w:tcBorders>
          </w:tcPr>
          <w:p w:rsidR="00F425CB" w:rsidRPr="00777CD8" w:rsidRDefault="00F425CB" w:rsidP="00C10298">
            <w:pPr>
              <w:pStyle w:val="TableText"/>
              <w:tabs>
                <w:tab w:val="decimal" w:pos="506"/>
              </w:tabs>
              <w:rPr>
                <w:lang w:eastAsia="en-NZ"/>
              </w:rPr>
            </w:pPr>
            <w:r>
              <w:rPr>
                <w:lang w:eastAsia="en-NZ"/>
              </w:rPr>
              <w:t>29</w:t>
            </w:r>
          </w:p>
        </w:tc>
        <w:tc>
          <w:tcPr>
            <w:tcW w:w="1039" w:type="dxa"/>
            <w:tcBorders>
              <w:top w:val="single" w:sz="4" w:space="0" w:color="A6A6A6"/>
              <w:left w:val="single" w:sz="4" w:space="0" w:color="A6A6A6"/>
              <w:bottom w:val="single" w:sz="4" w:space="0" w:color="A6A6A6"/>
              <w:right w:val="single" w:sz="4" w:space="0" w:color="A6A6A6"/>
            </w:tcBorders>
          </w:tcPr>
          <w:p w:rsidR="00F425CB" w:rsidRPr="00777CD8" w:rsidRDefault="00F425CB" w:rsidP="00C10298">
            <w:pPr>
              <w:pStyle w:val="TableText"/>
              <w:tabs>
                <w:tab w:val="decimal" w:pos="567"/>
              </w:tabs>
              <w:rPr>
                <w:lang w:eastAsia="en-NZ"/>
              </w:rPr>
            </w:pPr>
            <w:r>
              <w:rPr>
                <w:lang w:eastAsia="en-NZ"/>
              </w:rPr>
              <w:t>105</w:t>
            </w:r>
          </w:p>
        </w:tc>
        <w:tc>
          <w:tcPr>
            <w:tcW w:w="1040" w:type="dxa"/>
            <w:tcBorders>
              <w:top w:val="single" w:sz="4" w:space="0" w:color="A6A6A6"/>
              <w:left w:val="single" w:sz="4" w:space="0" w:color="A6A6A6"/>
              <w:bottom w:val="single" w:sz="4" w:space="0" w:color="A6A6A6"/>
              <w:right w:val="single" w:sz="4" w:space="0" w:color="A6A6A6"/>
            </w:tcBorders>
          </w:tcPr>
          <w:p w:rsidR="00F425CB" w:rsidRPr="00777CD8" w:rsidRDefault="00F425CB" w:rsidP="00C10298">
            <w:pPr>
              <w:pStyle w:val="TableText"/>
              <w:tabs>
                <w:tab w:val="decimal" w:pos="459"/>
              </w:tabs>
              <w:rPr>
                <w:lang w:eastAsia="en-NZ"/>
              </w:rPr>
            </w:pPr>
            <w:r>
              <w:rPr>
                <w:lang w:eastAsia="en-NZ"/>
              </w:rPr>
              <w:t>15</w:t>
            </w:r>
          </w:p>
        </w:tc>
      </w:tr>
      <w:tr w:rsidR="00F425CB" w:rsidRPr="0021236A" w:rsidTr="00C73F47">
        <w:trPr>
          <w:cantSplit/>
        </w:trPr>
        <w:tc>
          <w:tcPr>
            <w:tcW w:w="1210" w:type="dxa"/>
            <w:tcBorders>
              <w:top w:val="single" w:sz="4" w:space="0" w:color="A6A6A6"/>
              <w:left w:val="single" w:sz="4" w:space="0" w:color="A6A6A6"/>
              <w:bottom w:val="single" w:sz="4" w:space="0" w:color="A6A6A6"/>
              <w:right w:val="single" w:sz="4" w:space="0" w:color="A6A6A6"/>
            </w:tcBorders>
          </w:tcPr>
          <w:p w:rsidR="00F425CB" w:rsidRPr="0021236A" w:rsidRDefault="00F425CB" w:rsidP="00177F46">
            <w:pPr>
              <w:pStyle w:val="TableText"/>
              <w:rPr>
                <w:lang w:eastAsia="en-NZ"/>
              </w:rPr>
            </w:pPr>
            <w:r w:rsidRPr="0021236A">
              <w:rPr>
                <w:lang w:eastAsia="en-NZ"/>
              </w:rPr>
              <w:t xml:space="preserve">Maximal </w:t>
            </w:r>
            <w:r w:rsidR="00177F46">
              <w:rPr>
                <w:lang w:eastAsia="en-NZ"/>
              </w:rPr>
              <w:t>g</w:t>
            </w:r>
            <w:r w:rsidRPr="0021236A">
              <w:rPr>
                <w:lang w:eastAsia="en-NZ"/>
              </w:rPr>
              <w:t>rowth</w:t>
            </w:r>
          </w:p>
        </w:tc>
        <w:tc>
          <w:tcPr>
            <w:tcW w:w="190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rPr>
                <w:lang w:eastAsia="en-NZ"/>
              </w:rPr>
            </w:pPr>
            <w:r w:rsidRPr="0021236A">
              <w:rPr>
                <w:lang w:eastAsia="en-NZ"/>
              </w:rPr>
              <w:t>50% IR</w:t>
            </w:r>
            <w:r>
              <w:rPr>
                <w:lang w:eastAsia="en-NZ"/>
              </w:rPr>
              <w:t xml:space="preserve"> plus gains</w:t>
            </w:r>
            <w:r w:rsidRPr="0021236A">
              <w:rPr>
                <w:lang w:eastAsia="en-NZ"/>
              </w:rPr>
              <w:t>**</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jc w:val="center"/>
              <w:rPr>
                <w:lang w:eastAsia="en-NZ"/>
              </w:rPr>
            </w:pPr>
            <w:r>
              <w:rPr>
                <w:lang w:eastAsia="en-NZ"/>
              </w:rPr>
              <w:t>40</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tabs>
                <w:tab w:val="decimal" w:pos="464"/>
              </w:tabs>
              <w:rPr>
                <w:lang w:eastAsia="en-NZ"/>
              </w:rPr>
            </w:pPr>
            <w:r>
              <w:rPr>
                <w:lang w:eastAsia="en-NZ"/>
              </w:rPr>
              <w:t>18</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jc w:val="center"/>
              <w:rPr>
                <w:lang w:eastAsia="en-NZ"/>
              </w:rPr>
            </w:pPr>
            <w:r>
              <w:rPr>
                <w:lang w:eastAsia="en-NZ"/>
              </w:rPr>
              <w:t>58</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tabs>
                <w:tab w:val="decimal" w:pos="506"/>
              </w:tabs>
              <w:rPr>
                <w:lang w:eastAsia="en-NZ"/>
              </w:rPr>
            </w:pPr>
            <w:r>
              <w:rPr>
                <w:lang w:eastAsia="en-NZ"/>
              </w:rPr>
              <w:t>40</w:t>
            </w:r>
          </w:p>
        </w:tc>
        <w:tc>
          <w:tcPr>
            <w:tcW w:w="1039"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tabs>
                <w:tab w:val="decimal" w:pos="567"/>
              </w:tabs>
              <w:rPr>
                <w:lang w:eastAsia="en-NZ"/>
              </w:rPr>
            </w:pPr>
            <w:r>
              <w:rPr>
                <w:lang w:eastAsia="en-NZ"/>
              </w:rPr>
              <w:t>126</w:t>
            </w:r>
          </w:p>
        </w:tc>
        <w:tc>
          <w:tcPr>
            <w:tcW w:w="1040" w:type="dxa"/>
            <w:tcBorders>
              <w:top w:val="single" w:sz="4" w:space="0" w:color="A6A6A6"/>
              <w:left w:val="single" w:sz="4" w:space="0" w:color="A6A6A6"/>
              <w:bottom w:val="single" w:sz="4" w:space="0" w:color="A6A6A6"/>
              <w:right w:val="single" w:sz="4" w:space="0" w:color="A6A6A6"/>
            </w:tcBorders>
          </w:tcPr>
          <w:p w:rsidR="00F425CB" w:rsidRPr="0021236A" w:rsidRDefault="00F425CB" w:rsidP="00C10298">
            <w:pPr>
              <w:pStyle w:val="TableText"/>
              <w:tabs>
                <w:tab w:val="decimal" w:pos="459"/>
              </w:tabs>
              <w:rPr>
                <w:lang w:eastAsia="en-NZ"/>
              </w:rPr>
            </w:pPr>
            <w:r>
              <w:rPr>
                <w:lang w:eastAsia="en-NZ"/>
              </w:rPr>
              <w:t>36</w:t>
            </w:r>
          </w:p>
        </w:tc>
      </w:tr>
    </w:tbl>
    <w:p w:rsidR="00F425CB" w:rsidRPr="003719A5" w:rsidRDefault="00F425CB" w:rsidP="00177F46">
      <w:pPr>
        <w:pStyle w:val="Note"/>
        <w:rPr>
          <w:lang w:eastAsia="en-NZ"/>
        </w:rPr>
      </w:pPr>
      <w:r>
        <w:rPr>
          <w:lang w:eastAsia="en-NZ"/>
        </w:rPr>
        <w:t xml:space="preserve">Increase is the number of training places needed at current attrition rates to supply the workforce needs should current </w:t>
      </w:r>
      <w:r w:rsidRPr="003719A5">
        <w:rPr>
          <w:lang w:eastAsia="en-NZ"/>
        </w:rPr>
        <w:t>graduate</w:t>
      </w:r>
      <w:r>
        <w:rPr>
          <w:lang w:eastAsia="en-NZ"/>
        </w:rPr>
        <w:t xml:space="preserve">/staff retention rates not improve – </w:t>
      </w:r>
      <w:proofErr w:type="spellStart"/>
      <w:r>
        <w:rPr>
          <w:lang w:eastAsia="en-NZ"/>
        </w:rPr>
        <w:t>ie</w:t>
      </w:r>
      <w:proofErr w:type="spellEnd"/>
      <w:r>
        <w:rPr>
          <w:lang w:eastAsia="en-NZ"/>
        </w:rPr>
        <w:t xml:space="preserve"> all increases need to come through the training programmes.</w:t>
      </w:r>
    </w:p>
    <w:p w:rsidR="007E7990" w:rsidRDefault="00F425CB" w:rsidP="00177F46">
      <w:pPr>
        <w:pStyle w:val="Note"/>
        <w:ind w:left="284" w:hanging="284"/>
        <w:rPr>
          <w:lang w:eastAsia="en-NZ"/>
        </w:rPr>
      </w:pPr>
      <w:r w:rsidRPr="003719A5">
        <w:rPr>
          <w:lang w:eastAsia="en-NZ"/>
        </w:rPr>
        <w:t>**</w:t>
      </w:r>
      <w:r w:rsidR="00177F46">
        <w:rPr>
          <w:lang w:eastAsia="en-NZ"/>
        </w:rPr>
        <w:tab/>
      </w:r>
      <w:r w:rsidRPr="003719A5">
        <w:rPr>
          <w:lang w:eastAsia="en-NZ"/>
        </w:rPr>
        <w:t xml:space="preserve">Assumes 10% </w:t>
      </w:r>
      <w:r>
        <w:rPr>
          <w:lang w:eastAsia="en-NZ"/>
        </w:rPr>
        <w:t>operational gain</w:t>
      </w:r>
      <w:r w:rsidRPr="003719A5">
        <w:rPr>
          <w:lang w:eastAsia="en-NZ"/>
        </w:rPr>
        <w:t xml:space="preserve"> over 10 years or 1% pa – </w:t>
      </w:r>
      <w:proofErr w:type="spellStart"/>
      <w:r w:rsidRPr="003719A5">
        <w:rPr>
          <w:lang w:eastAsia="en-NZ"/>
        </w:rPr>
        <w:t>eg</w:t>
      </w:r>
      <w:proofErr w:type="spellEnd"/>
      <w:r w:rsidRPr="003719A5">
        <w:rPr>
          <w:lang w:eastAsia="en-NZ"/>
        </w:rPr>
        <w:t>, through fewer attendances per course (</w:t>
      </w:r>
      <w:proofErr w:type="spellStart"/>
      <w:r w:rsidRPr="003719A5">
        <w:rPr>
          <w:lang w:eastAsia="en-NZ"/>
        </w:rPr>
        <w:t>hypofractionation</w:t>
      </w:r>
      <w:proofErr w:type="spellEnd"/>
      <w:r w:rsidRPr="003719A5">
        <w:rPr>
          <w:lang w:eastAsia="en-NZ"/>
        </w:rPr>
        <w:t>) or less time per attendance.</w:t>
      </w:r>
    </w:p>
    <w:p w:rsidR="00F425CB" w:rsidRDefault="00F425CB" w:rsidP="00177F46">
      <w:pPr>
        <w:pStyle w:val="Note"/>
      </w:pPr>
      <w:r w:rsidRPr="006D65C4">
        <w:t xml:space="preserve">IR = </w:t>
      </w:r>
      <w:r>
        <w:t>i</w:t>
      </w:r>
      <w:r w:rsidRPr="006D65C4">
        <w:t xml:space="preserve">ntervention </w:t>
      </w:r>
      <w:r>
        <w:t>rate; RTR = retreatment rate.</w:t>
      </w:r>
    </w:p>
    <w:p w:rsidR="00F425CB" w:rsidRPr="007E7990" w:rsidRDefault="00F425CB" w:rsidP="00C10298"/>
    <w:p w:rsidR="007E7990" w:rsidRPr="007E7990" w:rsidRDefault="00F425CB" w:rsidP="00C10298">
      <w:r w:rsidRPr="007E7990">
        <w:t xml:space="preserve">If the operational gain and tipping point assumptions were able to be achieved, the fall in linacs required noted in </w:t>
      </w:r>
      <w:r w:rsidR="00C10298">
        <w:t>Table 10</w:t>
      </w:r>
      <w:r w:rsidRPr="007E7990">
        <w:t xml:space="preserve"> would lead to significant capital cost savings nationally (</w:t>
      </w:r>
      <w:r w:rsidR="00C10298">
        <w:t>Table 13</w:t>
      </w:r>
      <w:r w:rsidRPr="007E7990">
        <w:t>).</w:t>
      </w:r>
      <w:r w:rsidR="007E7990" w:rsidRPr="007E7990">
        <w:t xml:space="preserve"> </w:t>
      </w:r>
      <w:r w:rsidRPr="007E7990">
        <w:t>The Base case would see a savings of $53</w:t>
      </w:r>
      <w:r w:rsidR="00F509F2">
        <w:t xml:space="preserve"> </w:t>
      </w:r>
      <w:r w:rsidRPr="007E7990">
        <w:t>m</w:t>
      </w:r>
      <w:r w:rsidR="00F509F2">
        <w:t>illion</w:t>
      </w:r>
      <w:r w:rsidRPr="007E7990">
        <w:t xml:space="preserve"> over the 10 years, while in the Growth scenario $111</w:t>
      </w:r>
      <w:r w:rsidR="00F509F2">
        <w:t xml:space="preserve"> </w:t>
      </w:r>
      <w:r w:rsidRPr="007E7990">
        <w:t>m</w:t>
      </w:r>
      <w:r w:rsidR="00F509F2">
        <w:t>illion</w:t>
      </w:r>
      <w:r w:rsidRPr="007E7990">
        <w:t xml:space="preserve"> in capital costs would be saved.</w:t>
      </w:r>
      <w:r w:rsidR="007E7990" w:rsidRPr="007E7990">
        <w:t xml:space="preserve"> </w:t>
      </w:r>
      <w:r w:rsidRPr="007E7990">
        <w:t>Operating costs are little changed</w:t>
      </w:r>
      <w:r w:rsidR="00C10298">
        <w:t>;</w:t>
      </w:r>
      <w:r w:rsidRPr="00C10298">
        <w:rPr>
          <w:rStyle w:val="FootnoteReference"/>
        </w:rPr>
        <w:footnoteReference w:id="26"/>
      </w:r>
      <w:r w:rsidRPr="007E7990">
        <w:t xml:space="preserve"> it is in the capital spend area that savings are evident.</w:t>
      </w:r>
    </w:p>
    <w:p w:rsidR="00F425CB" w:rsidRPr="007E7990" w:rsidRDefault="00F425CB" w:rsidP="00C10298"/>
    <w:p w:rsidR="00F425CB" w:rsidRPr="007E7990" w:rsidRDefault="00F425CB" w:rsidP="00C10298">
      <w:pPr>
        <w:pStyle w:val="Table"/>
      </w:pPr>
      <w:bookmarkStart w:id="124" w:name="_Ref369092923"/>
      <w:bookmarkStart w:id="125" w:name="_Toc384202888"/>
      <w:r w:rsidRPr="007E7990">
        <w:t xml:space="preserve">Table </w:t>
      </w:r>
      <w:r w:rsidR="00C10298">
        <w:t>13</w:t>
      </w:r>
      <w:bookmarkEnd w:id="124"/>
      <w:r w:rsidR="00C10298">
        <w:t>:</w:t>
      </w:r>
      <w:r w:rsidR="007E7990" w:rsidRPr="007E7990">
        <w:t xml:space="preserve"> </w:t>
      </w:r>
      <w:r w:rsidRPr="007E7990">
        <w:t xml:space="preserve">National radiation oncology capacity model scenario </w:t>
      </w:r>
      <w:proofErr w:type="spellStart"/>
      <w:r w:rsidRPr="007E7990">
        <w:t>costings</w:t>
      </w:r>
      <w:bookmarkEnd w:id="125"/>
      <w:proofErr w:type="spellEnd"/>
    </w:p>
    <w:tbl>
      <w:tblPr>
        <w:tblW w:w="0" w:type="auto"/>
        <w:tblInd w:w="108" w:type="dxa"/>
        <w:tblLayout w:type="fixed"/>
        <w:tblLook w:val="04A0" w:firstRow="1" w:lastRow="0" w:firstColumn="1" w:lastColumn="0" w:noHBand="0" w:noVBand="1"/>
      </w:tblPr>
      <w:tblGrid>
        <w:gridCol w:w="1652"/>
        <w:gridCol w:w="1892"/>
        <w:gridCol w:w="1418"/>
        <w:gridCol w:w="1842"/>
        <w:gridCol w:w="1134"/>
        <w:gridCol w:w="1418"/>
      </w:tblGrid>
      <w:tr w:rsidR="00F425CB" w:rsidRPr="00C10298" w:rsidTr="00C73F47">
        <w:trPr>
          <w:cantSplit/>
        </w:trPr>
        <w:tc>
          <w:tcPr>
            <w:tcW w:w="9356" w:type="dxa"/>
            <w:gridSpan w:val="6"/>
            <w:tcBorders>
              <w:top w:val="single" w:sz="4" w:space="0" w:color="A6A6A6"/>
              <w:left w:val="single" w:sz="4" w:space="0" w:color="A6A6A6"/>
              <w:bottom w:val="single" w:sz="4" w:space="0" w:color="A6A6A6"/>
              <w:right w:val="single" w:sz="4" w:space="0" w:color="A6A6A6"/>
            </w:tcBorders>
            <w:shd w:val="clear" w:color="auto" w:fill="BDE2FF"/>
            <w:tcMar>
              <w:top w:w="0" w:type="dxa"/>
              <w:left w:w="108" w:type="dxa"/>
              <w:bottom w:w="0" w:type="dxa"/>
              <w:right w:w="108" w:type="dxa"/>
            </w:tcMar>
          </w:tcPr>
          <w:p w:rsidR="00F425CB" w:rsidRPr="00C10298" w:rsidRDefault="00F425CB" w:rsidP="00C10298">
            <w:pPr>
              <w:pStyle w:val="TableText"/>
              <w:jc w:val="center"/>
              <w:rPr>
                <w:b/>
                <w:lang w:eastAsia="en-NZ"/>
              </w:rPr>
            </w:pPr>
            <w:r w:rsidRPr="00C10298">
              <w:rPr>
                <w:b/>
                <w:lang w:eastAsia="en-NZ"/>
              </w:rPr>
              <w:t>Estimated capital costs of added and replacement linacs (current $)</w:t>
            </w:r>
          </w:p>
        </w:tc>
      </w:tr>
      <w:tr w:rsidR="00F425CB" w:rsidRPr="00C10298" w:rsidTr="00C73F47">
        <w:trPr>
          <w:cantSplit/>
        </w:trPr>
        <w:tc>
          <w:tcPr>
            <w:tcW w:w="1652" w:type="dxa"/>
            <w:tcBorders>
              <w:top w:val="single" w:sz="4" w:space="0" w:color="A6A6A6"/>
              <w:left w:val="single" w:sz="4" w:space="0" w:color="A6A6A6"/>
              <w:bottom w:val="single" w:sz="4" w:space="0" w:color="A6A6A6"/>
              <w:right w:val="single" w:sz="4" w:space="0" w:color="A6A6A6"/>
            </w:tcBorders>
            <w:shd w:val="clear" w:color="auto" w:fill="BDE2FF"/>
            <w:tcMar>
              <w:top w:w="0" w:type="dxa"/>
              <w:left w:w="108" w:type="dxa"/>
              <w:bottom w:w="0" w:type="dxa"/>
              <w:right w:w="108" w:type="dxa"/>
            </w:tcMar>
          </w:tcPr>
          <w:p w:rsidR="00F425CB" w:rsidRPr="00C10298" w:rsidRDefault="00F425CB" w:rsidP="00C10298">
            <w:pPr>
              <w:pStyle w:val="TableText"/>
              <w:jc w:val="center"/>
              <w:rPr>
                <w:b/>
                <w:lang w:eastAsia="en-NZ"/>
              </w:rPr>
            </w:pPr>
            <w:r w:rsidRPr="00C10298">
              <w:rPr>
                <w:b/>
                <w:lang w:eastAsia="en-NZ"/>
              </w:rPr>
              <w:t>Scenario</w:t>
            </w:r>
          </w:p>
        </w:tc>
        <w:tc>
          <w:tcPr>
            <w:tcW w:w="1892" w:type="dxa"/>
            <w:tcBorders>
              <w:top w:val="single" w:sz="4" w:space="0" w:color="A6A6A6"/>
              <w:left w:val="single" w:sz="4" w:space="0" w:color="A6A6A6"/>
              <w:bottom w:val="single" w:sz="4" w:space="0" w:color="A6A6A6"/>
              <w:right w:val="single" w:sz="4" w:space="0" w:color="A6A6A6"/>
            </w:tcBorders>
            <w:shd w:val="clear" w:color="auto" w:fill="BDE2FF"/>
            <w:tcMar>
              <w:top w:w="0" w:type="dxa"/>
              <w:left w:w="108" w:type="dxa"/>
              <w:bottom w:w="0" w:type="dxa"/>
              <w:right w:w="108" w:type="dxa"/>
            </w:tcMar>
          </w:tcPr>
          <w:p w:rsidR="00F425CB" w:rsidRPr="00C10298" w:rsidRDefault="00F425CB" w:rsidP="00C10298">
            <w:pPr>
              <w:pStyle w:val="TableText"/>
              <w:jc w:val="center"/>
              <w:rPr>
                <w:b/>
                <w:lang w:eastAsia="en-NZ"/>
              </w:rPr>
            </w:pPr>
            <w:r w:rsidRPr="00C10298">
              <w:rPr>
                <w:b/>
                <w:lang w:eastAsia="en-NZ"/>
              </w:rPr>
              <w:t>Rate</w:t>
            </w:r>
          </w:p>
        </w:tc>
        <w:tc>
          <w:tcPr>
            <w:tcW w:w="1418" w:type="dxa"/>
            <w:tcBorders>
              <w:top w:val="single" w:sz="4" w:space="0" w:color="A6A6A6"/>
              <w:left w:val="single" w:sz="4" w:space="0" w:color="A6A6A6"/>
              <w:bottom w:val="single" w:sz="4" w:space="0" w:color="A6A6A6"/>
              <w:right w:val="single" w:sz="4" w:space="0" w:color="A6A6A6"/>
            </w:tcBorders>
            <w:shd w:val="clear" w:color="auto" w:fill="BDE2FF"/>
            <w:tcMar>
              <w:top w:w="0" w:type="dxa"/>
              <w:left w:w="108" w:type="dxa"/>
              <w:bottom w:w="0" w:type="dxa"/>
              <w:right w:w="108" w:type="dxa"/>
            </w:tcMar>
          </w:tcPr>
          <w:p w:rsidR="00F425CB" w:rsidRPr="00C10298" w:rsidRDefault="00F425CB" w:rsidP="00C10298">
            <w:pPr>
              <w:pStyle w:val="TableText"/>
              <w:jc w:val="center"/>
              <w:rPr>
                <w:b/>
                <w:lang w:eastAsia="en-NZ"/>
              </w:rPr>
            </w:pPr>
            <w:r w:rsidRPr="00C10298">
              <w:rPr>
                <w:b/>
                <w:lang w:eastAsia="en-NZ"/>
              </w:rPr>
              <w:t>Current parameters</w:t>
            </w:r>
          </w:p>
        </w:tc>
        <w:tc>
          <w:tcPr>
            <w:tcW w:w="1842" w:type="dxa"/>
            <w:tcBorders>
              <w:top w:val="single" w:sz="4" w:space="0" w:color="A6A6A6"/>
              <w:left w:val="single" w:sz="4" w:space="0" w:color="A6A6A6"/>
              <w:bottom w:val="single" w:sz="4" w:space="0" w:color="A6A6A6"/>
              <w:right w:val="single" w:sz="4" w:space="0" w:color="A6A6A6"/>
            </w:tcBorders>
            <w:shd w:val="clear" w:color="auto" w:fill="BDE2FF"/>
            <w:tcMar>
              <w:top w:w="0" w:type="dxa"/>
              <w:left w:w="108" w:type="dxa"/>
              <w:bottom w:w="0" w:type="dxa"/>
              <w:right w:w="108" w:type="dxa"/>
            </w:tcMar>
          </w:tcPr>
          <w:p w:rsidR="00F425CB" w:rsidRPr="00C10298" w:rsidRDefault="00F425CB" w:rsidP="00C10298">
            <w:pPr>
              <w:pStyle w:val="TableText"/>
              <w:jc w:val="center"/>
              <w:rPr>
                <w:b/>
                <w:lang w:eastAsia="en-NZ"/>
              </w:rPr>
            </w:pPr>
            <w:r w:rsidRPr="00C10298">
              <w:rPr>
                <w:b/>
                <w:lang w:eastAsia="en-NZ"/>
              </w:rPr>
              <w:t>1% pa operational gains</w:t>
            </w:r>
          </w:p>
        </w:tc>
        <w:tc>
          <w:tcPr>
            <w:tcW w:w="1134" w:type="dxa"/>
            <w:tcBorders>
              <w:top w:val="single" w:sz="4" w:space="0" w:color="A6A6A6"/>
              <w:left w:val="single" w:sz="4" w:space="0" w:color="A6A6A6"/>
              <w:bottom w:val="single" w:sz="4" w:space="0" w:color="A6A6A6"/>
              <w:right w:val="single" w:sz="4" w:space="0" w:color="A6A6A6"/>
            </w:tcBorders>
            <w:shd w:val="clear" w:color="auto" w:fill="BDE2FF"/>
            <w:tcMar>
              <w:top w:w="0" w:type="dxa"/>
              <w:left w:w="108" w:type="dxa"/>
              <w:bottom w:w="0" w:type="dxa"/>
              <w:right w:w="108" w:type="dxa"/>
            </w:tcMar>
          </w:tcPr>
          <w:p w:rsidR="00F425CB" w:rsidRPr="00C10298" w:rsidRDefault="00F425CB" w:rsidP="00C10298">
            <w:pPr>
              <w:pStyle w:val="TableText"/>
              <w:jc w:val="center"/>
              <w:rPr>
                <w:b/>
                <w:lang w:eastAsia="en-NZ"/>
              </w:rPr>
            </w:pPr>
            <w:r w:rsidRPr="00C10298">
              <w:rPr>
                <w:b/>
                <w:lang w:eastAsia="en-NZ"/>
              </w:rPr>
              <w:t>Tipping point</w:t>
            </w:r>
          </w:p>
        </w:tc>
        <w:tc>
          <w:tcPr>
            <w:tcW w:w="1418" w:type="dxa"/>
            <w:tcBorders>
              <w:top w:val="single" w:sz="4" w:space="0" w:color="A6A6A6"/>
              <w:left w:val="single" w:sz="4" w:space="0" w:color="A6A6A6"/>
              <w:bottom w:val="single" w:sz="4" w:space="0" w:color="A6A6A6"/>
              <w:right w:val="single" w:sz="4" w:space="0" w:color="A6A6A6"/>
            </w:tcBorders>
            <w:shd w:val="clear" w:color="auto" w:fill="BDE2FF"/>
            <w:tcMar>
              <w:top w:w="0" w:type="dxa"/>
              <w:left w:w="108" w:type="dxa"/>
              <w:bottom w:w="0" w:type="dxa"/>
              <w:right w:w="108" w:type="dxa"/>
            </w:tcMar>
          </w:tcPr>
          <w:p w:rsidR="00F425CB" w:rsidRPr="00C10298" w:rsidRDefault="00C10298" w:rsidP="00C10298">
            <w:pPr>
              <w:pStyle w:val="TableText"/>
              <w:jc w:val="center"/>
              <w:rPr>
                <w:b/>
                <w:lang w:eastAsia="en-NZ"/>
              </w:rPr>
            </w:pPr>
            <w:r w:rsidRPr="00C10298">
              <w:rPr>
                <w:b/>
                <w:lang w:eastAsia="en-NZ"/>
              </w:rPr>
              <w:t>1% and</w:t>
            </w:r>
            <w:r w:rsidR="00F425CB" w:rsidRPr="00C10298">
              <w:rPr>
                <w:b/>
                <w:lang w:eastAsia="en-NZ"/>
              </w:rPr>
              <w:t xml:space="preserve"> tipping point</w:t>
            </w:r>
          </w:p>
        </w:tc>
      </w:tr>
      <w:tr w:rsidR="00F425CB" w:rsidRPr="002D3877" w:rsidTr="00C73F47">
        <w:trPr>
          <w:cantSplit/>
        </w:trPr>
        <w:tc>
          <w:tcPr>
            <w:tcW w:w="165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rPr>
                <w:lang w:eastAsia="en-NZ"/>
              </w:rPr>
            </w:pPr>
            <w:r w:rsidRPr="009F15D9">
              <w:rPr>
                <w:lang w:eastAsia="en-NZ"/>
              </w:rPr>
              <w:t>Base</w:t>
            </w:r>
          </w:p>
        </w:tc>
        <w:tc>
          <w:tcPr>
            <w:tcW w:w="189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rPr>
                <w:lang w:eastAsia="en-NZ"/>
              </w:rPr>
            </w:pPr>
            <w:r w:rsidRPr="009F15D9">
              <w:rPr>
                <w:lang w:eastAsia="en-NZ"/>
              </w:rPr>
              <w:t>Current IR and RTR</w:t>
            </w:r>
          </w:p>
        </w:tc>
        <w:tc>
          <w:tcPr>
            <w:tcW w:w="1418"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$236</w:t>
            </w:r>
            <w:r>
              <w:rPr>
                <w:lang w:eastAsia="en-NZ"/>
              </w:rPr>
              <w:t>m</w:t>
            </w:r>
          </w:p>
        </w:tc>
        <w:tc>
          <w:tcPr>
            <w:tcW w:w="184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$215</w:t>
            </w:r>
            <w:r>
              <w:rPr>
                <w:lang w:eastAsia="en-NZ"/>
              </w:rPr>
              <w:t>m</w:t>
            </w:r>
          </w:p>
        </w:tc>
        <w:tc>
          <w:tcPr>
            <w:tcW w:w="1134"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$193</w:t>
            </w:r>
            <w:r>
              <w:rPr>
                <w:lang w:eastAsia="en-NZ"/>
              </w:rPr>
              <w:t>m</w:t>
            </w:r>
          </w:p>
        </w:tc>
        <w:tc>
          <w:tcPr>
            <w:tcW w:w="1418"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$183</w:t>
            </w:r>
            <w:r>
              <w:rPr>
                <w:lang w:eastAsia="en-NZ"/>
              </w:rPr>
              <w:t>m</w:t>
            </w:r>
          </w:p>
        </w:tc>
      </w:tr>
      <w:tr w:rsidR="00F425CB" w:rsidRPr="002D3877" w:rsidTr="00C73F47">
        <w:trPr>
          <w:cantSplit/>
        </w:trPr>
        <w:tc>
          <w:tcPr>
            <w:tcW w:w="165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rPr>
                <w:lang w:eastAsia="en-NZ"/>
              </w:rPr>
            </w:pPr>
            <w:r w:rsidRPr="009F15D9">
              <w:rPr>
                <w:lang w:eastAsia="en-NZ"/>
              </w:rPr>
              <w:t xml:space="preserve">Modest </w:t>
            </w:r>
            <w:r w:rsidR="00C10298">
              <w:rPr>
                <w:lang w:eastAsia="en-NZ"/>
              </w:rPr>
              <w:t>g</w:t>
            </w:r>
            <w:r w:rsidRPr="009F15D9">
              <w:rPr>
                <w:lang w:eastAsia="en-NZ"/>
              </w:rPr>
              <w:t>rowth</w:t>
            </w:r>
          </w:p>
        </w:tc>
        <w:tc>
          <w:tcPr>
            <w:tcW w:w="189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rPr>
                <w:lang w:eastAsia="en-NZ"/>
              </w:rPr>
            </w:pPr>
            <w:r w:rsidRPr="009F15D9">
              <w:rPr>
                <w:lang w:eastAsia="en-NZ"/>
              </w:rPr>
              <w:t>40% IR</w:t>
            </w:r>
          </w:p>
        </w:tc>
        <w:tc>
          <w:tcPr>
            <w:tcW w:w="1418"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$2</w:t>
            </w:r>
            <w:r>
              <w:rPr>
                <w:lang w:eastAsia="en-NZ"/>
              </w:rPr>
              <w:t>58m</w:t>
            </w:r>
          </w:p>
        </w:tc>
        <w:tc>
          <w:tcPr>
            <w:tcW w:w="184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$225</w:t>
            </w:r>
            <w:r>
              <w:rPr>
                <w:lang w:eastAsia="en-NZ"/>
              </w:rPr>
              <w:t>m</w:t>
            </w:r>
          </w:p>
        </w:tc>
        <w:tc>
          <w:tcPr>
            <w:tcW w:w="1134"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$206</w:t>
            </w:r>
            <w:r>
              <w:rPr>
                <w:lang w:eastAsia="en-NZ"/>
              </w:rPr>
              <w:t>m</w:t>
            </w:r>
          </w:p>
        </w:tc>
        <w:tc>
          <w:tcPr>
            <w:tcW w:w="1418"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$204</w:t>
            </w:r>
            <w:r>
              <w:rPr>
                <w:lang w:eastAsia="en-NZ"/>
              </w:rPr>
              <w:t>m</w:t>
            </w:r>
          </w:p>
        </w:tc>
      </w:tr>
      <w:tr w:rsidR="00F425CB" w:rsidRPr="002D3877" w:rsidTr="00C73F47">
        <w:trPr>
          <w:cantSplit/>
        </w:trPr>
        <w:tc>
          <w:tcPr>
            <w:tcW w:w="165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rPr>
                <w:lang w:eastAsia="en-NZ"/>
              </w:rPr>
            </w:pPr>
            <w:r w:rsidRPr="009F15D9">
              <w:rPr>
                <w:lang w:eastAsia="en-NZ"/>
              </w:rPr>
              <w:t>Growth</w:t>
            </w:r>
          </w:p>
        </w:tc>
        <w:tc>
          <w:tcPr>
            <w:tcW w:w="189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rPr>
                <w:lang w:eastAsia="en-NZ"/>
              </w:rPr>
            </w:pPr>
            <w:r w:rsidRPr="009F15D9">
              <w:rPr>
                <w:lang w:eastAsia="en-NZ"/>
              </w:rPr>
              <w:t>45% IR</w:t>
            </w:r>
          </w:p>
        </w:tc>
        <w:tc>
          <w:tcPr>
            <w:tcW w:w="1418"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$328</w:t>
            </w:r>
            <w:r>
              <w:rPr>
                <w:lang w:eastAsia="en-NZ"/>
              </w:rPr>
              <w:t>m</w:t>
            </w:r>
          </w:p>
        </w:tc>
        <w:tc>
          <w:tcPr>
            <w:tcW w:w="184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$268</w:t>
            </w:r>
            <w:r>
              <w:rPr>
                <w:lang w:eastAsia="en-NZ"/>
              </w:rPr>
              <w:t>m</w:t>
            </w:r>
          </w:p>
        </w:tc>
        <w:tc>
          <w:tcPr>
            <w:tcW w:w="1134"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$227</w:t>
            </w:r>
            <w:r>
              <w:rPr>
                <w:lang w:eastAsia="en-NZ"/>
              </w:rPr>
              <w:t>m</w:t>
            </w:r>
          </w:p>
        </w:tc>
        <w:tc>
          <w:tcPr>
            <w:tcW w:w="1418"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$217</w:t>
            </w:r>
            <w:r>
              <w:rPr>
                <w:lang w:eastAsia="en-NZ"/>
              </w:rPr>
              <w:t>m</w:t>
            </w:r>
          </w:p>
        </w:tc>
      </w:tr>
      <w:tr w:rsidR="00F425CB" w:rsidRPr="002D3877" w:rsidTr="00C73F47">
        <w:trPr>
          <w:cantSplit/>
        </w:trPr>
        <w:tc>
          <w:tcPr>
            <w:tcW w:w="165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rPr>
                <w:lang w:eastAsia="en-NZ"/>
              </w:rPr>
            </w:pPr>
            <w:r w:rsidRPr="009F15D9">
              <w:rPr>
                <w:lang w:eastAsia="en-NZ"/>
              </w:rPr>
              <w:t xml:space="preserve">Maximal </w:t>
            </w:r>
            <w:r w:rsidR="00C10298">
              <w:rPr>
                <w:lang w:eastAsia="en-NZ"/>
              </w:rPr>
              <w:t>g</w:t>
            </w:r>
            <w:r w:rsidRPr="009F15D9">
              <w:rPr>
                <w:lang w:eastAsia="en-NZ"/>
              </w:rPr>
              <w:t>rowth</w:t>
            </w:r>
          </w:p>
        </w:tc>
        <w:tc>
          <w:tcPr>
            <w:tcW w:w="189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rPr>
                <w:lang w:eastAsia="en-NZ"/>
              </w:rPr>
            </w:pPr>
            <w:r w:rsidRPr="009F15D9">
              <w:rPr>
                <w:lang w:eastAsia="en-NZ"/>
              </w:rPr>
              <w:t>50% IR</w:t>
            </w:r>
          </w:p>
        </w:tc>
        <w:tc>
          <w:tcPr>
            <w:tcW w:w="1418"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$361</w:t>
            </w:r>
            <w:r>
              <w:rPr>
                <w:lang w:eastAsia="en-NZ"/>
              </w:rPr>
              <w:t>m</w:t>
            </w:r>
          </w:p>
        </w:tc>
        <w:tc>
          <w:tcPr>
            <w:tcW w:w="1842"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$328</w:t>
            </w:r>
            <w:r>
              <w:rPr>
                <w:lang w:eastAsia="en-NZ"/>
              </w:rPr>
              <w:t>m</w:t>
            </w:r>
          </w:p>
        </w:tc>
        <w:tc>
          <w:tcPr>
            <w:tcW w:w="1134"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$267</w:t>
            </w:r>
            <w:r>
              <w:rPr>
                <w:lang w:eastAsia="en-NZ"/>
              </w:rPr>
              <w:t>m</w:t>
            </w:r>
          </w:p>
        </w:tc>
        <w:tc>
          <w:tcPr>
            <w:tcW w:w="1418"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F425CB" w:rsidRPr="0027124D" w:rsidRDefault="00F425CB" w:rsidP="00C10298">
            <w:pPr>
              <w:pStyle w:val="TableText"/>
              <w:jc w:val="center"/>
              <w:rPr>
                <w:lang w:eastAsia="en-NZ"/>
              </w:rPr>
            </w:pPr>
            <w:r w:rsidRPr="009F15D9">
              <w:rPr>
                <w:lang w:eastAsia="en-NZ"/>
              </w:rPr>
              <w:t>$227</w:t>
            </w:r>
            <w:r>
              <w:rPr>
                <w:lang w:eastAsia="en-NZ"/>
              </w:rPr>
              <w:t>m</w:t>
            </w:r>
          </w:p>
        </w:tc>
      </w:tr>
    </w:tbl>
    <w:p w:rsidR="00F425CB" w:rsidRPr="00746E99" w:rsidRDefault="00F425CB" w:rsidP="00C10298">
      <w:pPr>
        <w:pStyle w:val="Note"/>
      </w:pPr>
      <w:proofErr w:type="gramStart"/>
      <w:r>
        <w:t>Based on a 2%</w:t>
      </w:r>
      <w:r w:rsidRPr="00746E99">
        <w:t xml:space="preserve"> inflation rate per annum, and an 8% discount rate.</w:t>
      </w:r>
      <w:proofErr w:type="gramEnd"/>
      <w:r w:rsidR="007E7990">
        <w:t xml:space="preserve"> </w:t>
      </w:r>
      <w:r>
        <w:t>IR = intervention rate, RTR = retreatment rate</w:t>
      </w:r>
      <w:r w:rsidR="00C10298">
        <w:t>.</w:t>
      </w:r>
    </w:p>
    <w:p w:rsidR="00F425CB" w:rsidRPr="00746E99" w:rsidRDefault="00F425CB" w:rsidP="00C10298">
      <w:pPr>
        <w:pStyle w:val="Note"/>
      </w:pPr>
      <w:r>
        <w:t>I</w:t>
      </w:r>
      <w:r w:rsidRPr="00746E99">
        <w:t>ncludes 2</w:t>
      </w:r>
      <w:r>
        <w:t>8</w:t>
      </w:r>
      <w:r w:rsidRPr="00746E99">
        <w:t xml:space="preserve"> existing linacs to be replaced over the planning period and software upgrades for existing linacs; bunker construction costs for new builds</w:t>
      </w:r>
      <w:r>
        <w:t>.</w:t>
      </w:r>
      <w:r w:rsidR="007E7990">
        <w:t xml:space="preserve"> </w:t>
      </w:r>
      <w:r>
        <w:t>The 2014 Tauranga linacs are assumed to have been financed and are not included here.</w:t>
      </w:r>
    </w:p>
    <w:p w:rsidR="00F425CB" w:rsidRDefault="00F425CB" w:rsidP="00C10298"/>
    <w:p w:rsidR="007E7990" w:rsidRPr="007E7990" w:rsidRDefault="00F425CB" w:rsidP="006B703A">
      <w:pPr>
        <w:keepLines/>
      </w:pPr>
      <w:r w:rsidRPr="007E7990">
        <w:lastRenderedPageBreak/>
        <w:t>The operational details will vary from centre to centre and be dependent on workforce flexibility, availability, and arrangements.</w:t>
      </w:r>
      <w:r w:rsidR="007E7990" w:rsidRPr="007E7990">
        <w:t xml:space="preserve"> </w:t>
      </w:r>
      <w:r w:rsidRPr="007E7990">
        <w:t>All will entail additional operating costs and may be more or less feasible for any given centre</w:t>
      </w:r>
      <w:r w:rsidR="007E7990" w:rsidRPr="007E7990">
        <w:t>’</w:t>
      </w:r>
      <w:r w:rsidRPr="007E7990">
        <w:t>s circumstances.</w:t>
      </w:r>
      <w:r w:rsidR="007E7990" w:rsidRPr="007E7990">
        <w:t xml:space="preserve"> </w:t>
      </w:r>
      <w:r w:rsidRPr="007E7990">
        <w:t>No change in the quality of care provided is anticipated.</w:t>
      </w:r>
      <w:r w:rsidR="007E7990" w:rsidRPr="007E7990">
        <w:t xml:space="preserve"> </w:t>
      </w:r>
      <w:r w:rsidRPr="007E7990">
        <w:t>The Model assumes that additional staff full-time equivalent (FTE) and operational costs will rise at the same rate as if the new linac had been built; only the capital cost is delayed.</w:t>
      </w:r>
      <w:r w:rsidR="007E7990" w:rsidRPr="007E7990">
        <w:t xml:space="preserve"> </w:t>
      </w:r>
      <w:r w:rsidRPr="007E7990">
        <w:t xml:space="preserve">If local circumstances make it difficult to change current work patterns, meaning it might be the lower cost option to build the new linac, </w:t>
      </w:r>
      <w:proofErr w:type="gramStart"/>
      <w:r w:rsidRPr="007E7990">
        <w:t>then</w:t>
      </w:r>
      <w:proofErr w:type="gramEnd"/>
      <w:r w:rsidRPr="007E7990">
        <w:t xml:space="preserve"> local business cases will no doubt reflect that in their options analysis.</w:t>
      </w:r>
      <w:r w:rsidR="007E7990" w:rsidRPr="007E7990">
        <w:t xml:space="preserve"> </w:t>
      </w:r>
      <w:r w:rsidRPr="007E7990">
        <w:t>These will be operational and investment decisions for each DHB cancer centre.</w:t>
      </w:r>
    </w:p>
    <w:p w:rsidR="00F425CB" w:rsidRPr="007E7990" w:rsidRDefault="00F425CB" w:rsidP="006B703A"/>
    <w:p w:rsidR="00F425CB" w:rsidRPr="007E7990" w:rsidRDefault="00F425CB" w:rsidP="006B703A">
      <w:r w:rsidRPr="007E7990">
        <w:t>It should be noted that running linacs for longer periods each day may increase the need for maintenance stoppages.</w:t>
      </w:r>
      <w:r w:rsidR="007E7990" w:rsidRPr="007E7990">
        <w:t xml:space="preserve"> </w:t>
      </w:r>
      <w:r w:rsidRPr="007E7990">
        <w:t>In addition, commissioning a new or replacement linac can take around 6 months.</w:t>
      </w:r>
      <w:r w:rsidR="007E7990" w:rsidRPr="007E7990">
        <w:t xml:space="preserve"> </w:t>
      </w:r>
      <w:r w:rsidRPr="007E7990">
        <w:t>Unless there is a decanting bunker available the temporarily reduced capacity may be more difficult to make up if the other machines are already working extended hours.</w:t>
      </w:r>
    </w:p>
    <w:p w:rsidR="00F425CB" w:rsidRPr="007E7990" w:rsidRDefault="00F425CB" w:rsidP="006B703A"/>
    <w:p w:rsidR="00F425CB" w:rsidRPr="007E7990" w:rsidRDefault="00F425CB" w:rsidP="006B703A">
      <w:pPr>
        <w:pStyle w:val="Heading3"/>
      </w:pPr>
      <w:bookmarkStart w:id="126" w:name="_Toc376936375"/>
      <w:r w:rsidRPr="007E7990">
        <w:t>4.5.4</w:t>
      </w:r>
      <w:r w:rsidRPr="007E7990">
        <w:tab/>
        <w:t>Timing and location</w:t>
      </w:r>
      <w:bookmarkEnd w:id="126"/>
    </w:p>
    <w:p w:rsidR="007E7990" w:rsidRPr="007E7990" w:rsidRDefault="00F509F2" w:rsidP="006B703A">
      <w:r>
        <w:t>The</w:t>
      </w:r>
      <w:r w:rsidR="00F425CB" w:rsidRPr="007E7990">
        <w:t xml:space="preserve"> Model is built up from the results for each cancer centre, so it does suggest the location and timing of new builds, as shown for example in </w:t>
      </w:r>
      <w:r w:rsidR="006B703A">
        <w:t>Table 14</w:t>
      </w:r>
      <w:r w:rsidR="00F425CB" w:rsidRPr="007E7990">
        <w:t>.</w:t>
      </w:r>
      <w:r w:rsidR="007E7990" w:rsidRPr="007E7990">
        <w:t xml:space="preserve"> </w:t>
      </w:r>
      <w:r w:rsidR="00F425CB" w:rsidRPr="007E7990">
        <w:t>Note that these are suggested locations and timing only as arising from the modelling work; actual build locations and timing will be dependent on DHB business cases and actual service demand related to service capacity.</w:t>
      </w:r>
      <w:r w:rsidR="007E7990" w:rsidRPr="007E7990">
        <w:t xml:space="preserve"> </w:t>
      </w:r>
      <w:r w:rsidR="00F425CB" w:rsidRPr="007E7990">
        <w:t xml:space="preserve">Also shown in </w:t>
      </w:r>
      <w:r w:rsidR="006B703A">
        <w:t>Table 14</w:t>
      </w:r>
      <w:r w:rsidR="00F425CB" w:rsidRPr="007E7990">
        <w:t xml:space="preserve"> is the additional pressure cancer centres will be facing in the lead up to the indicative build dates.</w:t>
      </w:r>
      <w:r w:rsidR="007E7990" w:rsidRPr="007E7990">
        <w:t xml:space="preserve"> </w:t>
      </w:r>
      <w:r w:rsidR="00F425CB" w:rsidRPr="007E7990">
        <w:t>The light shading indicated that operational gains and/or tipping point activities will likely be needed to stay within capacity.</w:t>
      </w:r>
      <w:r w:rsidR="007E7990" w:rsidRPr="007E7990">
        <w:t xml:space="preserve"> </w:t>
      </w:r>
      <w:r w:rsidR="00F425CB" w:rsidRPr="007E7990">
        <w:t>As the capacity comes closer to 100% utilisation the shading darkens.</w:t>
      </w:r>
      <w:r w:rsidR="007E7990" w:rsidRPr="007E7990">
        <w:t xml:space="preserve"> </w:t>
      </w:r>
      <w:r w:rsidR="00F425CB" w:rsidRPr="007E7990">
        <w:t>The model suggests that MidCentral, Capital and Coast and Canterbury DHBs will already be instituting some operational gain measures in 2013 to maintain service delivery.</w:t>
      </w:r>
    </w:p>
    <w:p w:rsidR="00F425CB" w:rsidRPr="007E7990" w:rsidRDefault="00F425CB" w:rsidP="006B703A"/>
    <w:p w:rsidR="00F425CB" w:rsidRPr="00490543" w:rsidRDefault="00F425CB" w:rsidP="006B703A">
      <w:pPr>
        <w:pStyle w:val="Table"/>
        <w:rPr>
          <w:lang w:eastAsia="en-NZ"/>
        </w:rPr>
      </w:pPr>
      <w:bookmarkStart w:id="127" w:name="_Ref369682064"/>
      <w:bookmarkStart w:id="128" w:name="_Ref370194960"/>
      <w:bookmarkStart w:id="129" w:name="_Toc384202889"/>
      <w:r w:rsidRPr="00490543">
        <w:lastRenderedPageBreak/>
        <w:t xml:space="preserve">Table </w:t>
      </w:r>
      <w:r w:rsidR="006B703A">
        <w:t>14</w:t>
      </w:r>
      <w:bookmarkEnd w:id="127"/>
      <w:r w:rsidR="006B703A">
        <w:t>:</w:t>
      </w:r>
      <w:r w:rsidR="007E7990">
        <w:t xml:space="preserve"> </w:t>
      </w:r>
      <w:r w:rsidRPr="00490543">
        <w:rPr>
          <w:lang w:eastAsia="en-NZ"/>
        </w:rPr>
        <w:t>Linear accelerator additions suggested by the Model</w:t>
      </w:r>
      <w:bookmarkEnd w:id="128"/>
      <w:bookmarkEnd w:id="129"/>
    </w:p>
    <w:tbl>
      <w:tblPr>
        <w:tblW w:w="0" w:type="auto"/>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33"/>
        <w:gridCol w:w="1161"/>
        <w:gridCol w:w="753"/>
        <w:gridCol w:w="753"/>
        <w:gridCol w:w="753"/>
        <w:gridCol w:w="753"/>
        <w:gridCol w:w="753"/>
        <w:gridCol w:w="753"/>
        <w:gridCol w:w="753"/>
        <w:gridCol w:w="753"/>
        <w:gridCol w:w="753"/>
      </w:tblGrid>
      <w:tr w:rsidR="00F425CB" w:rsidRPr="001F41AD" w:rsidTr="00C73F47">
        <w:trPr>
          <w:cantSplit/>
        </w:trPr>
        <w:tc>
          <w:tcPr>
            <w:tcW w:w="1433" w:type="dxa"/>
            <w:shd w:val="clear" w:color="auto" w:fill="BDE2FF"/>
            <w:noWrap/>
          </w:tcPr>
          <w:p w:rsidR="00F425CB" w:rsidRPr="001F41AD" w:rsidRDefault="00F425CB" w:rsidP="00BF4B05">
            <w:pPr>
              <w:pStyle w:val="TableText"/>
              <w:keepNext/>
              <w:rPr>
                <w:b/>
                <w:lang w:eastAsia="en-NZ"/>
              </w:rPr>
            </w:pPr>
            <w:r w:rsidRPr="001F41AD">
              <w:rPr>
                <w:b/>
                <w:lang w:eastAsia="en-NZ"/>
              </w:rPr>
              <w:t>Region</w:t>
            </w:r>
          </w:p>
        </w:tc>
        <w:tc>
          <w:tcPr>
            <w:tcW w:w="1161" w:type="dxa"/>
            <w:shd w:val="clear" w:color="auto" w:fill="BDE2FF"/>
            <w:noWrap/>
          </w:tcPr>
          <w:p w:rsidR="00F425CB" w:rsidRPr="001F41AD" w:rsidRDefault="00F425CB" w:rsidP="00BF4B05">
            <w:pPr>
              <w:pStyle w:val="TableText"/>
              <w:keepNext/>
              <w:rPr>
                <w:b/>
                <w:lang w:eastAsia="en-NZ"/>
              </w:rPr>
            </w:pPr>
            <w:r w:rsidRPr="001F41AD">
              <w:rPr>
                <w:b/>
                <w:lang w:eastAsia="en-NZ"/>
              </w:rPr>
              <w:t>Centre</w:t>
            </w:r>
          </w:p>
        </w:tc>
        <w:tc>
          <w:tcPr>
            <w:tcW w:w="753" w:type="dxa"/>
            <w:shd w:val="clear" w:color="auto" w:fill="BDE2FF"/>
            <w:noWrap/>
          </w:tcPr>
          <w:p w:rsidR="00F425CB" w:rsidRPr="001F41AD" w:rsidRDefault="00F425CB" w:rsidP="00BF4B05">
            <w:pPr>
              <w:pStyle w:val="TableText"/>
              <w:keepNext/>
              <w:jc w:val="center"/>
              <w:rPr>
                <w:b/>
                <w:lang w:eastAsia="en-NZ"/>
              </w:rPr>
            </w:pPr>
            <w:r w:rsidRPr="001F41AD">
              <w:rPr>
                <w:b/>
                <w:lang w:eastAsia="en-NZ"/>
              </w:rPr>
              <w:t>2014</w:t>
            </w:r>
          </w:p>
        </w:tc>
        <w:tc>
          <w:tcPr>
            <w:tcW w:w="753" w:type="dxa"/>
            <w:shd w:val="clear" w:color="auto" w:fill="BDE2FF"/>
            <w:noWrap/>
          </w:tcPr>
          <w:p w:rsidR="00F425CB" w:rsidRPr="001F41AD" w:rsidRDefault="00F425CB" w:rsidP="00BF4B05">
            <w:pPr>
              <w:pStyle w:val="TableText"/>
              <w:keepNext/>
              <w:jc w:val="center"/>
              <w:rPr>
                <w:b/>
                <w:lang w:eastAsia="en-NZ"/>
              </w:rPr>
            </w:pPr>
            <w:r w:rsidRPr="001F41AD">
              <w:rPr>
                <w:b/>
                <w:lang w:eastAsia="en-NZ"/>
              </w:rPr>
              <w:t>2015</w:t>
            </w:r>
          </w:p>
        </w:tc>
        <w:tc>
          <w:tcPr>
            <w:tcW w:w="753" w:type="dxa"/>
            <w:tcBorders>
              <w:bottom w:val="single" w:sz="4" w:space="0" w:color="A6A6A6"/>
            </w:tcBorders>
            <w:shd w:val="clear" w:color="auto" w:fill="BDE2FF"/>
            <w:noWrap/>
          </w:tcPr>
          <w:p w:rsidR="00F425CB" w:rsidRPr="001F41AD" w:rsidRDefault="00F425CB" w:rsidP="00BF4B05">
            <w:pPr>
              <w:pStyle w:val="TableText"/>
              <w:keepNext/>
              <w:jc w:val="center"/>
              <w:rPr>
                <w:b/>
                <w:lang w:eastAsia="en-NZ"/>
              </w:rPr>
            </w:pPr>
            <w:r w:rsidRPr="001F41AD">
              <w:rPr>
                <w:b/>
                <w:lang w:eastAsia="en-NZ"/>
              </w:rPr>
              <w:t>2016</w:t>
            </w:r>
          </w:p>
        </w:tc>
        <w:tc>
          <w:tcPr>
            <w:tcW w:w="753" w:type="dxa"/>
            <w:shd w:val="clear" w:color="auto" w:fill="BDE2FF"/>
            <w:noWrap/>
          </w:tcPr>
          <w:p w:rsidR="00F425CB" w:rsidRPr="001F41AD" w:rsidRDefault="00F425CB" w:rsidP="00BF4B05">
            <w:pPr>
              <w:pStyle w:val="TableText"/>
              <w:keepNext/>
              <w:jc w:val="center"/>
              <w:rPr>
                <w:b/>
                <w:lang w:eastAsia="en-NZ"/>
              </w:rPr>
            </w:pPr>
            <w:r w:rsidRPr="001F41AD">
              <w:rPr>
                <w:b/>
                <w:lang w:eastAsia="en-NZ"/>
              </w:rPr>
              <w:t>2017</w:t>
            </w:r>
          </w:p>
        </w:tc>
        <w:tc>
          <w:tcPr>
            <w:tcW w:w="753" w:type="dxa"/>
            <w:shd w:val="clear" w:color="auto" w:fill="BDE2FF"/>
            <w:noWrap/>
          </w:tcPr>
          <w:p w:rsidR="00F425CB" w:rsidRPr="001F41AD" w:rsidRDefault="00F425CB" w:rsidP="00BF4B05">
            <w:pPr>
              <w:pStyle w:val="TableText"/>
              <w:keepNext/>
              <w:jc w:val="center"/>
              <w:rPr>
                <w:b/>
                <w:lang w:eastAsia="en-NZ"/>
              </w:rPr>
            </w:pPr>
            <w:r w:rsidRPr="001F41AD">
              <w:rPr>
                <w:b/>
                <w:lang w:eastAsia="en-NZ"/>
              </w:rPr>
              <w:t>2018</w:t>
            </w:r>
          </w:p>
        </w:tc>
        <w:tc>
          <w:tcPr>
            <w:tcW w:w="753" w:type="dxa"/>
            <w:shd w:val="clear" w:color="auto" w:fill="BDE2FF"/>
            <w:noWrap/>
          </w:tcPr>
          <w:p w:rsidR="00F425CB" w:rsidRPr="001F41AD" w:rsidRDefault="00F425CB" w:rsidP="00BF4B05">
            <w:pPr>
              <w:pStyle w:val="TableText"/>
              <w:keepNext/>
              <w:jc w:val="center"/>
              <w:rPr>
                <w:b/>
                <w:lang w:eastAsia="en-NZ"/>
              </w:rPr>
            </w:pPr>
            <w:r w:rsidRPr="001F41AD">
              <w:rPr>
                <w:b/>
                <w:lang w:eastAsia="en-NZ"/>
              </w:rPr>
              <w:t>2019</w:t>
            </w:r>
          </w:p>
        </w:tc>
        <w:tc>
          <w:tcPr>
            <w:tcW w:w="753" w:type="dxa"/>
            <w:shd w:val="clear" w:color="auto" w:fill="BDE2FF"/>
            <w:noWrap/>
          </w:tcPr>
          <w:p w:rsidR="00F425CB" w:rsidRPr="001F41AD" w:rsidRDefault="00F425CB" w:rsidP="00BF4B05">
            <w:pPr>
              <w:pStyle w:val="TableText"/>
              <w:keepNext/>
              <w:jc w:val="center"/>
              <w:rPr>
                <w:b/>
                <w:lang w:eastAsia="en-NZ"/>
              </w:rPr>
            </w:pPr>
            <w:r w:rsidRPr="001F41AD">
              <w:rPr>
                <w:b/>
                <w:lang w:eastAsia="en-NZ"/>
              </w:rPr>
              <w:t>2020</w:t>
            </w:r>
          </w:p>
        </w:tc>
        <w:tc>
          <w:tcPr>
            <w:tcW w:w="753" w:type="dxa"/>
            <w:shd w:val="clear" w:color="auto" w:fill="BDE2FF"/>
            <w:noWrap/>
          </w:tcPr>
          <w:p w:rsidR="00F425CB" w:rsidRPr="001F41AD" w:rsidRDefault="00F425CB" w:rsidP="00BF4B05">
            <w:pPr>
              <w:pStyle w:val="TableText"/>
              <w:keepNext/>
              <w:jc w:val="center"/>
              <w:rPr>
                <w:b/>
                <w:lang w:eastAsia="en-NZ"/>
              </w:rPr>
            </w:pPr>
            <w:r w:rsidRPr="001F41AD">
              <w:rPr>
                <w:b/>
                <w:lang w:eastAsia="en-NZ"/>
              </w:rPr>
              <w:t>2021</w:t>
            </w:r>
          </w:p>
        </w:tc>
        <w:tc>
          <w:tcPr>
            <w:tcW w:w="753" w:type="dxa"/>
            <w:shd w:val="clear" w:color="auto" w:fill="BDE2FF"/>
            <w:noWrap/>
          </w:tcPr>
          <w:p w:rsidR="00F425CB" w:rsidRPr="001F41AD" w:rsidRDefault="00F425CB" w:rsidP="00BF4B05">
            <w:pPr>
              <w:pStyle w:val="TableText"/>
              <w:keepNext/>
              <w:jc w:val="center"/>
              <w:rPr>
                <w:b/>
                <w:lang w:eastAsia="en-NZ"/>
              </w:rPr>
            </w:pPr>
            <w:r w:rsidRPr="001F41AD">
              <w:rPr>
                <w:b/>
                <w:lang w:eastAsia="en-NZ"/>
              </w:rPr>
              <w:t>2022</w:t>
            </w:r>
          </w:p>
        </w:tc>
      </w:tr>
      <w:tr w:rsidR="001F41AD" w:rsidRPr="008B2F2A" w:rsidTr="00C73F47">
        <w:trPr>
          <w:cantSplit/>
        </w:trPr>
        <w:tc>
          <w:tcPr>
            <w:tcW w:w="1433" w:type="dxa"/>
            <w:vMerge w:val="restart"/>
            <w:shd w:val="clear" w:color="auto" w:fill="auto"/>
            <w:noWrap/>
          </w:tcPr>
          <w:p w:rsidR="001F41AD" w:rsidRPr="008B2F2A" w:rsidRDefault="001F41AD" w:rsidP="00BF4B05">
            <w:pPr>
              <w:pStyle w:val="TableText"/>
              <w:keepNext/>
              <w:rPr>
                <w:lang w:eastAsia="en-NZ"/>
              </w:rPr>
            </w:pPr>
            <w:r w:rsidRPr="008B2F2A">
              <w:rPr>
                <w:lang w:eastAsia="en-NZ"/>
              </w:rPr>
              <w:t>Northern</w:t>
            </w:r>
          </w:p>
        </w:tc>
        <w:tc>
          <w:tcPr>
            <w:tcW w:w="1161" w:type="dxa"/>
            <w:shd w:val="clear" w:color="auto" w:fill="auto"/>
            <w:noWrap/>
          </w:tcPr>
          <w:p w:rsidR="001F41AD" w:rsidRPr="008B2F2A" w:rsidRDefault="001F41AD" w:rsidP="00BF4B05">
            <w:pPr>
              <w:pStyle w:val="TableText"/>
              <w:keepNext/>
              <w:rPr>
                <w:lang w:eastAsia="en-NZ"/>
              </w:rPr>
            </w:pPr>
            <w:r w:rsidRPr="008B2F2A">
              <w:rPr>
                <w:lang w:eastAsia="en-NZ"/>
              </w:rPr>
              <w:t>A</w:t>
            </w:r>
            <w:r>
              <w:rPr>
                <w:lang w:eastAsia="en-NZ"/>
              </w:rPr>
              <w:t>DHB</w:t>
            </w:r>
          </w:p>
        </w:tc>
        <w:tc>
          <w:tcPr>
            <w:tcW w:w="753" w:type="dxa"/>
            <w:shd w:val="clear" w:color="000000" w:fill="F2DCDB"/>
            <w:noWrap/>
          </w:tcPr>
          <w:p w:rsidR="001F41AD" w:rsidRPr="008B2F2A" w:rsidRDefault="001F41AD" w:rsidP="00BF4B05">
            <w:pPr>
              <w:pStyle w:val="TableText"/>
              <w:keepNext/>
              <w:jc w:val="center"/>
              <w:rPr>
                <w:lang w:eastAsia="en-NZ"/>
              </w:rPr>
            </w:pPr>
          </w:p>
        </w:tc>
        <w:tc>
          <w:tcPr>
            <w:tcW w:w="753" w:type="dxa"/>
            <w:shd w:val="clear" w:color="000000" w:fill="F2DCDB"/>
            <w:noWrap/>
          </w:tcPr>
          <w:p w:rsidR="001F41AD" w:rsidRPr="008B2F2A" w:rsidRDefault="001F41AD" w:rsidP="00BF4B05">
            <w:pPr>
              <w:pStyle w:val="TableText"/>
              <w:keepNext/>
              <w:jc w:val="center"/>
              <w:rPr>
                <w:lang w:eastAsia="en-NZ"/>
              </w:rPr>
            </w:pPr>
          </w:p>
        </w:tc>
        <w:tc>
          <w:tcPr>
            <w:tcW w:w="753" w:type="dxa"/>
            <w:shd w:val="clear" w:color="000000" w:fill="DA9694"/>
            <w:noWrap/>
          </w:tcPr>
          <w:p w:rsidR="001F41AD" w:rsidRPr="008B2F2A" w:rsidRDefault="001F41AD" w:rsidP="00BF4B05">
            <w:pPr>
              <w:pStyle w:val="TableText"/>
              <w:keepNext/>
              <w:jc w:val="center"/>
              <w:rPr>
                <w:lang w:eastAsia="en-NZ"/>
              </w:rPr>
            </w:pPr>
          </w:p>
        </w:tc>
        <w:tc>
          <w:tcPr>
            <w:tcW w:w="753" w:type="dxa"/>
            <w:shd w:val="clear" w:color="000000" w:fill="963634"/>
            <w:noWrap/>
          </w:tcPr>
          <w:p w:rsidR="001F41AD" w:rsidRPr="008B2F2A" w:rsidRDefault="001F41AD" w:rsidP="00BF4B05">
            <w:pPr>
              <w:pStyle w:val="TableText"/>
              <w:keepNext/>
              <w:jc w:val="center"/>
              <w:rPr>
                <w:color w:val="F2F2F2"/>
                <w:lang w:eastAsia="en-NZ"/>
              </w:rPr>
            </w:pPr>
            <w:r w:rsidRPr="008B2F2A">
              <w:rPr>
                <w:color w:val="F2F2F2"/>
                <w:lang w:eastAsia="en-NZ"/>
              </w:rPr>
              <w:t>+1</w:t>
            </w: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000000" w:fill="F2DCDB"/>
            <w:noWrap/>
          </w:tcPr>
          <w:p w:rsidR="001F41AD" w:rsidRPr="008B2F2A" w:rsidRDefault="001F41AD" w:rsidP="00BF4B05">
            <w:pPr>
              <w:pStyle w:val="TableText"/>
              <w:keepNext/>
              <w:jc w:val="center"/>
              <w:rPr>
                <w:lang w:eastAsia="en-NZ"/>
              </w:rPr>
            </w:pPr>
          </w:p>
        </w:tc>
        <w:tc>
          <w:tcPr>
            <w:tcW w:w="753" w:type="dxa"/>
            <w:shd w:val="clear" w:color="000000" w:fill="DA9694"/>
            <w:noWrap/>
          </w:tcPr>
          <w:p w:rsidR="001F41AD" w:rsidRPr="008B2F2A" w:rsidRDefault="001F41AD" w:rsidP="00BF4B05">
            <w:pPr>
              <w:pStyle w:val="TableText"/>
              <w:keepNext/>
              <w:jc w:val="center"/>
              <w:rPr>
                <w:lang w:eastAsia="en-NZ"/>
              </w:rPr>
            </w:pPr>
          </w:p>
        </w:tc>
        <w:tc>
          <w:tcPr>
            <w:tcW w:w="753" w:type="dxa"/>
            <w:shd w:val="clear" w:color="000000" w:fill="963634"/>
            <w:noWrap/>
          </w:tcPr>
          <w:p w:rsidR="001F41AD" w:rsidRPr="008B2F2A" w:rsidRDefault="001F41AD" w:rsidP="00BF4B05">
            <w:pPr>
              <w:pStyle w:val="TableText"/>
              <w:keepNext/>
              <w:jc w:val="center"/>
              <w:rPr>
                <w:color w:val="F2F2F2"/>
                <w:lang w:eastAsia="en-NZ"/>
              </w:rPr>
            </w:pPr>
            <w:r w:rsidRPr="008B2F2A">
              <w:rPr>
                <w:color w:val="F2F2F2"/>
                <w:lang w:eastAsia="en-NZ"/>
              </w:rPr>
              <w:t>+1</w:t>
            </w:r>
          </w:p>
        </w:tc>
      </w:tr>
      <w:tr w:rsidR="001F41AD" w:rsidRPr="008B2F2A" w:rsidTr="00C73F47">
        <w:trPr>
          <w:cantSplit/>
        </w:trPr>
        <w:tc>
          <w:tcPr>
            <w:tcW w:w="1433" w:type="dxa"/>
            <w:vMerge/>
            <w:shd w:val="clear" w:color="auto" w:fill="auto"/>
            <w:noWrap/>
          </w:tcPr>
          <w:p w:rsidR="001F41AD" w:rsidRPr="008B2F2A" w:rsidRDefault="001F41AD" w:rsidP="00BF4B05">
            <w:pPr>
              <w:pStyle w:val="TableText"/>
              <w:keepNext/>
              <w:rPr>
                <w:lang w:eastAsia="en-NZ"/>
              </w:rPr>
            </w:pPr>
          </w:p>
        </w:tc>
        <w:tc>
          <w:tcPr>
            <w:tcW w:w="1161" w:type="dxa"/>
            <w:shd w:val="clear" w:color="auto" w:fill="auto"/>
            <w:noWrap/>
          </w:tcPr>
          <w:p w:rsidR="001F41AD" w:rsidRPr="008B2F2A" w:rsidRDefault="001F41AD" w:rsidP="00BF4B05">
            <w:pPr>
              <w:pStyle w:val="TableText"/>
              <w:keepNext/>
              <w:rPr>
                <w:lang w:eastAsia="en-NZ"/>
              </w:rPr>
            </w:pPr>
            <w:r w:rsidRPr="008B2F2A">
              <w:rPr>
                <w:lang w:eastAsia="en-NZ"/>
              </w:rPr>
              <w:t>ARO</w:t>
            </w: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000000" w:fill="F2DCDB"/>
            <w:noWrap/>
          </w:tcPr>
          <w:p w:rsidR="001F41AD" w:rsidRPr="008B2F2A" w:rsidRDefault="001F41AD" w:rsidP="00BF4B05">
            <w:pPr>
              <w:pStyle w:val="TableText"/>
              <w:keepNext/>
              <w:jc w:val="center"/>
              <w:rPr>
                <w:lang w:eastAsia="en-NZ"/>
              </w:rPr>
            </w:pPr>
          </w:p>
        </w:tc>
        <w:tc>
          <w:tcPr>
            <w:tcW w:w="753" w:type="dxa"/>
            <w:shd w:val="clear" w:color="000000" w:fill="F2DCDB"/>
            <w:noWrap/>
          </w:tcPr>
          <w:p w:rsidR="001F41AD" w:rsidRPr="008B2F2A" w:rsidRDefault="001F41AD" w:rsidP="00BF4B05">
            <w:pPr>
              <w:pStyle w:val="TableText"/>
              <w:keepNext/>
              <w:jc w:val="center"/>
              <w:rPr>
                <w:lang w:eastAsia="en-NZ"/>
              </w:rPr>
            </w:pPr>
          </w:p>
        </w:tc>
        <w:tc>
          <w:tcPr>
            <w:tcW w:w="753" w:type="dxa"/>
            <w:shd w:val="clear" w:color="000000" w:fill="963634"/>
            <w:noWrap/>
          </w:tcPr>
          <w:p w:rsidR="001F41AD" w:rsidRPr="008B2F2A" w:rsidRDefault="001F41AD" w:rsidP="00BF4B05">
            <w:pPr>
              <w:pStyle w:val="TableText"/>
              <w:keepNext/>
              <w:jc w:val="center"/>
              <w:rPr>
                <w:color w:val="F2F2F2"/>
                <w:lang w:eastAsia="en-NZ"/>
              </w:rPr>
            </w:pPr>
            <w:r w:rsidRPr="008B2F2A">
              <w:rPr>
                <w:color w:val="F2F2F2"/>
                <w:lang w:eastAsia="en-NZ"/>
              </w:rPr>
              <w:t>+1</w:t>
            </w: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r>
      <w:tr w:rsidR="001F41AD" w:rsidRPr="008B2F2A" w:rsidTr="00C73F47">
        <w:trPr>
          <w:cantSplit/>
        </w:trPr>
        <w:tc>
          <w:tcPr>
            <w:tcW w:w="1433" w:type="dxa"/>
            <w:vMerge w:val="restart"/>
            <w:shd w:val="clear" w:color="auto" w:fill="auto"/>
            <w:noWrap/>
          </w:tcPr>
          <w:p w:rsidR="001F41AD" w:rsidRPr="008B2F2A" w:rsidRDefault="001F41AD" w:rsidP="00BF4B05">
            <w:pPr>
              <w:pStyle w:val="TableText"/>
              <w:keepNext/>
              <w:rPr>
                <w:lang w:eastAsia="en-NZ"/>
              </w:rPr>
            </w:pPr>
            <w:r w:rsidRPr="008B2F2A">
              <w:rPr>
                <w:lang w:eastAsia="en-NZ"/>
              </w:rPr>
              <w:t>Midland</w:t>
            </w:r>
          </w:p>
        </w:tc>
        <w:tc>
          <w:tcPr>
            <w:tcW w:w="1161" w:type="dxa"/>
            <w:shd w:val="clear" w:color="auto" w:fill="auto"/>
            <w:noWrap/>
          </w:tcPr>
          <w:p w:rsidR="001F41AD" w:rsidRPr="008B2F2A" w:rsidRDefault="001F41AD" w:rsidP="00BF4B05">
            <w:pPr>
              <w:pStyle w:val="TableText"/>
              <w:keepNext/>
              <w:rPr>
                <w:lang w:eastAsia="en-NZ"/>
              </w:rPr>
            </w:pPr>
            <w:r w:rsidRPr="008B2F2A">
              <w:rPr>
                <w:lang w:eastAsia="en-NZ"/>
              </w:rPr>
              <w:t>W</w:t>
            </w:r>
            <w:r>
              <w:rPr>
                <w:lang w:eastAsia="en-NZ"/>
              </w:rPr>
              <w:t>DHB</w:t>
            </w: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r>
      <w:tr w:rsidR="001F41AD" w:rsidRPr="008B2F2A" w:rsidTr="00C73F47">
        <w:trPr>
          <w:cantSplit/>
        </w:trPr>
        <w:tc>
          <w:tcPr>
            <w:tcW w:w="1433" w:type="dxa"/>
            <w:vMerge/>
            <w:shd w:val="clear" w:color="auto" w:fill="auto"/>
            <w:noWrap/>
          </w:tcPr>
          <w:p w:rsidR="001F41AD" w:rsidRPr="008B2F2A" w:rsidRDefault="001F41AD" w:rsidP="00BF4B05">
            <w:pPr>
              <w:pStyle w:val="TableText"/>
              <w:keepNext/>
              <w:rPr>
                <w:lang w:eastAsia="en-NZ"/>
              </w:rPr>
            </w:pPr>
          </w:p>
        </w:tc>
        <w:tc>
          <w:tcPr>
            <w:tcW w:w="1161" w:type="dxa"/>
            <w:shd w:val="clear" w:color="auto" w:fill="auto"/>
            <w:noWrap/>
          </w:tcPr>
          <w:p w:rsidR="001F41AD" w:rsidRPr="008B2F2A" w:rsidRDefault="001F41AD" w:rsidP="00BF4B05">
            <w:pPr>
              <w:pStyle w:val="TableText"/>
              <w:keepNext/>
              <w:rPr>
                <w:lang w:eastAsia="en-NZ"/>
              </w:rPr>
            </w:pPr>
            <w:r w:rsidRPr="008B2F2A">
              <w:rPr>
                <w:lang w:eastAsia="en-NZ"/>
              </w:rPr>
              <w:t>KKC</w:t>
            </w: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000000" w:fill="F2DCDB"/>
            <w:noWrap/>
          </w:tcPr>
          <w:p w:rsidR="001F41AD" w:rsidRPr="008B2F2A" w:rsidRDefault="001F41AD" w:rsidP="00BF4B05">
            <w:pPr>
              <w:pStyle w:val="TableText"/>
              <w:keepNext/>
              <w:jc w:val="center"/>
              <w:rPr>
                <w:lang w:eastAsia="en-NZ"/>
              </w:rPr>
            </w:pPr>
          </w:p>
        </w:tc>
      </w:tr>
      <w:tr w:rsidR="001F41AD" w:rsidRPr="008B2F2A" w:rsidTr="00C73F47">
        <w:trPr>
          <w:cantSplit/>
        </w:trPr>
        <w:tc>
          <w:tcPr>
            <w:tcW w:w="1433" w:type="dxa"/>
            <w:vMerge w:val="restart"/>
            <w:shd w:val="clear" w:color="auto" w:fill="auto"/>
            <w:noWrap/>
          </w:tcPr>
          <w:p w:rsidR="001F41AD" w:rsidRPr="008B2F2A" w:rsidRDefault="001F41AD" w:rsidP="00BF4B05">
            <w:pPr>
              <w:pStyle w:val="TableText"/>
              <w:keepNext/>
              <w:rPr>
                <w:lang w:eastAsia="en-NZ"/>
              </w:rPr>
            </w:pPr>
            <w:r w:rsidRPr="008B2F2A">
              <w:rPr>
                <w:lang w:eastAsia="en-NZ"/>
              </w:rPr>
              <w:t>Central</w:t>
            </w:r>
          </w:p>
        </w:tc>
        <w:tc>
          <w:tcPr>
            <w:tcW w:w="1161" w:type="dxa"/>
            <w:shd w:val="clear" w:color="auto" w:fill="auto"/>
            <w:noWrap/>
          </w:tcPr>
          <w:p w:rsidR="001F41AD" w:rsidRPr="008B2F2A" w:rsidRDefault="001F41AD" w:rsidP="00BF4B05">
            <w:pPr>
              <w:pStyle w:val="TableText"/>
              <w:keepNext/>
              <w:rPr>
                <w:lang w:eastAsia="en-NZ"/>
              </w:rPr>
            </w:pPr>
            <w:r w:rsidRPr="008B2F2A">
              <w:rPr>
                <w:lang w:eastAsia="en-NZ"/>
              </w:rPr>
              <w:t>M</w:t>
            </w:r>
            <w:r>
              <w:rPr>
                <w:lang w:eastAsia="en-NZ"/>
              </w:rPr>
              <w:t>DHB</w:t>
            </w:r>
          </w:p>
        </w:tc>
        <w:tc>
          <w:tcPr>
            <w:tcW w:w="753" w:type="dxa"/>
            <w:shd w:val="clear" w:color="000000" w:fill="F2DCDB"/>
            <w:noWrap/>
          </w:tcPr>
          <w:p w:rsidR="001F41AD" w:rsidRPr="008B2F2A" w:rsidRDefault="001F41AD" w:rsidP="00BF4B05">
            <w:pPr>
              <w:pStyle w:val="TableText"/>
              <w:keepNext/>
              <w:jc w:val="center"/>
              <w:rPr>
                <w:lang w:eastAsia="en-NZ"/>
              </w:rPr>
            </w:pPr>
          </w:p>
        </w:tc>
        <w:tc>
          <w:tcPr>
            <w:tcW w:w="753" w:type="dxa"/>
            <w:shd w:val="clear" w:color="000000" w:fill="DA9694"/>
            <w:noWrap/>
          </w:tcPr>
          <w:p w:rsidR="001F41AD" w:rsidRPr="008B2F2A" w:rsidRDefault="001F41AD" w:rsidP="00BF4B05">
            <w:pPr>
              <w:pStyle w:val="TableText"/>
              <w:keepNext/>
              <w:jc w:val="center"/>
              <w:rPr>
                <w:lang w:eastAsia="en-NZ"/>
              </w:rPr>
            </w:pPr>
          </w:p>
        </w:tc>
        <w:tc>
          <w:tcPr>
            <w:tcW w:w="753" w:type="dxa"/>
            <w:shd w:val="clear" w:color="000000" w:fill="963634"/>
            <w:noWrap/>
          </w:tcPr>
          <w:p w:rsidR="001F41AD" w:rsidRPr="008B2F2A" w:rsidRDefault="001F41AD" w:rsidP="00BF4B05">
            <w:pPr>
              <w:pStyle w:val="TableText"/>
              <w:keepNext/>
              <w:jc w:val="center"/>
              <w:rPr>
                <w:color w:val="F2F2F2"/>
                <w:lang w:eastAsia="en-NZ"/>
              </w:rPr>
            </w:pPr>
            <w:r w:rsidRPr="008B2F2A">
              <w:rPr>
                <w:color w:val="F2F2F2"/>
                <w:lang w:eastAsia="en-NZ"/>
              </w:rPr>
              <w:t>+1</w:t>
            </w: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r>
      <w:tr w:rsidR="001F41AD" w:rsidRPr="008B2F2A" w:rsidTr="00C73F47">
        <w:trPr>
          <w:cantSplit/>
        </w:trPr>
        <w:tc>
          <w:tcPr>
            <w:tcW w:w="1433" w:type="dxa"/>
            <w:vMerge/>
            <w:shd w:val="clear" w:color="auto" w:fill="auto"/>
            <w:noWrap/>
          </w:tcPr>
          <w:p w:rsidR="001F41AD" w:rsidRPr="008B2F2A" w:rsidRDefault="001F41AD" w:rsidP="00BF4B05">
            <w:pPr>
              <w:pStyle w:val="TableText"/>
              <w:keepNext/>
              <w:rPr>
                <w:lang w:eastAsia="en-NZ"/>
              </w:rPr>
            </w:pPr>
          </w:p>
        </w:tc>
        <w:tc>
          <w:tcPr>
            <w:tcW w:w="1161" w:type="dxa"/>
            <w:shd w:val="clear" w:color="auto" w:fill="auto"/>
            <w:noWrap/>
          </w:tcPr>
          <w:p w:rsidR="001F41AD" w:rsidRPr="008B2F2A" w:rsidRDefault="001F41AD" w:rsidP="00BF4B05">
            <w:pPr>
              <w:pStyle w:val="TableText"/>
              <w:keepNext/>
              <w:rPr>
                <w:lang w:eastAsia="en-NZ"/>
              </w:rPr>
            </w:pPr>
            <w:r w:rsidRPr="008B2F2A">
              <w:rPr>
                <w:lang w:eastAsia="en-NZ"/>
              </w:rPr>
              <w:t>CC</w:t>
            </w:r>
            <w:r>
              <w:rPr>
                <w:lang w:eastAsia="en-NZ"/>
              </w:rPr>
              <w:t>DHB</w:t>
            </w:r>
          </w:p>
        </w:tc>
        <w:tc>
          <w:tcPr>
            <w:tcW w:w="753" w:type="dxa"/>
            <w:shd w:val="clear" w:color="000000" w:fill="DA9694"/>
            <w:noWrap/>
          </w:tcPr>
          <w:p w:rsidR="001F41AD" w:rsidRPr="008B2F2A" w:rsidRDefault="001F41AD" w:rsidP="00BF4B05">
            <w:pPr>
              <w:pStyle w:val="TableText"/>
              <w:keepNext/>
              <w:jc w:val="center"/>
              <w:rPr>
                <w:lang w:eastAsia="en-NZ"/>
              </w:rPr>
            </w:pPr>
          </w:p>
        </w:tc>
        <w:tc>
          <w:tcPr>
            <w:tcW w:w="753" w:type="dxa"/>
            <w:shd w:val="clear" w:color="000000" w:fill="DA9694"/>
            <w:noWrap/>
          </w:tcPr>
          <w:p w:rsidR="001F41AD" w:rsidRPr="008B2F2A" w:rsidRDefault="001F41AD" w:rsidP="00BF4B05">
            <w:pPr>
              <w:pStyle w:val="TableText"/>
              <w:keepNext/>
              <w:jc w:val="center"/>
              <w:rPr>
                <w:lang w:eastAsia="en-NZ"/>
              </w:rPr>
            </w:pPr>
          </w:p>
        </w:tc>
        <w:tc>
          <w:tcPr>
            <w:tcW w:w="753" w:type="dxa"/>
            <w:shd w:val="clear" w:color="000000" w:fill="963634"/>
            <w:noWrap/>
          </w:tcPr>
          <w:p w:rsidR="001F41AD" w:rsidRPr="008B2F2A" w:rsidRDefault="001F41AD" w:rsidP="00BF4B05">
            <w:pPr>
              <w:pStyle w:val="TableText"/>
              <w:keepNext/>
              <w:jc w:val="center"/>
              <w:rPr>
                <w:color w:val="F2F2F2"/>
                <w:lang w:eastAsia="en-NZ"/>
              </w:rPr>
            </w:pPr>
            <w:r w:rsidRPr="008B2F2A">
              <w:rPr>
                <w:color w:val="F2F2F2"/>
                <w:lang w:eastAsia="en-NZ"/>
              </w:rPr>
              <w:t>+1</w:t>
            </w: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r>
      <w:tr w:rsidR="001F41AD" w:rsidRPr="008B2F2A" w:rsidTr="00C73F47">
        <w:trPr>
          <w:cantSplit/>
        </w:trPr>
        <w:tc>
          <w:tcPr>
            <w:tcW w:w="1433" w:type="dxa"/>
            <w:vMerge w:val="restart"/>
            <w:shd w:val="clear" w:color="auto" w:fill="auto"/>
            <w:noWrap/>
          </w:tcPr>
          <w:p w:rsidR="001F41AD" w:rsidRPr="008B2F2A" w:rsidRDefault="001F41AD" w:rsidP="00BF4B05">
            <w:pPr>
              <w:pStyle w:val="TableText"/>
              <w:keepNext/>
              <w:rPr>
                <w:lang w:eastAsia="en-NZ"/>
              </w:rPr>
            </w:pPr>
            <w:r w:rsidRPr="008B2F2A">
              <w:rPr>
                <w:lang w:eastAsia="en-NZ"/>
              </w:rPr>
              <w:t>South</w:t>
            </w:r>
            <w:r>
              <w:rPr>
                <w:lang w:eastAsia="en-NZ"/>
              </w:rPr>
              <w:t xml:space="preserve"> Island</w:t>
            </w:r>
          </w:p>
        </w:tc>
        <w:tc>
          <w:tcPr>
            <w:tcW w:w="1161" w:type="dxa"/>
            <w:shd w:val="clear" w:color="auto" w:fill="auto"/>
            <w:noWrap/>
          </w:tcPr>
          <w:p w:rsidR="001F41AD" w:rsidRPr="008B2F2A" w:rsidRDefault="001F41AD" w:rsidP="00BF4B05">
            <w:pPr>
              <w:pStyle w:val="TableText"/>
              <w:keepNext/>
              <w:rPr>
                <w:lang w:eastAsia="en-NZ"/>
              </w:rPr>
            </w:pPr>
            <w:r w:rsidRPr="008B2F2A">
              <w:rPr>
                <w:lang w:eastAsia="en-NZ"/>
              </w:rPr>
              <w:t>C</w:t>
            </w:r>
            <w:r>
              <w:rPr>
                <w:lang w:eastAsia="en-NZ"/>
              </w:rPr>
              <w:t>DHB</w:t>
            </w:r>
          </w:p>
        </w:tc>
        <w:tc>
          <w:tcPr>
            <w:tcW w:w="753" w:type="dxa"/>
            <w:shd w:val="clear" w:color="000000" w:fill="F2DCDB"/>
            <w:noWrap/>
          </w:tcPr>
          <w:p w:rsidR="001F41AD" w:rsidRPr="008B2F2A" w:rsidRDefault="001F41AD" w:rsidP="00BF4B05">
            <w:pPr>
              <w:pStyle w:val="TableText"/>
              <w:keepNext/>
              <w:jc w:val="center"/>
              <w:rPr>
                <w:lang w:eastAsia="en-NZ"/>
              </w:rPr>
            </w:pPr>
          </w:p>
        </w:tc>
        <w:tc>
          <w:tcPr>
            <w:tcW w:w="753" w:type="dxa"/>
            <w:shd w:val="clear" w:color="000000" w:fill="F2DCDB"/>
            <w:noWrap/>
          </w:tcPr>
          <w:p w:rsidR="001F41AD" w:rsidRPr="008B2F2A" w:rsidRDefault="001F41AD" w:rsidP="00BF4B05">
            <w:pPr>
              <w:pStyle w:val="TableText"/>
              <w:keepNext/>
              <w:jc w:val="center"/>
              <w:rPr>
                <w:lang w:eastAsia="en-NZ"/>
              </w:rPr>
            </w:pPr>
          </w:p>
        </w:tc>
        <w:tc>
          <w:tcPr>
            <w:tcW w:w="753" w:type="dxa"/>
            <w:shd w:val="clear" w:color="000000" w:fill="DA9694"/>
            <w:noWrap/>
          </w:tcPr>
          <w:p w:rsidR="001F41AD" w:rsidRPr="008B2F2A" w:rsidRDefault="001F41AD" w:rsidP="00BF4B05">
            <w:pPr>
              <w:pStyle w:val="TableText"/>
              <w:keepNext/>
              <w:jc w:val="center"/>
              <w:rPr>
                <w:lang w:eastAsia="en-NZ"/>
              </w:rPr>
            </w:pPr>
          </w:p>
        </w:tc>
        <w:tc>
          <w:tcPr>
            <w:tcW w:w="753" w:type="dxa"/>
            <w:shd w:val="clear" w:color="000000" w:fill="DA9694"/>
            <w:noWrap/>
          </w:tcPr>
          <w:p w:rsidR="001F41AD" w:rsidRPr="008B2F2A" w:rsidRDefault="001F41AD" w:rsidP="00BF4B05">
            <w:pPr>
              <w:pStyle w:val="TableText"/>
              <w:keepNext/>
              <w:jc w:val="center"/>
              <w:rPr>
                <w:lang w:eastAsia="en-NZ"/>
              </w:rPr>
            </w:pPr>
          </w:p>
        </w:tc>
        <w:tc>
          <w:tcPr>
            <w:tcW w:w="753" w:type="dxa"/>
            <w:shd w:val="clear" w:color="000000" w:fill="963634"/>
            <w:noWrap/>
          </w:tcPr>
          <w:p w:rsidR="001F41AD" w:rsidRPr="008B2F2A" w:rsidRDefault="001F41AD" w:rsidP="00BF4B05">
            <w:pPr>
              <w:pStyle w:val="TableText"/>
              <w:keepNext/>
              <w:jc w:val="center"/>
              <w:rPr>
                <w:color w:val="F2F2F2"/>
                <w:lang w:eastAsia="en-NZ"/>
              </w:rPr>
            </w:pPr>
            <w:r w:rsidRPr="008B2F2A">
              <w:rPr>
                <w:color w:val="F2F2F2"/>
                <w:lang w:eastAsia="en-NZ"/>
              </w:rPr>
              <w:t>+1</w:t>
            </w: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r>
      <w:tr w:rsidR="001F41AD" w:rsidRPr="008B2F2A" w:rsidTr="00C73F47">
        <w:trPr>
          <w:cantSplit/>
        </w:trPr>
        <w:tc>
          <w:tcPr>
            <w:tcW w:w="1433" w:type="dxa"/>
            <w:vMerge/>
            <w:shd w:val="clear" w:color="auto" w:fill="auto"/>
            <w:noWrap/>
          </w:tcPr>
          <w:p w:rsidR="001F41AD" w:rsidRPr="008B2F2A" w:rsidRDefault="001F41AD" w:rsidP="00BF4B05">
            <w:pPr>
              <w:pStyle w:val="TableText"/>
              <w:keepNext/>
              <w:rPr>
                <w:lang w:eastAsia="en-NZ"/>
              </w:rPr>
            </w:pPr>
          </w:p>
        </w:tc>
        <w:tc>
          <w:tcPr>
            <w:tcW w:w="1161" w:type="dxa"/>
            <w:shd w:val="clear" w:color="auto" w:fill="auto"/>
            <w:noWrap/>
          </w:tcPr>
          <w:p w:rsidR="001F41AD" w:rsidRPr="008B2F2A" w:rsidRDefault="001F41AD" w:rsidP="00BF4B05">
            <w:pPr>
              <w:pStyle w:val="TableText"/>
              <w:keepNext/>
              <w:rPr>
                <w:lang w:eastAsia="en-NZ"/>
              </w:rPr>
            </w:pPr>
            <w:r w:rsidRPr="008B2F2A">
              <w:rPr>
                <w:lang w:eastAsia="en-NZ"/>
              </w:rPr>
              <w:t>SGC</w:t>
            </w: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r>
      <w:tr w:rsidR="001F41AD" w:rsidRPr="008B2F2A" w:rsidTr="00C73F47">
        <w:trPr>
          <w:cantSplit/>
        </w:trPr>
        <w:tc>
          <w:tcPr>
            <w:tcW w:w="1433" w:type="dxa"/>
            <w:vMerge/>
            <w:shd w:val="clear" w:color="auto" w:fill="auto"/>
            <w:noWrap/>
          </w:tcPr>
          <w:p w:rsidR="001F41AD" w:rsidRPr="008B2F2A" w:rsidRDefault="001F41AD" w:rsidP="00BF4B05">
            <w:pPr>
              <w:pStyle w:val="TableText"/>
              <w:keepNext/>
              <w:rPr>
                <w:lang w:eastAsia="en-NZ"/>
              </w:rPr>
            </w:pPr>
          </w:p>
        </w:tc>
        <w:tc>
          <w:tcPr>
            <w:tcW w:w="1161" w:type="dxa"/>
            <w:shd w:val="clear" w:color="auto" w:fill="auto"/>
            <w:noWrap/>
          </w:tcPr>
          <w:p w:rsidR="001F41AD" w:rsidRPr="008B2F2A" w:rsidRDefault="001F41AD" w:rsidP="00BF4B05">
            <w:pPr>
              <w:pStyle w:val="TableText"/>
              <w:keepNext/>
              <w:rPr>
                <w:lang w:eastAsia="en-NZ"/>
              </w:rPr>
            </w:pPr>
            <w:r w:rsidRPr="008B2F2A">
              <w:rPr>
                <w:lang w:eastAsia="en-NZ"/>
              </w:rPr>
              <w:t>S</w:t>
            </w:r>
            <w:r>
              <w:rPr>
                <w:lang w:eastAsia="en-NZ"/>
              </w:rPr>
              <w:t>DHB</w:t>
            </w: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auto" w:fill="auto"/>
            <w:noWrap/>
          </w:tcPr>
          <w:p w:rsidR="001F41AD" w:rsidRPr="008B2F2A" w:rsidRDefault="001F41AD" w:rsidP="00BF4B05">
            <w:pPr>
              <w:pStyle w:val="TableText"/>
              <w:keepNext/>
              <w:jc w:val="center"/>
              <w:rPr>
                <w:lang w:eastAsia="en-NZ"/>
              </w:rPr>
            </w:pPr>
          </w:p>
        </w:tc>
        <w:tc>
          <w:tcPr>
            <w:tcW w:w="753" w:type="dxa"/>
            <w:shd w:val="clear" w:color="000000" w:fill="F2DCDB"/>
            <w:noWrap/>
          </w:tcPr>
          <w:p w:rsidR="001F41AD" w:rsidRPr="008B2F2A" w:rsidRDefault="001F41AD" w:rsidP="00BF4B05">
            <w:pPr>
              <w:pStyle w:val="TableText"/>
              <w:keepNext/>
              <w:jc w:val="center"/>
              <w:rPr>
                <w:lang w:eastAsia="en-NZ"/>
              </w:rPr>
            </w:pPr>
          </w:p>
        </w:tc>
        <w:tc>
          <w:tcPr>
            <w:tcW w:w="753" w:type="dxa"/>
            <w:shd w:val="clear" w:color="000000" w:fill="F2DCDB"/>
            <w:noWrap/>
          </w:tcPr>
          <w:p w:rsidR="001F41AD" w:rsidRPr="008B2F2A" w:rsidRDefault="001F41AD" w:rsidP="00BF4B05">
            <w:pPr>
              <w:pStyle w:val="TableText"/>
              <w:keepNext/>
              <w:jc w:val="center"/>
              <w:rPr>
                <w:lang w:eastAsia="en-NZ"/>
              </w:rPr>
            </w:pPr>
          </w:p>
        </w:tc>
        <w:tc>
          <w:tcPr>
            <w:tcW w:w="753" w:type="dxa"/>
            <w:shd w:val="clear" w:color="000000" w:fill="F2DCDB"/>
            <w:noWrap/>
          </w:tcPr>
          <w:p w:rsidR="001F41AD" w:rsidRPr="008B2F2A" w:rsidRDefault="001F41AD" w:rsidP="00BF4B05">
            <w:pPr>
              <w:pStyle w:val="TableText"/>
              <w:keepNext/>
              <w:jc w:val="center"/>
              <w:rPr>
                <w:lang w:eastAsia="en-NZ"/>
              </w:rPr>
            </w:pPr>
          </w:p>
        </w:tc>
        <w:tc>
          <w:tcPr>
            <w:tcW w:w="753" w:type="dxa"/>
            <w:shd w:val="clear" w:color="000000" w:fill="F2DCDB"/>
            <w:noWrap/>
          </w:tcPr>
          <w:p w:rsidR="001F41AD" w:rsidRPr="008B2F2A" w:rsidRDefault="001F41AD" w:rsidP="00BF4B05">
            <w:pPr>
              <w:pStyle w:val="TableText"/>
              <w:keepNext/>
              <w:jc w:val="center"/>
              <w:rPr>
                <w:lang w:eastAsia="en-NZ"/>
              </w:rPr>
            </w:pPr>
          </w:p>
        </w:tc>
      </w:tr>
      <w:tr w:rsidR="00F425CB" w:rsidRPr="008B2F2A" w:rsidTr="00C73F47">
        <w:trPr>
          <w:cantSplit/>
        </w:trPr>
        <w:tc>
          <w:tcPr>
            <w:tcW w:w="2594" w:type="dxa"/>
            <w:gridSpan w:val="2"/>
            <w:shd w:val="clear" w:color="auto" w:fill="auto"/>
            <w:noWrap/>
          </w:tcPr>
          <w:p w:rsidR="00F425CB" w:rsidRPr="00523384" w:rsidRDefault="00F425CB" w:rsidP="00BF4B05">
            <w:pPr>
              <w:pStyle w:val="TableText"/>
              <w:keepNext/>
              <w:rPr>
                <w:b/>
                <w:lang w:eastAsia="en-NZ"/>
              </w:rPr>
            </w:pPr>
            <w:r w:rsidRPr="00523384">
              <w:rPr>
                <w:b/>
                <w:lang w:eastAsia="en-NZ"/>
              </w:rPr>
              <w:t>Cumulative total N</w:t>
            </w:r>
            <w:r w:rsidR="001F41AD" w:rsidRPr="00523384">
              <w:rPr>
                <w:b/>
                <w:lang w:eastAsia="en-NZ"/>
              </w:rPr>
              <w:t>Z</w:t>
            </w:r>
          </w:p>
        </w:tc>
        <w:tc>
          <w:tcPr>
            <w:tcW w:w="753" w:type="dxa"/>
            <w:shd w:val="clear" w:color="auto" w:fill="auto"/>
            <w:noWrap/>
          </w:tcPr>
          <w:p w:rsidR="00F425CB" w:rsidRPr="008B2F2A" w:rsidRDefault="00F425CB" w:rsidP="00BF4B05">
            <w:pPr>
              <w:pStyle w:val="TableText"/>
              <w:keepNext/>
              <w:jc w:val="center"/>
              <w:rPr>
                <w:lang w:eastAsia="en-NZ"/>
              </w:rPr>
            </w:pPr>
          </w:p>
        </w:tc>
        <w:tc>
          <w:tcPr>
            <w:tcW w:w="753" w:type="dxa"/>
            <w:shd w:val="clear" w:color="auto" w:fill="auto"/>
            <w:noWrap/>
          </w:tcPr>
          <w:p w:rsidR="00F425CB" w:rsidRPr="008B2F2A" w:rsidRDefault="00F425CB" w:rsidP="00BF4B05">
            <w:pPr>
              <w:pStyle w:val="TableText"/>
              <w:keepNext/>
              <w:jc w:val="center"/>
              <w:rPr>
                <w:lang w:eastAsia="en-NZ"/>
              </w:rPr>
            </w:pPr>
          </w:p>
        </w:tc>
        <w:tc>
          <w:tcPr>
            <w:tcW w:w="753" w:type="dxa"/>
            <w:shd w:val="clear" w:color="auto" w:fill="auto"/>
            <w:noWrap/>
          </w:tcPr>
          <w:p w:rsidR="00F425CB" w:rsidRPr="00523384" w:rsidRDefault="00F425CB" w:rsidP="00BF4B05">
            <w:pPr>
              <w:pStyle w:val="TableText"/>
              <w:keepNext/>
              <w:jc w:val="center"/>
              <w:rPr>
                <w:b/>
                <w:lang w:eastAsia="en-NZ"/>
              </w:rPr>
            </w:pPr>
            <w:r w:rsidRPr="00523384">
              <w:rPr>
                <w:b/>
                <w:lang w:eastAsia="en-NZ"/>
              </w:rPr>
              <w:t>+2</w:t>
            </w:r>
          </w:p>
        </w:tc>
        <w:tc>
          <w:tcPr>
            <w:tcW w:w="753" w:type="dxa"/>
            <w:shd w:val="clear" w:color="auto" w:fill="auto"/>
            <w:noWrap/>
          </w:tcPr>
          <w:p w:rsidR="00F425CB" w:rsidRPr="00523384" w:rsidRDefault="00F425CB" w:rsidP="00BF4B05">
            <w:pPr>
              <w:pStyle w:val="TableText"/>
              <w:keepNext/>
              <w:jc w:val="center"/>
              <w:rPr>
                <w:b/>
                <w:lang w:eastAsia="en-NZ"/>
              </w:rPr>
            </w:pPr>
            <w:r w:rsidRPr="00523384">
              <w:rPr>
                <w:b/>
                <w:lang w:eastAsia="en-NZ"/>
              </w:rPr>
              <w:t>+4</w:t>
            </w:r>
          </w:p>
        </w:tc>
        <w:tc>
          <w:tcPr>
            <w:tcW w:w="753" w:type="dxa"/>
            <w:shd w:val="clear" w:color="auto" w:fill="auto"/>
            <w:noWrap/>
          </w:tcPr>
          <w:p w:rsidR="00F425CB" w:rsidRPr="00523384" w:rsidRDefault="00F425CB" w:rsidP="00BF4B05">
            <w:pPr>
              <w:pStyle w:val="TableText"/>
              <w:keepNext/>
              <w:jc w:val="center"/>
              <w:rPr>
                <w:b/>
                <w:lang w:eastAsia="en-NZ"/>
              </w:rPr>
            </w:pPr>
            <w:r w:rsidRPr="00523384">
              <w:rPr>
                <w:b/>
                <w:lang w:eastAsia="en-NZ"/>
              </w:rPr>
              <w:t>+5</w:t>
            </w:r>
          </w:p>
        </w:tc>
        <w:tc>
          <w:tcPr>
            <w:tcW w:w="753" w:type="dxa"/>
            <w:shd w:val="clear" w:color="auto" w:fill="auto"/>
            <w:noWrap/>
          </w:tcPr>
          <w:p w:rsidR="00F425CB" w:rsidRPr="00523384" w:rsidRDefault="00F425CB" w:rsidP="00BF4B05">
            <w:pPr>
              <w:pStyle w:val="TableText"/>
              <w:keepNext/>
              <w:jc w:val="center"/>
              <w:rPr>
                <w:b/>
                <w:lang w:eastAsia="en-NZ"/>
              </w:rPr>
            </w:pPr>
          </w:p>
        </w:tc>
        <w:tc>
          <w:tcPr>
            <w:tcW w:w="753" w:type="dxa"/>
            <w:shd w:val="clear" w:color="auto" w:fill="auto"/>
            <w:noWrap/>
          </w:tcPr>
          <w:p w:rsidR="00F425CB" w:rsidRPr="00523384" w:rsidRDefault="00F425CB" w:rsidP="00BF4B05">
            <w:pPr>
              <w:pStyle w:val="TableText"/>
              <w:keepNext/>
              <w:jc w:val="center"/>
              <w:rPr>
                <w:b/>
                <w:lang w:eastAsia="en-NZ"/>
              </w:rPr>
            </w:pPr>
          </w:p>
        </w:tc>
        <w:tc>
          <w:tcPr>
            <w:tcW w:w="753" w:type="dxa"/>
            <w:shd w:val="clear" w:color="auto" w:fill="auto"/>
            <w:noWrap/>
          </w:tcPr>
          <w:p w:rsidR="00F425CB" w:rsidRPr="00523384" w:rsidRDefault="00F425CB" w:rsidP="00BF4B05">
            <w:pPr>
              <w:pStyle w:val="TableText"/>
              <w:keepNext/>
              <w:jc w:val="center"/>
              <w:rPr>
                <w:b/>
                <w:lang w:eastAsia="en-NZ"/>
              </w:rPr>
            </w:pPr>
          </w:p>
        </w:tc>
        <w:tc>
          <w:tcPr>
            <w:tcW w:w="753" w:type="dxa"/>
            <w:shd w:val="clear" w:color="auto" w:fill="auto"/>
            <w:noWrap/>
          </w:tcPr>
          <w:p w:rsidR="00F425CB" w:rsidRPr="00523384" w:rsidRDefault="00F425CB" w:rsidP="00BF4B05">
            <w:pPr>
              <w:pStyle w:val="TableText"/>
              <w:keepNext/>
              <w:jc w:val="center"/>
              <w:rPr>
                <w:b/>
                <w:lang w:eastAsia="en-NZ"/>
              </w:rPr>
            </w:pPr>
            <w:r w:rsidRPr="00523384">
              <w:rPr>
                <w:b/>
                <w:lang w:eastAsia="en-NZ"/>
              </w:rPr>
              <w:t>+6</w:t>
            </w:r>
          </w:p>
        </w:tc>
      </w:tr>
    </w:tbl>
    <w:p w:rsidR="00F425CB" w:rsidRPr="00BF4B05" w:rsidRDefault="00F425CB" w:rsidP="00BF4B05">
      <w:pPr>
        <w:keepNext/>
        <w:rPr>
          <w:sz w:val="12"/>
          <w:szCs w:val="12"/>
        </w:rPr>
      </w:pPr>
    </w:p>
    <w:tbl>
      <w:tblPr>
        <w:tblW w:w="0" w:type="auto"/>
        <w:tblLayout w:type="fixed"/>
        <w:tblLook w:val="04A0" w:firstRow="1" w:lastRow="0" w:firstColumn="1" w:lastColumn="0" w:noHBand="0" w:noVBand="1"/>
      </w:tblPr>
      <w:tblGrid>
        <w:gridCol w:w="675"/>
        <w:gridCol w:w="4536"/>
      </w:tblGrid>
      <w:tr w:rsidR="00523384" w:rsidRPr="008B2F2A" w:rsidTr="00C73F47">
        <w:trPr>
          <w:cantSplit/>
        </w:trPr>
        <w:tc>
          <w:tcPr>
            <w:tcW w:w="675" w:type="dxa"/>
            <w:vMerge w:val="restart"/>
            <w:tcBorders>
              <w:right w:val="single" w:sz="4" w:space="0" w:color="A6A6A6"/>
            </w:tcBorders>
            <w:shd w:val="clear" w:color="auto" w:fill="auto"/>
            <w:noWrap/>
          </w:tcPr>
          <w:p w:rsidR="00523384" w:rsidRPr="008B2F2A" w:rsidRDefault="00523384" w:rsidP="00BF4B05">
            <w:pPr>
              <w:pStyle w:val="TableText"/>
              <w:keepNext/>
              <w:rPr>
                <w:lang w:eastAsia="en-NZ"/>
              </w:rPr>
            </w:pPr>
            <w:r w:rsidRPr="008B2F2A">
              <w:rPr>
                <w:lang w:eastAsia="en-NZ"/>
              </w:rPr>
              <w:t>Key:</w:t>
            </w:r>
          </w:p>
        </w:tc>
        <w:tc>
          <w:tcPr>
            <w:tcW w:w="4536" w:type="dxa"/>
            <w:tcBorders>
              <w:top w:val="single" w:sz="4" w:space="0" w:color="A6A6A6"/>
              <w:left w:val="single" w:sz="4" w:space="0" w:color="A6A6A6"/>
              <w:bottom w:val="single" w:sz="4" w:space="0" w:color="A6A6A6"/>
              <w:right w:val="single" w:sz="4" w:space="0" w:color="A6A6A6"/>
            </w:tcBorders>
            <w:shd w:val="clear" w:color="000000" w:fill="F2DCDB"/>
            <w:noWrap/>
          </w:tcPr>
          <w:p w:rsidR="00523384" w:rsidRPr="008B2F2A" w:rsidRDefault="00523384" w:rsidP="00BF4B05">
            <w:pPr>
              <w:pStyle w:val="TableText"/>
              <w:keepNext/>
              <w:rPr>
                <w:lang w:eastAsia="en-NZ"/>
              </w:rPr>
            </w:pPr>
            <w:r w:rsidRPr="008B2F2A">
              <w:rPr>
                <w:lang w:eastAsia="en-NZ"/>
              </w:rPr>
              <w:t>Operational gains and tipping point activities required</w:t>
            </w:r>
          </w:p>
        </w:tc>
      </w:tr>
      <w:tr w:rsidR="00523384" w:rsidRPr="008B2F2A" w:rsidTr="00C73F47">
        <w:trPr>
          <w:cantSplit/>
        </w:trPr>
        <w:tc>
          <w:tcPr>
            <w:tcW w:w="675" w:type="dxa"/>
            <w:vMerge/>
            <w:tcBorders>
              <w:right w:val="single" w:sz="4" w:space="0" w:color="A6A6A6"/>
            </w:tcBorders>
            <w:shd w:val="clear" w:color="auto" w:fill="auto"/>
            <w:noWrap/>
          </w:tcPr>
          <w:p w:rsidR="00523384" w:rsidRPr="008B2F2A" w:rsidRDefault="00523384" w:rsidP="00BF4B05">
            <w:pPr>
              <w:pStyle w:val="TableText"/>
              <w:keepNext/>
              <w:rPr>
                <w:lang w:eastAsia="en-NZ"/>
              </w:rPr>
            </w:pPr>
          </w:p>
        </w:tc>
        <w:tc>
          <w:tcPr>
            <w:tcW w:w="4536" w:type="dxa"/>
            <w:tcBorders>
              <w:top w:val="single" w:sz="4" w:space="0" w:color="A6A6A6"/>
              <w:left w:val="single" w:sz="4" w:space="0" w:color="A6A6A6"/>
              <w:bottom w:val="single" w:sz="4" w:space="0" w:color="A6A6A6"/>
              <w:right w:val="single" w:sz="4" w:space="0" w:color="A6A6A6"/>
            </w:tcBorders>
            <w:shd w:val="clear" w:color="000000" w:fill="DA9694"/>
            <w:noWrap/>
          </w:tcPr>
          <w:p w:rsidR="00523384" w:rsidRPr="008B2F2A" w:rsidRDefault="00523384" w:rsidP="00BF4B05">
            <w:pPr>
              <w:pStyle w:val="TableText"/>
              <w:keepNext/>
              <w:rPr>
                <w:lang w:eastAsia="en-NZ"/>
              </w:rPr>
            </w:pPr>
            <w:r w:rsidRPr="008B2F2A">
              <w:rPr>
                <w:lang w:eastAsia="en-NZ"/>
              </w:rPr>
              <w:t>Within 95% of capacity</w:t>
            </w:r>
          </w:p>
        </w:tc>
      </w:tr>
      <w:tr w:rsidR="00523384" w:rsidRPr="008B2F2A" w:rsidTr="00C73F47">
        <w:trPr>
          <w:cantSplit/>
        </w:trPr>
        <w:tc>
          <w:tcPr>
            <w:tcW w:w="675" w:type="dxa"/>
            <w:vMerge/>
            <w:tcBorders>
              <w:right w:val="single" w:sz="4" w:space="0" w:color="A6A6A6"/>
            </w:tcBorders>
            <w:shd w:val="clear" w:color="auto" w:fill="auto"/>
            <w:noWrap/>
          </w:tcPr>
          <w:p w:rsidR="00523384" w:rsidRPr="008B2F2A" w:rsidRDefault="00523384" w:rsidP="00BF4B05">
            <w:pPr>
              <w:pStyle w:val="TableText"/>
              <w:keepNext/>
              <w:rPr>
                <w:lang w:eastAsia="en-NZ"/>
              </w:rPr>
            </w:pPr>
          </w:p>
        </w:tc>
        <w:tc>
          <w:tcPr>
            <w:tcW w:w="4536" w:type="dxa"/>
            <w:tcBorders>
              <w:top w:val="single" w:sz="4" w:space="0" w:color="A6A6A6"/>
              <w:left w:val="single" w:sz="4" w:space="0" w:color="A6A6A6"/>
              <w:bottom w:val="single" w:sz="4" w:space="0" w:color="A6A6A6"/>
              <w:right w:val="single" w:sz="4" w:space="0" w:color="A6A6A6"/>
            </w:tcBorders>
            <w:shd w:val="clear" w:color="000000" w:fill="963634"/>
            <w:noWrap/>
          </w:tcPr>
          <w:p w:rsidR="00523384" w:rsidRPr="008B2F2A" w:rsidRDefault="00523384" w:rsidP="00BF4B05">
            <w:pPr>
              <w:pStyle w:val="TableText"/>
              <w:keepNext/>
              <w:rPr>
                <w:color w:val="F2F2F2"/>
                <w:lang w:eastAsia="en-NZ"/>
              </w:rPr>
            </w:pPr>
            <w:r w:rsidRPr="008B2F2A">
              <w:rPr>
                <w:color w:val="F2F2F2"/>
                <w:lang w:eastAsia="en-NZ"/>
              </w:rPr>
              <w:t>Model suggests new linac may be needed</w:t>
            </w:r>
          </w:p>
        </w:tc>
      </w:tr>
    </w:tbl>
    <w:p w:rsidR="00F425CB" w:rsidRPr="001C5653" w:rsidRDefault="00F425CB" w:rsidP="00523384">
      <w:pPr>
        <w:pStyle w:val="Note"/>
        <w:rPr>
          <w:lang w:eastAsia="en-NZ"/>
        </w:rPr>
      </w:pPr>
      <w:r w:rsidRPr="001C5653">
        <w:rPr>
          <w:lang w:eastAsia="en-NZ"/>
        </w:rPr>
        <w:t>Assumes Growth scenario (45% IR), with 10% operational gains and tipping point changes up to the equivalent of 10</w:t>
      </w:r>
      <w:r w:rsidR="00BF4B05">
        <w:rPr>
          <w:lang w:eastAsia="en-NZ"/>
        </w:rPr>
        <w:t> </w:t>
      </w:r>
      <w:r w:rsidRPr="001C5653">
        <w:rPr>
          <w:lang w:eastAsia="en-NZ"/>
        </w:rPr>
        <w:t>hours operation per linac.</w:t>
      </w:r>
      <w:r w:rsidR="007E7990">
        <w:rPr>
          <w:lang w:eastAsia="en-NZ"/>
        </w:rPr>
        <w:t xml:space="preserve"> </w:t>
      </w:r>
      <w:r w:rsidRPr="001C5653">
        <w:rPr>
          <w:lang w:eastAsia="en-NZ"/>
        </w:rPr>
        <w:t>Suggested locations and timing only; actual build locations and timing will be dependent on DHB</w:t>
      </w:r>
      <w:r>
        <w:rPr>
          <w:lang w:eastAsia="en-NZ"/>
        </w:rPr>
        <w:t xml:space="preserve"> </w:t>
      </w:r>
      <w:r w:rsidRPr="001C5653">
        <w:rPr>
          <w:lang w:eastAsia="en-NZ"/>
        </w:rPr>
        <w:t>business cases and actual service demand.</w:t>
      </w:r>
    </w:p>
    <w:p w:rsidR="00F425CB" w:rsidRDefault="00F425CB" w:rsidP="00523384">
      <w:pPr>
        <w:pStyle w:val="Note"/>
        <w:rPr>
          <w:lang w:eastAsia="en-NZ"/>
        </w:rPr>
      </w:pPr>
      <w:r w:rsidRPr="001C5653">
        <w:rPr>
          <w:lang w:eastAsia="en-NZ"/>
        </w:rPr>
        <w:t>A</w:t>
      </w:r>
      <w:r>
        <w:rPr>
          <w:lang w:eastAsia="en-NZ"/>
        </w:rPr>
        <w:t>DHB</w:t>
      </w:r>
      <w:r w:rsidRPr="001C5653">
        <w:rPr>
          <w:lang w:eastAsia="en-NZ"/>
        </w:rPr>
        <w:t xml:space="preserve"> = Auckland </w:t>
      </w:r>
      <w:r>
        <w:rPr>
          <w:lang w:eastAsia="en-NZ"/>
        </w:rPr>
        <w:t>DHB</w:t>
      </w:r>
      <w:r w:rsidRPr="001C5653">
        <w:rPr>
          <w:lang w:eastAsia="en-NZ"/>
        </w:rPr>
        <w:t>, ARO = Auckland Radiation Oncology, W</w:t>
      </w:r>
      <w:r>
        <w:rPr>
          <w:lang w:eastAsia="en-NZ"/>
        </w:rPr>
        <w:t>DHB</w:t>
      </w:r>
      <w:r w:rsidRPr="001C5653">
        <w:rPr>
          <w:lang w:eastAsia="en-NZ"/>
        </w:rPr>
        <w:t xml:space="preserve"> =</w:t>
      </w:r>
      <w:r>
        <w:rPr>
          <w:lang w:eastAsia="en-NZ"/>
        </w:rPr>
        <w:t xml:space="preserve"> </w:t>
      </w:r>
      <w:r w:rsidRPr="001C5653">
        <w:rPr>
          <w:lang w:eastAsia="en-NZ"/>
        </w:rPr>
        <w:t>Waikato</w:t>
      </w:r>
      <w:r>
        <w:rPr>
          <w:lang w:eastAsia="en-NZ"/>
        </w:rPr>
        <w:t xml:space="preserve"> DHB</w:t>
      </w:r>
      <w:r w:rsidRPr="001C5653">
        <w:rPr>
          <w:lang w:eastAsia="en-NZ"/>
        </w:rPr>
        <w:t>, KKC = Kathleen Kilgour (Tauranga), M</w:t>
      </w:r>
      <w:r>
        <w:rPr>
          <w:lang w:eastAsia="en-NZ"/>
        </w:rPr>
        <w:t>DHB</w:t>
      </w:r>
      <w:r w:rsidRPr="001C5653">
        <w:rPr>
          <w:lang w:eastAsia="en-NZ"/>
        </w:rPr>
        <w:t xml:space="preserve"> = MidCentral</w:t>
      </w:r>
      <w:r>
        <w:rPr>
          <w:lang w:eastAsia="en-NZ"/>
        </w:rPr>
        <w:t xml:space="preserve"> DHB</w:t>
      </w:r>
      <w:r w:rsidRPr="001C5653">
        <w:rPr>
          <w:lang w:eastAsia="en-NZ"/>
        </w:rPr>
        <w:t>, CC</w:t>
      </w:r>
      <w:r>
        <w:rPr>
          <w:lang w:eastAsia="en-NZ"/>
        </w:rPr>
        <w:t>DHB</w:t>
      </w:r>
      <w:r w:rsidRPr="001C5653">
        <w:rPr>
          <w:lang w:eastAsia="en-NZ"/>
        </w:rPr>
        <w:t xml:space="preserve"> = Capital</w:t>
      </w:r>
      <w:r>
        <w:rPr>
          <w:lang w:eastAsia="en-NZ"/>
        </w:rPr>
        <w:t xml:space="preserve"> </w:t>
      </w:r>
      <w:r w:rsidRPr="001C5653">
        <w:rPr>
          <w:lang w:eastAsia="en-NZ"/>
        </w:rPr>
        <w:t>&amp; Coast</w:t>
      </w:r>
      <w:r>
        <w:rPr>
          <w:lang w:eastAsia="en-NZ"/>
        </w:rPr>
        <w:t xml:space="preserve"> DHB</w:t>
      </w:r>
      <w:r w:rsidRPr="001C5653">
        <w:rPr>
          <w:lang w:eastAsia="en-NZ"/>
        </w:rPr>
        <w:t>, C</w:t>
      </w:r>
      <w:r>
        <w:rPr>
          <w:lang w:eastAsia="en-NZ"/>
        </w:rPr>
        <w:t>DHB</w:t>
      </w:r>
      <w:r w:rsidRPr="001C5653">
        <w:rPr>
          <w:lang w:eastAsia="en-NZ"/>
        </w:rPr>
        <w:t xml:space="preserve"> = Canterbury</w:t>
      </w:r>
      <w:r>
        <w:rPr>
          <w:lang w:eastAsia="en-NZ"/>
        </w:rPr>
        <w:t xml:space="preserve"> DHB</w:t>
      </w:r>
      <w:r w:rsidRPr="001C5653">
        <w:rPr>
          <w:lang w:eastAsia="en-NZ"/>
        </w:rPr>
        <w:t>, SGC = St</w:t>
      </w:r>
      <w:r w:rsidR="00BF4B05">
        <w:rPr>
          <w:lang w:eastAsia="en-NZ"/>
        </w:rPr>
        <w:t> </w:t>
      </w:r>
      <w:r w:rsidRPr="001C5653">
        <w:rPr>
          <w:lang w:eastAsia="en-NZ"/>
        </w:rPr>
        <w:t>Georges, S</w:t>
      </w:r>
      <w:r>
        <w:rPr>
          <w:lang w:eastAsia="en-NZ"/>
        </w:rPr>
        <w:t>DHB</w:t>
      </w:r>
      <w:r w:rsidRPr="001C5653">
        <w:rPr>
          <w:lang w:eastAsia="en-NZ"/>
        </w:rPr>
        <w:t xml:space="preserve"> = Southern</w:t>
      </w:r>
      <w:r>
        <w:rPr>
          <w:lang w:eastAsia="en-NZ"/>
        </w:rPr>
        <w:t xml:space="preserve"> DHB</w:t>
      </w:r>
      <w:r w:rsidR="00523384">
        <w:rPr>
          <w:lang w:eastAsia="en-NZ"/>
        </w:rPr>
        <w:t>.</w:t>
      </w:r>
    </w:p>
    <w:p w:rsidR="00523384" w:rsidRPr="00523384" w:rsidRDefault="00523384" w:rsidP="00BF4B05">
      <w:pPr>
        <w:rPr>
          <w:lang w:eastAsia="en-NZ"/>
        </w:rPr>
      </w:pPr>
    </w:p>
    <w:p w:rsidR="00F425CB" w:rsidRPr="007E7990" w:rsidRDefault="00F425CB" w:rsidP="00BF4B05">
      <w:pPr>
        <w:pStyle w:val="Heading2"/>
      </w:pPr>
      <w:bookmarkStart w:id="130" w:name="_Toc376936376"/>
      <w:bookmarkStart w:id="131" w:name="_Toc384202863"/>
      <w:r w:rsidRPr="007E7990">
        <w:t>4.6</w:t>
      </w:r>
      <w:r w:rsidRPr="007E7990">
        <w:tab/>
        <w:t>Sensitivity analyses</w:t>
      </w:r>
      <w:bookmarkEnd w:id="130"/>
      <w:bookmarkEnd w:id="131"/>
    </w:p>
    <w:p w:rsidR="00F425CB" w:rsidRPr="007E7990" w:rsidRDefault="00F425CB" w:rsidP="00BF4B05">
      <w:r w:rsidRPr="007E7990">
        <w:t>Many of the variables and assumptions can be adjusted in the Model.</w:t>
      </w:r>
      <w:r w:rsidR="007E7990" w:rsidRPr="007E7990">
        <w:t xml:space="preserve"> </w:t>
      </w:r>
      <w:r w:rsidRPr="007E7990">
        <w:t>Effects of some key variables are shown here – most have some effect, but the core Model findings seem robust.</w:t>
      </w:r>
    </w:p>
    <w:p w:rsidR="00F425CB" w:rsidRPr="007E7990" w:rsidRDefault="00F425CB" w:rsidP="00BF4B05"/>
    <w:p w:rsidR="007E7990" w:rsidRDefault="00F425CB" w:rsidP="00BF4B05">
      <w:pPr>
        <w:pStyle w:val="Heading3"/>
      </w:pPr>
      <w:bookmarkStart w:id="132" w:name="_Toc367372307"/>
      <w:r>
        <w:t>4.6.1</w:t>
      </w:r>
      <w:r>
        <w:tab/>
      </w:r>
      <w:r w:rsidRPr="00746E99">
        <w:t>Linac hours per day</w:t>
      </w:r>
      <w:bookmarkEnd w:id="132"/>
    </w:p>
    <w:p w:rsidR="007E7990" w:rsidRPr="007E7990" w:rsidRDefault="00F425CB" w:rsidP="00BF4B05">
      <w:r w:rsidRPr="007E7990">
        <w:t>The numbers of hours per day that linacs operate is a significant determinant of the timing of the new linac needs, as the change from current hours to an average of 10 hours demonstrates.</w:t>
      </w:r>
      <w:r w:rsidR="007E7990" w:rsidRPr="007E7990">
        <w:t xml:space="preserve"> </w:t>
      </w:r>
      <w:r w:rsidRPr="007E7990">
        <w:t xml:space="preserve">Even if the tipping point effective average operating time for linacs in the maximal-months was nine hours per day prior to commissioning a new one instead of the equivalent of 10 hours as used above (and no subcontracting took place), the Growth scenario would see the need for </w:t>
      </w:r>
      <w:r w:rsidRPr="007E7990">
        <w:rPr>
          <w:b/>
          <w:bCs/>
        </w:rPr>
        <w:t>seven additional linacs.</w:t>
      </w:r>
      <w:r w:rsidR="007E7990" w:rsidRPr="007E7990">
        <w:rPr>
          <w:b/>
          <w:bCs/>
        </w:rPr>
        <w:t xml:space="preserve"> </w:t>
      </w:r>
      <w:r w:rsidRPr="007E7990">
        <w:rPr>
          <w:bCs/>
        </w:rPr>
        <w:t>That is</w:t>
      </w:r>
      <w:r w:rsidRPr="007E7990">
        <w:t xml:space="preserve"> one more than the six in the Model with the tipping point and operational gains included (with the first ones needed in MidCentral an</w:t>
      </w:r>
      <w:r w:rsidR="00687614">
        <w:t>d Capital and Coast DHBs</w:t>
      </w:r>
      <w:r w:rsidRPr="007E7990">
        <w:t>), but still significantly less than the 11 linacs suggested without adding in the tipping point adjuster.</w:t>
      </w:r>
    </w:p>
    <w:p w:rsidR="00F425CB" w:rsidRPr="007E7990" w:rsidRDefault="00F425CB" w:rsidP="00BF4B05"/>
    <w:p w:rsidR="007E7990" w:rsidRPr="007E7990" w:rsidRDefault="00F425CB" w:rsidP="00BF4B05">
      <w:pPr>
        <w:pStyle w:val="Heading3"/>
      </w:pPr>
      <w:bookmarkStart w:id="133" w:name="_Toc367372309"/>
      <w:bookmarkStart w:id="134" w:name="_Toc376936377"/>
      <w:r w:rsidRPr="007E7990">
        <w:lastRenderedPageBreak/>
        <w:t>4.6.2</w:t>
      </w:r>
      <w:r w:rsidRPr="007E7990">
        <w:tab/>
        <w:t>Centre catchments</w:t>
      </w:r>
      <w:bookmarkEnd w:id="133"/>
      <w:bookmarkEnd w:id="134"/>
    </w:p>
    <w:p w:rsidR="007E7990" w:rsidRPr="007E7990" w:rsidRDefault="00F425CB" w:rsidP="00BF4B05">
      <w:pPr>
        <w:keepLines/>
      </w:pPr>
      <w:r w:rsidRPr="007E7990">
        <w:t>The policy assumption that patients should not need to move out of their cancer centre catchment for treatment does have an additional cost.</w:t>
      </w:r>
      <w:r w:rsidR="007E7990" w:rsidRPr="007E7990">
        <w:t xml:space="preserve"> </w:t>
      </w:r>
      <w:r w:rsidRPr="007E7990">
        <w:t>For example, the Modest Growth scenario would need no additional linacs if patients were able to move to use spare capacity at other centres (including private), and centres were able to run their linacs up to 10 hours per day in the maximal-months as needed.</w:t>
      </w:r>
      <w:r w:rsidR="007E7990" w:rsidRPr="007E7990">
        <w:t xml:space="preserve"> </w:t>
      </w:r>
      <w:r w:rsidRPr="007E7990">
        <w:t xml:space="preserve">In the Growth scenario </w:t>
      </w:r>
      <w:r w:rsidRPr="007E7990">
        <w:rPr>
          <w:b/>
        </w:rPr>
        <w:t>four additional linacs</w:t>
      </w:r>
      <w:r w:rsidRPr="007E7990">
        <w:t xml:space="preserve"> would be avoided, with only two being needed instead of six.</w:t>
      </w:r>
    </w:p>
    <w:p w:rsidR="00F425CB" w:rsidRPr="007E7990" w:rsidRDefault="00F425CB" w:rsidP="00BF4B05"/>
    <w:p w:rsidR="00F425CB" w:rsidRPr="007E7990" w:rsidRDefault="00F425CB" w:rsidP="00BF4B05">
      <w:pPr>
        <w:pStyle w:val="Heading3"/>
      </w:pPr>
      <w:bookmarkStart w:id="135" w:name="_Toc367372310"/>
      <w:bookmarkStart w:id="136" w:name="_Toc376936378"/>
      <w:r w:rsidRPr="007E7990">
        <w:t>4.6.3</w:t>
      </w:r>
      <w:r w:rsidRPr="007E7990">
        <w:tab/>
        <w:t>Registrations</w:t>
      </w:r>
      <w:bookmarkEnd w:id="135"/>
      <w:bookmarkEnd w:id="136"/>
    </w:p>
    <w:p w:rsidR="00F425CB" w:rsidRPr="007E7990" w:rsidRDefault="00F425CB" w:rsidP="00BF4B05">
      <w:r w:rsidRPr="007E7990">
        <w:t>Reducing registration growth by 5%</w:t>
      </w:r>
      <w:r w:rsidR="007E7990" w:rsidRPr="007E7990">
        <w:t xml:space="preserve"> – </w:t>
      </w:r>
      <w:r w:rsidRPr="007E7990">
        <w:t xml:space="preserve">for example, by assuming that prostate cancer growth returned to the average growth of all other cancers – removed </w:t>
      </w:r>
      <w:r w:rsidRPr="007E7990">
        <w:rPr>
          <w:b/>
        </w:rPr>
        <w:t xml:space="preserve">one linac </w:t>
      </w:r>
      <w:r w:rsidRPr="007E7990">
        <w:t>from the Growth scenario with operational gains included.</w:t>
      </w:r>
      <w:r w:rsidR="007E7990" w:rsidRPr="007E7990">
        <w:t xml:space="preserve"> </w:t>
      </w:r>
      <w:r w:rsidRPr="007E7990">
        <w:t>Conversely, if registrations grew by 5% more than expected there would be no additional linacs in the Growth scenario but an extra four in the Maximal scenario (from seven to 11 added linacs).</w:t>
      </w:r>
    </w:p>
    <w:p w:rsidR="00F425CB" w:rsidRPr="007E7990" w:rsidRDefault="00F425CB" w:rsidP="00BF4B05"/>
    <w:p w:rsidR="00F425CB" w:rsidRPr="007E7990" w:rsidRDefault="00F425CB" w:rsidP="00BF4B05">
      <w:pPr>
        <w:pStyle w:val="Heading3"/>
      </w:pPr>
      <w:bookmarkStart w:id="137" w:name="_Toc367372311"/>
      <w:bookmarkStart w:id="138" w:name="_Toc376936379"/>
      <w:r w:rsidRPr="007E7990">
        <w:t>4.6.4</w:t>
      </w:r>
      <w:r w:rsidRPr="007E7990">
        <w:tab/>
        <w:t>Workforce ratios</w:t>
      </w:r>
      <w:bookmarkEnd w:id="137"/>
      <w:bookmarkEnd w:id="138"/>
    </w:p>
    <w:p w:rsidR="00F425CB" w:rsidRPr="007E7990" w:rsidRDefault="00F425CB" w:rsidP="00BF4B05">
      <w:r w:rsidRPr="007E7990">
        <w:t>The ideal patient load for a radiation oncologist is considered to be 175</w:t>
      </w:r>
      <w:r w:rsidR="00BF4B05">
        <w:t>–</w:t>
      </w:r>
      <w:r w:rsidRPr="007E7990">
        <w:t>200 patients per year, while the current national average is 214 patients per year.</w:t>
      </w:r>
      <w:r w:rsidR="007E7990" w:rsidRPr="007E7990">
        <w:t xml:space="preserve"> </w:t>
      </w:r>
      <w:r w:rsidRPr="007E7990">
        <w:t>If the lower ratio was achieve</w:t>
      </w:r>
      <w:r w:rsidR="00B5531A">
        <w:t>d over time, an additional 17 radiation oncologist</w:t>
      </w:r>
      <w:r w:rsidRPr="007E7990">
        <w:t xml:space="preserve">s would be needed by 2022, or roughly </w:t>
      </w:r>
      <w:r w:rsidRPr="007E7990">
        <w:rPr>
          <w:b/>
        </w:rPr>
        <w:t>two extra graduates per year</w:t>
      </w:r>
      <w:r w:rsidRPr="007E7990">
        <w:t>.</w:t>
      </w:r>
      <w:r w:rsidR="007E7990" w:rsidRPr="007E7990">
        <w:t xml:space="preserve"> </w:t>
      </w:r>
      <w:r w:rsidRPr="007E7990">
        <w:t xml:space="preserve">Moving to the </w:t>
      </w:r>
      <w:r w:rsidR="00B5531A">
        <w:t>suggested staff ratios of two medical physicists per linac and nine radiation therapist</w:t>
      </w:r>
      <w:r w:rsidRPr="007E7990">
        <w:t>s per linac makes little difference to workforce projections.</w:t>
      </w:r>
    </w:p>
    <w:p w:rsidR="00F425CB" w:rsidRPr="007E7990" w:rsidRDefault="00F425CB" w:rsidP="00BF4B05"/>
    <w:p w:rsidR="00F425CB" w:rsidRPr="007E7990" w:rsidRDefault="00F425CB" w:rsidP="00BF4B05">
      <w:pPr>
        <w:pStyle w:val="Heading3"/>
      </w:pPr>
      <w:bookmarkStart w:id="139" w:name="_Toc367372312"/>
      <w:bookmarkStart w:id="140" w:name="_Toc376936380"/>
      <w:r w:rsidRPr="007E7990">
        <w:t>4.6.5</w:t>
      </w:r>
      <w:r w:rsidRPr="007E7990">
        <w:tab/>
        <w:t>Retreatment rates</w:t>
      </w:r>
      <w:bookmarkEnd w:id="139"/>
      <w:bookmarkEnd w:id="140"/>
    </w:p>
    <w:p w:rsidR="00F425CB" w:rsidRDefault="00F425CB" w:rsidP="00BF4B05">
      <w:r w:rsidRPr="007E7990">
        <w:t>The current national average retreatment rate (RTR) is 31% of all courses, but this ranges from 22 to 41% by DHB.</w:t>
      </w:r>
      <w:r w:rsidR="007E7990" w:rsidRPr="007E7990">
        <w:t xml:space="preserve"> </w:t>
      </w:r>
      <w:r w:rsidRPr="007E7990">
        <w:t>There is potential for the retreatment rate to rise, but no specific case has been made as to what might be a desired level.</w:t>
      </w:r>
      <w:r w:rsidR="007E7990" w:rsidRPr="007E7990">
        <w:t xml:space="preserve"> </w:t>
      </w:r>
      <w:r w:rsidRPr="007E7990">
        <w:t xml:space="preserve">By way of example, if one assumed a 35% RTR in public centres, and 25% in private centres, this would see an increase of </w:t>
      </w:r>
      <w:r w:rsidRPr="007E7990">
        <w:rPr>
          <w:b/>
        </w:rPr>
        <w:t>one linac</w:t>
      </w:r>
      <w:r w:rsidRPr="007E7990">
        <w:t xml:space="preserve"> needed in the Growth scenario, and three in the Maximal Growth scenario (both assuming the operational gains discussed in Section 4.5).</w:t>
      </w:r>
      <w:r w:rsidR="007E7990" w:rsidRPr="007E7990">
        <w:t xml:space="preserve"> </w:t>
      </w:r>
      <w:r w:rsidRPr="007E7990">
        <w:t>As the IR rises the RTR has a compounding effect.</w:t>
      </w:r>
    </w:p>
    <w:p w:rsidR="00BF4B05" w:rsidRPr="007E7990" w:rsidRDefault="00BF4B05" w:rsidP="00BF4B05"/>
    <w:p w:rsidR="00F425CB" w:rsidRPr="007E7990" w:rsidRDefault="00BF4B05" w:rsidP="00BF4B05">
      <w:pPr>
        <w:pStyle w:val="Heading1"/>
      </w:pPr>
      <w:bookmarkStart w:id="141" w:name="_Toc376936381"/>
      <w:r>
        <w:br w:type="page"/>
      </w:r>
      <w:bookmarkStart w:id="142" w:name="_Toc384202864"/>
      <w:r w:rsidR="00F425CB" w:rsidRPr="007E7990">
        <w:lastRenderedPageBreak/>
        <w:t>5</w:t>
      </w:r>
      <w:r w:rsidR="00F425CB" w:rsidRPr="007E7990">
        <w:tab/>
        <w:t>Advancing national service and capacity planning</w:t>
      </w:r>
      <w:bookmarkEnd w:id="141"/>
      <w:bookmarkEnd w:id="142"/>
    </w:p>
    <w:p w:rsidR="007243B8" w:rsidRPr="0021236A" w:rsidRDefault="007243B8" w:rsidP="007243B8">
      <w:pPr>
        <w:pStyle w:val="Box"/>
      </w:pPr>
      <w:r w:rsidRPr="0021236A">
        <w:t>Preparation and application of the Model as described in Section 4 has revealed a number of issues of relevance for future development of radiation oncology services in New Zealand. Section 5 considers these issues, and how they could be progressed at a national level by the Ministry, the Radiation Oncology Working Group, the regional DHB cancer networks, and the cancer centres.</w:t>
      </w:r>
    </w:p>
    <w:p w:rsidR="00F425CB" w:rsidRPr="007E7990" w:rsidRDefault="00F425CB" w:rsidP="007243B8"/>
    <w:p w:rsidR="007E7990" w:rsidRPr="007E7990" w:rsidRDefault="00F425CB" w:rsidP="007243B8">
      <w:pPr>
        <w:pStyle w:val="Heading2"/>
      </w:pPr>
      <w:bookmarkStart w:id="143" w:name="_Toc376936382"/>
      <w:bookmarkStart w:id="144" w:name="_Toc384202865"/>
      <w:r w:rsidRPr="007E7990">
        <w:t>5.1</w:t>
      </w:r>
      <w:r w:rsidRPr="007E7990">
        <w:tab/>
        <w:t>Access to radiation therapy</w:t>
      </w:r>
      <w:bookmarkEnd w:id="143"/>
      <w:bookmarkEnd w:id="144"/>
    </w:p>
    <w:p w:rsidR="00F425CB" w:rsidRPr="007E7990" w:rsidRDefault="00F425CB" w:rsidP="007243B8">
      <w:pPr>
        <w:pStyle w:val="Heading3"/>
      </w:pPr>
      <w:bookmarkStart w:id="145" w:name="_Toc367372315"/>
      <w:bookmarkStart w:id="146" w:name="_Toc376936383"/>
      <w:r w:rsidRPr="007E7990">
        <w:t>5.1.1</w:t>
      </w:r>
      <w:r w:rsidRPr="007E7990">
        <w:tab/>
        <w:t>Current variation</w:t>
      </w:r>
      <w:bookmarkEnd w:id="145"/>
      <w:bookmarkEnd w:id="146"/>
    </w:p>
    <w:p w:rsidR="00F425CB" w:rsidRPr="007E7990" w:rsidRDefault="00F425CB" w:rsidP="007243B8">
      <w:r w:rsidRPr="007E7990">
        <w:t>As discussed earlier in the Plan, two important indicators of access to radiation therapy</w:t>
      </w:r>
      <w:r w:rsidRPr="007243B8">
        <w:rPr>
          <w:rStyle w:val="FootnoteReference"/>
        </w:rPr>
        <w:footnoteReference w:id="27"/>
      </w:r>
      <w:r w:rsidRPr="007E7990">
        <w:t xml:space="preserve"> are:</w:t>
      </w:r>
    </w:p>
    <w:p w:rsidR="00F425CB" w:rsidRPr="007E7990" w:rsidRDefault="00F425CB" w:rsidP="007243B8">
      <w:pPr>
        <w:pStyle w:val="Bullet"/>
      </w:pPr>
      <w:r w:rsidRPr="007E7990">
        <w:rPr>
          <w:i/>
          <w:iCs/>
        </w:rPr>
        <w:t>Intervention rate</w:t>
      </w:r>
      <w:r w:rsidRPr="007E7990">
        <w:t xml:space="preserve"> (IR): The proportion of all registered cancers that are treated with at least one course of radiation therapy.</w:t>
      </w:r>
    </w:p>
    <w:p w:rsidR="00F425CB" w:rsidRPr="007E7990" w:rsidRDefault="00F425CB" w:rsidP="007243B8">
      <w:pPr>
        <w:pStyle w:val="Bullet"/>
      </w:pPr>
      <w:r w:rsidRPr="007E7990">
        <w:rPr>
          <w:i/>
          <w:iCs/>
        </w:rPr>
        <w:t>Retreatment rate</w:t>
      </w:r>
      <w:r w:rsidRPr="007E7990">
        <w:t xml:space="preserve"> (RTR):</w:t>
      </w:r>
      <w:r w:rsidR="007E7990" w:rsidRPr="007E7990">
        <w:t xml:space="preserve"> </w:t>
      </w:r>
      <w:r w:rsidRPr="007E7990">
        <w:t>The proportion of all courses delivered to people with cancer who have already had at least one course for that cancer.</w:t>
      </w:r>
    </w:p>
    <w:p w:rsidR="00F425CB" w:rsidRPr="007E7990" w:rsidRDefault="00F425CB" w:rsidP="007243B8"/>
    <w:p w:rsidR="007E7990" w:rsidRPr="007E7990" w:rsidRDefault="00F425CB" w:rsidP="007243B8">
      <w:r w:rsidRPr="007E7990">
        <w:t>International analysis and discussions on appropriate levels of IR and RTR take an epidemiological approach in considering whole population coverage.</w:t>
      </w:r>
      <w:r w:rsidR="007E7990" w:rsidRPr="007E7990">
        <w:t xml:space="preserve"> </w:t>
      </w:r>
      <w:r w:rsidRPr="007E7990">
        <w:t>The Model and this Plan follow that approach in including private sector activity (both privately funded and DHB funded).</w:t>
      </w:r>
    </w:p>
    <w:p w:rsidR="00F425CB" w:rsidRPr="007E7990" w:rsidRDefault="00F425CB" w:rsidP="007243B8"/>
    <w:p w:rsidR="007E7990" w:rsidRPr="007E7990" w:rsidRDefault="00F425CB" w:rsidP="007243B8">
      <w:r w:rsidRPr="007E7990">
        <w:t xml:space="preserve">There is considerable variation around the estimated national average IR of 37.4% (in 2012) by DHB of domicile (standard deviation +/- 5.5%), with the highest IR being in Capital and Coast DHB and Southern residents (45%) and lowest in </w:t>
      </w:r>
      <w:proofErr w:type="spellStart"/>
      <w:r w:rsidRPr="007E7990">
        <w:t>Wairarapa</w:t>
      </w:r>
      <w:proofErr w:type="spellEnd"/>
      <w:r w:rsidRPr="007E7990">
        <w:t xml:space="preserve"> (27%), and Nelson-Marlborough and West Coast (both 30%).</w:t>
      </w:r>
      <w:r w:rsidR="007E7990" w:rsidRPr="007E7990">
        <w:t xml:space="preserve"> </w:t>
      </w:r>
      <w:r w:rsidRPr="007E7990">
        <w:t xml:space="preserve">There is also considerable variation in RTR by DHB (+/- 5.3%), ranging from 41% for South Canterbury DHB residents to 22% for </w:t>
      </w:r>
      <w:proofErr w:type="spellStart"/>
      <w:r w:rsidRPr="007E7990">
        <w:t>Tairawhiti</w:t>
      </w:r>
      <w:proofErr w:type="spellEnd"/>
      <w:r w:rsidRPr="007E7990">
        <w:t xml:space="preserve"> DHB.</w:t>
      </w:r>
      <w:r w:rsidR="007E7990" w:rsidRPr="007E7990">
        <w:t xml:space="preserve"> </w:t>
      </w:r>
      <w:r w:rsidR="00FD59B9">
        <w:t>Figure 5</w:t>
      </w:r>
      <w:r w:rsidRPr="007E7990">
        <w:t xml:space="preserve"> shows the current IR</w:t>
      </w:r>
      <w:r w:rsidRPr="00FD59B9">
        <w:rPr>
          <w:rStyle w:val="FootnoteReference"/>
        </w:rPr>
        <w:footnoteReference w:id="28"/>
      </w:r>
      <w:r w:rsidRPr="007E7990">
        <w:t xml:space="preserve"> and RTR by DHB of domicile (with these 2012 rates being used as the baseline in the Model).</w:t>
      </w:r>
    </w:p>
    <w:p w:rsidR="00F425CB" w:rsidRPr="007E7990" w:rsidRDefault="00F425CB" w:rsidP="00FD59B9"/>
    <w:p w:rsidR="00B5531A" w:rsidRDefault="00F425CB" w:rsidP="00FD59B9">
      <w:r w:rsidRPr="007E7990">
        <w:t>The reasons for this variation in access to radiation therapy by DHB and the implications of it are not clear.</w:t>
      </w:r>
      <w:r w:rsidR="007E7990" w:rsidRPr="007E7990">
        <w:t xml:space="preserve"> </w:t>
      </w:r>
      <w:r w:rsidRPr="007E7990">
        <w:t>Improved understanding of the underlying factors will be critical for identifying an acceptable level of variation, and designing remedial action where the variation is considered excessive.</w:t>
      </w:r>
    </w:p>
    <w:p w:rsidR="00B5531A" w:rsidRDefault="00B5531A" w:rsidP="00B5531A">
      <w:r>
        <w:br w:type="page"/>
      </w:r>
    </w:p>
    <w:p w:rsidR="00F425CB" w:rsidRPr="007E7990" w:rsidRDefault="007E7990" w:rsidP="00FD59B9">
      <w:r w:rsidRPr="007E7990">
        <w:lastRenderedPageBreak/>
        <w:t xml:space="preserve"> </w:t>
      </w:r>
      <w:r w:rsidR="00F425CB" w:rsidRPr="007E7990">
        <w:t>Among the questions to be answered are the following:</w:t>
      </w:r>
    </w:p>
    <w:p w:rsidR="00F425CB" w:rsidRPr="007E7990" w:rsidRDefault="00F425CB" w:rsidP="00FD59B9">
      <w:pPr>
        <w:pStyle w:val="Bullet"/>
      </w:pPr>
      <w:r w:rsidRPr="007E7990">
        <w:t>Is this variation in access rates to some extent an artefact created by differences in interpretation of KPI data definitions, and in DHB reporting practice?</w:t>
      </w:r>
      <w:r w:rsidR="007E7990" w:rsidRPr="007E7990">
        <w:t xml:space="preserve"> </w:t>
      </w:r>
      <w:r w:rsidRPr="007E7990">
        <w:t>(This is discussed further in Section 5.2</w:t>
      </w:r>
      <w:r w:rsidR="00FD59B9">
        <w:t>.</w:t>
      </w:r>
      <w:r w:rsidRPr="007E7990">
        <w:t>)</w:t>
      </w:r>
    </w:p>
    <w:p w:rsidR="00F425CB" w:rsidRPr="007E7990" w:rsidRDefault="00F425CB" w:rsidP="00FD59B9">
      <w:pPr>
        <w:pStyle w:val="Bullet"/>
      </w:pPr>
      <w:r w:rsidRPr="007E7990">
        <w:t>What patterns are present in current access rates by DHB and/or by cancer centre?</w:t>
      </w:r>
      <w:r w:rsidR="007E7990" w:rsidRPr="007E7990">
        <w:t xml:space="preserve"> </w:t>
      </w:r>
      <w:r w:rsidRPr="007E7990">
        <w:t xml:space="preserve">Is distance from a cancer centre the significant factor in lower </w:t>
      </w:r>
      <w:r w:rsidR="00B5531A">
        <w:t>access rates in New Zealand than</w:t>
      </w:r>
      <w:r w:rsidRPr="007E7990">
        <w:t xml:space="preserve"> it is internationally?</w:t>
      </w:r>
      <w:r w:rsidR="007E7990" w:rsidRPr="007E7990">
        <w:t xml:space="preserve"> </w:t>
      </w:r>
      <w:r w:rsidRPr="007E7990">
        <w:t>Are there variations in access by ethnic group, deprivation level, and/or tumour group?</w:t>
      </w:r>
      <w:r w:rsidR="007E7990" w:rsidRPr="007E7990">
        <w:t xml:space="preserve"> </w:t>
      </w:r>
      <w:r w:rsidRPr="007E7990">
        <w:t>Is the variation a reflection of clinical practice by referrers, the radiation oncology service</w:t>
      </w:r>
      <w:r w:rsidR="007E7990" w:rsidRPr="007E7990">
        <w:t>’</w:t>
      </w:r>
      <w:r w:rsidRPr="007E7990">
        <w:t>s model of care or patient choice, or a combination of these?</w:t>
      </w:r>
    </w:p>
    <w:p w:rsidR="00F425CB" w:rsidRPr="007E7990" w:rsidRDefault="00F425CB" w:rsidP="00FD59B9">
      <w:pPr>
        <w:pStyle w:val="Bullet"/>
      </w:pPr>
      <w:r w:rsidRPr="007E7990">
        <w:t>Where a DHB has a lower access rate, what is the impact of this?</w:t>
      </w:r>
      <w:r w:rsidR="007E7990" w:rsidRPr="007E7990">
        <w:t xml:space="preserve"> </w:t>
      </w:r>
      <w:r w:rsidRPr="007E7990">
        <w:t>Is there evidence of poorer cancer outcomes, and/or unmet need for radiation therapy in the resident population?</w:t>
      </w:r>
      <w:r w:rsidR="007E7990" w:rsidRPr="007E7990">
        <w:t xml:space="preserve"> </w:t>
      </w:r>
      <w:r w:rsidRPr="007E7990">
        <w:t>Are other cancer treatment modalities being used instead?</w:t>
      </w:r>
    </w:p>
    <w:p w:rsidR="007E7990" w:rsidRPr="007E7990" w:rsidRDefault="00F425CB" w:rsidP="00FD59B9">
      <w:pPr>
        <w:pStyle w:val="Bullet"/>
      </w:pPr>
      <w:r w:rsidRPr="007E7990">
        <w:t>Are varying RTRs simply a reflection of differing approaches to palliative care around the country, or is radiation therapy not being offered as an option for some patients?</w:t>
      </w:r>
    </w:p>
    <w:p w:rsidR="00F425CB" w:rsidRPr="00F628E5" w:rsidRDefault="00F425CB" w:rsidP="00FD59B9"/>
    <w:p w:rsidR="00F425CB" w:rsidRPr="007E7990" w:rsidRDefault="00F425CB" w:rsidP="00FD59B9">
      <w:pPr>
        <w:pStyle w:val="Figure"/>
      </w:pPr>
      <w:bookmarkStart w:id="147" w:name="_Ref367196088"/>
      <w:bookmarkStart w:id="148" w:name="_Ref367255812"/>
      <w:bookmarkStart w:id="149" w:name="_Toc384202911"/>
      <w:r w:rsidRPr="007E7990">
        <w:t xml:space="preserve">Figure </w:t>
      </w:r>
      <w:r w:rsidR="00FD59B9">
        <w:t>5:</w:t>
      </w:r>
      <w:bookmarkEnd w:id="147"/>
      <w:r w:rsidR="007E7990" w:rsidRPr="007E7990">
        <w:t xml:space="preserve"> </w:t>
      </w:r>
      <w:r w:rsidRPr="007E7990">
        <w:t>Radiation therapy intervention and retreatment rates in 2012 by DHB of domicile</w:t>
      </w:r>
      <w:bookmarkEnd w:id="148"/>
      <w:bookmarkEnd w:id="149"/>
    </w:p>
    <w:p w:rsidR="00FD59B9" w:rsidRPr="00FD59B9" w:rsidRDefault="00790E10" w:rsidP="00FD59B9">
      <w:pPr>
        <w:pStyle w:val="Source"/>
      </w:pPr>
      <w:r>
        <w:rPr>
          <w:noProof/>
          <w:lang w:eastAsia="en-NZ"/>
        </w:rPr>
        <w:drawing>
          <wp:inline distT="0" distB="0" distL="0" distR="0">
            <wp:extent cx="5915025" cy="4486275"/>
            <wp:effectExtent l="0" t="0" r="9525" b="9525"/>
            <wp:docPr id="5" name="Picture 3" descr="Figure 5: Radiation therapy intervention and retreatment rates in 2012 by DHB of domi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5: Radiation therapy intervention and retreatment rates in 2012 by DHB of domic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025" cy="4486275"/>
                    </a:xfrm>
                    <a:prstGeom prst="rect">
                      <a:avLst/>
                    </a:prstGeom>
                    <a:noFill/>
                    <a:ln>
                      <a:noFill/>
                    </a:ln>
                  </pic:spPr>
                </pic:pic>
              </a:graphicData>
            </a:graphic>
          </wp:inline>
        </w:drawing>
      </w:r>
    </w:p>
    <w:p w:rsidR="00F425CB" w:rsidRPr="00274E09" w:rsidRDefault="00F425CB" w:rsidP="00FD59B9">
      <w:pPr>
        <w:pStyle w:val="Source"/>
      </w:pPr>
      <w:r>
        <w:t>Source: Health Partners</w:t>
      </w:r>
      <w:r w:rsidRPr="00274E09">
        <w:t xml:space="preserve"> estimate from cancer centre returns and estimated 2012 cancer registrations.</w:t>
      </w:r>
      <w:r w:rsidR="007E7990">
        <w:t xml:space="preserve"> </w:t>
      </w:r>
      <w:r w:rsidRPr="00274E09">
        <w:t xml:space="preserve">Abbreviations: C&amp;C = Capital and Coast DHB, C-M = Counties </w:t>
      </w:r>
      <w:proofErr w:type="spellStart"/>
      <w:r w:rsidRPr="00274E09">
        <w:t>Manukau</w:t>
      </w:r>
      <w:proofErr w:type="spellEnd"/>
      <w:r w:rsidRPr="00274E09">
        <w:t>, N-M = Nelson-Marlboroug</w:t>
      </w:r>
      <w:r>
        <w:t>h, BOP = Bay of Plenty</w:t>
      </w:r>
      <w:proofErr w:type="gramStart"/>
      <w:r>
        <w:t>,</w:t>
      </w:r>
      <w:proofErr w:type="gramEnd"/>
      <w:r w:rsidR="00FD59B9">
        <w:br/>
      </w:r>
      <w:r>
        <w:t>H-B = Hawke</w:t>
      </w:r>
      <w:r w:rsidR="007E7990">
        <w:t>’</w:t>
      </w:r>
      <w:r>
        <w:t>s Bay..</w:t>
      </w:r>
      <w:r w:rsidR="007E7990">
        <w:t xml:space="preserve"> </w:t>
      </w:r>
      <w:r>
        <w:t xml:space="preserve">Colour </w:t>
      </w:r>
      <w:r w:rsidRPr="00274E09">
        <w:t>coding indicates the cancer regions for each DHB.</w:t>
      </w:r>
      <w:r w:rsidR="007E7990">
        <w:t xml:space="preserve"> </w:t>
      </w:r>
      <w:r w:rsidRPr="00274E09">
        <w:t>Note that</w:t>
      </w:r>
      <w:r>
        <w:t xml:space="preserve"> DHBs with</w:t>
      </w:r>
      <w:r w:rsidRPr="00274E09">
        <w:t xml:space="preserve"> small</w:t>
      </w:r>
      <w:r>
        <w:t xml:space="preserve"> populations </w:t>
      </w:r>
      <w:r w:rsidRPr="00274E09">
        <w:t xml:space="preserve">such as </w:t>
      </w:r>
      <w:proofErr w:type="spellStart"/>
      <w:r w:rsidRPr="00274E09">
        <w:t>Tairawhiti</w:t>
      </w:r>
      <w:proofErr w:type="spellEnd"/>
      <w:r w:rsidRPr="00274E09">
        <w:t xml:space="preserve">, </w:t>
      </w:r>
      <w:proofErr w:type="spellStart"/>
      <w:r w:rsidRPr="00274E09">
        <w:t>Wairarapa</w:t>
      </w:r>
      <w:proofErr w:type="spellEnd"/>
      <w:r w:rsidRPr="00274E09">
        <w:t xml:space="preserve"> and West Coast will show significant variability from year to year.</w:t>
      </w:r>
      <w:r w:rsidR="007E7990">
        <w:t xml:space="preserve"> </w:t>
      </w:r>
      <w:r>
        <w:t xml:space="preserve">Actual values are shown in </w:t>
      </w:r>
      <w:r w:rsidR="00FD59B9">
        <w:t>Table 4.</w:t>
      </w:r>
    </w:p>
    <w:p w:rsidR="00F425CB" w:rsidRPr="007E7990" w:rsidRDefault="00F425CB" w:rsidP="00FD59B9"/>
    <w:p w:rsidR="00F425CB" w:rsidRDefault="00F425CB" w:rsidP="00FD59B9">
      <w:r w:rsidRPr="007E7990">
        <w:lastRenderedPageBreak/>
        <w:t>New Zealand</w:t>
      </w:r>
      <w:r w:rsidR="007E7990" w:rsidRPr="007E7990">
        <w:t>’</w:t>
      </w:r>
      <w:r w:rsidRPr="007E7990">
        <w:t>s current IR of 37.4% is similar to those of other developed countries (</w:t>
      </w:r>
      <w:r w:rsidR="00FD59B9">
        <w:t>Figure 6</w:t>
      </w:r>
      <w:r w:rsidRPr="007E7990">
        <w:t>).</w:t>
      </w:r>
      <w:r w:rsidR="007E7990" w:rsidRPr="007E7990">
        <w:t xml:space="preserve"> </w:t>
      </w:r>
      <w:r w:rsidRPr="007E7990">
        <w:t>The spread of IRs within Australia</w:t>
      </w:r>
      <w:r w:rsidRPr="00FD59B9">
        <w:rPr>
          <w:rStyle w:val="FootnoteReference"/>
        </w:rPr>
        <w:footnoteReference w:id="29"/>
      </w:r>
      <w:r w:rsidRPr="007E7990">
        <w:t xml:space="preserve"> and England</w:t>
      </w:r>
      <w:r w:rsidRPr="00FD59B9">
        <w:rPr>
          <w:rStyle w:val="FootnoteReference"/>
        </w:rPr>
        <w:footnoteReference w:id="30"/>
      </w:r>
      <w:r w:rsidRPr="007E7990">
        <w:t xml:space="preserve"> is also of a similar range to that seen across DHBs in New Zealand.</w:t>
      </w:r>
      <w:r w:rsidR="007E7990" w:rsidRPr="007E7990">
        <w:t xml:space="preserve"> </w:t>
      </w:r>
      <w:r w:rsidRPr="007E7990">
        <w:t>As discussed below, both of these countries are seeking to lift their national average IR and reduce variation between cancer centres.</w:t>
      </w:r>
    </w:p>
    <w:p w:rsidR="00FD59B9" w:rsidRPr="007E7990" w:rsidRDefault="00FD59B9" w:rsidP="00FD59B9"/>
    <w:p w:rsidR="00F425CB" w:rsidRPr="007E7990" w:rsidRDefault="00F425CB" w:rsidP="00FD59B9">
      <w:pPr>
        <w:pStyle w:val="Figure"/>
        <w:rPr>
          <w:bCs/>
        </w:rPr>
      </w:pPr>
      <w:bookmarkStart w:id="150" w:name="_Ref367454657"/>
      <w:bookmarkStart w:id="151" w:name="_Toc384202912"/>
      <w:r w:rsidRPr="007E7990">
        <w:rPr>
          <w:color w:val="000000"/>
        </w:rPr>
        <w:t xml:space="preserve">Figure </w:t>
      </w:r>
      <w:r w:rsidR="00FD59B9">
        <w:rPr>
          <w:color w:val="000000"/>
        </w:rPr>
        <w:t>6</w:t>
      </w:r>
      <w:bookmarkEnd w:id="150"/>
      <w:r w:rsidR="00FD59B9">
        <w:rPr>
          <w:color w:val="000000"/>
        </w:rPr>
        <w:t>:</w:t>
      </w:r>
      <w:r w:rsidR="007E7990" w:rsidRPr="007E7990">
        <w:rPr>
          <w:color w:val="000000"/>
        </w:rPr>
        <w:t xml:space="preserve"> </w:t>
      </w:r>
      <w:r w:rsidRPr="007E7990">
        <w:t>Selected international radiation therapy intervention rates (%)</w:t>
      </w:r>
      <w:bookmarkEnd w:id="151"/>
    </w:p>
    <w:p w:rsidR="00F425CB" w:rsidRDefault="00790E10" w:rsidP="00F425CB">
      <w:r>
        <w:rPr>
          <w:noProof/>
          <w:lang w:eastAsia="en-NZ"/>
        </w:rPr>
        <w:drawing>
          <wp:inline distT="0" distB="0" distL="0" distR="0">
            <wp:extent cx="3962400" cy="2524125"/>
            <wp:effectExtent l="0" t="0" r="0" b="9525"/>
            <wp:docPr id="6" name="Picture 7" descr="Figure 6: Selected international radiation therapy intervention r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 Selected international radiation therapy intervention rates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2400" cy="2524125"/>
                    </a:xfrm>
                    <a:prstGeom prst="rect">
                      <a:avLst/>
                    </a:prstGeom>
                    <a:noFill/>
                    <a:ln>
                      <a:noFill/>
                    </a:ln>
                  </pic:spPr>
                </pic:pic>
              </a:graphicData>
            </a:graphic>
          </wp:inline>
        </w:drawing>
      </w:r>
    </w:p>
    <w:p w:rsidR="00F425CB" w:rsidRPr="00417FFB" w:rsidRDefault="00F425CB" w:rsidP="00FD59B9">
      <w:pPr>
        <w:pStyle w:val="Source"/>
      </w:pPr>
      <w:r w:rsidRPr="00417FFB">
        <w:t>Sources:</w:t>
      </w:r>
      <w:r w:rsidR="007E7990">
        <w:t xml:space="preserve"> </w:t>
      </w:r>
      <w:r w:rsidRPr="00417FFB">
        <w:t>Delaney et al 2005; Williams &amp; Drinkwater 2009; IAEA 2007; Battista et al 2012; Barton et al 2011; Health</w:t>
      </w:r>
      <w:r w:rsidR="00FD59B9">
        <w:t> </w:t>
      </w:r>
      <w:r w:rsidRPr="00417FFB">
        <w:t>Partners Consulting Group</w:t>
      </w:r>
      <w:r>
        <w:t>.</w:t>
      </w:r>
      <w:r w:rsidR="007E7990">
        <w:t xml:space="preserve"> </w:t>
      </w:r>
      <w:r>
        <w:t>NSW = New South Wales.</w:t>
      </w:r>
    </w:p>
    <w:p w:rsidR="00F425CB" w:rsidRPr="007E7990" w:rsidRDefault="00F425CB" w:rsidP="00FD59B9"/>
    <w:p w:rsidR="00F425CB" w:rsidRPr="007E7990" w:rsidRDefault="00F425CB" w:rsidP="00FD59B9">
      <w:pPr>
        <w:pStyle w:val="Heading3"/>
      </w:pPr>
      <w:bookmarkStart w:id="152" w:name="_Toc367372316"/>
      <w:bookmarkStart w:id="153" w:name="_Toc376936384"/>
      <w:r w:rsidRPr="007E7990">
        <w:t>5.1.2</w:t>
      </w:r>
      <w:r w:rsidRPr="007E7990">
        <w:tab/>
        <w:t>Barriers to access</w:t>
      </w:r>
      <w:bookmarkEnd w:id="152"/>
      <w:bookmarkEnd w:id="153"/>
    </w:p>
    <w:p w:rsidR="007E7990" w:rsidRPr="007E7990" w:rsidRDefault="00F425CB" w:rsidP="00FD59B9">
      <w:r w:rsidRPr="007E7990">
        <w:t xml:space="preserve">There is no evidence of patients requiring radiation therapy being </w:t>
      </w:r>
      <w:r w:rsidR="007E7990" w:rsidRPr="007E7990">
        <w:t>‘</w:t>
      </w:r>
      <w:r w:rsidRPr="007E7990">
        <w:t>turned away</w:t>
      </w:r>
      <w:r w:rsidR="007E7990" w:rsidRPr="007E7990">
        <w:t>’</w:t>
      </w:r>
      <w:r w:rsidRPr="007E7990">
        <w:t xml:space="preserve"> by a DHB cancer centre for reasons of workforce or linac capacity shortages, and all ce</w:t>
      </w:r>
      <w:r w:rsidR="003E3AAB">
        <w:t>ntres are meeting the national health t</w:t>
      </w:r>
      <w:r w:rsidRPr="007E7990">
        <w:t>arget for radiation therapy wait times.</w:t>
      </w:r>
      <w:r w:rsidR="007E7990" w:rsidRPr="007E7990">
        <w:t xml:space="preserve"> </w:t>
      </w:r>
      <w:r w:rsidRPr="007E7990">
        <w:t>The current variation in access is therefore unlikely to reflect deliberate setting of an IR by each DHB.</w:t>
      </w:r>
      <w:r w:rsidR="007E7990" w:rsidRPr="007E7990">
        <w:t xml:space="preserve"> </w:t>
      </w:r>
      <w:r w:rsidRPr="007E7990">
        <w:t>A more likely explanation for the variation is a complex inter-play of factors associated with demand and supply of medical and surgical oncology, and patient and clinician decision-making.</w:t>
      </w:r>
    </w:p>
    <w:p w:rsidR="00F425CB" w:rsidRPr="007E7990" w:rsidRDefault="00F425CB" w:rsidP="00FD59B9"/>
    <w:p w:rsidR="00F425CB" w:rsidRPr="007E7990" w:rsidRDefault="00F425CB" w:rsidP="00FD59B9">
      <w:r w:rsidRPr="007E7990">
        <w:t>In 2011 New South Wales Health published a report</w:t>
      </w:r>
      <w:r w:rsidRPr="00FD59B9">
        <w:rPr>
          <w:rStyle w:val="FootnoteReference"/>
        </w:rPr>
        <w:footnoteReference w:id="31"/>
      </w:r>
      <w:r w:rsidRPr="007E7990">
        <w:t xml:space="preserve"> on barriers to access to radiation therapy services, based upon a review of the international literature.</w:t>
      </w:r>
      <w:r w:rsidR="007E7990" w:rsidRPr="007E7990">
        <w:t xml:space="preserve"> </w:t>
      </w:r>
      <w:r w:rsidRPr="007E7990">
        <w:t xml:space="preserve">The focus of the report is on referral barriers, and the evidence-based factors identified are listed in </w:t>
      </w:r>
      <w:r w:rsidR="00FD59B9">
        <w:t>Table 15</w:t>
      </w:r>
      <w:r w:rsidRPr="007E7990">
        <w:t>.</w:t>
      </w:r>
      <w:r w:rsidR="007E7990" w:rsidRPr="007E7990">
        <w:t xml:space="preserve"> </w:t>
      </w:r>
      <w:r w:rsidRPr="007E7990">
        <w:t xml:space="preserve">Studies in Australia have suggested in particular that rural and remote populations have relatively poorer access compared with their urban counterparts, and this has led to a programme of investment in </w:t>
      </w:r>
      <w:r w:rsidR="007E7990" w:rsidRPr="007E7990">
        <w:t>‘</w:t>
      </w:r>
      <w:r w:rsidRPr="007E7990">
        <w:t>satellite</w:t>
      </w:r>
      <w:r w:rsidR="007E7990" w:rsidRPr="007E7990">
        <w:t>’</w:t>
      </w:r>
      <w:r w:rsidRPr="007E7990">
        <w:t xml:space="preserve"> radiation therapy services in smaller cities.</w:t>
      </w:r>
    </w:p>
    <w:p w:rsidR="00F425CB" w:rsidRPr="007E7990" w:rsidRDefault="00F425CB" w:rsidP="00FD59B9"/>
    <w:p w:rsidR="007E7990" w:rsidRDefault="00F425CB" w:rsidP="00DA774F">
      <w:pPr>
        <w:keepNext/>
      </w:pPr>
      <w:r w:rsidRPr="007E7990">
        <w:lastRenderedPageBreak/>
        <w:t xml:space="preserve">The evidence underpinning </w:t>
      </w:r>
      <w:r w:rsidR="00FD59B9">
        <w:t>Table 15</w:t>
      </w:r>
      <w:r w:rsidRPr="007E7990">
        <w:t xml:space="preserve"> suggests that addressing these barriers will improve access, as measured by both intervention and referral rates.</w:t>
      </w:r>
    </w:p>
    <w:p w:rsidR="00DA774F" w:rsidRDefault="00DA774F" w:rsidP="00DA774F"/>
    <w:p w:rsidR="00DA774F" w:rsidRPr="007E7990" w:rsidRDefault="00DA774F" w:rsidP="00DA774F">
      <w:pPr>
        <w:pStyle w:val="Table"/>
      </w:pPr>
      <w:bookmarkStart w:id="154" w:name="_Toc384202890"/>
      <w:r w:rsidRPr="007E7990">
        <w:t xml:space="preserve">Table </w:t>
      </w:r>
      <w:r>
        <w:t>15:</w:t>
      </w:r>
      <w:r w:rsidRPr="007E7990">
        <w:t xml:space="preserve"> Factors affecting patient and referring clinician choice of radiation therapy</w:t>
      </w:r>
      <w:bookmarkEnd w:id="154"/>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985"/>
        <w:gridCol w:w="7371"/>
      </w:tblGrid>
      <w:tr w:rsidR="00DA774F" w:rsidRPr="0021236A" w:rsidTr="00DA774F">
        <w:trPr>
          <w:cantSplit/>
        </w:trPr>
        <w:tc>
          <w:tcPr>
            <w:tcW w:w="1985" w:type="dxa"/>
            <w:shd w:val="clear" w:color="auto" w:fill="BDE2FF"/>
          </w:tcPr>
          <w:p w:rsidR="00DA774F" w:rsidRPr="0021236A" w:rsidRDefault="00DA774F" w:rsidP="0036452E">
            <w:pPr>
              <w:pStyle w:val="TableText"/>
              <w:rPr>
                <w:b/>
                <w:bCs/>
              </w:rPr>
            </w:pPr>
            <w:r w:rsidRPr="0021236A">
              <w:rPr>
                <w:b/>
                <w:bCs/>
              </w:rPr>
              <w:t>Factor</w:t>
            </w:r>
          </w:p>
        </w:tc>
        <w:tc>
          <w:tcPr>
            <w:tcW w:w="7371" w:type="dxa"/>
            <w:shd w:val="clear" w:color="auto" w:fill="BDE2FF"/>
          </w:tcPr>
          <w:p w:rsidR="00DA774F" w:rsidRPr="0021236A" w:rsidRDefault="00DA774F" w:rsidP="0036452E">
            <w:pPr>
              <w:pStyle w:val="TableText"/>
              <w:rPr>
                <w:b/>
                <w:bCs/>
              </w:rPr>
            </w:pPr>
            <w:r w:rsidRPr="0021236A">
              <w:rPr>
                <w:b/>
                <w:bCs/>
              </w:rPr>
              <w:t>Description</w:t>
            </w:r>
          </w:p>
        </w:tc>
      </w:tr>
      <w:tr w:rsidR="00DA774F" w:rsidRPr="0021236A" w:rsidTr="0036452E">
        <w:trPr>
          <w:cantSplit/>
        </w:trPr>
        <w:tc>
          <w:tcPr>
            <w:tcW w:w="9356" w:type="dxa"/>
            <w:gridSpan w:val="2"/>
          </w:tcPr>
          <w:p w:rsidR="00DA774F" w:rsidRPr="0021236A" w:rsidRDefault="00DA774F" w:rsidP="0036452E">
            <w:pPr>
              <w:pStyle w:val="TableText"/>
              <w:rPr>
                <w:rFonts w:eastAsia="MS Gothic"/>
                <w:color w:val="404040"/>
              </w:rPr>
            </w:pPr>
            <w:r w:rsidRPr="0021236A">
              <w:rPr>
                <w:b/>
                <w:bCs/>
              </w:rPr>
              <w:t>Patient factors</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Proximity</w:t>
            </w:r>
          </w:p>
        </w:tc>
        <w:tc>
          <w:tcPr>
            <w:tcW w:w="7371" w:type="dxa"/>
          </w:tcPr>
          <w:p w:rsidR="00DA774F" w:rsidRPr="0021236A" w:rsidRDefault="00DA774F" w:rsidP="0036452E">
            <w:pPr>
              <w:pStyle w:val="TableText"/>
              <w:rPr>
                <w:rFonts w:eastAsia="MS Gothic"/>
                <w:color w:val="404040"/>
              </w:rPr>
            </w:pPr>
            <w:r w:rsidRPr="0021236A">
              <w:t>Where the distance is significant, patients may choose another treatment option.</w:t>
            </w:r>
            <w:r>
              <w:t xml:space="preserve"> </w:t>
            </w:r>
            <w:r w:rsidRPr="0021236A">
              <w:t>Ease of transport factors also impact, such as availability of public transport and road quality.</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Accommodation</w:t>
            </w:r>
          </w:p>
        </w:tc>
        <w:tc>
          <w:tcPr>
            <w:tcW w:w="7371" w:type="dxa"/>
          </w:tcPr>
          <w:p w:rsidR="00DA774F" w:rsidRPr="0021236A" w:rsidRDefault="00DA774F" w:rsidP="0036452E">
            <w:pPr>
              <w:pStyle w:val="TableText"/>
              <w:rPr>
                <w:rFonts w:eastAsia="MS Gothic"/>
                <w:color w:val="404040"/>
              </w:rPr>
            </w:pPr>
            <w:r w:rsidRPr="0021236A">
              <w:t>Availability of affordable accommodation for the treatment period, given its protracted nature. Availability (and ease of access to) financial compensation may influence patient choice.</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Patient perception</w:t>
            </w:r>
          </w:p>
        </w:tc>
        <w:tc>
          <w:tcPr>
            <w:tcW w:w="7371" w:type="dxa"/>
          </w:tcPr>
          <w:p w:rsidR="00DA774F" w:rsidRPr="0021236A" w:rsidRDefault="00DA774F" w:rsidP="0036452E">
            <w:pPr>
              <w:pStyle w:val="TableText"/>
              <w:rPr>
                <w:rFonts w:eastAsia="MS Gothic"/>
                <w:color w:val="404040"/>
              </w:rPr>
            </w:pPr>
            <w:r w:rsidRPr="0021236A">
              <w:t>Perception of risk and benefit of radiotherapy versus other treatment options (another treatment, or no treatment).</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Patient disruption</w:t>
            </w:r>
          </w:p>
        </w:tc>
        <w:tc>
          <w:tcPr>
            <w:tcW w:w="7371" w:type="dxa"/>
          </w:tcPr>
          <w:p w:rsidR="00DA774F" w:rsidRPr="0021236A" w:rsidRDefault="00DA774F" w:rsidP="0036452E">
            <w:pPr>
              <w:pStyle w:val="TableText"/>
              <w:rPr>
                <w:rFonts w:eastAsia="MS Gothic"/>
                <w:color w:val="404040"/>
              </w:rPr>
            </w:pPr>
            <w:r w:rsidRPr="0021236A">
              <w:t>Degree of disruption that treatment causes to the patient and family/carers.</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Family/carer support</w:t>
            </w:r>
          </w:p>
        </w:tc>
        <w:tc>
          <w:tcPr>
            <w:tcW w:w="7371" w:type="dxa"/>
          </w:tcPr>
          <w:p w:rsidR="00DA774F" w:rsidRPr="0021236A" w:rsidRDefault="00DA774F" w:rsidP="0036452E">
            <w:pPr>
              <w:pStyle w:val="TableText"/>
            </w:pPr>
            <w:r w:rsidRPr="0021236A">
              <w:t>Availability of family/carer support in the location of treatment.</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Wait times</w:t>
            </w:r>
          </w:p>
        </w:tc>
        <w:tc>
          <w:tcPr>
            <w:tcW w:w="7371" w:type="dxa"/>
          </w:tcPr>
          <w:p w:rsidR="00DA774F" w:rsidRPr="0021236A" w:rsidRDefault="00DA774F" w:rsidP="0036452E">
            <w:pPr>
              <w:pStyle w:val="TableText"/>
              <w:rPr>
                <w:rFonts w:eastAsia="MS Gothic"/>
                <w:color w:val="404040"/>
              </w:rPr>
            </w:pPr>
            <w:r w:rsidRPr="0021236A">
              <w:t>Perception of waiting times, based on media, service data or other sources.</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Cultural sensitivity</w:t>
            </w:r>
          </w:p>
        </w:tc>
        <w:tc>
          <w:tcPr>
            <w:tcW w:w="7371" w:type="dxa"/>
          </w:tcPr>
          <w:p w:rsidR="00DA774F" w:rsidRPr="0021236A" w:rsidRDefault="00DA774F" w:rsidP="0036452E">
            <w:pPr>
              <w:pStyle w:val="TableText"/>
              <w:rPr>
                <w:rFonts w:eastAsia="MS Gothic"/>
                <w:color w:val="404040"/>
              </w:rPr>
            </w:pPr>
            <w:r w:rsidRPr="0021236A">
              <w:t>Rates of cancer mortality are higher amongst the indigenous population in Australia (and New Zealand), with treatment disparity being responsible for most of the survival gap. Provider communication has been shown to be a significant factor in Aboriginal people</w:t>
            </w:r>
            <w:r>
              <w:t>’</w:t>
            </w:r>
            <w:r w:rsidRPr="0021236A">
              <w:t>s access to radiotherapy. Empathetic personal contact; and acknowledgement and respect for Aboriginal family structures, culture and life circumstances, and the importance of history, land and community are all considered important. Treatment remote from the spiritual link with home and community is also a barrier.</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Financial impacts</w:t>
            </w:r>
          </w:p>
        </w:tc>
        <w:tc>
          <w:tcPr>
            <w:tcW w:w="7371" w:type="dxa"/>
          </w:tcPr>
          <w:p w:rsidR="00DA774F" w:rsidRPr="0021236A" w:rsidRDefault="00DA774F" w:rsidP="0036452E">
            <w:pPr>
              <w:pStyle w:val="TableText"/>
              <w:rPr>
                <w:rFonts w:eastAsia="MS Gothic"/>
                <w:color w:val="404040"/>
              </w:rPr>
            </w:pPr>
            <w:r w:rsidRPr="0021236A">
              <w:t>Out-of-pocket costs or upfront payment.</w:t>
            </w:r>
          </w:p>
        </w:tc>
      </w:tr>
      <w:tr w:rsidR="00DA774F" w:rsidRPr="0021236A" w:rsidTr="0036452E">
        <w:trPr>
          <w:cantSplit/>
        </w:trPr>
        <w:tc>
          <w:tcPr>
            <w:tcW w:w="9356" w:type="dxa"/>
            <w:gridSpan w:val="2"/>
          </w:tcPr>
          <w:p w:rsidR="00DA774F" w:rsidRPr="0021236A" w:rsidRDefault="00DA774F" w:rsidP="0036452E">
            <w:pPr>
              <w:pStyle w:val="TableText"/>
              <w:rPr>
                <w:rFonts w:eastAsia="MS Gothic"/>
                <w:color w:val="404040"/>
              </w:rPr>
            </w:pPr>
            <w:r w:rsidRPr="0021236A">
              <w:rPr>
                <w:b/>
                <w:bCs/>
              </w:rPr>
              <w:t>Referring clinician factors</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Pathway</w:t>
            </w:r>
          </w:p>
        </w:tc>
        <w:tc>
          <w:tcPr>
            <w:tcW w:w="7371" w:type="dxa"/>
          </w:tcPr>
          <w:p w:rsidR="00DA774F" w:rsidRPr="0021236A" w:rsidRDefault="00DA774F" w:rsidP="0036452E">
            <w:pPr>
              <w:pStyle w:val="TableText"/>
              <w:rPr>
                <w:rFonts w:eastAsia="MS Gothic"/>
                <w:color w:val="404040"/>
              </w:rPr>
            </w:pPr>
            <w:r w:rsidRPr="0021236A">
              <w:t>Understanding and knowledge of radiotherapy indications and treatment regimes. Involvement in an MDM may assist, as would access to online referral and treatment guidelines.</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Specialty</w:t>
            </w:r>
          </w:p>
        </w:tc>
        <w:tc>
          <w:tcPr>
            <w:tcW w:w="7371" w:type="dxa"/>
          </w:tcPr>
          <w:p w:rsidR="00DA774F" w:rsidRPr="0021236A" w:rsidRDefault="00DA774F" w:rsidP="0036452E">
            <w:pPr>
              <w:pStyle w:val="TableText"/>
              <w:rPr>
                <w:rFonts w:eastAsia="MS Gothic"/>
                <w:color w:val="404040"/>
              </w:rPr>
            </w:pPr>
            <w:r w:rsidRPr="0021236A">
              <w:t>Radiotherapy is often delivered in conjunction with surgery and chemotherapy. The use and order of the multiple treatment modalities may be influenced by the specialty of the referrer, or the preferences of the individual specialist.</w:t>
            </w:r>
            <w:r>
              <w:t xml:space="preserve"> </w:t>
            </w:r>
            <w:r w:rsidRPr="0021236A">
              <w:t xml:space="preserve">Use of </w:t>
            </w:r>
            <w:proofErr w:type="gramStart"/>
            <w:r w:rsidRPr="0021236A">
              <w:t>MDMs,</w:t>
            </w:r>
            <w:proofErr w:type="gramEnd"/>
            <w:r w:rsidRPr="0021236A">
              <w:t xml:space="preserve"> and availability of referral and treatment pathways and guidelines may improve access.</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Outreach</w:t>
            </w:r>
          </w:p>
        </w:tc>
        <w:tc>
          <w:tcPr>
            <w:tcW w:w="7371" w:type="dxa"/>
          </w:tcPr>
          <w:p w:rsidR="00DA774F" w:rsidRPr="0021236A" w:rsidRDefault="00DA774F" w:rsidP="0036452E">
            <w:pPr>
              <w:pStyle w:val="TableText"/>
              <w:rPr>
                <w:rFonts w:eastAsia="MS Gothic"/>
                <w:color w:val="404040"/>
              </w:rPr>
            </w:pPr>
            <w:r w:rsidRPr="0021236A">
              <w:t>Where there is no local radiotherapy service, outreach services can support referral for radiotherapy through effective communication with local GPs and specialists.</w:t>
            </w:r>
            <w:r>
              <w:t xml:space="preserve"> ‘</w:t>
            </w:r>
            <w:r w:rsidRPr="0021236A">
              <w:t>Virtual</w:t>
            </w:r>
            <w:r>
              <w:t>’</w:t>
            </w:r>
            <w:r w:rsidRPr="0021236A">
              <w:t xml:space="preserve"> outreach through </w:t>
            </w:r>
            <w:proofErr w:type="spellStart"/>
            <w:r w:rsidRPr="0021236A">
              <w:t>telehealth</w:t>
            </w:r>
            <w:proofErr w:type="spellEnd"/>
            <w:r w:rsidRPr="0021236A">
              <w:t xml:space="preserve"> can also assist.</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Wait time</w:t>
            </w:r>
          </w:p>
        </w:tc>
        <w:tc>
          <w:tcPr>
            <w:tcW w:w="7371" w:type="dxa"/>
          </w:tcPr>
          <w:p w:rsidR="00DA774F" w:rsidRPr="0021236A" w:rsidRDefault="00DA774F" w:rsidP="0036452E">
            <w:pPr>
              <w:pStyle w:val="TableText"/>
              <w:rPr>
                <w:rFonts w:eastAsia="MS Gothic"/>
                <w:color w:val="404040"/>
              </w:rPr>
            </w:pPr>
            <w:r w:rsidRPr="0021236A">
              <w:t>Perception of lengthy waits may discourage referrals, whether or not that perception matches reality.</w:t>
            </w:r>
          </w:p>
        </w:tc>
      </w:tr>
      <w:tr w:rsidR="00DA774F" w:rsidRPr="0021236A" w:rsidTr="00DA774F">
        <w:trPr>
          <w:cantSplit/>
        </w:trPr>
        <w:tc>
          <w:tcPr>
            <w:tcW w:w="1985" w:type="dxa"/>
          </w:tcPr>
          <w:p w:rsidR="00DA774F" w:rsidRPr="0021236A" w:rsidRDefault="00DA774F" w:rsidP="0036452E">
            <w:pPr>
              <w:pStyle w:val="TableText"/>
              <w:rPr>
                <w:rFonts w:eastAsia="MS Gothic"/>
                <w:color w:val="404040"/>
              </w:rPr>
            </w:pPr>
            <w:r w:rsidRPr="0021236A">
              <w:t>Financial impacts</w:t>
            </w:r>
          </w:p>
        </w:tc>
        <w:tc>
          <w:tcPr>
            <w:tcW w:w="7371" w:type="dxa"/>
          </w:tcPr>
          <w:p w:rsidR="00DA774F" w:rsidRPr="0021236A" w:rsidRDefault="00DA774F" w:rsidP="0036452E">
            <w:pPr>
              <w:pStyle w:val="TableText"/>
              <w:rPr>
                <w:rFonts w:eastAsia="MS Gothic"/>
                <w:color w:val="404040"/>
              </w:rPr>
            </w:pPr>
            <w:r w:rsidRPr="0021236A">
              <w:t>Financial impacts of referral on an individual practitioner or on a service.</w:t>
            </w:r>
          </w:p>
        </w:tc>
      </w:tr>
    </w:tbl>
    <w:p w:rsidR="00DA774F" w:rsidRDefault="00DA774F" w:rsidP="00DA774F">
      <w:pPr>
        <w:pStyle w:val="Source"/>
      </w:pPr>
      <w:proofErr w:type="gramStart"/>
      <w:r>
        <w:t>B</w:t>
      </w:r>
      <w:r w:rsidRPr="007E7990">
        <w:t>ased on NSW Health report, 2011</w:t>
      </w:r>
      <w:r>
        <w:t>.</w:t>
      </w:r>
      <w:proofErr w:type="gramEnd"/>
    </w:p>
    <w:p w:rsidR="00DA774F" w:rsidRPr="00DA774F" w:rsidRDefault="00DA774F" w:rsidP="00DA774F"/>
    <w:p w:rsidR="00F425CB" w:rsidRPr="007E7990" w:rsidRDefault="00F425CB" w:rsidP="00DA774F">
      <w:pPr>
        <w:pStyle w:val="Heading3"/>
        <w:rPr>
          <w:color w:val="000000"/>
        </w:rPr>
      </w:pPr>
      <w:bookmarkStart w:id="155" w:name="_Toc367372317"/>
      <w:bookmarkStart w:id="156" w:name="_Toc376936385"/>
      <w:r w:rsidRPr="007E7990">
        <w:t>5.1.3</w:t>
      </w:r>
      <w:r w:rsidRPr="007E7990">
        <w:tab/>
        <w:t>International experience with optimal IRs</w:t>
      </w:r>
      <w:bookmarkEnd w:id="155"/>
      <w:bookmarkEnd w:id="156"/>
    </w:p>
    <w:p w:rsidR="007E7990" w:rsidRPr="007E7990" w:rsidRDefault="00F425CB" w:rsidP="0036452E">
      <w:r w:rsidRPr="007E7990">
        <w:t>There is little evidence – either internationally or in New Zealand</w:t>
      </w:r>
      <w:r w:rsidR="007E7990" w:rsidRPr="007E7990">
        <w:t xml:space="preserve"> – </w:t>
      </w:r>
      <w:r w:rsidRPr="007E7990">
        <w:t>to demonstrate that a higher radiation therapy IR results in better population cancer outcomes.</w:t>
      </w:r>
      <w:r w:rsidR="007E7990" w:rsidRPr="007E7990">
        <w:t xml:space="preserve"> </w:t>
      </w:r>
      <w:r w:rsidRPr="007E7990">
        <w:t>However, it is apparent that health systems generally consider a higher rate to be an indicator of good access and performance, and a number of countries internationally (including Australia, and the various UK</w:t>
      </w:r>
      <w:r w:rsidR="00FD59B9">
        <w:t> </w:t>
      </w:r>
      <w:r w:rsidRPr="007E7990">
        <w:t>health jurisdictions) have set national target IRs to inform service and capacity development.</w:t>
      </w:r>
    </w:p>
    <w:p w:rsidR="00F425CB" w:rsidRPr="007E7990" w:rsidRDefault="00F425CB" w:rsidP="0036452E"/>
    <w:p w:rsidR="00F425CB" w:rsidRPr="007E7990" w:rsidRDefault="00F425CB" w:rsidP="0036452E">
      <w:r w:rsidRPr="007E7990">
        <w:lastRenderedPageBreak/>
        <w:t xml:space="preserve">Where such a national target rate is set, this tends to be based on an </w:t>
      </w:r>
      <w:r w:rsidR="007E7990" w:rsidRPr="007E7990">
        <w:t>‘</w:t>
      </w:r>
      <w:r w:rsidRPr="007E7990">
        <w:t>optimal</w:t>
      </w:r>
      <w:r w:rsidR="007E7990" w:rsidRPr="007E7990">
        <w:t>’</w:t>
      </w:r>
      <w:r w:rsidRPr="007E7990">
        <w:t xml:space="preserve"> IR which uses best available evidence or expert consensus to determine the proportion of cancer patients with an indication for radiation therapy. As discussed in Section 5.1.3, work in Australia based on detailed literature review and </w:t>
      </w:r>
      <w:r w:rsidR="006664E6" w:rsidRPr="007E7990">
        <w:t>modelling</w:t>
      </w:r>
      <w:r w:rsidRPr="007E7990">
        <w:t xml:space="preserve"> deﬁned radiotherapy to be a necessary component of treatment in 52.3% of all newly diagnosed cancers in Australia</w:t>
      </w:r>
      <w:r w:rsidR="0036452E">
        <w:t>.</w:t>
      </w:r>
      <w:r w:rsidRPr="0036452E">
        <w:rPr>
          <w:rStyle w:val="FootnoteReference"/>
        </w:rPr>
        <w:footnoteReference w:id="32"/>
      </w:r>
      <w:r w:rsidRPr="007E7990">
        <w:t xml:space="preserve"> This ﬁgure has been accepted to apply more generally for developed countries and has been used as a reference for benchmarking actual radiation therapy utilisation across a range of health systems. In the UK, for example, highly variable access rates for radiotherapy, ranging between 25% and 49%, have been observed</w:t>
      </w:r>
      <w:r w:rsidR="0036452E">
        <w:t>.</w:t>
      </w:r>
      <w:r w:rsidRPr="0036452E">
        <w:rPr>
          <w:rStyle w:val="FootnoteReference"/>
        </w:rPr>
        <w:footnoteReference w:id="33"/>
      </w:r>
      <w:r w:rsidR="007E7990" w:rsidRPr="007E7990">
        <w:t xml:space="preserve"> </w:t>
      </w:r>
      <w:r w:rsidRPr="007E7990">
        <w:t>More recently the recommended Australian rate has been revised downwards to 48%, ranging from 46 to 50% for different Australian states</w:t>
      </w:r>
      <w:r w:rsidR="0036452E">
        <w:t>.</w:t>
      </w:r>
      <w:r w:rsidRPr="0036452E">
        <w:rPr>
          <w:rStyle w:val="FootnoteReference"/>
        </w:rPr>
        <w:footnoteReference w:id="34"/>
      </w:r>
    </w:p>
    <w:p w:rsidR="00F425CB" w:rsidRPr="007E7990" w:rsidRDefault="00F425CB" w:rsidP="0036452E"/>
    <w:p w:rsidR="007E7990" w:rsidRPr="007E7990" w:rsidRDefault="00F425CB" w:rsidP="0036452E">
      <w:r w:rsidRPr="007E7990">
        <w:t>Australia</w:t>
      </w:r>
      <w:r w:rsidR="0036452E">
        <w:t>,</w:t>
      </w:r>
      <w:r w:rsidRPr="0036452E">
        <w:rPr>
          <w:rStyle w:val="FootnoteReference"/>
        </w:rPr>
        <w:footnoteReference w:id="35"/>
      </w:r>
      <w:r w:rsidRPr="007E7990">
        <w:t xml:space="preserve"> Scotland</w:t>
      </w:r>
      <w:r w:rsidRPr="0036452E">
        <w:rPr>
          <w:rStyle w:val="FootnoteReference"/>
        </w:rPr>
        <w:footnoteReference w:id="36"/>
      </w:r>
      <w:r w:rsidRPr="007E7990">
        <w:t xml:space="preserve"> and England have all set national target IRs based on analysis of optimal radiation therapy treatment by cancer type.</w:t>
      </w:r>
      <w:r w:rsidR="007E7990" w:rsidRPr="007E7990">
        <w:t xml:space="preserve"> </w:t>
      </w:r>
      <w:r w:rsidRPr="007E7990">
        <w:t>In England the NRAG model</w:t>
      </w:r>
      <w:r w:rsidRPr="0036452E">
        <w:rPr>
          <w:rStyle w:val="FootnoteReference"/>
        </w:rPr>
        <w:footnoteReference w:id="37"/>
      </w:r>
      <w:r w:rsidRPr="007E7990">
        <w:t xml:space="preserve"> uses information gathered from work in Canada, Australia and particularly Scotland to derive a radiation therapy rate for each cancer type, adjusted for English clinical practice. In all three cases the targets are positioned as aspirational goals rather than absolutes, and with the aims of:</w:t>
      </w:r>
    </w:p>
    <w:p w:rsidR="00F425CB" w:rsidRPr="007E7990" w:rsidRDefault="0036452E" w:rsidP="0036452E">
      <w:pPr>
        <w:pStyle w:val="Bullet"/>
      </w:pPr>
      <w:r>
        <w:t>r</w:t>
      </w:r>
      <w:r w:rsidR="00F425CB" w:rsidRPr="007E7990">
        <w:t>educing variation in access across cancer centres and geographic populations</w:t>
      </w:r>
    </w:p>
    <w:p w:rsidR="00F425CB" w:rsidRPr="007E7990" w:rsidRDefault="0036452E" w:rsidP="0036452E">
      <w:pPr>
        <w:pStyle w:val="Bullet"/>
      </w:pPr>
      <w:r>
        <w:t>e</w:t>
      </w:r>
      <w:r w:rsidR="00F425CB" w:rsidRPr="007E7990">
        <w:t>nsuring access rates that encourage best clinical practice in use of radiation therapy</w:t>
      </w:r>
    </w:p>
    <w:p w:rsidR="00F425CB" w:rsidRPr="007E7990" w:rsidRDefault="0036452E" w:rsidP="0036452E">
      <w:pPr>
        <w:pStyle w:val="Bullet"/>
      </w:pPr>
      <w:proofErr w:type="gramStart"/>
      <w:r>
        <w:t>s</w:t>
      </w:r>
      <w:r w:rsidR="00F425CB" w:rsidRPr="007E7990">
        <w:t>upporting</w:t>
      </w:r>
      <w:proofErr w:type="gramEnd"/>
      <w:r w:rsidR="00F425CB" w:rsidRPr="007E7990">
        <w:t xml:space="preserve"> use of consistent assumptions to inform planning of future capacity requirements (including equipment and facilities, and education and training).</w:t>
      </w:r>
    </w:p>
    <w:p w:rsidR="00F425CB" w:rsidRDefault="00F425CB" w:rsidP="0036452E"/>
    <w:p w:rsidR="007E7990" w:rsidRPr="007E7990" w:rsidRDefault="00F425CB" w:rsidP="0036452E">
      <w:pPr>
        <w:pStyle w:val="Heading3"/>
      </w:pPr>
      <w:bookmarkStart w:id="157" w:name="_Toc367372318"/>
      <w:bookmarkStart w:id="158" w:name="_Toc376936386"/>
      <w:r w:rsidRPr="007E7990">
        <w:t>5.1.4</w:t>
      </w:r>
      <w:r w:rsidRPr="007E7990">
        <w:tab/>
        <w:t>A preferred scenario for New Zealand</w:t>
      </w:r>
      <w:bookmarkEnd w:id="157"/>
      <w:bookmarkEnd w:id="158"/>
    </w:p>
    <w:p w:rsidR="007E7990" w:rsidRPr="007E7990" w:rsidRDefault="00F425CB" w:rsidP="0036452E">
      <w:r w:rsidRPr="007E7990">
        <w:t>New Zealand does not have a national target IR.</w:t>
      </w:r>
      <w:r w:rsidR="007E7990" w:rsidRPr="007E7990">
        <w:t xml:space="preserve"> </w:t>
      </w:r>
      <w:r w:rsidRPr="007E7990">
        <w:t xml:space="preserve">Nor has the analysis been undertaken here to determine an </w:t>
      </w:r>
      <w:r w:rsidR="007E7990" w:rsidRPr="007E7990">
        <w:t>‘</w:t>
      </w:r>
      <w:r w:rsidRPr="007E7990">
        <w:t>optimal</w:t>
      </w:r>
      <w:r w:rsidR="007E7990" w:rsidRPr="007E7990">
        <w:t>’</w:t>
      </w:r>
      <w:r w:rsidRPr="007E7990">
        <w:t xml:space="preserve"> IR</w:t>
      </w:r>
      <w:r w:rsidR="0036452E">
        <w:t>.</w:t>
      </w:r>
      <w:r w:rsidRPr="0036452E">
        <w:rPr>
          <w:rStyle w:val="FootnoteReference"/>
        </w:rPr>
        <w:footnoteReference w:id="38"/>
      </w:r>
      <w:r w:rsidRPr="007E7990">
        <w:t xml:space="preserve"> However, work within the Cancer Programme on tumour pathways will over time confirm the indications for radiation therapy and thereby contribute to such an analysis.</w:t>
      </w:r>
    </w:p>
    <w:p w:rsidR="00F425CB" w:rsidRPr="007E7990" w:rsidRDefault="00F425CB" w:rsidP="0036452E"/>
    <w:p w:rsidR="007E7990" w:rsidRPr="007E7990" w:rsidRDefault="00F425CB" w:rsidP="00BB47F0">
      <w:pPr>
        <w:keepNext/>
      </w:pPr>
      <w:r w:rsidRPr="007E7990">
        <w:lastRenderedPageBreak/>
        <w:t>Mode</w:t>
      </w:r>
      <w:r w:rsidR="003E3AAB">
        <w:t xml:space="preserve">lling undertaken by the four </w:t>
      </w:r>
      <w:r w:rsidR="003E3AAB" w:rsidRPr="007E7990">
        <w:t>regions</w:t>
      </w:r>
      <w:r w:rsidRPr="007E7990">
        <w:t xml:space="preserve"> in developing their capacity forecasts (published in 2012) was not based on best clinical practice by tumour type, but rather consideration of radiation therapy use in aggregate across all cancers.</w:t>
      </w:r>
      <w:r w:rsidR="007E7990" w:rsidRPr="007E7990">
        <w:t xml:space="preserve"> </w:t>
      </w:r>
      <w:r w:rsidR="003E3AAB">
        <w:t xml:space="preserve">The regional </w:t>
      </w:r>
      <w:r w:rsidRPr="007E7990">
        <w:t>cancer networks all explored a range of IR scenarios, informed by advice from the Ministry that:</w:t>
      </w:r>
    </w:p>
    <w:p w:rsidR="007E7990" w:rsidRDefault="007E7990" w:rsidP="0047191A">
      <w:pPr>
        <w:pStyle w:val="Quote"/>
      </w:pPr>
      <w:r>
        <w:t>“</w:t>
      </w:r>
      <w:r w:rsidR="00F425CB" w:rsidRPr="00DC01E5">
        <w:t>An intervention rate of 45% is accepted as reasonable.</w:t>
      </w:r>
      <w:r>
        <w:t xml:space="preserve"> </w:t>
      </w:r>
      <w:r w:rsidR="00F425CB" w:rsidRPr="00DC01E5">
        <w:t>However it is for each region to determine the time frame over which it would/could support capacity growth to achieve this intervention rate from the current regional baseline.</w:t>
      </w:r>
      <w:r>
        <w:t>”</w:t>
      </w:r>
      <w:r w:rsidR="00F425CB" w:rsidRPr="0047191A">
        <w:rPr>
          <w:rStyle w:val="FootnoteReference"/>
        </w:rPr>
        <w:footnoteReference w:id="39"/>
      </w:r>
    </w:p>
    <w:p w:rsidR="0047191A" w:rsidRDefault="0047191A" w:rsidP="0047191A"/>
    <w:p w:rsidR="00F425CB" w:rsidRPr="007E7990" w:rsidRDefault="00F425CB" w:rsidP="0047191A">
      <w:r w:rsidRPr="007E7990">
        <w:t>The regional capacity modelling reports indicate that the DHBs in all four regions intend lifting their IRs to reach the 45% in the next 5</w:t>
      </w:r>
      <w:r w:rsidR="0047191A">
        <w:t>–</w:t>
      </w:r>
      <w:r w:rsidRPr="007E7990">
        <w:t>8 years.</w:t>
      </w:r>
      <w:r w:rsidR="007E7990" w:rsidRPr="007E7990">
        <w:t xml:space="preserve"> </w:t>
      </w:r>
      <w:r w:rsidRPr="007E7990">
        <w:t>The Ministry and DHBs did not intend these regional rates to reflect an absolute commitment to expand capacity and access to this level, but rather as a basis for future service and capacity planning and decision-making.</w:t>
      </w:r>
      <w:r w:rsidR="007E7990" w:rsidRPr="007E7990">
        <w:t xml:space="preserve"> </w:t>
      </w:r>
      <w:r w:rsidRPr="007E7990">
        <w:t>They represent a potential outcome of the increased standardisation and consistency expected to occur over the next decade.</w:t>
      </w:r>
      <w:r w:rsidR="007E7990" w:rsidRPr="007E7990">
        <w:t xml:space="preserve"> </w:t>
      </w:r>
      <w:r w:rsidRPr="007E7990">
        <w:t>As experience builds, the IR to use for planning purposes may be adjusted.</w:t>
      </w:r>
    </w:p>
    <w:p w:rsidR="00F425CB" w:rsidRPr="007E7990" w:rsidRDefault="00F425CB" w:rsidP="0047191A"/>
    <w:p w:rsidR="00F425CB" w:rsidRPr="007E7990" w:rsidRDefault="00F425CB" w:rsidP="0047191A">
      <w:r w:rsidRPr="007E7990">
        <w:t>Using 45% IR is equivalent to the Growth scenario described in Section 4, and has been accepted as the preferred scenario for this Plan, and for future service and capacity planning.</w:t>
      </w:r>
      <w:r w:rsidR="007E7990" w:rsidRPr="007E7990">
        <w:t xml:space="preserve"> </w:t>
      </w:r>
      <w:r w:rsidRPr="007E7990">
        <w:t>This 10-year scenario is for:</w:t>
      </w:r>
    </w:p>
    <w:p w:rsidR="00F425CB" w:rsidRPr="007E7990" w:rsidRDefault="0047191A" w:rsidP="0047191A">
      <w:pPr>
        <w:pStyle w:val="Bullet"/>
      </w:pPr>
      <w:r>
        <w:t>a</w:t>
      </w:r>
      <w:r w:rsidR="00F425CB" w:rsidRPr="007E7990">
        <w:t>n IR of 45%</w:t>
      </w:r>
    </w:p>
    <w:p w:rsidR="00F425CB" w:rsidRPr="007E7990" w:rsidRDefault="0047191A" w:rsidP="0047191A">
      <w:pPr>
        <w:pStyle w:val="Bullet"/>
      </w:pPr>
      <w:proofErr w:type="gramStart"/>
      <w:r>
        <w:t>c</w:t>
      </w:r>
      <w:r w:rsidR="00F425CB" w:rsidRPr="007E7990">
        <w:t>urrent</w:t>
      </w:r>
      <w:proofErr w:type="gramEnd"/>
      <w:r w:rsidR="00F425CB" w:rsidRPr="007E7990">
        <w:t xml:space="preserve"> RTR.</w:t>
      </w:r>
    </w:p>
    <w:p w:rsidR="0047191A" w:rsidRDefault="0047191A" w:rsidP="0047191A"/>
    <w:p w:rsidR="00F425CB" w:rsidRPr="007E7990" w:rsidRDefault="00F425CB" w:rsidP="0047191A">
      <w:r w:rsidRPr="007E7990">
        <w:t xml:space="preserve">It would also seem prudent to assume that the operational gains and tipping point measures discussed in Section 4.5 are able to </w:t>
      </w:r>
      <w:proofErr w:type="gramStart"/>
      <w:r w:rsidRPr="007E7990">
        <w:t>implemented</w:t>
      </w:r>
      <w:proofErr w:type="gramEnd"/>
      <w:r w:rsidRPr="007E7990">
        <w:t>.</w:t>
      </w:r>
      <w:r w:rsidR="007E7990" w:rsidRPr="007E7990">
        <w:t xml:space="preserve"> </w:t>
      </w:r>
      <w:r w:rsidRPr="007E7990">
        <w:t>That is, 1% operational gain each year for 10</w:t>
      </w:r>
      <w:r w:rsidR="0047191A">
        <w:t> </w:t>
      </w:r>
      <w:r w:rsidRPr="007E7990">
        <w:t xml:space="preserve">years in </w:t>
      </w:r>
      <w:proofErr w:type="gramStart"/>
      <w:r w:rsidRPr="007E7990">
        <w:t>either treatments per course, or treatment times, or both, and</w:t>
      </w:r>
      <w:proofErr w:type="gramEnd"/>
      <w:r w:rsidRPr="007E7990">
        <w:t xml:space="preserve"> measures such as outsourcing or increasing linac operating hours to postpone new linac builds.</w:t>
      </w:r>
    </w:p>
    <w:p w:rsidR="00F425CB" w:rsidRPr="007E7990" w:rsidRDefault="00F425CB" w:rsidP="0047191A"/>
    <w:p w:rsidR="00F425CB" w:rsidRPr="007E7990" w:rsidRDefault="00F425CB" w:rsidP="0047191A">
      <w:r w:rsidRPr="007E7990">
        <w:t>As presented in Section 4, this suggests the need by 2022 for an additional:</w:t>
      </w:r>
    </w:p>
    <w:p w:rsidR="00F425CB" w:rsidRPr="007E7990" w:rsidRDefault="00F425CB" w:rsidP="0047191A">
      <w:pPr>
        <w:pStyle w:val="Bullet"/>
      </w:pPr>
      <w:r w:rsidRPr="007E7990">
        <w:t>six linacs, with the first in 2016</w:t>
      </w:r>
    </w:p>
    <w:p w:rsidR="00F425CB" w:rsidRPr="007E7990" w:rsidRDefault="00F425CB" w:rsidP="0047191A">
      <w:pPr>
        <w:pStyle w:val="Bullet"/>
      </w:pPr>
      <w:r w:rsidRPr="007E7990">
        <w:t>seven radiation oncologists, 30 medical physicists, and 25 radiation therapists over and above the current base and the current proportion of training output retained in the New Zealand health system</w:t>
      </w:r>
    </w:p>
    <w:p w:rsidR="00F425CB" w:rsidRPr="007E7990" w:rsidRDefault="00F425CB" w:rsidP="0047191A">
      <w:pPr>
        <w:pStyle w:val="Bullet"/>
      </w:pPr>
      <w:r w:rsidRPr="007E7990">
        <w:t>$77</w:t>
      </w:r>
      <w:r w:rsidR="003E3AAB">
        <w:t xml:space="preserve"> </w:t>
      </w:r>
      <w:r w:rsidRPr="007E7990">
        <w:t>m</w:t>
      </w:r>
      <w:r w:rsidR="003E3AAB">
        <w:t>illion</w:t>
      </w:r>
      <w:r w:rsidRPr="007E7990">
        <w:t xml:space="preserve"> pa operating costs (making $180</w:t>
      </w:r>
      <w:r w:rsidR="003E3AAB">
        <w:t xml:space="preserve"> </w:t>
      </w:r>
      <w:r w:rsidRPr="007E7990">
        <w:t>m</w:t>
      </w:r>
      <w:r w:rsidR="003E3AAB">
        <w:t>illion</w:t>
      </w:r>
      <w:r w:rsidRPr="007E7990">
        <w:t xml:space="preserve"> total)</w:t>
      </w:r>
    </w:p>
    <w:p w:rsidR="007E7990" w:rsidRPr="007E7990" w:rsidRDefault="00F425CB" w:rsidP="0047191A">
      <w:pPr>
        <w:pStyle w:val="Bullet"/>
      </w:pPr>
      <w:r w:rsidRPr="007E7990">
        <w:t>$65</w:t>
      </w:r>
      <w:r w:rsidR="003E3AAB">
        <w:t xml:space="preserve"> </w:t>
      </w:r>
      <w:r w:rsidRPr="007E7990">
        <w:t>m</w:t>
      </w:r>
      <w:r w:rsidR="003E3AAB">
        <w:t>illion</w:t>
      </w:r>
      <w:r w:rsidRPr="007E7990">
        <w:t xml:space="preserve"> capital (with a further $152</w:t>
      </w:r>
      <w:r w:rsidR="003E3AAB">
        <w:t xml:space="preserve"> </w:t>
      </w:r>
      <w:r w:rsidRPr="007E7990">
        <w:t>m</w:t>
      </w:r>
      <w:r w:rsidR="003E3AAB">
        <w:t>illion</w:t>
      </w:r>
      <w:r w:rsidRPr="007E7990">
        <w:t xml:space="preserve"> in replacing and maintaining existing linear accelerators).</w:t>
      </w:r>
    </w:p>
    <w:p w:rsidR="00F425CB" w:rsidRPr="007E7990" w:rsidRDefault="00F425CB" w:rsidP="0047191A"/>
    <w:p w:rsidR="00F425CB" w:rsidRPr="007E7990" w:rsidRDefault="00F425CB" w:rsidP="0047191A">
      <w:pPr>
        <w:keepLines/>
      </w:pPr>
      <w:r w:rsidRPr="007E7990">
        <w:lastRenderedPageBreak/>
        <w:t>Pursuing this Growth scenario has significant implications for all DHBs, particularly when the increased activity is combined with the additional volumes that will be required by increased cancer incidence.</w:t>
      </w:r>
      <w:r w:rsidR="007E7990" w:rsidRPr="007E7990">
        <w:t xml:space="preserve"> </w:t>
      </w:r>
      <w:r w:rsidRPr="007E7990">
        <w:t>Of the $77</w:t>
      </w:r>
      <w:r w:rsidR="003E3AAB">
        <w:t xml:space="preserve"> </w:t>
      </w:r>
      <w:r w:rsidRPr="007E7990">
        <w:t>m</w:t>
      </w:r>
      <w:r w:rsidR="003E3AAB">
        <w:t>illion</w:t>
      </w:r>
      <w:r w:rsidRPr="007E7990">
        <w:t xml:space="preserve"> operating costs increase over the base, $41</w:t>
      </w:r>
      <w:r w:rsidR="003E3AAB">
        <w:t xml:space="preserve"> </w:t>
      </w:r>
      <w:r w:rsidRPr="007E7990">
        <w:t>m</w:t>
      </w:r>
      <w:r w:rsidR="003E3AAB">
        <w:t>illion</w:t>
      </w:r>
      <w:r w:rsidRPr="007E7990">
        <w:t xml:space="preserve"> is growth due to demography and cancer incidence changes.</w:t>
      </w:r>
      <w:r w:rsidR="007E7990" w:rsidRPr="007E7990">
        <w:t xml:space="preserve"> </w:t>
      </w:r>
      <w:r w:rsidRPr="007E7990">
        <w:t>Assuming that the PBFF demographic adjuster will cover that growth, then there will remain $36</w:t>
      </w:r>
      <w:r w:rsidR="003E3AAB">
        <w:t xml:space="preserve"> </w:t>
      </w:r>
      <w:r w:rsidRPr="007E7990">
        <w:t>m</w:t>
      </w:r>
      <w:r w:rsidR="003E3AAB">
        <w:t>illion</w:t>
      </w:r>
      <w:r w:rsidRPr="007E7990">
        <w:t xml:space="preserve"> for DHBs to find.</w:t>
      </w:r>
      <w:r w:rsidR="007E7990" w:rsidRPr="007E7990">
        <w:t xml:space="preserve"> </w:t>
      </w:r>
      <w:r w:rsidRPr="007E7990">
        <w:t>The different impacts on each DHB</w:t>
      </w:r>
      <w:r w:rsidR="007E7990" w:rsidRPr="007E7990">
        <w:t>’</w:t>
      </w:r>
      <w:r w:rsidRPr="007E7990">
        <w:t>s operating expenditure on radiation therapy are shown in</w:t>
      </w:r>
      <w:r w:rsidR="0047191A">
        <w:t xml:space="preserve"> Figure 4</w:t>
      </w:r>
      <w:r w:rsidRPr="007E7990">
        <w:t xml:space="preserve"> which uses the national DHB radiation therapy price applied to the required volume increase if each DHB were to individually reach a 45% IR</w:t>
      </w:r>
      <w:r w:rsidR="0047191A">
        <w:t>.</w:t>
      </w:r>
      <w:r w:rsidRPr="0047191A">
        <w:rPr>
          <w:rStyle w:val="FootnoteReference"/>
        </w:rPr>
        <w:footnoteReference w:id="40"/>
      </w:r>
    </w:p>
    <w:p w:rsidR="00F425CB" w:rsidRPr="007E7990" w:rsidRDefault="00F425CB" w:rsidP="0047191A"/>
    <w:p w:rsidR="00F425CB" w:rsidRPr="007E7990" w:rsidRDefault="00F425CB" w:rsidP="0047191A">
      <w:r w:rsidRPr="007E7990">
        <w:t>Volume growth of this magnitude will require resource reallocation by DHBs, and hence deliberate prioritisation processes in which radiation therapy will be competing with other possible investment and disinvestment options.</w:t>
      </w:r>
      <w:r w:rsidR="007E7990" w:rsidRPr="007E7990">
        <w:t xml:space="preserve"> </w:t>
      </w:r>
      <w:r w:rsidRPr="007E7990">
        <w:t>Similar disciplined prioritisation processes will be required:</w:t>
      </w:r>
    </w:p>
    <w:p w:rsidR="00F425CB" w:rsidRPr="007E7990" w:rsidRDefault="0047191A" w:rsidP="0047191A">
      <w:pPr>
        <w:pStyle w:val="Bullet"/>
      </w:pPr>
      <w:r>
        <w:t>b</w:t>
      </w:r>
      <w:r w:rsidR="00F425CB" w:rsidRPr="007E7990">
        <w:t>y DHBs with cancer centres in allocating capital for linac and facility expansion (in addition to expenditure on linac replacement)</w:t>
      </w:r>
    </w:p>
    <w:p w:rsidR="007E7990" w:rsidRPr="007E7990" w:rsidRDefault="0047191A" w:rsidP="0047191A">
      <w:pPr>
        <w:pStyle w:val="Bullet"/>
      </w:pPr>
      <w:proofErr w:type="gramStart"/>
      <w:r>
        <w:t>b</w:t>
      </w:r>
      <w:r w:rsidR="00F425CB" w:rsidRPr="007E7990">
        <w:t>y</w:t>
      </w:r>
      <w:proofErr w:type="gramEnd"/>
      <w:r w:rsidR="00F425CB" w:rsidRPr="007E7990">
        <w:t xml:space="preserve"> HWNZ and the Tertiary Education Commission in funding education and training for the expanded radiation oncology workforce.</w:t>
      </w:r>
    </w:p>
    <w:p w:rsidR="00F425CB" w:rsidRPr="007E7990" w:rsidRDefault="00F425CB" w:rsidP="0047191A"/>
    <w:p w:rsidR="00F425CB" w:rsidRPr="007E7990" w:rsidRDefault="00F425CB" w:rsidP="0047191A">
      <w:r w:rsidRPr="007E7990">
        <w:t>These investment matters are discussed further in Section 5.5.</w:t>
      </w:r>
    </w:p>
    <w:p w:rsidR="00F425CB" w:rsidRPr="007E7990" w:rsidRDefault="00F425CB" w:rsidP="0047191A"/>
    <w:p w:rsidR="007E7990" w:rsidRPr="007E7990" w:rsidRDefault="00F425CB" w:rsidP="0047191A">
      <w:r w:rsidRPr="007E7990">
        <w:t>Increasing the IR will also require each regional cancer network to understand current access patterns, identify barriers, and devise local and regional solutions.</w:t>
      </w:r>
      <w:r w:rsidR="007E7990" w:rsidRPr="007E7990">
        <w:t xml:space="preserve"> </w:t>
      </w:r>
      <w:r w:rsidRPr="007E7990">
        <w:t>Some degree of variation in access to radiation therapy between DHBs is to be expected, where alternate treatment pathways are available and patient needs are being met.</w:t>
      </w:r>
      <w:r w:rsidR="007E7990" w:rsidRPr="007E7990">
        <w:t xml:space="preserve"> </w:t>
      </w:r>
      <w:r w:rsidRPr="007E7990">
        <w:t xml:space="preserve">Where variation exists, regional cancer networks should be expected to be able to explain </w:t>
      </w:r>
      <w:proofErr w:type="gramStart"/>
      <w:r w:rsidRPr="007E7990">
        <w:t>why,</w:t>
      </w:r>
      <w:proofErr w:type="gramEnd"/>
      <w:r w:rsidRPr="007E7990">
        <w:t xml:space="preserve"> and how overall cancer treatments are being managed.</w:t>
      </w:r>
    </w:p>
    <w:p w:rsidR="00F425CB" w:rsidRPr="007E7990" w:rsidRDefault="00F425CB" w:rsidP="0047191A"/>
    <w:p w:rsidR="007E7990" w:rsidRPr="007E7990" w:rsidRDefault="00F425CB" w:rsidP="0047191A">
      <w:r w:rsidRPr="007E7990">
        <w:t>Furthermore, movement to a consistent access rate across all the cancer centres will require greater alignment of clinical practice and models of care through increased collaboration to reduce variation.</w:t>
      </w:r>
      <w:r w:rsidR="007E7990" w:rsidRPr="007E7990">
        <w:t xml:space="preserve"> </w:t>
      </w:r>
      <w:r w:rsidRPr="007E7990">
        <w:t>Historically the cancer centres have developed and worked in relative isolation from each other.</w:t>
      </w:r>
      <w:r w:rsidR="007E7990" w:rsidRPr="007E7990">
        <w:t xml:space="preserve"> </w:t>
      </w:r>
      <w:r w:rsidRPr="007E7990">
        <w:t>Creation of the regional networks has contributed to improved linkages between referring DHBs and their cancer centre, and between cancer centres in the same region.</w:t>
      </w:r>
      <w:r w:rsidR="007E7990" w:rsidRPr="007E7990">
        <w:t xml:space="preserve"> </w:t>
      </w:r>
      <w:r w:rsidRPr="007E7990">
        <w:t>National planning of radiation oncology will support the continued evolution of this collaboration in addressing issues of access, productivity improvement, best clinical practice, adoption of new techniques and technologies, workforce planning and value for money.</w:t>
      </w:r>
    </w:p>
    <w:p w:rsidR="00F425CB" w:rsidRPr="007E7990" w:rsidRDefault="00F425CB" w:rsidP="0047191A"/>
    <w:p w:rsidR="00F425CB" w:rsidRPr="007E7990" w:rsidRDefault="00F425CB" w:rsidP="0047191A">
      <w:pPr>
        <w:keepLines/>
      </w:pPr>
      <w:r w:rsidRPr="007E7990">
        <w:lastRenderedPageBreak/>
        <w:t>It is possible that actual volume growth will be slower than that assumed in the Growth scenario for a 45% IR by 2022.</w:t>
      </w:r>
      <w:r w:rsidR="007E7990" w:rsidRPr="007E7990">
        <w:t xml:space="preserve"> </w:t>
      </w:r>
      <w:r w:rsidRPr="007E7990">
        <w:t>In that circumstance there will not be the demand to generate the need for expansion of linac capacity, so the modelled linac growth will not occur.</w:t>
      </w:r>
      <w:r w:rsidR="007E7990" w:rsidRPr="007E7990">
        <w:t xml:space="preserve"> </w:t>
      </w:r>
      <w:r w:rsidRPr="007E7990">
        <w:t>In other words, linac capacity expansion should follow service demand, rather than leading it.</w:t>
      </w:r>
      <w:r w:rsidR="007E7990" w:rsidRPr="007E7990">
        <w:t xml:space="preserve"> </w:t>
      </w:r>
      <w:r w:rsidRPr="007E7990">
        <w:t>With regard to workforce planning, aiming for sufficient personnel resources to cover 45% IR by 2022 is prudent, given the large outflows of the New Zealand workforce in the past, the stated aims of other jurisdictions to increase their IRs and thus staffing, and the possibility that increased treatment complexity could require additional staff (the impact of complexity was not specifically modelled).</w:t>
      </w:r>
      <w:r w:rsidR="007E7990" w:rsidRPr="007E7990">
        <w:t xml:space="preserve"> </w:t>
      </w:r>
      <w:r w:rsidRPr="007E7990">
        <w:t>It is unlikely any new graduate would be long out of work.</w:t>
      </w:r>
    </w:p>
    <w:p w:rsidR="00F425CB" w:rsidRPr="007E7990" w:rsidRDefault="00F425CB" w:rsidP="0047191A"/>
    <w:p w:rsidR="00F425CB" w:rsidRPr="007E7990" w:rsidRDefault="00F425CB" w:rsidP="0047191A">
      <w:pPr>
        <w:pStyle w:val="Heading3"/>
      </w:pPr>
      <w:bookmarkStart w:id="159" w:name="_Toc367372319"/>
      <w:bookmarkStart w:id="160" w:name="_Toc376936387"/>
      <w:r w:rsidRPr="007E7990">
        <w:t>5.1.5</w:t>
      </w:r>
      <w:r w:rsidRPr="007E7990">
        <w:tab/>
        <w:t>The place of privately funded radiation therapy in IR calculation</w:t>
      </w:r>
      <w:bookmarkEnd w:id="159"/>
      <w:bookmarkEnd w:id="160"/>
    </w:p>
    <w:p w:rsidR="007E7990" w:rsidRDefault="00F425CB" w:rsidP="0047191A">
      <w:r w:rsidRPr="007E7990">
        <w:t>Calculation of the IR in the Model includes privately funded radiation therapy volumes.</w:t>
      </w:r>
      <w:r w:rsidR="007E7990" w:rsidRPr="007E7990">
        <w:t xml:space="preserve"> </w:t>
      </w:r>
      <w:r w:rsidRPr="007E7990">
        <w:t>There was a clear indication from the radiation oncologists on the Expert Advisory Group that any volumes carried out in private facilities would have been carried out in public centres had the person presented there.</w:t>
      </w:r>
      <w:r w:rsidR="007E7990" w:rsidRPr="007E7990">
        <w:t xml:space="preserve"> </w:t>
      </w:r>
      <w:r w:rsidRPr="007E7990">
        <w:t>In other words, there was no sense of unnecessary or otherwise marginal treatments occurring. In addition, workforce planning must take account of both public and private centres in determining training needs as the radiation therapy workforce is sourced from the same pool of workers and new graduates.</w:t>
      </w:r>
    </w:p>
    <w:p w:rsidR="0047191A" w:rsidRPr="007E7990" w:rsidRDefault="0047191A" w:rsidP="0047191A"/>
    <w:p w:rsidR="0047191A" w:rsidRPr="007E7990" w:rsidRDefault="0047191A" w:rsidP="0047191A">
      <w:pPr>
        <w:pStyle w:val="BoxHeading"/>
      </w:pPr>
      <w:r w:rsidRPr="007E7990">
        <w:t>Recommendations: Access to radiation therapy</w:t>
      </w:r>
    </w:p>
    <w:p w:rsidR="0047191A" w:rsidRPr="007E7990" w:rsidRDefault="0047191A" w:rsidP="0047191A">
      <w:pPr>
        <w:pStyle w:val="Boxnumber"/>
      </w:pPr>
      <w:r w:rsidRPr="007E7990">
        <w:t>A national radiation therapy IR goal and individual DHB IR targets for accountability purposes should not be set at this time because of uncertainty as to the reasons for and impact of current variation. However, a national IR should be confirmed by the Ministry and DHBs for service and capacity planning purposes.</w:t>
      </w:r>
    </w:p>
    <w:p w:rsidR="0047191A" w:rsidRPr="007E7990" w:rsidRDefault="0047191A" w:rsidP="0047191A">
      <w:pPr>
        <w:pStyle w:val="Boxnumber"/>
      </w:pPr>
      <w:r w:rsidRPr="007E7990">
        <w:t>The Growth scenario should be adopted by the Ministry and DHBs as the preferred scenario for planning purposes, meaning a potential national IR of 45% by 2022, and maintenance of current DHB retreatment volumes (national average 31% of treatments being retreatments).</w:t>
      </w:r>
    </w:p>
    <w:p w:rsidR="0047191A" w:rsidRPr="007E7990" w:rsidRDefault="0047191A" w:rsidP="0047191A">
      <w:pPr>
        <w:pStyle w:val="Boxnumber"/>
      </w:pPr>
      <w:r w:rsidRPr="007E7990">
        <w:t>The Ministry’s Cancer Services Team should advise Health Workforce New Zealand of the Growth scenario’s implications for workforce capacity requirements, and in particular the need to improve retention rates, and to urgently increase medical physicist training numbers and training places.</w:t>
      </w:r>
    </w:p>
    <w:p w:rsidR="0047191A" w:rsidRPr="007E7990" w:rsidDel="00BD4668" w:rsidRDefault="0047191A" w:rsidP="0047191A">
      <w:pPr>
        <w:pStyle w:val="Boxnumber"/>
      </w:pPr>
      <w:r w:rsidRPr="007E7990">
        <w:t>The Ministry’s Cancer Services Team should advise the Capital Investment Committee of the Growth scenario’s implications for capital expenditure – that is, an additional $64</w:t>
      </w:r>
      <w:r w:rsidR="003E3AAB">
        <w:t xml:space="preserve"> </w:t>
      </w:r>
      <w:r w:rsidRPr="007E7990">
        <w:t>m</w:t>
      </w:r>
      <w:r w:rsidR="003E3AAB">
        <w:t>illion</w:t>
      </w:r>
      <w:r w:rsidRPr="007E7990">
        <w:t xml:space="preserve"> over and above the $152</w:t>
      </w:r>
      <w:r w:rsidR="003E3AAB">
        <w:t xml:space="preserve"> </w:t>
      </w:r>
      <w:r w:rsidRPr="007E7990">
        <w:t>m</w:t>
      </w:r>
      <w:r w:rsidR="003E3AAB">
        <w:t>illion</w:t>
      </w:r>
      <w:r w:rsidRPr="007E7990">
        <w:t xml:space="preserve"> needed for existing equipment upgrades and replacement over the next 10 years.</w:t>
      </w:r>
    </w:p>
    <w:p w:rsidR="0047191A" w:rsidRPr="007E7990" w:rsidRDefault="0047191A" w:rsidP="0047191A">
      <w:pPr>
        <w:pStyle w:val="Boxnumber"/>
      </w:pPr>
      <w:r w:rsidRPr="007E7990">
        <w:t>DHB IRs and retreatment rates (RTRs) should be monitored nationally by the Radiation Oncology Work Group (ROWG), and by the regional cancer networks working with the DHBs and cancer centres. The regional networks should be required to report to the Cancer Programme Steering Group on the acceptability of the regional or DHB variation in IR and RTR where this is more than 5 percentage points above or below the national average prevailing at the time of measurement, and the reasons for the variation.</w:t>
      </w:r>
    </w:p>
    <w:p w:rsidR="00F425CB" w:rsidRPr="007E7990" w:rsidRDefault="00F425CB" w:rsidP="0047191A">
      <w:pPr>
        <w:pStyle w:val="Heading2"/>
        <w:spacing w:before="480"/>
      </w:pPr>
      <w:bookmarkStart w:id="161" w:name="_Toc376936388"/>
      <w:bookmarkStart w:id="162" w:name="_Toc384202866"/>
      <w:r w:rsidRPr="007E7990">
        <w:lastRenderedPageBreak/>
        <w:t>5.2</w:t>
      </w:r>
      <w:r w:rsidRPr="007E7990">
        <w:tab/>
      </w:r>
      <w:bookmarkStart w:id="163" w:name="Performance"/>
      <w:r w:rsidRPr="007E7990">
        <w:t xml:space="preserve">Performance </w:t>
      </w:r>
      <w:bookmarkEnd w:id="163"/>
      <w:r w:rsidRPr="007E7990">
        <w:t>improvement</w:t>
      </w:r>
      <w:bookmarkStart w:id="164" w:name="_Toc367372321"/>
      <w:bookmarkEnd w:id="161"/>
      <w:bookmarkEnd w:id="162"/>
    </w:p>
    <w:p w:rsidR="00F425CB" w:rsidRPr="007E7990" w:rsidRDefault="00F425CB" w:rsidP="0047191A">
      <w:pPr>
        <w:pStyle w:val="Heading3"/>
      </w:pPr>
      <w:bookmarkStart w:id="165" w:name="_Toc376936389"/>
      <w:r w:rsidRPr="007E7990">
        <w:t>5.2.1</w:t>
      </w:r>
      <w:r w:rsidRPr="007E7990">
        <w:tab/>
        <w:t>Use of robust information</w:t>
      </w:r>
      <w:bookmarkEnd w:id="164"/>
      <w:bookmarkEnd w:id="165"/>
    </w:p>
    <w:p w:rsidR="00F425CB" w:rsidRPr="007E7990" w:rsidRDefault="00F425CB" w:rsidP="0047191A">
      <w:r w:rsidRPr="007E7990">
        <w:t>Since 2008 the Ministry has supported the cancer centres and private radiation therapy services to develop a consistent national radiation oncology KPI dataset for reporting and monitoring.</w:t>
      </w:r>
      <w:r w:rsidR="007E7990" w:rsidRPr="007E7990">
        <w:t xml:space="preserve"> </w:t>
      </w:r>
      <w:r w:rsidRPr="007E7990">
        <w:t>Each radiation therapy service (including the two private services) reports voluntarily to a Ministry-funded third party that collates and feeds back the information to the centres and to ROWG.</w:t>
      </w:r>
      <w:r w:rsidR="007E7990" w:rsidRPr="007E7990">
        <w:t xml:space="preserve"> </w:t>
      </w:r>
      <w:r w:rsidRPr="007E7990">
        <w:t>A data dictionary has been developed, and a full dataset has been in place and reported against since 2009.</w:t>
      </w:r>
    </w:p>
    <w:p w:rsidR="00F425CB" w:rsidRPr="007E7990" w:rsidRDefault="00F425CB" w:rsidP="0047191A"/>
    <w:p w:rsidR="007E7990" w:rsidRPr="007E7990" w:rsidRDefault="00F425CB" w:rsidP="0047191A">
      <w:r w:rsidRPr="007E7990">
        <w:t>As discussed in Section 3, development of the Model associated with this Plan showed measures with significant variation between DHBs and centres including:</w:t>
      </w:r>
    </w:p>
    <w:p w:rsidR="00F425CB" w:rsidRPr="007E7990" w:rsidRDefault="0047191A" w:rsidP="00335E73">
      <w:pPr>
        <w:pStyle w:val="Bullet"/>
        <w:spacing w:before="60"/>
      </w:pPr>
      <w:r>
        <w:t>i</w:t>
      </w:r>
      <w:r w:rsidR="00F425CB" w:rsidRPr="007E7990">
        <w:t>ntervention rates (IR)</w:t>
      </w:r>
    </w:p>
    <w:p w:rsidR="00F425CB" w:rsidRPr="007E7990" w:rsidRDefault="0047191A" w:rsidP="00335E73">
      <w:pPr>
        <w:pStyle w:val="Bullet"/>
        <w:spacing w:before="60"/>
      </w:pPr>
      <w:r>
        <w:t>r</w:t>
      </w:r>
      <w:r w:rsidR="00F425CB" w:rsidRPr="007E7990">
        <w:t>etreatment rate (RTR)</w:t>
      </w:r>
    </w:p>
    <w:p w:rsidR="007E7990" w:rsidRPr="007E7990" w:rsidRDefault="0047191A" w:rsidP="00335E73">
      <w:pPr>
        <w:pStyle w:val="Bullet"/>
        <w:spacing w:before="60"/>
      </w:pPr>
      <w:proofErr w:type="gramStart"/>
      <w:r>
        <w:t>c</w:t>
      </w:r>
      <w:r w:rsidR="00F425CB" w:rsidRPr="007E7990">
        <w:t>omplexity</w:t>
      </w:r>
      <w:proofErr w:type="gramEnd"/>
      <w:r w:rsidR="00F425CB" w:rsidRPr="007E7990">
        <w:t>.</w:t>
      </w:r>
    </w:p>
    <w:p w:rsidR="00F425CB" w:rsidRPr="007E7990" w:rsidRDefault="00F425CB" w:rsidP="0047191A"/>
    <w:p w:rsidR="00F425CB" w:rsidRPr="007E7990" w:rsidRDefault="00F425CB" w:rsidP="0047191A">
      <w:r w:rsidRPr="007E7990">
        <w:t>The ratio of palliative to curative treatments also showed significant variation, but the Expert Advisory Group considered the data to not be sufficiently robust for use in capacity modelling.</w:t>
      </w:r>
      <w:r w:rsidR="007E7990" w:rsidRPr="007E7990">
        <w:t xml:space="preserve"> </w:t>
      </w:r>
      <w:r w:rsidRPr="007E7990">
        <w:t>(Other radiation therapy KPIs may also show significant variation; however only those relevant for Model development were considered in the current assessment.)</w:t>
      </w:r>
    </w:p>
    <w:p w:rsidR="00F425CB" w:rsidRPr="007E7990" w:rsidRDefault="00F425CB" w:rsidP="0047191A"/>
    <w:p w:rsidR="00F425CB" w:rsidRPr="007E7990" w:rsidRDefault="00F425CB" w:rsidP="0047191A">
      <w:r w:rsidRPr="007E7990">
        <w:t>Some variation in clinical practice is to be expected, given that New Zealand best clinical practice has not been defined for all cancers, with alternate treatments (surgery, chemotherapy) available for some, and different linac techniques being used (</w:t>
      </w:r>
      <w:proofErr w:type="spellStart"/>
      <w:r w:rsidRPr="007E7990">
        <w:t>eg</w:t>
      </w:r>
      <w:proofErr w:type="spellEnd"/>
      <w:r w:rsidRPr="007E7990">
        <w:t xml:space="preserve">, </w:t>
      </w:r>
      <w:proofErr w:type="spellStart"/>
      <w:r w:rsidRPr="007E7990">
        <w:t>hypofractionation</w:t>
      </w:r>
      <w:proofErr w:type="spellEnd"/>
      <w:r w:rsidRPr="007E7990">
        <w:t>) across the cancer centres.</w:t>
      </w:r>
      <w:r w:rsidR="007E7990" w:rsidRPr="007E7990">
        <w:t xml:space="preserve"> </w:t>
      </w:r>
      <w:r w:rsidRPr="007E7990">
        <w:t>However, variation in performance of the type and scale suggested in KPI reporting impacts on patients from both the host and referring DHBs, and has implications for both patient access and resource use.</w:t>
      </w:r>
    </w:p>
    <w:p w:rsidR="00F425CB" w:rsidRPr="007E7990" w:rsidRDefault="00F425CB" w:rsidP="0047191A"/>
    <w:p w:rsidR="00F425CB" w:rsidRPr="007E7990" w:rsidRDefault="00F425CB" w:rsidP="0047191A">
      <w:r w:rsidRPr="007E7990">
        <w:t>The evidence provided in KPI reporting may indicate real variation in clinical practice or patient choices; or it may equally be the appearance of variation as an artefact arising from differences in interpretation of the data elements, or inconsistency in data collection and/or reporting.</w:t>
      </w:r>
      <w:r w:rsidR="007E7990" w:rsidRPr="007E7990">
        <w:t xml:space="preserve"> </w:t>
      </w:r>
      <w:r w:rsidRPr="007E7990">
        <w:t>The balance of these two possibilities is not known at present.</w:t>
      </w:r>
      <w:r w:rsidR="007E7990" w:rsidRPr="007E7990">
        <w:t xml:space="preserve"> </w:t>
      </w:r>
      <w:r w:rsidRPr="007E7990">
        <w:t>Audit of underlying data may also be useful.</w:t>
      </w:r>
      <w:r w:rsidR="007E7990" w:rsidRPr="007E7990">
        <w:t xml:space="preserve"> </w:t>
      </w:r>
      <w:r w:rsidRPr="007E7990">
        <w:t>For example, if people in rural areas gave a local address when staying over for a radiation therapy course and their home DHB was not accurately recorded, this might lead to DHBs with cancer centres appearing to have a slightly inflated IR, while the rural DHBs would appear to have a lower IR.</w:t>
      </w:r>
    </w:p>
    <w:p w:rsidR="00F425CB" w:rsidRPr="007E7990" w:rsidRDefault="00F425CB" w:rsidP="0047191A"/>
    <w:p w:rsidR="00F425CB" w:rsidRPr="007E7990" w:rsidRDefault="00F425CB" w:rsidP="0047191A">
      <w:r w:rsidRPr="007E7990">
        <w:t>Accurate information is of fundamental importance for performance improvement, capacity and service planning, evaluation and research.</w:t>
      </w:r>
      <w:r w:rsidR="007E7990" w:rsidRPr="007E7990">
        <w:t xml:space="preserve"> </w:t>
      </w:r>
      <w:r w:rsidRPr="007E7990">
        <w:t>It is clear that the radiation oncology KPI dataset is not sufficiently robust, and should be strengthened so that it can serve a useful purpose at local, regional and national levels.</w:t>
      </w:r>
    </w:p>
    <w:p w:rsidR="00F425CB" w:rsidRPr="007E7990" w:rsidRDefault="00F425CB" w:rsidP="0047191A"/>
    <w:p w:rsidR="00F425CB" w:rsidRPr="007E7990" w:rsidRDefault="00F425CB" w:rsidP="00335E73">
      <w:r w:rsidRPr="007E7990">
        <w:t>For example, improving access to radiation therapy by reducing variation and lifting the overall IR requires analysis to identify the reasons for the current state. Reliable data on radiation therapy activity is required to do this.</w:t>
      </w:r>
      <w:r w:rsidR="007E7990" w:rsidRPr="007E7990">
        <w:t xml:space="preserve"> </w:t>
      </w:r>
      <w:r w:rsidRPr="007E7990">
        <w:t xml:space="preserve">Information on pathways of care and patient outcomes will </w:t>
      </w:r>
      <w:r w:rsidRPr="007E7990">
        <w:lastRenderedPageBreak/>
        <w:t>also be important, as will information on the different technologies and techniques in use.</w:t>
      </w:r>
      <w:r w:rsidR="007E7990" w:rsidRPr="007E7990">
        <w:t xml:space="preserve"> </w:t>
      </w:r>
      <w:r w:rsidRPr="007E7990">
        <w:t>Improved ethnicity data collection is needed.</w:t>
      </w:r>
    </w:p>
    <w:p w:rsidR="00F425CB" w:rsidRPr="007E7990" w:rsidRDefault="00F425CB" w:rsidP="0047191A"/>
    <w:p w:rsidR="007E7990" w:rsidRPr="007E7990" w:rsidRDefault="00F425CB" w:rsidP="0047191A">
      <w:r w:rsidRPr="007E7990">
        <w:t>In addition, the cancer centres and networks should consider whether the KPIs selected represent the most relevant and useful measures.</w:t>
      </w:r>
      <w:r w:rsidR="007E7990" w:rsidRPr="007E7990">
        <w:t xml:space="preserve"> </w:t>
      </w:r>
      <w:r w:rsidRPr="007E7990">
        <w:t>This is likely to depend on the purpose of each indicator – in other words, why is the measure being used, what information does it provide, and what action can it trigger?</w:t>
      </w:r>
      <w:r w:rsidR="007E7990" w:rsidRPr="007E7990">
        <w:t xml:space="preserve"> </w:t>
      </w:r>
      <w:r w:rsidRPr="007E7990">
        <w:t>For example, treatment time will be a more relevant metric than complexity for capacity modelling, while the latter will be an important consideration in workforce and service planning.</w:t>
      </w:r>
    </w:p>
    <w:p w:rsidR="00F425CB" w:rsidRDefault="00F425CB" w:rsidP="0047191A"/>
    <w:p w:rsidR="0047191A" w:rsidRPr="007E7990" w:rsidRDefault="0047191A" w:rsidP="0047191A">
      <w:pPr>
        <w:pStyle w:val="BoxHeading"/>
      </w:pPr>
      <w:r w:rsidRPr="007E7990">
        <w:t>Recommendations: Use of robust information</w:t>
      </w:r>
    </w:p>
    <w:p w:rsidR="0047191A" w:rsidRPr="007E7990" w:rsidRDefault="0047191A" w:rsidP="0047191A">
      <w:pPr>
        <w:pStyle w:val="Boxnumber"/>
      </w:pPr>
      <w:r w:rsidRPr="007E7990">
        <w:t>An end-to-end review of the national radiation oncology KPIs should be undertaken by the Ministry, including:</w:t>
      </w:r>
    </w:p>
    <w:p w:rsidR="0047191A" w:rsidRPr="007E7990" w:rsidRDefault="0047191A" w:rsidP="00335E73">
      <w:pPr>
        <w:pStyle w:val="Box"/>
        <w:tabs>
          <w:tab w:val="left" w:pos="851"/>
          <w:tab w:val="left" w:pos="1276"/>
        </w:tabs>
        <w:spacing w:before="60"/>
      </w:pPr>
      <w:r>
        <w:tab/>
      </w:r>
      <w:r>
        <w:sym w:font="Wingdings 2" w:char="F097"/>
      </w:r>
      <w:r>
        <w:tab/>
      </w:r>
      <w:proofErr w:type="gramStart"/>
      <w:r>
        <w:t>p</w:t>
      </w:r>
      <w:r w:rsidRPr="007E7990">
        <w:t>urpose</w:t>
      </w:r>
      <w:proofErr w:type="gramEnd"/>
      <w:r w:rsidRPr="007E7990">
        <w:t xml:space="preserve"> of the collection</w:t>
      </w:r>
    </w:p>
    <w:p w:rsidR="0047191A" w:rsidRPr="007E7990" w:rsidRDefault="0047191A" w:rsidP="00335E73">
      <w:pPr>
        <w:pStyle w:val="Box"/>
        <w:tabs>
          <w:tab w:val="left" w:pos="851"/>
          <w:tab w:val="left" w:pos="1276"/>
        </w:tabs>
        <w:spacing w:before="60"/>
      </w:pPr>
      <w:r>
        <w:tab/>
      </w:r>
      <w:r>
        <w:sym w:font="Wingdings 2" w:char="F097"/>
      </w:r>
      <w:r>
        <w:tab/>
      </w:r>
      <w:proofErr w:type="gramStart"/>
      <w:r>
        <w:t>c</w:t>
      </w:r>
      <w:r w:rsidRPr="007E7990">
        <w:t>onfirmation</w:t>
      </w:r>
      <w:proofErr w:type="gramEnd"/>
      <w:r w:rsidRPr="007E7990">
        <w:t xml:space="preserve"> that the KPIs are fit-for-purpose</w:t>
      </w:r>
    </w:p>
    <w:p w:rsidR="0047191A" w:rsidRPr="007E7990" w:rsidRDefault="0047191A" w:rsidP="00335E73">
      <w:pPr>
        <w:pStyle w:val="Box"/>
        <w:tabs>
          <w:tab w:val="left" w:pos="851"/>
          <w:tab w:val="left" w:pos="1276"/>
        </w:tabs>
        <w:spacing w:before="60"/>
      </w:pPr>
      <w:r>
        <w:tab/>
      </w:r>
      <w:r>
        <w:sym w:font="Wingdings 2" w:char="F097"/>
      </w:r>
      <w:r>
        <w:tab/>
      </w:r>
      <w:proofErr w:type="gramStart"/>
      <w:r>
        <w:t>b</w:t>
      </w:r>
      <w:r w:rsidRPr="007E7990">
        <w:t>arriers</w:t>
      </w:r>
      <w:proofErr w:type="gramEnd"/>
      <w:r w:rsidRPr="007E7990">
        <w:t xml:space="preserve"> to accurate reporting</w:t>
      </w:r>
    </w:p>
    <w:p w:rsidR="0047191A" w:rsidRPr="007E7990" w:rsidRDefault="0047191A" w:rsidP="00335E73">
      <w:pPr>
        <w:pStyle w:val="Box"/>
        <w:tabs>
          <w:tab w:val="left" w:pos="851"/>
          <w:tab w:val="left" w:pos="1276"/>
        </w:tabs>
        <w:spacing w:before="60"/>
        <w:ind w:left="1276" w:hanging="992"/>
      </w:pPr>
      <w:r>
        <w:tab/>
      </w:r>
      <w:r>
        <w:sym w:font="Wingdings 2" w:char="F097"/>
      </w:r>
      <w:r>
        <w:tab/>
      </w:r>
      <w:proofErr w:type="gramStart"/>
      <w:r>
        <w:t>h</w:t>
      </w:r>
      <w:r w:rsidRPr="007E7990">
        <w:t>ow</w:t>
      </w:r>
      <w:proofErr w:type="gramEnd"/>
      <w:r w:rsidRPr="007E7990">
        <w:t xml:space="preserve"> use of the information for performance improvement and planning can be strengthened at local</w:t>
      </w:r>
      <w:r>
        <w:t>, regional and national levels.</w:t>
      </w:r>
    </w:p>
    <w:p w:rsidR="00F425CB" w:rsidRPr="007E7990" w:rsidRDefault="00F425CB" w:rsidP="0047191A"/>
    <w:p w:rsidR="00F425CB" w:rsidRPr="007E7990" w:rsidRDefault="00F425CB" w:rsidP="0047191A">
      <w:pPr>
        <w:pStyle w:val="Heading3"/>
      </w:pPr>
      <w:bookmarkStart w:id="166" w:name="_Toc367372322"/>
      <w:bookmarkStart w:id="167" w:name="_Toc376936390"/>
      <w:r w:rsidRPr="007E7990">
        <w:t>5.2.2</w:t>
      </w:r>
      <w:r w:rsidRPr="007E7990">
        <w:tab/>
        <w:t>A high quality service</w:t>
      </w:r>
      <w:bookmarkEnd w:id="166"/>
      <w:bookmarkEnd w:id="167"/>
    </w:p>
    <w:p w:rsidR="00F425CB" w:rsidRPr="007E7990" w:rsidRDefault="00F425CB" w:rsidP="0047191A">
      <w:r w:rsidRPr="007E7990">
        <w:t>International and New Zealand experience has identified key elements of high quality radiation oncology services.</w:t>
      </w:r>
      <w:r w:rsidR="007E7990" w:rsidRPr="007E7990">
        <w:t xml:space="preserve"> </w:t>
      </w:r>
      <w:r w:rsidRPr="007E7990">
        <w:t>Prioritised aspects are discussed below.</w:t>
      </w:r>
    </w:p>
    <w:p w:rsidR="00F425CB" w:rsidRPr="007E7990" w:rsidRDefault="00F425CB" w:rsidP="0047191A"/>
    <w:p w:rsidR="00F425CB" w:rsidRPr="007E7990" w:rsidRDefault="00F425CB" w:rsidP="0047191A">
      <w:pPr>
        <w:pStyle w:val="Heading4"/>
      </w:pPr>
      <w:r w:rsidRPr="007E7990">
        <w:t>Multidisciplinary meetings</w:t>
      </w:r>
    </w:p>
    <w:p w:rsidR="00F425CB" w:rsidRPr="007E7990" w:rsidRDefault="00F425CB" w:rsidP="0047191A">
      <w:pPr>
        <w:rPr>
          <w:color w:val="061C2D"/>
        </w:rPr>
      </w:pPr>
      <w:r w:rsidRPr="007E7990">
        <w:t>The optimal care of cancer patients is a multidisciplinary effort that may combine three or more disciplines (</w:t>
      </w:r>
      <w:proofErr w:type="spellStart"/>
      <w:r w:rsidRPr="007E7990">
        <w:t>eg</w:t>
      </w:r>
      <w:proofErr w:type="spellEnd"/>
      <w:r w:rsidRPr="007E7990">
        <w:t>, surgery, radiation oncology, medical oncology, and haematology).</w:t>
      </w:r>
      <w:r w:rsidR="007E7990" w:rsidRPr="007E7990">
        <w:t xml:space="preserve"> </w:t>
      </w:r>
      <w:r w:rsidRPr="007E7990">
        <w:t>Multidisciplinary care will support the achievement of improved outcomes, increase utilisation of treatment, and promote efficiency</w:t>
      </w:r>
      <w:r w:rsidR="0047191A">
        <w:t>.</w:t>
      </w:r>
      <w:r w:rsidRPr="0047191A">
        <w:rPr>
          <w:rStyle w:val="FootnoteReference"/>
        </w:rPr>
        <w:footnoteReference w:id="41"/>
      </w:r>
      <w:r w:rsidR="007E7990" w:rsidRPr="007E7990">
        <w:t xml:space="preserve"> </w:t>
      </w:r>
      <w:r w:rsidRPr="007E7990">
        <w:t>Tumour site oriented multidisciplinary meetings (MDMs) are valuable for evaluation of patients before treatment, and guiding the subsequent steps of treatment and follow-up</w:t>
      </w:r>
      <w:r w:rsidRPr="007E7990">
        <w:rPr>
          <w:color w:val="061C2D"/>
        </w:rPr>
        <w:t>.</w:t>
      </w:r>
    </w:p>
    <w:p w:rsidR="00F425CB" w:rsidRPr="007E7990" w:rsidRDefault="00F425CB" w:rsidP="0047191A"/>
    <w:p w:rsidR="007E7990" w:rsidRPr="007E7990" w:rsidRDefault="00F425CB" w:rsidP="0047191A">
      <w:pPr>
        <w:pStyle w:val="Heading4"/>
      </w:pPr>
      <w:r w:rsidRPr="007E7990">
        <w:t>Tumour standards</w:t>
      </w:r>
    </w:p>
    <w:p w:rsidR="00F425CB" w:rsidRPr="007E7990" w:rsidRDefault="00F425CB" w:rsidP="00335E73">
      <w:proofErr w:type="gramStart"/>
      <w:r w:rsidRPr="007E7990">
        <w:t xml:space="preserve">As part of the Faster Cancer Treatment Programme (section 2.4.4), the Ministry and clinical working groups have developed </w:t>
      </w:r>
      <w:r w:rsidR="0047191A">
        <w:t>10</w:t>
      </w:r>
      <w:r w:rsidRPr="007E7990">
        <w:t xml:space="preserve"> national tumour standards (in addition to the already published tumour standard for lung cancer).</w:t>
      </w:r>
      <w:proofErr w:type="gramEnd"/>
      <w:r w:rsidR="007E7990" w:rsidRPr="007E7990">
        <w:t xml:space="preserve"> </w:t>
      </w:r>
      <w:r w:rsidRPr="007E7990">
        <w:t>The tumour standards</w:t>
      </w:r>
      <w:r w:rsidRPr="0047191A">
        <w:rPr>
          <w:rStyle w:val="FootnoteReference"/>
        </w:rPr>
        <w:footnoteReference w:id="42"/>
      </w:r>
      <w:r w:rsidRPr="007E7990">
        <w:t xml:space="preserve"> set out best practice management of specific tumour types.</w:t>
      </w:r>
      <w:r w:rsidR="007E7990" w:rsidRPr="007E7990">
        <w:t xml:space="preserve"> </w:t>
      </w:r>
      <w:r w:rsidRPr="007E7990">
        <w:t xml:space="preserve">They enable a nationally coordinated and consistent </w:t>
      </w:r>
      <w:r w:rsidRPr="007E7990">
        <w:lastRenderedPageBreak/>
        <w:t>approach to service provision that is specific to different types of tumours, and reduce the risk of patients receiving poor quality care.</w:t>
      </w:r>
      <w:r w:rsidR="007E7990" w:rsidRPr="007E7990">
        <w:t xml:space="preserve"> </w:t>
      </w:r>
      <w:r w:rsidRPr="007E7990">
        <w:t>The tumour standards cover investigation, diagnosis, treatment and other points that relate to a patient</w:t>
      </w:r>
      <w:r w:rsidR="007E7990" w:rsidRPr="007E7990">
        <w:t>’</w:t>
      </w:r>
      <w:r w:rsidRPr="007E7990">
        <w:t>s pathway.</w:t>
      </w:r>
      <w:r w:rsidR="007E7990" w:rsidRPr="007E7990">
        <w:t xml:space="preserve"> </w:t>
      </w:r>
      <w:r w:rsidRPr="007E7990">
        <w:t>As the standards develop, the Model might be extended to detail the major tumour streams.</w:t>
      </w:r>
    </w:p>
    <w:p w:rsidR="00F425CB" w:rsidRPr="007E7990" w:rsidRDefault="00F425CB" w:rsidP="0047191A"/>
    <w:p w:rsidR="007E7990" w:rsidRPr="007E7990" w:rsidRDefault="00F425CB" w:rsidP="0047191A">
      <w:pPr>
        <w:pStyle w:val="Heading4"/>
      </w:pPr>
      <w:r w:rsidRPr="007E7990">
        <w:t>Radiation oncology service standards</w:t>
      </w:r>
    </w:p>
    <w:p w:rsidR="00F425CB" w:rsidRPr="00335E73" w:rsidRDefault="00F425CB" w:rsidP="0047191A">
      <w:pPr>
        <w:rPr>
          <w:spacing w:val="-2"/>
        </w:rPr>
      </w:pPr>
      <w:r w:rsidRPr="00335E73">
        <w:rPr>
          <w:spacing w:val="-2"/>
        </w:rPr>
        <w:t>New Zealand radiation oncology services do not currently have an agreed set of standards that they can measure themselves against (or be measured).</w:t>
      </w:r>
      <w:r w:rsidR="007E7990" w:rsidRPr="00335E73">
        <w:rPr>
          <w:spacing w:val="-2"/>
        </w:rPr>
        <w:t xml:space="preserve"> </w:t>
      </w:r>
      <w:r w:rsidRPr="00335E73">
        <w:rPr>
          <w:spacing w:val="-2"/>
        </w:rPr>
        <w:t>In Australia, Radiation Oncology Practice Standards outline the components of a quality radiation therapy service in three domains: facility management; treatment planning and delivery; and safety and quality management.</w:t>
      </w:r>
      <w:r w:rsidR="007E7990" w:rsidRPr="00335E73">
        <w:rPr>
          <w:spacing w:val="-2"/>
        </w:rPr>
        <w:t xml:space="preserve"> </w:t>
      </w:r>
      <w:r w:rsidRPr="00335E73">
        <w:rPr>
          <w:spacing w:val="-2"/>
        </w:rPr>
        <w:t>ROWG has made significant progress in adapting these Australian standards for New Zealand circumstances, but the localised version is yet to be formally considered, and the implications of adoption have yet to be scoped.</w:t>
      </w:r>
      <w:r w:rsidR="007E7990" w:rsidRPr="00335E73">
        <w:rPr>
          <w:spacing w:val="-2"/>
        </w:rPr>
        <w:t xml:space="preserve"> </w:t>
      </w:r>
      <w:r w:rsidRPr="00335E73">
        <w:rPr>
          <w:spacing w:val="-2"/>
        </w:rPr>
        <w:t>(The need for cancer centres to carry out research and for the workforce to have time to do this would be included in the service standards.)</w:t>
      </w:r>
    </w:p>
    <w:p w:rsidR="00F425CB" w:rsidRPr="007E7990" w:rsidRDefault="00F425CB" w:rsidP="0047191A"/>
    <w:p w:rsidR="0047191A" w:rsidRPr="007E7990" w:rsidRDefault="0047191A" w:rsidP="0047191A">
      <w:pPr>
        <w:pStyle w:val="BoxHeading"/>
      </w:pPr>
      <w:r w:rsidRPr="007E7990">
        <w:t>Recommendations: A high quality service</w:t>
      </w:r>
    </w:p>
    <w:p w:rsidR="0047191A" w:rsidRPr="007E7990" w:rsidRDefault="0047191A" w:rsidP="0047191A">
      <w:pPr>
        <w:pStyle w:val="Boxnumber"/>
      </w:pPr>
      <w:r w:rsidRPr="007E7990">
        <w:t>A set of radiation oncology service standards should be considered by the Ministry and DHBs for adoption in New Zealand, including identification of their cost implications related to promulgation, compliance and accreditation.</w:t>
      </w:r>
    </w:p>
    <w:p w:rsidR="0047191A" w:rsidRPr="007E7990" w:rsidRDefault="0047191A" w:rsidP="0047191A">
      <w:pPr>
        <w:pStyle w:val="Boxnumber"/>
      </w:pPr>
      <w:r w:rsidRPr="007E7990">
        <w:t xml:space="preserve">The Ministry and DHBs should encourage increased standardisation of clinical practice, with a focus on the treatment </w:t>
      </w:r>
      <w:r>
        <w:t>course for common tumour sites.</w:t>
      </w:r>
    </w:p>
    <w:p w:rsidR="00F425CB" w:rsidRPr="007E7990" w:rsidRDefault="00F425CB" w:rsidP="0047191A"/>
    <w:p w:rsidR="00F425CB" w:rsidRPr="007E7990" w:rsidRDefault="00F425CB" w:rsidP="0047191A">
      <w:pPr>
        <w:pStyle w:val="Heading2"/>
      </w:pPr>
      <w:bookmarkStart w:id="168" w:name="_Toc376936391"/>
      <w:bookmarkStart w:id="169" w:name="_Toc384202867"/>
      <w:r w:rsidRPr="007E7990">
        <w:t>5.3</w:t>
      </w:r>
      <w:r w:rsidRPr="007E7990">
        <w:tab/>
        <w:t>Evaluation of new techniques and technologies</w:t>
      </w:r>
      <w:bookmarkEnd w:id="168"/>
      <w:bookmarkEnd w:id="169"/>
    </w:p>
    <w:p w:rsidR="007E7990" w:rsidRPr="007E7990" w:rsidRDefault="00F425CB" w:rsidP="0047191A">
      <w:r w:rsidRPr="007E7990">
        <w:t>Whilst linacs are a mature technology, new techniques have emerged, and will continue to do so.</w:t>
      </w:r>
      <w:r w:rsidR="007E7990" w:rsidRPr="007E7990">
        <w:t xml:space="preserve"> </w:t>
      </w:r>
      <w:r w:rsidRPr="007E7990">
        <w:t>The two most notable of recent developments have been intensity modulated radiation therapy (IMRT) and image guided radiation therapy (IGRT), both of which allow better targeting of the radiation to the tumour, thereby sparing normal tissue from radiation effects.</w:t>
      </w:r>
      <w:r w:rsidR="007E7990" w:rsidRPr="007E7990">
        <w:t xml:space="preserve"> </w:t>
      </w:r>
      <w:r w:rsidRPr="007E7990">
        <w:t xml:space="preserve">These and other emerging technologies and techniques are described briefly in </w:t>
      </w:r>
      <w:r w:rsidR="0047191A">
        <w:t>Table 16</w:t>
      </w:r>
      <w:r w:rsidRPr="007E7990">
        <w:t>.</w:t>
      </w:r>
    </w:p>
    <w:p w:rsidR="00F425CB" w:rsidRPr="007E7990" w:rsidRDefault="00F425CB" w:rsidP="0047191A"/>
    <w:p w:rsidR="00F425CB" w:rsidRPr="007E7990" w:rsidRDefault="00F425CB" w:rsidP="0047191A">
      <w:r w:rsidRPr="007E7990">
        <w:t>ROWG maintains a horizon scan</w:t>
      </w:r>
      <w:r w:rsidRPr="0047191A">
        <w:rPr>
          <w:rStyle w:val="FootnoteReference"/>
        </w:rPr>
        <w:footnoteReference w:id="43"/>
      </w:r>
      <w:r w:rsidRPr="007E7990">
        <w:t xml:space="preserve"> examining three areas</w:t>
      </w:r>
      <w:r w:rsidR="007E7990" w:rsidRPr="007E7990">
        <w:t xml:space="preserve"> – </w:t>
      </w:r>
      <w:r w:rsidRPr="007E7990">
        <w:t>techniques, technologies and related innovations.</w:t>
      </w:r>
      <w:r w:rsidR="007E7990" w:rsidRPr="007E7990">
        <w:t xml:space="preserve"> </w:t>
      </w:r>
      <w:r w:rsidRPr="007E7990">
        <w:t>The 2012 scan listed 44 separate items, and described their current use and potential applicability to New Zealand.</w:t>
      </w:r>
      <w:r w:rsidR="007E7990" w:rsidRPr="007E7990">
        <w:t xml:space="preserve"> </w:t>
      </w:r>
      <w:r w:rsidRPr="007E7990">
        <w:t>This horizon scan is currently being updated.</w:t>
      </w:r>
    </w:p>
    <w:p w:rsidR="00F425CB" w:rsidRPr="007E7990" w:rsidRDefault="00F425CB" w:rsidP="0047191A"/>
    <w:p w:rsidR="007E7990" w:rsidRPr="007E7990" w:rsidRDefault="00F425CB" w:rsidP="0047191A">
      <w:r w:rsidRPr="007E7990">
        <w:t>In the future, newer modalities have the potential to significantly change the treatment of specific cancers (</w:t>
      </w:r>
      <w:proofErr w:type="spellStart"/>
      <w:r w:rsidRPr="007E7990">
        <w:t>eg</w:t>
      </w:r>
      <w:proofErr w:type="spellEnd"/>
      <w:r w:rsidR="0047191A">
        <w:t>,</w:t>
      </w:r>
      <w:r w:rsidRPr="007E7990">
        <w:t xml:space="preserve"> </w:t>
      </w:r>
      <w:proofErr w:type="spellStart"/>
      <w:r w:rsidRPr="007E7990">
        <w:t>IntraBeam</w:t>
      </w:r>
      <w:proofErr w:type="spellEnd"/>
      <w:r w:rsidRPr="007E7990">
        <w:t xml:space="preserve"> for breast cancer).</w:t>
      </w:r>
      <w:r w:rsidR="007E7990" w:rsidRPr="007E7990">
        <w:t xml:space="preserve"> </w:t>
      </w:r>
      <w:r w:rsidRPr="007E7990">
        <w:t>To date new technologies and techniques have been introduced to the New Zealand health system in a relatively ad hoc and unplanned manner.</w:t>
      </w:r>
      <w:r w:rsidR="007E7990" w:rsidRPr="007E7990">
        <w:t xml:space="preserve"> </w:t>
      </w:r>
      <w:r w:rsidRPr="007E7990">
        <w:t xml:space="preserve">There has been no deliberate and transparent evaluation of the costs and benefits of the new techniques, and identification of the patient and tumour groups in whom they offer </w:t>
      </w:r>
      <w:r w:rsidRPr="007E7990">
        <w:lastRenderedPageBreak/>
        <w:t>greatest benefits.</w:t>
      </w:r>
      <w:r w:rsidR="007E7990" w:rsidRPr="007E7990">
        <w:t xml:space="preserve"> </w:t>
      </w:r>
      <w:r w:rsidRPr="007E7990">
        <w:t>Similarly, there has been limited progress</w:t>
      </w:r>
      <w:r w:rsidRPr="0047191A">
        <w:rPr>
          <w:rStyle w:val="FootnoteReference"/>
        </w:rPr>
        <w:footnoteReference w:id="44"/>
      </w:r>
      <w:r w:rsidRPr="007E7990">
        <w:t xml:space="preserve"> in determining the core technologies and techniques that should be offered at all six DHB cancer centres, and which centres should develop a specialisation in treating particular tumour types.</w:t>
      </w:r>
      <w:r w:rsidR="007E7990" w:rsidRPr="007E7990">
        <w:t xml:space="preserve"> </w:t>
      </w:r>
      <w:r w:rsidRPr="007E7990">
        <w:t>The absence of a deliberate assessment and planning process carries the risk of perpetuating variation in access to effective new techniques, and inefficient use of them.</w:t>
      </w:r>
    </w:p>
    <w:p w:rsidR="00F425CB" w:rsidRPr="007E7990" w:rsidRDefault="00F425CB" w:rsidP="0047191A"/>
    <w:p w:rsidR="00F425CB" w:rsidRPr="007E7990" w:rsidRDefault="00F425CB" w:rsidP="0047191A">
      <w:r w:rsidRPr="007E7990">
        <w:t>A coordinated approach is being used in other countries.</w:t>
      </w:r>
      <w:r w:rsidR="007E7990" w:rsidRPr="007E7990">
        <w:t xml:space="preserve"> </w:t>
      </w:r>
      <w:r w:rsidRPr="007E7990">
        <w:t>For example, in the UK the Radiotherapy Development Board is working on a strategy for the implementation of IMRT and IGRT.</w:t>
      </w:r>
      <w:r w:rsidR="007E7990" w:rsidRPr="007E7990">
        <w:t xml:space="preserve"> </w:t>
      </w:r>
      <w:r w:rsidRPr="007E7990">
        <w:t>This will include the evaluation of existing practice in their cancer centres, preparation of guidelines for implementation, and the identification of workforce and skills issues.</w:t>
      </w:r>
      <w:r w:rsidR="007E7990" w:rsidRPr="007E7990">
        <w:t xml:space="preserve"> </w:t>
      </w:r>
      <w:r w:rsidRPr="007E7990">
        <w:t>Implementation guidelines are likely to included targets for treatment mix (</w:t>
      </w:r>
      <w:proofErr w:type="spellStart"/>
      <w:r w:rsidRPr="007E7990">
        <w:t>eg</w:t>
      </w:r>
      <w:proofErr w:type="spellEnd"/>
      <w:r w:rsidRPr="007E7990">
        <w:t>, the percentage of radiation oncology patients who should access IMRT).</w:t>
      </w:r>
    </w:p>
    <w:p w:rsidR="00F425CB" w:rsidRPr="007E7990" w:rsidRDefault="00F425CB" w:rsidP="0047191A"/>
    <w:p w:rsidR="00F425CB" w:rsidRPr="007E7990" w:rsidRDefault="00F425CB" w:rsidP="0047191A">
      <w:r w:rsidRPr="007E7990">
        <w:t xml:space="preserve">Similarly, in recognition of the need for prioritisation of investment in health technology, the Australian Government has contracted the </w:t>
      </w:r>
      <w:proofErr w:type="spellStart"/>
      <w:r w:rsidRPr="007E7990">
        <w:t>Trans Tasman</w:t>
      </w:r>
      <w:proofErr w:type="spellEnd"/>
      <w:r w:rsidRPr="007E7990">
        <w:t xml:space="preserve"> Radiation Oncology Group (TROG) to establish a generic research framework for the evaluation of new technologies and treatment in radiation oncology, and to test the framework on IMRT and IGRT.</w:t>
      </w:r>
    </w:p>
    <w:p w:rsidR="00F425CB" w:rsidRPr="007E7990" w:rsidRDefault="00F425CB" w:rsidP="0047191A"/>
    <w:p w:rsidR="00F425CB" w:rsidRPr="007E7990" w:rsidRDefault="00F425CB" w:rsidP="0047191A">
      <w:r w:rsidRPr="007E7990">
        <w:t>In New Zealand, the National Health Committee (NHC) has a focus on health technology assessment.</w:t>
      </w:r>
      <w:r w:rsidR="007E7990" w:rsidRPr="007E7990">
        <w:t xml:space="preserve"> </w:t>
      </w:r>
      <w:r w:rsidRPr="007E7990">
        <w:t>There is an opportunity for ROWG to link with the NHC to ensure that radiation therapy techniques become the focus of joint evaluation, building on international assessments.</w:t>
      </w:r>
    </w:p>
    <w:p w:rsidR="00F425CB" w:rsidRDefault="00F425CB" w:rsidP="0047191A"/>
    <w:p w:rsidR="0047191A" w:rsidRPr="007E7990" w:rsidRDefault="0047191A" w:rsidP="0047191A">
      <w:pPr>
        <w:pStyle w:val="BoxHeading"/>
      </w:pPr>
      <w:r w:rsidRPr="007E7990">
        <w:t>Recommendations: Technology assessment</w:t>
      </w:r>
    </w:p>
    <w:p w:rsidR="0047191A" w:rsidRPr="007E7990" w:rsidRDefault="0047191A" w:rsidP="0047191A">
      <w:pPr>
        <w:pStyle w:val="Boxnumber"/>
      </w:pPr>
      <w:r w:rsidRPr="007E7990">
        <w:t>The Ministry’s Cancer Services Team should discuss annually with the National Health Committee and National Health Board how a national approach to evaluation and implementation of new radiation therapy technologies and techniques could be maintained. The approach sho</w:t>
      </w:r>
      <w:r>
        <w:t>uld be established for 2014/15.</w:t>
      </w:r>
    </w:p>
    <w:p w:rsidR="00F425CB" w:rsidRPr="007E7990" w:rsidRDefault="00F425CB" w:rsidP="0047191A"/>
    <w:p w:rsidR="00F425CB" w:rsidRPr="007E7990" w:rsidRDefault="00F425CB" w:rsidP="00335E73">
      <w:r w:rsidRPr="007E7990">
        <w:t>Changing approaches to new technologies and techniques will then feed through into the annual updating of the Plan as per Recommendations 1 and 15.</w:t>
      </w:r>
      <w:r w:rsidR="007E7990" w:rsidRPr="007E7990">
        <w:t xml:space="preserve"> </w:t>
      </w:r>
      <w:r w:rsidRPr="007E7990">
        <w:t>The Ministry</w:t>
      </w:r>
      <w:r w:rsidR="007E7990" w:rsidRPr="007E7990">
        <w:t>’</w:t>
      </w:r>
      <w:r w:rsidR="003E3AAB">
        <w:t>s Cancer Services t</w:t>
      </w:r>
      <w:r w:rsidRPr="007E7990">
        <w:t>eam should c</w:t>
      </w:r>
      <w:r w:rsidR="003E3AAB">
        <w:t>ontinue to work closely with ROW</w:t>
      </w:r>
      <w:r w:rsidRPr="007E7990">
        <w:t>G on this.</w:t>
      </w:r>
      <w:r w:rsidR="007E7990" w:rsidRPr="007E7990">
        <w:t xml:space="preserve"> </w:t>
      </w:r>
      <w:r w:rsidRPr="007E7990">
        <w:t>Hig</w:t>
      </w:r>
      <w:r w:rsidR="003E3AAB">
        <w:t>hly specialised therapies may</w:t>
      </w:r>
      <w:r w:rsidRPr="007E7990">
        <w:t xml:space="preserve"> never be feasible to supply in New Zealand – in that circumstance, cases would continue to be assessed for funding on an individual basis for overseas treatment.</w:t>
      </w:r>
    </w:p>
    <w:p w:rsidR="00F425CB" w:rsidRPr="007E7990" w:rsidRDefault="00F425CB" w:rsidP="0047191A"/>
    <w:p w:rsidR="0047191A" w:rsidRDefault="0047191A" w:rsidP="0047191A">
      <w:pPr>
        <w:pStyle w:val="Table"/>
        <w:sectPr w:rsidR="0047191A" w:rsidSect="0047191A">
          <w:pgSz w:w="11907" w:h="16834" w:code="9"/>
          <w:pgMar w:top="1418" w:right="1134" w:bottom="1418" w:left="1134" w:header="425" w:footer="567" w:gutter="284"/>
          <w:cols w:space="720"/>
        </w:sectPr>
      </w:pPr>
      <w:bookmarkStart w:id="170" w:name="_Ref367688870"/>
    </w:p>
    <w:p w:rsidR="00F425CB" w:rsidRPr="007E7990" w:rsidRDefault="00F425CB" w:rsidP="0047191A">
      <w:pPr>
        <w:pStyle w:val="Table"/>
      </w:pPr>
      <w:bookmarkStart w:id="171" w:name="_Toc384202891"/>
      <w:r w:rsidRPr="007E7990">
        <w:lastRenderedPageBreak/>
        <w:t xml:space="preserve">Table </w:t>
      </w:r>
      <w:r w:rsidR="0047191A">
        <w:t>16</w:t>
      </w:r>
      <w:bookmarkEnd w:id="170"/>
      <w:r w:rsidR="0047191A">
        <w:t>:</w:t>
      </w:r>
      <w:r w:rsidR="007E7990" w:rsidRPr="007E7990">
        <w:t xml:space="preserve"> </w:t>
      </w:r>
      <w:r w:rsidRPr="007E7990">
        <w:t>Emerging technologies and techniques in radiation therapy</w:t>
      </w:r>
      <w:bookmarkEnd w:id="171"/>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7"/>
        <w:gridCol w:w="2304"/>
        <w:gridCol w:w="5387"/>
        <w:gridCol w:w="3685"/>
        <w:gridCol w:w="1418"/>
      </w:tblGrid>
      <w:tr w:rsidR="00F425CB" w:rsidRPr="0047191A" w:rsidTr="00C73F47">
        <w:trPr>
          <w:cantSplit/>
        </w:trPr>
        <w:tc>
          <w:tcPr>
            <w:tcW w:w="1807" w:type="dxa"/>
            <w:tcBorders>
              <w:top w:val="single" w:sz="4" w:space="0" w:color="A6A6A6"/>
              <w:left w:val="single" w:sz="4" w:space="0" w:color="A6A6A6"/>
              <w:bottom w:val="single" w:sz="4" w:space="0" w:color="A6A6A6"/>
              <w:right w:val="single" w:sz="4" w:space="0" w:color="A6A6A6"/>
            </w:tcBorders>
            <w:shd w:val="clear" w:color="auto" w:fill="BDE2FF"/>
          </w:tcPr>
          <w:p w:rsidR="00F425CB" w:rsidRPr="0047191A" w:rsidRDefault="00F425CB" w:rsidP="0047191A">
            <w:pPr>
              <w:pStyle w:val="TableText"/>
              <w:rPr>
                <w:b/>
              </w:rPr>
            </w:pPr>
            <w:r w:rsidRPr="0047191A">
              <w:rPr>
                <w:b/>
              </w:rPr>
              <w:t>Radiation therapy process</w:t>
            </w:r>
          </w:p>
        </w:tc>
        <w:tc>
          <w:tcPr>
            <w:tcW w:w="2304" w:type="dxa"/>
            <w:tcBorders>
              <w:top w:val="single" w:sz="4" w:space="0" w:color="A6A6A6"/>
              <w:left w:val="single" w:sz="4" w:space="0" w:color="A6A6A6"/>
              <w:bottom w:val="single" w:sz="4" w:space="0" w:color="A6A6A6"/>
              <w:right w:val="single" w:sz="4" w:space="0" w:color="A6A6A6"/>
            </w:tcBorders>
            <w:shd w:val="clear" w:color="auto" w:fill="BDE2FF"/>
          </w:tcPr>
          <w:p w:rsidR="00F425CB" w:rsidRPr="0047191A" w:rsidRDefault="00F425CB" w:rsidP="0047191A">
            <w:pPr>
              <w:pStyle w:val="TableText"/>
              <w:rPr>
                <w:b/>
              </w:rPr>
            </w:pPr>
            <w:r w:rsidRPr="0047191A">
              <w:rPr>
                <w:b/>
              </w:rPr>
              <w:t>Radiation therapy technique</w:t>
            </w:r>
          </w:p>
        </w:tc>
        <w:tc>
          <w:tcPr>
            <w:tcW w:w="5387" w:type="dxa"/>
            <w:tcBorders>
              <w:top w:val="single" w:sz="4" w:space="0" w:color="A6A6A6"/>
              <w:left w:val="single" w:sz="4" w:space="0" w:color="A6A6A6"/>
              <w:bottom w:val="single" w:sz="4" w:space="0" w:color="A6A6A6"/>
              <w:right w:val="single" w:sz="4" w:space="0" w:color="A6A6A6"/>
            </w:tcBorders>
            <w:shd w:val="clear" w:color="auto" w:fill="BDE2FF"/>
          </w:tcPr>
          <w:p w:rsidR="00F425CB" w:rsidRPr="0047191A" w:rsidRDefault="00F425CB" w:rsidP="0047191A">
            <w:pPr>
              <w:pStyle w:val="TableText"/>
              <w:rPr>
                <w:b/>
              </w:rPr>
            </w:pPr>
            <w:r w:rsidRPr="0047191A">
              <w:rPr>
                <w:b/>
              </w:rPr>
              <w:t>Definition</w:t>
            </w:r>
          </w:p>
        </w:tc>
        <w:tc>
          <w:tcPr>
            <w:tcW w:w="3685" w:type="dxa"/>
            <w:tcBorders>
              <w:top w:val="single" w:sz="4" w:space="0" w:color="A6A6A6"/>
              <w:left w:val="single" w:sz="4" w:space="0" w:color="A6A6A6"/>
              <w:bottom w:val="single" w:sz="4" w:space="0" w:color="A6A6A6"/>
              <w:right w:val="single" w:sz="4" w:space="0" w:color="A6A6A6"/>
            </w:tcBorders>
            <w:shd w:val="clear" w:color="auto" w:fill="BDE2FF"/>
          </w:tcPr>
          <w:p w:rsidR="00F425CB" w:rsidRPr="0047191A" w:rsidRDefault="00F425CB" w:rsidP="00A86E22">
            <w:pPr>
              <w:pStyle w:val="TableText"/>
              <w:jc w:val="center"/>
              <w:rPr>
                <w:b/>
              </w:rPr>
            </w:pPr>
            <w:r w:rsidRPr="0047191A">
              <w:rPr>
                <w:b/>
              </w:rPr>
              <w:t>Technologies to deliver</w:t>
            </w:r>
          </w:p>
        </w:tc>
        <w:tc>
          <w:tcPr>
            <w:tcW w:w="1418" w:type="dxa"/>
            <w:tcBorders>
              <w:top w:val="single" w:sz="4" w:space="0" w:color="A6A6A6"/>
              <w:left w:val="single" w:sz="4" w:space="0" w:color="A6A6A6"/>
              <w:bottom w:val="single" w:sz="4" w:space="0" w:color="A6A6A6"/>
              <w:right w:val="single" w:sz="4" w:space="0" w:color="A6A6A6"/>
            </w:tcBorders>
            <w:shd w:val="clear" w:color="auto" w:fill="BDE2FF"/>
          </w:tcPr>
          <w:p w:rsidR="00F425CB" w:rsidRPr="0047191A" w:rsidRDefault="00F425CB" w:rsidP="00A86E22">
            <w:pPr>
              <w:pStyle w:val="TableText"/>
              <w:jc w:val="center"/>
              <w:rPr>
                <w:b/>
              </w:rPr>
            </w:pPr>
            <w:r w:rsidRPr="0047191A">
              <w:rPr>
                <w:b/>
              </w:rPr>
              <w:t>Currently used in NZ</w:t>
            </w:r>
          </w:p>
        </w:tc>
      </w:tr>
      <w:tr w:rsidR="00F425CB" w:rsidRPr="0021236A" w:rsidTr="00C73F47">
        <w:trPr>
          <w:cantSplit/>
        </w:trPr>
        <w:tc>
          <w:tcPr>
            <w:tcW w:w="1807"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 xml:space="preserve">Treatment </w:t>
            </w:r>
            <w:r>
              <w:t>d</w:t>
            </w:r>
            <w:r w:rsidRPr="0021236A">
              <w:t>elivery</w:t>
            </w:r>
          </w:p>
        </w:tc>
        <w:tc>
          <w:tcPr>
            <w:tcW w:w="2304"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 xml:space="preserve">Intensity </w:t>
            </w:r>
            <w:r>
              <w:t>m</w:t>
            </w:r>
            <w:r w:rsidRPr="0021236A">
              <w:t xml:space="preserve">odulated </w:t>
            </w:r>
            <w:r>
              <w:t>radiation therapy</w:t>
            </w:r>
            <w:r w:rsidRPr="0021236A">
              <w:t xml:space="preserve"> (IMRT)</w:t>
            </w:r>
          </w:p>
        </w:tc>
        <w:tc>
          <w:tcPr>
            <w:tcW w:w="5387" w:type="dxa"/>
            <w:tcBorders>
              <w:top w:val="single" w:sz="4" w:space="0" w:color="A6A6A6"/>
              <w:left w:val="single" w:sz="4" w:space="0" w:color="A6A6A6"/>
              <w:bottom w:val="single" w:sz="4" w:space="0" w:color="A6A6A6"/>
              <w:right w:val="single" w:sz="4" w:space="0" w:color="A6A6A6"/>
            </w:tcBorders>
          </w:tcPr>
          <w:p w:rsidR="00F425CB" w:rsidRDefault="0047191A" w:rsidP="0047191A">
            <w:pPr>
              <w:pStyle w:val="TableText"/>
            </w:pPr>
            <w:r>
              <w:t>R</w:t>
            </w:r>
            <w:r w:rsidR="00F425CB" w:rsidRPr="007E7990">
              <w:t xml:space="preserve">adiation therapy that </w:t>
            </w:r>
            <w:proofErr w:type="gramStart"/>
            <w:r w:rsidR="00F425CB" w:rsidRPr="007E7990">
              <w:t>conforms</w:t>
            </w:r>
            <w:proofErr w:type="gramEnd"/>
            <w:r w:rsidR="00F425CB" w:rsidRPr="007E7990">
              <w:t xml:space="preserve"> the radiation dose closely to the shape of the tumour by changing the intensity of the radiation beam. This enables sharp dose gradients adjacent to b</w:t>
            </w:r>
            <w:r>
              <w:t>oth targets and organs at risk.</w:t>
            </w:r>
          </w:p>
        </w:tc>
        <w:tc>
          <w:tcPr>
            <w:tcW w:w="3685"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Linac based IMRT</w:t>
            </w:r>
          </w:p>
          <w:p w:rsidR="00F425CB" w:rsidRPr="0021236A" w:rsidRDefault="00F425CB" w:rsidP="0047191A">
            <w:pPr>
              <w:pStyle w:val="TableText"/>
            </w:pPr>
            <w:r w:rsidRPr="0021236A">
              <w:t xml:space="preserve">Linac based </w:t>
            </w:r>
            <w:r>
              <w:t>v</w:t>
            </w:r>
            <w:r w:rsidRPr="0021236A">
              <w:t>olumetric arc therapy (VMAT)</w:t>
            </w:r>
          </w:p>
          <w:p w:rsidR="00F425CB" w:rsidRPr="0021236A" w:rsidRDefault="00F425CB" w:rsidP="0047191A">
            <w:pPr>
              <w:pStyle w:val="TableText"/>
            </w:pPr>
            <w:r w:rsidRPr="0021236A">
              <w:t>Helical based IMRT</w:t>
            </w:r>
          </w:p>
        </w:tc>
        <w:tc>
          <w:tcPr>
            <w:tcW w:w="1418" w:type="dxa"/>
            <w:tcBorders>
              <w:top w:val="single" w:sz="4" w:space="0" w:color="A6A6A6"/>
              <w:left w:val="single" w:sz="4" w:space="0" w:color="A6A6A6"/>
              <w:bottom w:val="single" w:sz="4" w:space="0" w:color="A6A6A6"/>
              <w:right w:val="single" w:sz="4" w:space="0" w:color="A6A6A6"/>
            </w:tcBorders>
          </w:tcPr>
          <w:p w:rsidR="00F425CB" w:rsidRPr="0021236A" w:rsidRDefault="00F425CB" w:rsidP="00783397">
            <w:pPr>
              <w:pStyle w:val="TableText"/>
              <w:jc w:val="center"/>
            </w:pPr>
            <w:r w:rsidRPr="0021236A">
              <w:t>Yes</w:t>
            </w:r>
          </w:p>
          <w:p w:rsidR="00F425CB" w:rsidRPr="0021236A" w:rsidRDefault="00F425CB" w:rsidP="00783397">
            <w:pPr>
              <w:pStyle w:val="TableText"/>
              <w:jc w:val="center"/>
            </w:pPr>
            <w:r w:rsidRPr="0021236A">
              <w:t>Yes</w:t>
            </w:r>
          </w:p>
          <w:p w:rsidR="00F425CB" w:rsidRPr="0021236A" w:rsidRDefault="00F425CB" w:rsidP="00783397">
            <w:pPr>
              <w:pStyle w:val="TableText"/>
              <w:jc w:val="center"/>
            </w:pPr>
            <w:r w:rsidRPr="0021236A">
              <w:t>No</w:t>
            </w:r>
          </w:p>
        </w:tc>
      </w:tr>
      <w:tr w:rsidR="00F425CB" w:rsidRPr="0021236A" w:rsidTr="00C73F47">
        <w:trPr>
          <w:cantSplit/>
        </w:trPr>
        <w:tc>
          <w:tcPr>
            <w:tcW w:w="1807"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Treatment delivery verification</w:t>
            </w:r>
          </w:p>
        </w:tc>
        <w:tc>
          <w:tcPr>
            <w:tcW w:w="2304"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 xml:space="preserve">Image </w:t>
            </w:r>
            <w:r>
              <w:t>g</w:t>
            </w:r>
            <w:r w:rsidRPr="0021236A">
              <w:t xml:space="preserve">uided </w:t>
            </w:r>
            <w:r>
              <w:t>radiation therapy</w:t>
            </w:r>
            <w:r w:rsidRPr="0021236A">
              <w:t xml:space="preserve"> (IGRT)</w:t>
            </w:r>
          </w:p>
        </w:tc>
        <w:tc>
          <w:tcPr>
            <w:tcW w:w="5387" w:type="dxa"/>
            <w:tcBorders>
              <w:top w:val="single" w:sz="4" w:space="0" w:color="A6A6A6"/>
              <w:left w:val="single" w:sz="4" w:space="0" w:color="A6A6A6"/>
              <w:bottom w:val="single" w:sz="4" w:space="0" w:color="A6A6A6"/>
              <w:right w:val="single" w:sz="4" w:space="0" w:color="A6A6A6"/>
            </w:tcBorders>
          </w:tcPr>
          <w:p w:rsidR="00F425CB" w:rsidRDefault="00F425CB" w:rsidP="0047191A">
            <w:pPr>
              <w:pStyle w:val="TableText"/>
            </w:pPr>
            <w:r w:rsidRPr="007E7990">
              <w:t>Image-guided radiation therapy is two and three-dimensional imaging captured as close as possible to the time of treatment. Positioning correction based on these images is done before treatment delivery.</w:t>
            </w:r>
          </w:p>
        </w:tc>
        <w:tc>
          <w:tcPr>
            <w:tcW w:w="3685"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2D IGRT</w:t>
            </w:r>
          </w:p>
          <w:p w:rsidR="00F425CB" w:rsidRPr="0021236A" w:rsidRDefault="00F425CB" w:rsidP="0047191A">
            <w:pPr>
              <w:pStyle w:val="TableText"/>
            </w:pPr>
            <w:r w:rsidRPr="0021236A">
              <w:t>3D IGRT</w:t>
            </w:r>
          </w:p>
          <w:p w:rsidR="00F425CB" w:rsidRDefault="00F425CB" w:rsidP="0047191A">
            <w:pPr>
              <w:pStyle w:val="TableText"/>
            </w:pPr>
            <w:r w:rsidRPr="0021236A">
              <w:t>MRI Guided IGRT</w:t>
            </w:r>
          </w:p>
        </w:tc>
        <w:tc>
          <w:tcPr>
            <w:tcW w:w="1418" w:type="dxa"/>
            <w:tcBorders>
              <w:top w:val="single" w:sz="4" w:space="0" w:color="A6A6A6"/>
              <w:left w:val="single" w:sz="4" w:space="0" w:color="A6A6A6"/>
              <w:bottom w:val="single" w:sz="4" w:space="0" w:color="A6A6A6"/>
              <w:right w:val="single" w:sz="4" w:space="0" w:color="A6A6A6"/>
            </w:tcBorders>
          </w:tcPr>
          <w:p w:rsidR="00F425CB" w:rsidRPr="0021236A" w:rsidRDefault="00F425CB" w:rsidP="00783397">
            <w:pPr>
              <w:pStyle w:val="TableText"/>
              <w:jc w:val="center"/>
            </w:pPr>
            <w:r w:rsidRPr="0021236A">
              <w:t>Yes</w:t>
            </w:r>
          </w:p>
          <w:p w:rsidR="00F425CB" w:rsidRPr="0021236A" w:rsidRDefault="00F425CB" w:rsidP="00783397">
            <w:pPr>
              <w:pStyle w:val="TableText"/>
              <w:jc w:val="center"/>
            </w:pPr>
            <w:r w:rsidRPr="0021236A">
              <w:t>Yes</w:t>
            </w:r>
          </w:p>
          <w:p w:rsidR="00F425CB" w:rsidRPr="0021236A" w:rsidRDefault="00F425CB" w:rsidP="00783397">
            <w:pPr>
              <w:pStyle w:val="TableText"/>
              <w:jc w:val="center"/>
            </w:pPr>
            <w:r w:rsidRPr="0021236A">
              <w:t>No</w:t>
            </w:r>
          </w:p>
        </w:tc>
      </w:tr>
      <w:tr w:rsidR="00F425CB" w:rsidRPr="0021236A" w:rsidTr="00C73F47">
        <w:trPr>
          <w:cantSplit/>
        </w:trPr>
        <w:tc>
          <w:tcPr>
            <w:tcW w:w="1807"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 xml:space="preserve">Treatment </w:t>
            </w:r>
            <w:r>
              <w:t>d</w:t>
            </w:r>
            <w:r w:rsidRPr="0021236A">
              <w:t>elivery</w:t>
            </w:r>
          </w:p>
        </w:tc>
        <w:tc>
          <w:tcPr>
            <w:tcW w:w="2304"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 xml:space="preserve">Stereotactic </w:t>
            </w:r>
            <w:r>
              <w:t>r</w:t>
            </w:r>
            <w:r w:rsidRPr="0021236A">
              <w:t xml:space="preserve">adiation </w:t>
            </w:r>
            <w:r>
              <w:t>t</w:t>
            </w:r>
            <w:r w:rsidRPr="0021236A">
              <w:t>reatment</w:t>
            </w:r>
          </w:p>
          <w:p w:rsidR="00F425CB" w:rsidRDefault="00F425CB" w:rsidP="0047191A">
            <w:pPr>
              <w:pStyle w:val="TableText"/>
            </w:pPr>
            <w:r w:rsidRPr="0021236A">
              <w:t>Stereotactic radiosurgery (SRS)</w:t>
            </w:r>
          </w:p>
          <w:p w:rsidR="00F425CB" w:rsidRDefault="00F425CB" w:rsidP="0047191A">
            <w:pPr>
              <w:pStyle w:val="TableText"/>
            </w:pPr>
            <w:r w:rsidRPr="0021236A">
              <w:t xml:space="preserve">Stereotactic </w:t>
            </w:r>
            <w:r>
              <w:t>radiation therapy</w:t>
            </w:r>
            <w:r w:rsidRPr="0021236A">
              <w:t xml:space="preserve"> (SRT)</w:t>
            </w:r>
          </w:p>
        </w:tc>
        <w:tc>
          <w:tcPr>
            <w:tcW w:w="5387" w:type="dxa"/>
            <w:tcBorders>
              <w:top w:val="single" w:sz="4" w:space="0" w:color="A6A6A6"/>
              <w:left w:val="single" w:sz="4" w:space="0" w:color="A6A6A6"/>
              <w:bottom w:val="single" w:sz="4" w:space="0" w:color="A6A6A6"/>
              <w:right w:val="single" w:sz="4" w:space="0" w:color="A6A6A6"/>
            </w:tcBorders>
          </w:tcPr>
          <w:p w:rsidR="00F425CB" w:rsidRPr="007E7990" w:rsidRDefault="00F425CB" w:rsidP="0047191A">
            <w:pPr>
              <w:pStyle w:val="TableText"/>
            </w:pPr>
            <w:r w:rsidRPr="007E7990">
              <w:t>Highly conformal radiation volumes targeted accurately to small volumes. Permits delivery of single doses to brain lesions (SRS) or fractionated doses (SRT) to small brain lesions.</w:t>
            </w:r>
          </w:p>
        </w:tc>
        <w:tc>
          <w:tcPr>
            <w:tcW w:w="3685"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Linac based SRS</w:t>
            </w:r>
          </w:p>
          <w:p w:rsidR="00F425CB" w:rsidRPr="0021236A" w:rsidRDefault="00F425CB" w:rsidP="0047191A">
            <w:pPr>
              <w:pStyle w:val="TableText"/>
            </w:pPr>
            <w:r w:rsidRPr="0021236A">
              <w:t>Cobalt based SRS (Gamma Knife)</w:t>
            </w:r>
          </w:p>
          <w:p w:rsidR="00F425CB" w:rsidRPr="0021236A" w:rsidRDefault="00F425CB" w:rsidP="0047191A">
            <w:pPr>
              <w:pStyle w:val="TableText"/>
            </w:pPr>
            <w:r w:rsidRPr="0021236A">
              <w:t>Helical based SRS (</w:t>
            </w:r>
            <w:proofErr w:type="spellStart"/>
            <w:r w:rsidRPr="0021236A">
              <w:t>Tomotherapy</w:t>
            </w:r>
            <w:proofErr w:type="spellEnd"/>
            <w:r w:rsidRPr="0021236A">
              <w:t>)</w:t>
            </w:r>
          </w:p>
          <w:p w:rsidR="00F425CB" w:rsidRPr="0021236A" w:rsidRDefault="00F425CB" w:rsidP="0047191A">
            <w:pPr>
              <w:pStyle w:val="TableText"/>
            </w:pPr>
            <w:r w:rsidRPr="0021236A">
              <w:t>Robotic SRS (Cyber knife)</w:t>
            </w:r>
          </w:p>
        </w:tc>
        <w:tc>
          <w:tcPr>
            <w:tcW w:w="1418" w:type="dxa"/>
            <w:tcBorders>
              <w:top w:val="single" w:sz="4" w:space="0" w:color="A6A6A6"/>
              <w:left w:val="single" w:sz="4" w:space="0" w:color="A6A6A6"/>
              <w:bottom w:val="single" w:sz="4" w:space="0" w:color="A6A6A6"/>
              <w:right w:val="single" w:sz="4" w:space="0" w:color="A6A6A6"/>
            </w:tcBorders>
          </w:tcPr>
          <w:p w:rsidR="00F425CB" w:rsidRPr="0021236A" w:rsidRDefault="00F425CB" w:rsidP="00783397">
            <w:pPr>
              <w:pStyle w:val="TableText"/>
              <w:jc w:val="center"/>
            </w:pPr>
            <w:r w:rsidRPr="0021236A">
              <w:t>Yes</w:t>
            </w:r>
          </w:p>
          <w:p w:rsidR="00F425CB" w:rsidRPr="0021236A" w:rsidRDefault="00F425CB" w:rsidP="00783397">
            <w:pPr>
              <w:pStyle w:val="TableText"/>
              <w:jc w:val="center"/>
            </w:pPr>
            <w:r w:rsidRPr="0021236A">
              <w:t>No</w:t>
            </w:r>
          </w:p>
          <w:p w:rsidR="00F425CB" w:rsidRPr="0021236A" w:rsidRDefault="00F425CB" w:rsidP="00783397">
            <w:pPr>
              <w:pStyle w:val="TableText"/>
              <w:jc w:val="center"/>
            </w:pPr>
            <w:r w:rsidRPr="0021236A">
              <w:t>No</w:t>
            </w:r>
          </w:p>
          <w:p w:rsidR="00F425CB" w:rsidRPr="0021236A" w:rsidRDefault="00F425CB" w:rsidP="00783397">
            <w:pPr>
              <w:pStyle w:val="TableText"/>
              <w:jc w:val="center"/>
            </w:pPr>
            <w:r w:rsidRPr="0021236A">
              <w:t>No</w:t>
            </w:r>
          </w:p>
        </w:tc>
      </w:tr>
      <w:tr w:rsidR="00F425CB" w:rsidRPr="0021236A" w:rsidTr="00C73F47">
        <w:trPr>
          <w:cantSplit/>
        </w:trPr>
        <w:tc>
          <w:tcPr>
            <w:tcW w:w="1807"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 xml:space="preserve">Treatment </w:t>
            </w:r>
            <w:r>
              <w:t>p</w:t>
            </w:r>
            <w:r w:rsidRPr="0021236A">
              <w:t>lanning</w:t>
            </w:r>
          </w:p>
        </w:tc>
        <w:tc>
          <w:tcPr>
            <w:tcW w:w="2304"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 xml:space="preserve">Advanced imaging for </w:t>
            </w:r>
            <w:r>
              <w:t>radiation therapy</w:t>
            </w:r>
            <w:r w:rsidRPr="0021236A">
              <w:t xml:space="preserve"> planning</w:t>
            </w:r>
          </w:p>
        </w:tc>
        <w:tc>
          <w:tcPr>
            <w:tcW w:w="5387" w:type="dxa"/>
            <w:tcBorders>
              <w:top w:val="single" w:sz="4" w:space="0" w:color="A6A6A6"/>
              <w:left w:val="single" w:sz="4" w:space="0" w:color="A6A6A6"/>
              <w:bottom w:val="single" w:sz="4" w:space="0" w:color="A6A6A6"/>
              <w:right w:val="single" w:sz="4" w:space="0" w:color="A6A6A6"/>
            </w:tcBorders>
          </w:tcPr>
          <w:p w:rsidR="007E7990" w:rsidRPr="007E7990" w:rsidRDefault="00F425CB" w:rsidP="0047191A">
            <w:pPr>
              <w:pStyle w:val="TableText"/>
            </w:pPr>
            <w:r w:rsidRPr="007E7990">
              <w:t>Computed tomography (CT) scans acquired in the radiation therapy treatment position are the basic imaging modality for contouring tumour target volumes and normal tissues for dose calculation in radiation therapy planning.</w:t>
            </w:r>
          </w:p>
          <w:p w:rsidR="00F425CB" w:rsidRDefault="00F425CB" w:rsidP="0047191A">
            <w:pPr>
              <w:pStyle w:val="TableText"/>
            </w:pPr>
            <w:r w:rsidRPr="007E7990">
              <w:t>PET scans show functional information, 4DCT shows the motion of tumours and/or organs at risk and MRI shows additional anatomical detail not visualised on conventional CT.</w:t>
            </w:r>
          </w:p>
        </w:tc>
        <w:tc>
          <w:tcPr>
            <w:tcW w:w="3685" w:type="dxa"/>
            <w:tcBorders>
              <w:top w:val="single" w:sz="4" w:space="0" w:color="A6A6A6"/>
              <w:left w:val="single" w:sz="4" w:space="0" w:color="A6A6A6"/>
              <w:bottom w:val="single" w:sz="4" w:space="0" w:color="A6A6A6"/>
              <w:right w:val="single" w:sz="4" w:space="0" w:color="A6A6A6"/>
            </w:tcBorders>
          </w:tcPr>
          <w:p w:rsidR="00F425CB" w:rsidRPr="0021236A" w:rsidRDefault="00F425CB" w:rsidP="0047191A">
            <w:pPr>
              <w:pStyle w:val="TableText"/>
            </w:pPr>
            <w:r w:rsidRPr="0021236A">
              <w:t>4DCT</w:t>
            </w:r>
          </w:p>
          <w:p w:rsidR="00F425CB" w:rsidRPr="0021236A" w:rsidRDefault="00F425CB" w:rsidP="0047191A">
            <w:pPr>
              <w:pStyle w:val="TableText"/>
            </w:pPr>
            <w:r w:rsidRPr="0021236A">
              <w:t>PET CT fusion</w:t>
            </w:r>
          </w:p>
          <w:p w:rsidR="00F425CB" w:rsidRPr="0021236A" w:rsidRDefault="00F425CB" w:rsidP="0047191A">
            <w:pPr>
              <w:pStyle w:val="TableText"/>
            </w:pPr>
            <w:r w:rsidRPr="0021236A">
              <w:t>MRI CT fusion</w:t>
            </w:r>
          </w:p>
        </w:tc>
        <w:tc>
          <w:tcPr>
            <w:tcW w:w="1418" w:type="dxa"/>
            <w:tcBorders>
              <w:top w:val="single" w:sz="4" w:space="0" w:color="A6A6A6"/>
              <w:left w:val="single" w:sz="4" w:space="0" w:color="A6A6A6"/>
              <w:bottom w:val="single" w:sz="4" w:space="0" w:color="A6A6A6"/>
              <w:right w:val="single" w:sz="4" w:space="0" w:color="A6A6A6"/>
            </w:tcBorders>
          </w:tcPr>
          <w:p w:rsidR="00F425CB" w:rsidRPr="0021236A" w:rsidRDefault="00F425CB" w:rsidP="00783397">
            <w:pPr>
              <w:pStyle w:val="TableText"/>
              <w:jc w:val="center"/>
            </w:pPr>
            <w:r w:rsidRPr="0021236A">
              <w:t>Yes</w:t>
            </w:r>
          </w:p>
          <w:p w:rsidR="00F425CB" w:rsidRPr="0021236A" w:rsidRDefault="00F425CB" w:rsidP="00783397">
            <w:pPr>
              <w:pStyle w:val="TableText"/>
              <w:jc w:val="center"/>
            </w:pPr>
            <w:r>
              <w:t>Yes</w:t>
            </w:r>
          </w:p>
          <w:p w:rsidR="00F425CB" w:rsidRPr="0021236A" w:rsidRDefault="00F425CB" w:rsidP="00783397">
            <w:pPr>
              <w:pStyle w:val="TableText"/>
              <w:jc w:val="center"/>
            </w:pPr>
            <w:r>
              <w:t>Yes</w:t>
            </w:r>
          </w:p>
        </w:tc>
      </w:tr>
    </w:tbl>
    <w:p w:rsidR="00F425CB" w:rsidRPr="007E7990" w:rsidRDefault="00F425CB" w:rsidP="0047191A">
      <w:pPr>
        <w:pStyle w:val="Source"/>
      </w:pPr>
      <w:r w:rsidRPr="007E7990">
        <w:t xml:space="preserve">Source: Summarised from </w:t>
      </w:r>
      <w:r w:rsidRPr="007E7990">
        <w:rPr>
          <w:iCs/>
        </w:rPr>
        <w:t>2012 Radiation Oncology Horizon Scan</w:t>
      </w:r>
      <w:r w:rsidRPr="007E7990">
        <w:t xml:space="preserve">. </w:t>
      </w:r>
      <w:proofErr w:type="gramStart"/>
      <w:r w:rsidRPr="007E7990">
        <w:t>ROWG</w:t>
      </w:r>
      <w:r w:rsidR="0047191A">
        <w:t>,</w:t>
      </w:r>
      <w:r w:rsidR="007E7990" w:rsidRPr="007E7990">
        <w:t xml:space="preserve"> </w:t>
      </w:r>
      <w:r w:rsidRPr="007E7990">
        <w:t>2012</w:t>
      </w:r>
      <w:r w:rsidR="0047191A">
        <w:t>.</w:t>
      </w:r>
      <w:proofErr w:type="gramEnd"/>
    </w:p>
    <w:p w:rsidR="00F425CB" w:rsidRPr="007E7990" w:rsidRDefault="00F425CB" w:rsidP="0047191A"/>
    <w:p w:rsidR="00335E73" w:rsidRDefault="00335E73" w:rsidP="0047191A">
      <w:pPr>
        <w:pStyle w:val="Heading2"/>
        <w:sectPr w:rsidR="00335E73" w:rsidSect="00335E73">
          <w:footerReference w:type="default" r:id="rId29"/>
          <w:pgSz w:w="16834" w:h="11907" w:orient="landscape" w:code="9"/>
          <w:pgMar w:top="1134" w:right="1134" w:bottom="1134" w:left="1134" w:header="425" w:footer="567" w:gutter="0"/>
          <w:cols w:space="720"/>
          <w:docGrid w:linePitch="299"/>
        </w:sectPr>
      </w:pPr>
      <w:bookmarkStart w:id="172" w:name="_Toc376936392"/>
    </w:p>
    <w:p w:rsidR="00F425CB" w:rsidRPr="007E7990" w:rsidRDefault="00F425CB" w:rsidP="00A87E6C">
      <w:pPr>
        <w:pStyle w:val="Heading2"/>
        <w:spacing w:before="0"/>
      </w:pPr>
      <w:bookmarkStart w:id="173" w:name="_Toc384202868"/>
      <w:r w:rsidRPr="007E7990">
        <w:lastRenderedPageBreak/>
        <w:t>5.4</w:t>
      </w:r>
      <w:r w:rsidRPr="007E7990">
        <w:tab/>
        <w:t>Procurement</w:t>
      </w:r>
      <w:bookmarkEnd w:id="172"/>
      <w:bookmarkEnd w:id="173"/>
    </w:p>
    <w:p w:rsidR="00F425CB" w:rsidRPr="007E7990" w:rsidRDefault="00F425CB" w:rsidP="00A87E6C">
      <w:r w:rsidRPr="007E7990">
        <w:t>A number of national health agencies in addition to the NHC are likely to have an interest in any significant expansion of linac capacity:</w:t>
      </w:r>
    </w:p>
    <w:p w:rsidR="00F425CB" w:rsidRPr="007E7990" w:rsidRDefault="00A87E6C" w:rsidP="00A87E6C">
      <w:pPr>
        <w:pStyle w:val="Bullet"/>
      </w:pPr>
      <w:r>
        <w:t>t</w:t>
      </w:r>
      <w:r w:rsidR="00F425CB" w:rsidRPr="007E7990">
        <w:t>he National Health Board (NHB) promotes collaborative service and capacity planning and decision-making by DHBs</w:t>
      </w:r>
    </w:p>
    <w:p w:rsidR="00F425CB" w:rsidRPr="007E7990" w:rsidRDefault="00A87E6C" w:rsidP="00A87E6C">
      <w:pPr>
        <w:pStyle w:val="Bullet"/>
      </w:pPr>
      <w:r>
        <w:t>t</w:t>
      </w:r>
      <w:r w:rsidR="00F425CB" w:rsidRPr="007E7990">
        <w:t>he Capital Investment Committee (CIC) supports effective capital planning and decision-making by DHBs, including at regional and national levels where the investment meets predetermined thresholds</w:t>
      </w:r>
      <w:r w:rsidR="00F425CB" w:rsidRPr="00A87E6C">
        <w:rPr>
          <w:rStyle w:val="FootnoteReference"/>
        </w:rPr>
        <w:footnoteReference w:id="45"/>
      </w:r>
    </w:p>
    <w:p w:rsidR="007E7990" w:rsidRPr="007E7990" w:rsidRDefault="00A87E6C" w:rsidP="00A87E6C">
      <w:pPr>
        <w:pStyle w:val="Bullet"/>
      </w:pPr>
      <w:proofErr w:type="gramStart"/>
      <w:r>
        <w:t>c</w:t>
      </w:r>
      <w:r w:rsidR="00F425CB" w:rsidRPr="007E7990">
        <w:t>ost-effective</w:t>
      </w:r>
      <w:proofErr w:type="gramEnd"/>
      <w:r w:rsidR="00F425CB" w:rsidRPr="007E7990">
        <w:t xml:space="preserve"> DHB procurement of equipment and supplies is of interest to both Health Benefits Ltd (HBL) and PHARMAC, with the latters</w:t>
      </w:r>
      <w:r w:rsidR="007E7990" w:rsidRPr="007E7990">
        <w:t>’</w:t>
      </w:r>
      <w:r w:rsidR="00F425CB" w:rsidRPr="007E7990">
        <w:t xml:space="preserve"> brief being expanded to include medical devices from July 2015</w:t>
      </w:r>
      <w:r>
        <w:t>.</w:t>
      </w:r>
      <w:r w:rsidR="00F425CB" w:rsidRPr="00A87E6C">
        <w:rPr>
          <w:rStyle w:val="FootnoteReference"/>
        </w:rPr>
        <w:footnoteReference w:id="46"/>
      </w:r>
    </w:p>
    <w:p w:rsidR="00F425CB" w:rsidRPr="007E7990" w:rsidRDefault="00F425CB" w:rsidP="00A87E6C"/>
    <w:p w:rsidR="007E7990" w:rsidRPr="007E7990" w:rsidRDefault="00F425CB" w:rsidP="00A87E6C">
      <w:r w:rsidRPr="007E7990">
        <w:t xml:space="preserve">The </w:t>
      </w:r>
      <w:proofErr w:type="gramStart"/>
      <w:r w:rsidRPr="007E7990">
        <w:t>opportunity for gains through collaborative procurement of linac hardware and software have</w:t>
      </w:r>
      <w:proofErr w:type="gramEnd"/>
      <w:r w:rsidRPr="007E7990">
        <w:t xml:space="preserve"> been explored in the past, and most recently in 2012 by HBL at the request of the Cancer Programme Steering Group.</w:t>
      </w:r>
      <w:r w:rsidR="007E7990" w:rsidRPr="007E7990">
        <w:t xml:space="preserve"> </w:t>
      </w:r>
      <w:r w:rsidRPr="007E7990">
        <w:t>HBL</w:t>
      </w:r>
      <w:r w:rsidR="007E7990" w:rsidRPr="007E7990">
        <w:t>’</w:t>
      </w:r>
      <w:r w:rsidRPr="007E7990">
        <w:t>s advice at that time considered the DHB cancer centres</w:t>
      </w:r>
      <w:r w:rsidR="007E7990" w:rsidRPr="007E7990">
        <w:t>’</w:t>
      </w:r>
      <w:r w:rsidRPr="007E7990">
        <w:t xml:space="preserve"> linac replacement schedule, but did not factor in the capacity expansion required through increased cancer incidence and a lift in the IR to 45% by 2022.</w:t>
      </w:r>
    </w:p>
    <w:p w:rsidR="00F425CB" w:rsidRPr="007E7990" w:rsidRDefault="00F425CB" w:rsidP="00A87E6C"/>
    <w:p w:rsidR="00F425CB" w:rsidRPr="007E7990" w:rsidRDefault="00F425CB" w:rsidP="00A87E6C">
      <w:pPr>
        <w:pStyle w:val="Heading2"/>
      </w:pPr>
      <w:bookmarkStart w:id="174" w:name="_Toc376936393"/>
      <w:bookmarkStart w:id="175" w:name="_Toc384202869"/>
      <w:r w:rsidRPr="007E7990">
        <w:t>5.5</w:t>
      </w:r>
      <w:r w:rsidRPr="007E7990">
        <w:tab/>
        <w:t>Securing investment</w:t>
      </w:r>
      <w:bookmarkEnd w:id="174"/>
      <w:bookmarkEnd w:id="175"/>
    </w:p>
    <w:p w:rsidR="00F425CB" w:rsidRPr="007E7990" w:rsidRDefault="00F425CB" w:rsidP="00A87E6C">
      <w:r w:rsidRPr="007E7990">
        <w:t>The New Zealand health system is operating in an environment of resource constraint that can be expected to continue for the foreseeable future.</w:t>
      </w:r>
      <w:r w:rsidR="007E7990" w:rsidRPr="007E7990">
        <w:t xml:space="preserve"> </w:t>
      </w:r>
      <w:r w:rsidRPr="007E7990">
        <w:t>Service sustainability has become the focus of longer term service and capacity planning.</w:t>
      </w:r>
      <w:r w:rsidR="007E7990" w:rsidRPr="007E7990">
        <w:t xml:space="preserve"> </w:t>
      </w:r>
      <w:r w:rsidRPr="007E7990">
        <w:t>Sustainability has both clinical and financial dimensions, and relates to the ability of a health service to provide ongoing access to high quality care in an efficient and effective manner in a changing environment.</w:t>
      </w:r>
    </w:p>
    <w:p w:rsidR="00F425CB" w:rsidRPr="007E7990" w:rsidRDefault="00F425CB" w:rsidP="00A87E6C"/>
    <w:p w:rsidR="007E7990" w:rsidRPr="007E7990" w:rsidRDefault="003E3AAB" w:rsidP="00A87E6C">
      <w:r>
        <w:t>The focus of this</w:t>
      </w:r>
      <w:r w:rsidR="00F425CB" w:rsidRPr="007E7990">
        <w:t xml:space="preserve"> Plan and associated Model is on future demand for radiation oncology services, and the service capacity required </w:t>
      </w:r>
      <w:proofErr w:type="gramStart"/>
      <w:r w:rsidR="00F425CB" w:rsidRPr="007E7990">
        <w:t>to meet</w:t>
      </w:r>
      <w:proofErr w:type="gramEnd"/>
      <w:r w:rsidR="00F425CB" w:rsidRPr="007E7990">
        <w:t xml:space="preserve"> that demand. Expansion of service capacity will be required to not only meet the </w:t>
      </w:r>
      <w:r w:rsidR="007E7990" w:rsidRPr="007E7990">
        <w:t>‘</w:t>
      </w:r>
      <w:r w:rsidR="00F425CB" w:rsidRPr="007E7990">
        <w:t>organic</w:t>
      </w:r>
      <w:r w:rsidR="007E7990" w:rsidRPr="007E7990">
        <w:t>’</w:t>
      </w:r>
      <w:r w:rsidR="00F425CB" w:rsidRPr="007E7990">
        <w:t xml:space="preserve"> demand growth associated with increased cancer incidence, but also a further lift towards an IR of 45%. The scale of the potential investment is discussed in Section 4.3.3.</w:t>
      </w:r>
    </w:p>
    <w:p w:rsidR="00F425CB" w:rsidRPr="007E7990" w:rsidRDefault="00F425CB" w:rsidP="00A87E6C"/>
    <w:p w:rsidR="00F425CB" w:rsidRPr="007E7990" w:rsidRDefault="00F425CB" w:rsidP="00A87E6C">
      <w:r w:rsidRPr="007E7990">
        <w:t>Given the structure of the New Zealand health system, consideration of whether and how to make such an investment will occur at local, regional and national levels.</w:t>
      </w:r>
    </w:p>
    <w:p w:rsidR="00F425CB" w:rsidRPr="007E7990" w:rsidRDefault="00F425CB" w:rsidP="00A87E6C">
      <w:pPr>
        <w:pStyle w:val="Bullet"/>
        <w:keepLines/>
      </w:pPr>
      <w:r w:rsidRPr="007E7990">
        <w:rPr>
          <w:b/>
          <w:bCs/>
        </w:rPr>
        <w:lastRenderedPageBreak/>
        <w:t>Local</w:t>
      </w:r>
      <w:r w:rsidRPr="007E7990">
        <w:t>: Each DHB funds access for its population to radiation therapy, either as a direct cost in the case of the six DHBs with cancer centres, or as an IDF paid for at the national price in the case of the other 14 DHBs.</w:t>
      </w:r>
      <w:r w:rsidR="007E7990" w:rsidRPr="007E7990">
        <w:t xml:space="preserve"> </w:t>
      </w:r>
      <w:r w:rsidRPr="007E7990">
        <w:t>All DHBs will need to allocate additional funds to radiation therapy treatments to match the increased incidence of cancer, and an increase in the proportion of those cancers being treated with radiation therapy.</w:t>
      </w:r>
      <w:r w:rsidR="007E7990" w:rsidRPr="007E7990">
        <w:t xml:space="preserve"> </w:t>
      </w:r>
      <w:r w:rsidRPr="007E7990">
        <w:t>The cancer centres will also need to develop and support capital business cases for linac replacement and capacity expansion, and cater for increased operational costs in their annual planning.</w:t>
      </w:r>
    </w:p>
    <w:p w:rsidR="00F425CB" w:rsidRPr="007E7990" w:rsidRDefault="00F425CB" w:rsidP="00A87E6C">
      <w:pPr>
        <w:pStyle w:val="Bullet"/>
      </w:pPr>
      <w:r w:rsidRPr="007E7990">
        <w:rPr>
          <w:b/>
          <w:bCs/>
        </w:rPr>
        <w:t>Regional</w:t>
      </w:r>
      <w:r w:rsidRPr="007E7990">
        <w:t>: The capacity modelling done by each regional cancer network suggests all are aiming for a consistent and increased IR of 45% by 2020, in line with the Growth scenario.</w:t>
      </w:r>
      <w:r w:rsidR="007E7990" w:rsidRPr="007E7990">
        <w:t xml:space="preserve"> </w:t>
      </w:r>
      <w:r w:rsidRPr="007E7990">
        <w:t>This will require collective regional commitments by the constituent DHBs to allocate additional operating funds, and approval by the regional capital committees of capital investment by the cancer centres.</w:t>
      </w:r>
    </w:p>
    <w:p w:rsidR="007E7990" w:rsidRPr="007E7990" w:rsidRDefault="00F425CB" w:rsidP="00A87E6C">
      <w:pPr>
        <w:pStyle w:val="Bullet"/>
      </w:pPr>
      <w:r w:rsidRPr="007E7990">
        <w:rPr>
          <w:b/>
          <w:bCs/>
        </w:rPr>
        <w:t>National</w:t>
      </w:r>
      <w:r w:rsidRPr="007E7990">
        <w:t>: Ongoing development of the Plan and Model will create a supportive national context for development of radiation oncology services, with engagement of national health agencies as described in Sections 5.3 and 5.4.</w:t>
      </w:r>
    </w:p>
    <w:p w:rsidR="00F425CB" w:rsidRPr="007E7990" w:rsidRDefault="00F425CB" w:rsidP="00A87E6C"/>
    <w:p w:rsidR="007E7990" w:rsidRPr="007E7990" w:rsidRDefault="00F425CB" w:rsidP="00A87E6C">
      <w:r w:rsidRPr="007E7990">
        <w:t>At all three levels, radiation therapy will be competing for investment against other services in prioritisation processes that will require evidence of value for money.</w:t>
      </w:r>
      <w:r w:rsidR="007E7990" w:rsidRPr="007E7990">
        <w:t xml:space="preserve"> </w:t>
      </w:r>
      <w:r w:rsidRPr="007E7990">
        <w:t>Questions such as the following are likely to be asked:</w:t>
      </w:r>
    </w:p>
    <w:p w:rsidR="00F425CB" w:rsidRPr="007E7990" w:rsidRDefault="00F425CB" w:rsidP="00A87E6C">
      <w:pPr>
        <w:pStyle w:val="Bullet"/>
      </w:pPr>
      <w:r w:rsidRPr="007E7990">
        <w:t>How efficient are radiation therapy services?</w:t>
      </w:r>
      <w:r w:rsidR="007E7990" w:rsidRPr="007E7990">
        <w:t xml:space="preserve"> </w:t>
      </w:r>
      <w:r w:rsidRPr="007E7990">
        <w:t>Could their productivity be improved to make better use of existing resources?</w:t>
      </w:r>
    </w:p>
    <w:p w:rsidR="00F425CB" w:rsidRPr="007E7990" w:rsidRDefault="00F425CB" w:rsidP="00A87E6C">
      <w:pPr>
        <w:pStyle w:val="Bullet"/>
      </w:pPr>
      <w:r w:rsidRPr="007E7990">
        <w:t>How effective are radiation therapy services?</w:t>
      </w:r>
      <w:r w:rsidR="007E7990" w:rsidRPr="007E7990">
        <w:t xml:space="preserve"> </w:t>
      </w:r>
      <w:r w:rsidRPr="007E7990">
        <w:t>Do they produce positive health outcomes for the tumour groups and population groups that access them?</w:t>
      </w:r>
    </w:p>
    <w:p w:rsidR="00F425CB" w:rsidRPr="007E7990" w:rsidRDefault="00F425CB" w:rsidP="00A87E6C">
      <w:pPr>
        <w:pStyle w:val="Bullet"/>
      </w:pPr>
      <w:r w:rsidRPr="007E7990">
        <w:t>Will additional funding to increase radiation therapy capacity and access provide a better return on investment than other spending options?</w:t>
      </w:r>
    </w:p>
    <w:p w:rsidR="00F425CB" w:rsidRPr="007E7990" w:rsidRDefault="00F425CB" w:rsidP="00A87E6C"/>
    <w:p w:rsidR="007E7990" w:rsidRPr="007E7990" w:rsidRDefault="00F425CB" w:rsidP="00A87E6C">
      <w:r w:rsidRPr="007E7990">
        <w:t>The cancer centres</w:t>
      </w:r>
      <w:r w:rsidR="007E7990" w:rsidRPr="007E7990">
        <w:t>’</w:t>
      </w:r>
      <w:r w:rsidRPr="007E7990">
        <w:t xml:space="preserve"> immediate focus should be on improvement of operational performance.</w:t>
      </w:r>
      <w:r w:rsidR="007E7990" w:rsidRPr="007E7990">
        <w:t xml:space="preserve"> </w:t>
      </w:r>
      <w:r w:rsidRPr="007E7990">
        <w:t>The Model assumes a relatively modest 1% operational gain per year.</w:t>
      </w:r>
      <w:r w:rsidR="007E7990" w:rsidRPr="007E7990">
        <w:t xml:space="preserve"> </w:t>
      </w:r>
      <w:r w:rsidRPr="007E7990">
        <w:t xml:space="preserve">This had the effect of reducing two to three </w:t>
      </w:r>
      <w:proofErr w:type="gramStart"/>
      <w:r w:rsidRPr="007E7990">
        <w:t>linac</w:t>
      </w:r>
      <w:proofErr w:type="gramEnd"/>
      <w:r w:rsidRPr="007E7990">
        <w:t xml:space="preserve"> builds in each scenario, up to six in the Growth scenario.</w:t>
      </w:r>
      <w:r w:rsidR="007E7990" w:rsidRPr="007E7990">
        <w:t xml:space="preserve"> </w:t>
      </w:r>
      <w:r w:rsidRPr="007E7990">
        <w:t xml:space="preserve">When coupled with a </w:t>
      </w:r>
      <w:r w:rsidR="007E7990" w:rsidRPr="007E7990">
        <w:t>‘</w:t>
      </w:r>
      <w:r w:rsidRPr="007E7990">
        <w:t>tipping point</w:t>
      </w:r>
      <w:r w:rsidR="007E7990" w:rsidRPr="007E7990">
        <w:t>’</w:t>
      </w:r>
      <w:r w:rsidRPr="007E7990">
        <w:t xml:space="preserve"> extra use of </w:t>
      </w:r>
      <w:proofErr w:type="spellStart"/>
      <w:r w:rsidRPr="007E7990">
        <w:t>linacs</w:t>
      </w:r>
      <w:proofErr w:type="spellEnd"/>
      <w:r w:rsidRPr="007E7990">
        <w:t xml:space="preserve"> (</w:t>
      </w:r>
      <w:proofErr w:type="spellStart"/>
      <w:r w:rsidRPr="007E7990">
        <w:t>eg</w:t>
      </w:r>
      <w:proofErr w:type="spellEnd"/>
      <w:r w:rsidRPr="007E7990">
        <w:t>, up to 10</w:t>
      </w:r>
      <w:r w:rsidR="00A87E6C">
        <w:t>-</w:t>
      </w:r>
      <w:r w:rsidRPr="007E7990">
        <w:t>hour days in the maximal months of the year) this has a significant impact on the required linac capacity, as shown in the contrast between the Base and operational gain scenarios (</w:t>
      </w:r>
      <w:r w:rsidR="00A87E6C">
        <w:t>Table 10</w:t>
      </w:r>
      <w:r w:rsidRPr="007E7990">
        <w:t>).</w:t>
      </w:r>
      <w:r w:rsidR="007E7990" w:rsidRPr="007E7990">
        <w:t xml:space="preserve"> </w:t>
      </w:r>
      <w:r w:rsidRPr="007E7990">
        <w:t>The significant variation in total minutes of treatment per course across the centres highlights the possibilities for benchmarking and productivity gains.</w:t>
      </w:r>
      <w:r w:rsidR="007E7990" w:rsidRPr="007E7990">
        <w:t xml:space="preserve"> </w:t>
      </w:r>
      <w:r w:rsidRPr="007E7990">
        <w:t>In the constrained funding environment service funders will be looking for improved financial performance.</w:t>
      </w:r>
    </w:p>
    <w:p w:rsidR="00F425CB" w:rsidRPr="007E7990" w:rsidRDefault="00F425CB" w:rsidP="00A87E6C"/>
    <w:p w:rsidR="007E7990" w:rsidRPr="007E7990" w:rsidRDefault="00F425CB" w:rsidP="00A87E6C">
      <w:r w:rsidRPr="007E7990">
        <w:t>Cost information from the four DHB cancer centres submitting data for national pricing purposes suggests considerable variation. Collaboration between centres should include shared learning from the model of care and cost structures of the apparently more efficient radiation therapy providers including understanding of work patterns in the private cancer centres.</w:t>
      </w:r>
    </w:p>
    <w:p w:rsidR="00F425CB" w:rsidRPr="007E7990" w:rsidRDefault="00F425CB" w:rsidP="00A87E6C"/>
    <w:p w:rsidR="00F425CB" w:rsidRPr="007E7990" w:rsidRDefault="00F425CB" w:rsidP="00A87E6C">
      <w:pPr>
        <w:keepNext/>
      </w:pPr>
      <w:r w:rsidRPr="007E7990">
        <w:lastRenderedPageBreak/>
        <w:t>An example of a potential focus area for performance improvement is the impact of model of care options on access and productivity, and could include:</w:t>
      </w:r>
    </w:p>
    <w:p w:rsidR="00F425CB" w:rsidRPr="007E7990" w:rsidRDefault="00A87E6C" w:rsidP="00A87E6C">
      <w:pPr>
        <w:pStyle w:val="Bullet"/>
        <w:keepNext/>
      </w:pPr>
      <w:r>
        <w:t>w</w:t>
      </w:r>
      <w:r w:rsidR="00F425CB" w:rsidRPr="007E7990">
        <w:t>hether follow-ups are best done at the cancer centre by a specialist, or locally by GPs</w:t>
      </w:r>
    </w:p>
    <w:p w:rsidR="00F425CB" w:rsidRPr="007E7990" w:rsidRDefault="00A87E6C" w:rsidP="00A87E6C">
      <w:pPr>
        <w:pStyle w:val="Bullet"/>
      </w:pPr>
      <w:r>
        <w:t>w</w:t>
      </w:r>
      <w:r w:rsidR="00F425CB" w:rsidRPr="007E7990">
        <w:t xml:space="preserve">hether </w:t>
      </w:r>
      <w:r w:rsidR="007E7990" w:rsidRPr="007E7990">
        <w:t>‘</w:t>
      </w:r>
      <w:r w:rsidR="00F425CB" w:rsidRPr="007E7990">
        <w:t>virtual</w:t>
      </w:r>
      <w:r w:rsidR="007E7990" w:rsidRPr="007E7990">
        <w:t>’</w:t>
      </w:r>
      <w:r w:rsidR="00F425CB" w:rsidRPr="007E7990">
        <w:t xml:space="preserve"> follow-ups via telemedicine are a viable option to specialist or patient travel</w:t>
      </w:r>
    </w:p>
    <w:p w:rsidR="007E7990" w:rsidRPr="007E7990" w:rsidRDefault="00A87E6C" w:rsidP="00A87E6C">
      <w:pPr>
        <w:pStyle w:val="Bullet"/>
      </w:pPr>
      <w:proofErr w:type="gramStart"/>
      <w:r>
        <w:t>w</w:t>
      </w:r>
      <w:r w:rsidR="00F425CB" w:rsidRPr="007E7990">
        <w:t>hether</w:t>
      </w:r>
      <w:proofErr w:type="gramEnd"/>
      <w:r w:rsidR="00F425CB" w:rsidRPr="007E7990">
        <w:t xml:space="preserve"> palliative treatments should be given as single or multiple fractions.</w:t>
      </w:r>
    </w:p>
    <w:p w:rsidR="00F425CB" w:rsidRPr="007E7990" w:rsidRDefault="00F425CB" w:rsidP="00A87E6C"/>
    <w:p w:rsidR="00F425CB" w:rsidRPr="007E7990" w:rsidRDefault="00F425CB" w:rsidP="00A87E6C">
      <w:r w:rsidRPr="007E7990">
        <w:t>International experience may also prove useful.</w:t>
      </w:r>
      <w:r w:rsidR="007E7990" w:rsidRPr="007E7990">
        <w:t xml:space="preserve"> </w:t>
      </w:r>
      <w:r w:rsidRPr="007E7990">
        <w:t>For example, extending the hours of operation of existing linacs is the most obvious area to investigate for operational improvement, and delay of capital expansion.</w:t>
      </w:r>
      <w:r w:rsidR="007E7990" w:rsidRPr="007E7990">
        <w:t xml:space="preserve"> </w:t>
      </w:r>
      <w:r w:rsidRPr="007E7990">
        <w:t>A 2007 analysis of extended working hours in radiation therapy in the UK concluded that two shifts covering an 11.5-hour working day was a sound alternative to the normal working day.</w:t>
      </w:r>
      <w:r w:rsidR="007E7990" w:rsidRPr="007E7990">
        <w:t xml:space="preserve"> </w:t>
      </w:r>
      <w:r w:rsidRPr="007E7990">
        <w:t>This took into account efficient use of</w:t>
      </w:r>
      <w:r w:rsidR="005A0299" w:rsidRPr="005A0299">
        <w:t xml:space="preserve"> radiation therapist</w:t>
      </w:r>
      <w:r w:rsidR="005A0299">
        <w:t>s</w:t>
      </w:r>
      <w:r w:rsidRPr="007E7990">
        <w:t>, and some patients</w:t>
      </w:r>
      <w:r w:rsidR="007E7990" w:rsidRPr="007E7990">
        <w:t>’</w:t>
      </w:r>
      <w:r w:rsidRPr="007E7990">
        <w:t xml:space="preserve"> preferences for out-of-hours appointments.</w:t>
      </w:r>
    </w:p>
    <w:p w:rsidR="00F425CB" w:rsidRPr="007E7990" w:rsidRDefault="00F425CB" w:rsidP="00A87E6C"/>
    <w:p w:rsidR="00F425CB" w:rsidRPr="007E7990" w:rsidRDefault="00F425CB" w:rsidP="00A87E6C">
      <w:r w:rsidRPr="007E7990">
        <w:t>Analysis in Scotland concluded that equitable access at a higher intervention rate could best be achieved through service redesign together with a modest increase in the number of linacs.</w:t>
      </w:r>
      <w:r w:rsidR="007E7990" w:rsidRPr="007E7990">
        <w:t xml:space="preserve"> </w:t>
      </w:r>
      <w:r w:rsidRPr="007E7990">
        <w:t>The initial service changes recommended were:</w:t>
      </w:r>
    </w:p>
    <w:p w:rsidR="00F425CB" w:rsidRPr="007E7990" w:rsidRDefault="00A87E6C" w:rsidP="00A87E6C">
      <w:pPr>
        <w:pStyle w:val="Bullet"/>
      </w:pPr>
      <w:r>
        <w:t>i</w:t>
      </w:r>
      <w:r w:rsidR="00F425CB" w:rsidRPr="007E7990">
        <w:t>ncrease the core clinical service to a 10-hour day, 5-day week</w:t>
      </w:r>
    </w:p>
    <w:p w:rsidR="00F425CB" w:rsidRPr="007E7990" w:rsidRDefault="00A87E6C" w:rsidP="00A87E6C">
      <w:pPr>
        <w:pStyle w:val="Bullet"/>
      </w:pPr>
      <w:r>
        <w:t>r</w:t>
      </w:r>
      <w:r w:rsidR="00F425CB" w:rsidRPr="007E7990">
        <w:t>educe the days lost as a result of closure for public holidays and routine maintenance to achieve 257 clinical days per annum</w:t>
      </w:r>
    </w:p>
    <w:p w:rsidR="00F425CB" w:rsidRPr="007E7990" w:rsidRDefault="00A87E6C" w:rsidP="00A87E6C">
      <w:pPr>
        <w:pStyle w:val="Bullet"/>
      </w:pPr>
      <w:r>
        <w:t>r</w:t>
      </w:r>
      <w:r w:rsidR="00F425CB" w:rsidRPr="007E7990">
        <w:t>eview workforce shift patterns, working practices, skill mix, new roles, and additional staff requirements to meet the new service model</w:t>
      </w:r>
    </w:p>
    <w:p w:rsidR="00F425CB" w:rsidRPr="007E7990" w:rsidRDefault="00A87E6C" w:rsidP="00A87E6C">
      <w:pPr>
        <w:pStyle w:val="Bullet"/>
      </w:pPr>
      <w:proofErr w:type="gramStart"/>
      <w:r>
        <w:t>o</w:t>
      </w:r>
      <w:r w:rsidR="00F425CB" w:rsidRPr="007E7990">
        <w:t>ptimise</w:t>
      </w:r>
      <w:proofErr w:type="gramEnd"/>
      <w:r w:rsidR="00F425CB" w:rsidRPr="007E7990">
        <w:t xml:space="preserve"> the capacity of all linacs in Scotland and redistribute workloads, including changes to referral practices and further development of collaborative working.</w:t>
      </w:r>
    </w:p>
    <w:p w:rsidR="00F425CB" w:rsidRPr="007E7990" w:rsidRDefault="00F425CB" w:rsidP="00A87E6C"/>
    <w:p w:rsidR="007E7990" w:rsidRPr="007E7990" w:rsidRDefault="00F425CB" w:rsidP="00A87E6C">
      <w:r w:rsidRPr="007E7990">
        <w:t>An increased focus on analysis, research and evaluation of radiation therapy will be required to provide the information needed to support further investment.</w:t>
      </w:r>
      <w:r w:rsidR="007E7990" w:rsidRPr="007E7990">
        <w:t xml:space="preserve"> </w:t>
      </w:r>
      <w:r w:rsidRPr="007E7990">
        <w:t>This will apply not only to new techniques and technologies as described in Section 5.3, but also the impact of existing services on clinical and patient-reported outcomes from both radical and palliative use of radiation therapy.</w:t>
      </w:r>
      <w:r w:rsidR="007E7990" w:rsidRPr="007E7990">
        <w:t xml:space="preserve"> </w:t>
      </w:r>
      <w:r w:rsidRPr="007E7990">
        <w:t>As noted in Section 2.2, ROWG</w:t>
      </w:r>
      <w:r w:rsidR="007E7990" w:rsidRPr="007E7990">
        <w:t>’</w:t>
      </w:r>
      <w:r w:rsidRPr="007E7990">
        <w:t>s defined role encompasses consideration of the information base required to support the future investment in radiation therapy capacity.</w:t>
      </w:r>
    </w:p>
    <w:p w:rsidR="00F425CB" w:rsidRPr="007E7990" w:rsidRDefault="00F425CB" w:rsidP="00A87E6C"/>
    <w:p w:rsidR="00A87E6C" w:rsidRPr="007E7990" w:rsidRDefault="00A87E6C" w:rsidP="00A87E6C">
      <w:pPr>
        <w:pStyle w:val="BoxHeading"/>
      </w:pPr>
      <w:r w:rsidRPr="007E7990">
        <w:t>Recommendations: Securing investment</w:t>
      </w:r>
    </w:p>
    <w:p w:rsidR="00A87E6C" w:rsidRPr="007E7990" w:rsidRDefault="00A87E6C" w:rsidP="00A87E6C">
      <w:pPr>
        <w:pStyle w:val="Boxnumber"/>
      </w:pPr>
      <w:r w:rsidRPr="007E7990">
        <w:t>The Ministry and DHBs should use the Model to inform local, regional and national planning and business case development. Consistent assumptions and metrics should be used in planning, based on the national KPI dataset and Model standardisation.</w:t>
      </w:r>
    </w:p>
    <w:p w:rsidR="00A87E6C" w:rsidRPr="007E7990" w:rsidRDefault="00A87E6C" w:rsidP="00A87E6C">
      <w:pPr>
        <w:pStyle w:val="Boxnumber"/>
      </w:pPr>
      <w:r w:rsidRPr="007E7990">
        <w:t>The Ministry and DHBs should place greater emphasis on benchmarking of radiation therapy services to inform identification at regional and national levels of opportunities for improved access and productivity.</w:t>
      </w:r>
    </w:p>
    <w:p w:rsidR="00F425CB" w:rsidRPr="007E7990" w:rsidRDefault="00F425CB" w:rsidP="00A87E6C"/>
    <w:p w:rsidR="00F425CB" w:rsidRPr="007E7990" w:rsidRDefault="00F425CB" w:rsidP="00A87E6C">
      <w:pPr>
        <w:pStyle w:val="Heading2"/>
      </w:pPr>
      <w:bookmarkStart w:id="176" w:name="_Toc376936394"/>
      <w:bookmarkStart w:id="177" w:name="_Toc384202870"/>
      <w:r w:rsidRPr="007E7990">
        <w:lastRenderedPageBreak/>
        <w:t>5.6</w:t>
      </w:r>
      <w:r w:rsidRPr="007E7990">
        <w:tab/>
        <w:t>National planning and action</w:t>
      </w:r>
      <w:bookmarkEnd w:id="176"/>
      <w:bookmarkEnd w:id="177"/>
    </w:p>
    <w:p w:rsidR="00F425CB" w:rsidRPr="007E7990" w:rsidRDefault="00F425CB" w:rsidP="00536CC7">
      <w:r w:rsidRPr="007E7990">
        <w:t>The terms of reference for ROWG (Section 2.2) place it in a key national expert advisory role within the radiation oncology sector, and wider cancer services.</w:t>
      </w:r>
      <w:r w:rsidR="007E7990" w:rsidRPr="007E7990">
        <w:t xml:space="preserve"> </w:t>
      </w:r>
      <w:r w:rsidRPr="007E7990">
        <w:t>This role should include providing the Ministry (and DHBs) with advice in key action areas arising from this Plan:</w:t>
      </w:r>
    </w:p>
    <w:p w:rsidR="00F425CB" w:rsidRPr="007E7990" w:rsidRDefault="00536CC7" w:rsidP="00536CC7">
      <w:pPr>
        <w:pStyle w:val="Bullet"/>
      </w:pPr>
      <w:proofErr w:type="gramStart"/>
      <w:r>
        <w:t>r</w:t>
      </w:r>
      <w:r w:rsidR="00F425CB" w:rsidRPr="007E7990">
        <w:t>eduction</w:t>
      </w:r>
      <w:proofErr w:type="gramEnd"/>
      <w:r w:rsidR="00F425CB" w:rsidRPr="007E7990">
        <w:t xml:space="preserve"> of variation in patient access and clinical practice, as reflected in the radiation oncology KPIs. In this area, ROWG should link with the Health Quality and Safety Commission, to understand how it is approaching its role in reducing unwarranted clinical variation</w:t>
      </w:r>
    </w:p>
    <w:p w:rsidR="00F425CB" w:rsidRPr="007E7990" w:rsidRDefault="00536CC7" w:rsidP="00536CC7">
      <w:pPr>
        <w:pStyle w:val="Bullet"/>
      </w:pPr>
      <w:proofErr w:type="gramStart"/>
      <w:r>
        <w:t>e</w:t>
      </w:r>
      <w:r w:rsidR="00F425CB" w:rsidRPr="007E7990">
        <w:t>valuation</w:t>
      </w:r>
      <w:proofErr w:type="gramEnd"/>
      <w:r w:rsidR="00F425CB" w:rsidRPr="007E7990">
        <w:t xml:space="preserve"> of new technologies and techniques, and advice on the managed implementation of those deemed effective.</w:t>
      </w:r>
      <w:r w:rsidR="007E7990" w:rsidRPr="007E7990">
        <w:t xml:space="preserve"> </w:t>
      </w:r>
      <w:r w:rsidR="00F425CB" w:rsidRPr="007E7990">
        <w:t>This should include consideration of indications for their cost-effective use, and their distribution across New Zealand.</w:t>
      </w:r>
      <w:r w:rsidR="007E7990" w:rsidRPr="007E7990">
        <w:t xml:space="preserve"> </w:t>
      </w:r>
      <w:r w:rsidR="00F425CB" w:rsidRPr="007E7990">
        <w:t>In this area, ROWG should link with the National Health Committee as noted above</w:t>
      </w:r>
    </w:p>
    <w:p w:rsidR="00F425CB" w:rsidRPr="007E7990" w:rsidRDefault="00536CC7" w:rsidP="00536CC7">
      <w:pPr>
        <w:pStyle w:val="Bullet"/>
      </w:pPr>
      <w:r>
        <w:t>s</w:t>
      </w:r>
      <w:r w:rsidR="00F425CB" w:rsidRPr="007E7990">
        <w:t>upport for use of KPI information to understand comparative cancer centre performance, IR</w:t>
      </w:r>
      <w:r>
        <w:t> </w:t>
      </w:r>
      <w:r w:rsidR="00F425CB" w:rsidRPr="007E7990">
        <w:t>monitoring, and encourage spread of effective innovation to improve access and operational efficiency and effectiveness</w:t>
      </w:r>
    </w:p>
    <w:p w:rsidR="00F425CB" w:rsidRPr="007E7990" w:rsidRDefault="00536CC7" w:rsidP="00536CC7">
      <w:pPr>
        <w:pStyle w:val="Bullet"/>
      </w:pPr>
      <w:proofErr w:type="gramStart"/>
      <w:r>
        <w:t>w</w:t>
      </w:r>
      <w:r w:rsidR="00F425CB" w:rsidRPr="007E7990">
        <w:t>orkforce</w:t>
      </w:r>
      <w:proofErr w:type="gramEnd"/>
      <w:r w:rsidR="00F425CB" w:rsidRPr="007E7990">
        <w:t xml:space="preserve"> planning and development, including education and training, and opportunities to explore new models of care and workforce roles.</w:t>
      </w:r>
      <w:r w:rsidR="007E7990" w:rsidRPr="007E7990">
        <w:t xml:space="preserve"> </w:t>
      </w:r>
      <w:r w:rsidR="00F425CB" w:rsidRPr="007E7990">
        <w:t>In this area, ROWG should link with Health Workforce New Zealand</w:t>
      </w:r>
    </w:p>
    <w:p w:rsidR="00F425CB" w:rsidRPr="007E7990" w:rsidRDefault="00536CC7" w:rsidP="00536CC7">
      <w:pPr>
        <w:pStyle w:val="Bullet"/>
      </w:pPr>
      <w:r>
        <w:t>c</w:t>
      </w:r>
      <w:r w:rsidR="00F425CB" w:rsidRPr="007E7990">
        <w:t>apacity and service planning, including advising the Ministry on updating and enhancement of the Model and Plan</w:t>
      </w:r>
    </w:p>
    <w:p w:rsidR="00F425CB" w:rsidRPr="007E7990" w:rsidRDefault="00536CC7" w:rsidP="00536CC7">
      <w:pPr>
        <w:pStyle w:val="Bullet"/>
      </w:pPr>
      <w:r>
        <w:t>c</w:t>
      </w:r>
      <w:r w:rsidR="00F425CB" w:rsidRPr="007E7990">
        <w:t>apacity and service planning for sub-specialised services such as child cancer treatment</w:t>
      </w:r>
    </w:p>
    <w:p w:rsidR="00F425CB" w:rsidRPr="007E7990" w:rsidRDefault="00536CC7" w:rsidP="00536CC7">
      <w:pPr>
        <w:pStyle w:val="Bullet"/>
      </w:pPr>
      <w:proofErr w:type="gramStart"/>
      <w:r>
        <w:t>c</w:t>
      </w:r>
      <w:r w:rsidR="00F425CB" w:rsidRPr="007E7990">
        <w:t>onsideration</w:t>
      </w:r>
      <w:proofErr w:type="gramEnd"/>
      <w:r w:rsidR="00F425CB" w:rsidRPr="007E7990">
        <w:t xml:space="preserve"> of the information base required to support future investment in radiation therapy capacity.</w:t>
      </w:r>
    </w:p>
    <w:p w:rsidR="00F425CB" w:rsidRPr="007E7990" w:rsidRDefault="00F425CB" w:rsidP="00536CC7"/>
    <w:p w:rsidR="00F425CB" w:rsidRPr="007E7990" w:rsidRDefault="00F425CB" w:rsidP="00536CC7">
      <w:r w:rsidRPr="007E7990">
        <w:t>The advent of the Plan and Model should allow ROWG to develop and deliver a more structured work programme that is agreed with the Ministry annually.</w:t>
      </w:r>
      <w:r w:rsidR="007E7990" w:rsidRPr="007E7990">
        <w:t xml:space="preserve"> </w:t>
      </w:r>
      <w:r w:rsidRPr="007E7990">
        <w:t>This work programme should be linked to an annual radiation oncology national implementation plan, as part of the Cancer Programme.</w:t>
      </w:r>
    </w:p>
    <w:p w:rsidR="00F425CB" w:rsidRPr="007E7990" w:rsidRDefault="00F425CB" w:rsidP="00536CC7"/>
    <w:p w:rsidR="00536CC7" w:rsidRPr="007E7990" w:rsidRDefault="00536CC7" w:rsidP="00536CC7">
      <w:pPr>
        <w:pStyle w:val="BoxHeading"/>
      </w:pPr>
      <w:r w:rsidRPr="007E7990">
        <w:t>Recommendations: National planning and action</w:t>
      </w:r>
    </w:p>
    <w:p w:rsidR="00536CC7" w:rsidRPr="007E7990" w:rsidRDefault="00536CC7" w:rsidP="00536CC7">
      <w:pPr>
        <w:pStyle w:val="Boxnumber"/>
      </w:pPr>
      <w:r w:rsidRPr="007E7990">
        <w:t>The Ministry should produce an annual radiation oncology national implementation plan, as part of the Cancer Programme.</w:t>
      </w:r>
    </w:p>
    <w:p w:rsidR="00F425CB" w:rsidRPr="007E7990" w:rsidRDefault="00F425CB" w:rsidP="00536CC7"/>
    <w:p w:rsidR="00F425CB" w:rsidRPr="007E7990" w:rsidRDefault="00E83DC6" w:rsidP="00E83DC6">
      <w:pPr>
        <w:pStyle w:val="Heading1"/>
        <w:ind w:left="0" w:firstLine="0"/>
      </w:pPr>
      <w:bookmarkStart w:id="178" w:name="_Toc376936395"/>
      <w:r>
        <w:br w:type="page"/>
      </w:r>
      <w:bookmarkStart w:id="179" w:name="_Toc384202871"/>
      <w:r w:rsidR="00F425CB" w:rsidRPr="007E7990">
        <w:lastRenderedPageBreak/>
        <w:t>Appendix 1</w:t>
      </w:r>
      <w:r w:rsidR="00AF7C46">
        <w:t>:</w:t>
      </w:r>
      <w:r w:rsidR="00F425CB" w:rsidRPr="007E7990">
        <w:t xml:space="preserve"> Members of the Steering Group and Expert Advisory Group</w:t>
      </w:r>
      <w:bookmarkEnd w:id="178"/>
      <w:bookmarkEnd w:id="179"/>
    </w:p>
    <w:p w:rsidR="00F425CB" w:rsidRPr="00107F69" w:rsidRDefault="00F425CB" w:rsidP="00E83DC6">
      <w:pPr>
        <w:pStyle w:val="Heading3"/>
      </w:pPr>
      <w:r w:rsidRPr="00107F69">
        <w:t>Steering Group</w:t>
      </w:r>
    </w:p>
    <w:p w:rsidR="00F425CB" w:rsidRDefault="00F425CB" w:rsidP="00E83DC6">
      <w:r>
        <w:t>Andrew Simpson (Chair) – National Clinical Director, Cancer, Ministry of Health</w:t>
      </w:r>
    </w:p>
    <w:p w:rsidR="00F425CB" w:rsidRDefault="00F425CB" w:rsidP="00E83DC6">
      <w:r>
        <w:t>Jo Anson – Central Cancer Network Manager, MidCentral DHB</w:t>
      </w:r>
    </w:p>
    <w:p w:rsidR="00F425CB" w:rsidRDefault="00F425CB" w:rsidP="00E83DC6">
      <w:r>
        <w:t>Kate Garland – Senior Advisor, Cancer</w:t>
      </w:r>
      <w:r w:rsidR="003E3AAB">
        <w:t xml:space="preserve"> Services</w:t>
      </w:r>
      <w:r>
        <w:t>, Ministry of Health</w:t>
      </w:r>
    </w:p>
    <w:p w:rsidR="00F425CB" w:rsidRDefault="00F425CB" w:rsidP="00E83DC6">
      <w:r>
        <w:t>Charles De Groot – Radiation Oncologist, Waikato DHB</w:t>
      </w:r>
    </w:p>
    <w:p w:rsidR="00F425CB" w:rsidRDefault="00F425CB" w:rsidP="00E83DC6">
      <w:r>
        <w:t>Emmanuel Jo – Principal Technical Specialist, Health Workforce N</w:t>
      </w:r>
      <w:r w:rsidR="003E3AAB">
        <w:t xml:space="preserve">ew </w:t>
      </w:r>
      <w:r>
        <w:t>Z</w:t>
      </w:r>
      <w:r w:rsidR="003E3AAB">
        <w:t>ealand</w:t>
      </w:r>
      <w:r>
        <w:t>, Ministry of Health</w:t>
      </w:r>
    </w:p>
    <w:p w:rsidR="00F425CB" w:rsidRDefault="00F425CB" w:rsidP="00E83DC6">
      <w:r>
        <w:t>Chris Lowry – Chief Operating Officer, Capital and Coast DHB</w:t>
      </w:r>
    </w:p>
    <w:p w:rsidR="007E7990" w:rsidRDefault="00F425CB" w:rsidP="00E83DC6">
      <w:proofErr w:type="spellStart"/>
      <w:r>
        <w:t>Mhairi</w:t>
      </w:r>
      <w:proofErr w:type="spellEnd"/>
      <w:r>
        <w:t xml:space="preserve"> McHugh – Team Leader, DHB Performance, National Health Board, Ministry of Health</w:t>
      </w:r>
    </w:p>
    <w:p w:rsidR="00F425CB" w:rsidRDefault="00F425CB" w:rsidP="00E83DC6">
      <w:r>
        <w:t>Robert Taylor – Group Chief Financial Officer, Mercy Ascot</w:t>
      </w:r>
    </w:p>
    <w:p w:rsidR="00F425CB" w:rsidRDefault="00F425CB" w:rsidP="00E83DC6">
      <w:proofErr w:type="spellStart"/>
      <w:r>
        <w:t>Ricarda</w:t>
      </w:r>
      <w:proofErr w:type="spellEnd"/>
      <w:r>
        <w:t xml:space="preserve"> </w:t>
      </w:r>
      <w:proofErr w:type="spellStart"/>
      <w:r>
        <w:t>Vandervorst</w:t>
      </w:r>
      <w:proofErr w:type="spellEnd"/>
      <w:r>
        <w:t xml:space="preserve"> – Manager, Cancer Services, Ministry of Health</w:t>
      </w:r>
    </w:p>
    <w:p w:rsidR="00F425CB" w:rsidRDefault="00F425CB" w:rsidP="00E83DC6"/>
    <w:p w:rsidR="00F425CB" w:rsidRPr="00107F69" w:rsidRDefault="00F425CB" w:rsidP="00E83DC6">
      <w:pPr>
        <w:pStyle w:val="Heading3"/>
      </w:pPr>
      <w:r w:rsidRPr="00107F69">
        <w:t>Expert Advisory Group</w:t>
      </w:r>
    </w:p>
    <w:p w:rsidR="00F425CB" w:rsidRDefault="00F425CB" w:rsidP="00E83DC6">
      <w:r>
        <w:t>Carol Johnson (Chair) – Clinical Leader, Capital and Coast DHB</w:t>
      </w:r>
    </w:p>
    <w:p w:rsidR="00F425CB" w:rsidRDefault="00F425CB" w:rsidP="00E83DC6">
      <w:r>
        <w:t xml:space="preserve">Vivienne Ali – </w:t>
      </w:r>
      <w:r w:rsidRPr="005D7367">
        <w:t>Radiation Therapist</w:t>
      </w:r>
      <w:r>
        <w:t xml:space="preserve"> Clinical Manager/Practice Manager, St Georges Cancer Care Centre</w:t>
      </w:r>
    </w:p>
    <w:p w:rsidR="00F425CB" w:rsidRDefault="00F425CB" w:rsidP="00E83DC6">
      <w:r>
        <w:t>John Childs – Radiation Oncologist, Auckland DHB</w:t>
      </w:r>
    </w:p>
    <w:p w:rsidR="00F425CB" w:rsidRDefault="00F425CB" w:rsidP="00E83DC6">
      <w:r>
        <w:t>Shaun Costello</w:t>
      </w:r>
      <w:r w:rsidR="007E7990">
        <w:t xml:space="preserve"> – </w:t>
      </w:r>
      <w:r>
        <w:t>Radiation Oncologist, Director Southern Cancer Network, Southern DHB</w:t>
      </w:r>
    </w:p>
    <w:p w:rsidR="00F425CB" w:rsidRDefault="00F425CB" w:rsidP="00E83DC6">
      <w:r>
        <w:t>Shelley Donnell – Unit Manager, Oncology, Waikato DHB</w:t>
      </w:r>
    </w:p>
    <w:p w:rsidR="00F425CB" w:rsidRDefault="00F425CB" w:rsidP="00E83DC6">
      <w:r>
        <w:t xml:space="preserve">Lynne </w:t>
      </w:r>
      <w:proofErr w:type="spellStart"/>
      <w:r>
        <w:t>Greig</w:t>
      </w:r>
      <w:proofErr w:type="spellEnd"/>
      <w:r>
        <w:t xml:space="preserve"> – Chief Medical Physicist, Capital and Coast DHB</w:t>
      </w:r>
    </w:p>
    <w:p w:rsidR="00F425CB" w:rsidRDefault="00F425CB" w:rsidP="00E83DC6">
      <w:r>
        <w:t xml:space="preserve">Rob </w:t>
      </w:r>
      <w:proofErr w:type="spellStart"/>
      <w:r>
        <w:t>Hallinan</w:t>
      </w:r>
      <w:proofErr w:type="spellEnd"/>
      <w:r>
        <w:t xml:space="preserve"> – Clinical Manager Radiation Therapy, Canterbury DHB</w:t>
      </w:r>
    </w:p>
    <w:p w:rsidR="00F425CB" w:rsidRDefault="00F425CB" w:rsidP="00E83DC6">
      <w:proofErr w:type="spellStart"/>
      <w:r>
        <w:t>Cushla</w:t>
      </w:r>
      <w:proofErr w:type="spellEnd"/>
      <w:r>
        <w:t xml:space="preserve"> Lucas – Service Manager, Regional Cancer Treatment Service, MidCentral DHB</w:t>
      </w:r>
    </w:p>
    <w:p w:rsidR="00F425CB" w:rsidRDefault="00F425CB" w:rsidP="00E83DC6">
      <w:r>
        <w:t xml:space="preserve">Neil </w:t>
      </w:r>
      <w:proofErr w:type="spellStart"/>
      <w:r>
        <w:t>McKelvie</w:t>
      </w:r>
      <w:proofErr w:type="spellEnd"/>
      <w:r>
        <w:t xml:space="preserve"> – </w:t>
      </w:r>
      <w:r w:rsidRPr="007157E7">
        <w:t xml:space="preserve">Service Manager, </w:t>
      </w:r>
      <w:r>
        <w:t>Bay of Plenty DHB</w:t>
      </w:r>
    </w:p>
    <w:p w:rsidR="00F425CB" w:rsidRDefault="00F425CB" w:rsidP="00E83DC6">
      <w:r>
        <w:t>Isla Nixon – Principal Physicist, Cancer &amp; Blood Services, Auckland DHB</w:t>
      </w:r>
    </w:p>
    <w:p w:rsidR="00F425CB" w:rsidRDefault="00F425CB" w:rsidP="00E83DC6">
      <w:r>
        <w:t xml:space="preserve">Denise Redwood – </w:t>
      </w:r>
      <w:r w:rsidR="003E3AAB">
        <w:t xml:space="preserve">Radiation </w:t>
      </w:r>
      <w:r>
        <w:t>T</w:t>
      </w:r>
      <w:r w:rsidR="003E3AAB">
        <w:t>herapy</w:t>
      </w:r>
      <w:r>
        <w:t xml:space="preserve"> Manager, Auckland Radiation Oncology</w:t>
      </w:r>
    </w:p>
    <w:p w:rsidR="00F425CB" w:rsidRDefault="00F425CB" w:rsidP="00E83DC6">
      <w:r>
        <w:t xml:space="preserve">Giuseppe </w:t>
      </w:r>
      <w:proofErr w:type="spellStart"/>
      <w:r>
        <w:t>Sasso</w:t>
      </w:r>
      <w:proofErr w:type="spellEnd"/>
      <w:r>
        <w:t xml:space="preserve"> – Radiation Oncologist, Auckland DHB</w:t>
      </w:r>
    </w:p>
    <w:p w:rsidR="00F425CB" w:rsidRDefault="00F425CB" w:rsidP="00E83DC6">
      <w:r>
        <w:t>Iain Ward</w:t>
      </w:r>
      <w:r w:rsidR="007E7990">
        <w:t xml:space="preserve"> – </w:t>
      </w:r>
      <w:r>
        <w:t>Clinical Director, Radiation Oncology, Canterbury DHB</w:t>
      </w:r>
    </w:p>
    <w:p w:rsidR="00F425CB" w:rsidRDefault="00F425CB" w:rsidP="00E83DC6"/>
    <w:p w:rsidR="00F425CB" w:rsidRPr="007E7990" w:rsidRDefault="00E83DC6" w:rsidP="00E83DC6">
      <w:pPr>
        <w:pStyle w:val="Heading1"/>
      </w:pPr>
      <w:bookmarkStart w:id="180" w:name="_Toc376936396"/>
      <w:r>
        <w:br w:type="page"/>
      </w:r>
      <w:bookmarkStart w:id="181" w:name="_Toc384202872"/>
      <w:r w:rsidR="00F425CB" w:rsidRPr="007E7990">
        <w:lastRenderedPageBreak/>
        <w:t>Appendix 2</w:t>
      </w:r>
      <w:r w:rsidR="00AF7C46">
        <w:t>:</w:t>
      </w:r>
      <w:r w:rsidR="00F425CB" w:rsidRPr="007E7990">
        <w:t xml:space="preserve"> Consultation programme</w:t>
      </w:r>
      <w:bookmarkEnd w:id="180"/>
      <w:bookmarkEnd w:id="181"/>
    </w:p>
    <w:p w:rsidR="00F425CB" w:rsidRPr="000709E7" w:rsidRDefault="00F425CB" w:rsidP="00AF7C46">
      <w:r w:rsidRPr="000709E7">
        <w:t>Specific feedback was received from:</w:t>
      </w:r>
    </w:p>
    <w:p w:rsidR="00F425CB" w:rsidRPr="000709E7" w:rsidRDefault="00F425CB" w:rsidP="00AF7C46">
      <w:pPr>
        <w:pStyle w:val="Bullet"/>
      </w:pPr>
      <w:r w:rsidRPr="000709E7">
        <w:t>Australasian College of Physical Scientists &amp; Engineers in Medicine (ACPSEM)</w:t>
      </w:r>
    </w:p>
    <w:p w:rsidR="00F425CB" w:rsidRPr="000709E7" w:rsidRDefault="00F425CB" w:rsidP="00AF7C46">
      <w:pPr>
        <w:pStyle w:val="Bullet"/>
      </w:pPr>
      <w:r w:rsidRPr="000709E7">
        <w:t>Bay of Plenty DHB</w:t>
      </w:r>
    </w:p>
    <w:p w:rsidR="00F425CB" w:rsidRPr="000709E7" w:rsidRDefault="00F425CB" w:rsidP="00AF7C46">
      <w:pPr>
        <w:pStyle w:val="Bullet"/>
      </w:pPr>
      <w:r w:rsidRPr="000709E7">
        <w:t>Cancer Control New Zealand (CCNZ)</w:t>
      </w:r>
    </w:p>
    <w:p w:rsidR="00F425CB" w:rsidRPr="000709E7" w:rsidRDefault="00F425CB" w:rsidP="00AF7C46">
      <w:pPr>
        <w:pStyle w:val="Bullet"/>
      </w:pPr>
      <w:r w:rsidRPr="000709E7">
        <w:t>CCNZ</w:t>
      </w:r>
      <w:r w:rsidR="007E7990">
        <w:t xml:space="preserve"> – </w:t>
      </w:r>
      <w:r w:rsidRPr="000709E7">
        <w:t xml:space="preserve">John </w:t>
      </w:r>
      <w:proofErr w:type="spellStart"/>
      <w:r w:rsidRPr="000709E7">
        <w:t>Waldon</w:t>
      </w:r>
      <w:proofErr w:type="spellEnd"/>
      <w:r w:rsidRPr="000709E7">
        <w:t xml:space="preserve"> separate comment</w:t>
      </w:r>
    </w:p>
    <w:p w:rsidR="00F425CB" w:rsidRPr="000709E7" w:rsidRDefault="00F425CB" w:rsidP="00AF7C46">
      <w:pPr>
        <w:pStyle w:val="Bullet"/>
      </w:pPr>
      <w:r w:rsidRPr="000709E7">
        <w:t>Central Cancer Network</w:t>
      </w:r>
    </w:p>
    <w:p w:rsidR="00F425CB" w:rsidRPr="000709E7" w:rsidRDefault="00F425CB" w:rsidP="00AF7C46">
      <w:pPr>
        <w:pStyle w:val="Bullet"/>
      </w:pPr>
      <w:r w:rsidRPr="000709E7">
        <w:t>Tania Ferguson</w:t>
      </w:r>
      <w:r w:rsidR="003E3AAB">
        <w:t>,</w:t>
      </w:r>
      <w:r w:rsidRPr="000709E7">
        <w:t xml:space="preserve"> Specialist Radiation Therapist AHDB</w:t>
      </w:r>
    </w:p>
    <w:p w:rsidR="00F425CB" w:rsidRPr="000709E7" w:rsidRDefault="00F425CB" w:rsidP="00AF7C46">
      <w:pPr>
        <w:pStyle w:val="Bullet"/>
      </w:pPr>
      <w:r w:rsidRPr="000709E7">
        <w:t xml:space="preserve">Rob </w:t>
      </w:r>
      <w:proofErr w:type="spellStart"/>
      <w:r w:rsidRPr="000709E7">
        <w:t>Hallinan</w:t>
      </w:r>
      <w:proofErr w:type="spellEnd"/>
      <w:r w:rsidRPr="000709E7">
        <w:t>, Clinical Manager Radiation Therapy, Canterbury Regional Cancer and Blood Service</w:t>
      </w:r>
    </w:p>
    <w:p w:rsidR="00F425CB" w:rsidRPr="000709E7" w:rsidRDefault="00F425CB" w:rsidP="00AF7C46">
      <w:pPr>
        <w:pStyle w:val="Bullet"/>
      </w:pPr>
      <w:r w:rsidRPr="000709E7">
        <w:t>Dr David Hamilton, Oncologist, Wellington</w:t>
      </w:r>
    </w:p>
    <w:p w:rsidR="00F425CB" w:rsidRPr="000709E7" w:rsidRDefault="00F425CB" w:rsidP="00AF7C46">
      <w:pPr>
        <w:pStyle w:val="Bullet"/>
      </w:pPr>
      <w:r w:rsidRPr="000709E7">
        <w:t>Midland Cancer Network Executive Group and Midland Radiation Oncology Work Group</w:t>
      </w:r>
    </w:p>
    <w:p w:rsidR="007E7990" w:rsidRDefault="00F425CB" w:rsidP="00AF7C46">
      <w:pPr>
        <w:pStyle w:val="Bullet"/>
      </w:pPr>
      <w:r w:rsidRPr="000709E7">
        <w:t>National Cancer Consumer Representative Advisory Group</w:t>
      </w:r>
    </w:p>
    <w:p w:rsidR="00F425CB" w:rsidRPr="000709E7" w:rsidRDefault="00F425CB" w:rsidP="00AF7C46">
      <w:pPr>
        <w:pStyle w:val="Bullet"/>
      </w:pPr>
      <w:r w:rsidRPr="000709E7">
        <w:t>National Child Cancer Network (NCCN)</w:t>
      </w:r>
    </w:p>
    <w:p w:rsidR="00F425CB" w:rsidRPr="000709E7" w:rsidRDefault="00F425CB" w:rsidP="00AF7C46">
      <w:pPr>
        <w:pStyle w:val="Bullet"/>
      </w:pPr>
      <w:r w:rsidRPr="000709E7">
        <w:t>N</w:t>
      </w:r>
      <w:r w:rsidR="003E3AAB">
        <w:t xml:space="preserve">ew </w:t>
      </w:r>
      <w:r w:rsidRPr="000709E7">
        <w:t>Z</w:t>
      </w:r>
      <w:r w:rsidR="003E3AAB">
        <w:t>ealand</w:t>
      </w:r>
      <w:r w:rsidRPr="000709E7">
        <w:t xml:space="preserve"> Radiation Oncology Executive Committee</w:t>
      </w:r>
      <w:r w:rsidR="007E7990">
        <w:t xml:space="preserve"> </w:t>
      </w:r>
      <w:r w:rsidRPr="000709E7">
        <w:t>(NZROEC)</w:t>
      </w:r>
    </w:p>
    <w:p w:rsidR="00F425CB" w:rsidRPr="000709E7" w:rsidRDefault="00F425CB" w:rsidP="00AF7C46">
      <w:pPr>
        <w:pStyle w:val="Bullet"/>
      </w:pPr>
      <w:r w:rsidRPr="000709E7">
        <w:t>N</w:t>
      </w:r>
      <w:r w:rsidR="003E3AAB">
        <w:t xml:space="preserve">ew </w:t>
      </w:r>
      <w:r w:rsidRPr="000709E7">
        <w:t>Z</w:t>
      </w:r>
      <w:r w:rsidR="003E3AAB">
        <w:t>ealand</w:t>
      </w:r>
      <w:r w:rsidRPr="000709E7">
        <w:t xml:space="preserve"> Regional Cancer Networks</w:t>
      </w:r>
      <w:r w:rsidR="007E7990">
        <w:t xml:space="preserve"> </w:t>
      </w:r>
      <w:r w:rsidRPr="000709E7">
        <w:t>(NZRCN)</w:t>
      </w:r>
    </w:p>
    <w:p w:rsidR="00F425CB" w:rsidRPr="000709E7" w:rsidRDefault="00F425CB" w:rsidP="00AF7C46">
      <w:pPr>
        <w:pStyle w:val="Bullet"/>
      </w:pPr>
      <w:r w:rsidRPr="000709E7">
        <w:t>Northern Cancer Network</w:t>
      </w:r>
    </w:p>
    <w:p w:rsidR="007E7990" w:rsidRDefault="00F425CB" w:rsidP="00AF7C46">
      <w:pPr>
        <w:pStyle w:val="Bullet"/>
      </w:pPr>
      <w:proofErr w:type="spellStart"/>
      <w:r w:rsidRPr="000709E7">
        <w:t>Otago</w:t>
      </w:r>
      <w:proofErr w:type="spellEnd"/>
      <w:r w:rsidRPr="000709E7">
        <w:t xml:space="preserve"> University</w:t>
      </w:r>
      <w:r w:rsidR="007E7990">
        <w:t xml:space="preserve"> – </w:t>
      </w:r>
      <w:r w:rsidRPr="000709E7">
        <w:t>Director &amp; H</w:t>
      </w:r>
      <w:r w:rsidR="003E3AAB">
        <w:t>ead of Department</w:t>
      </w:r>
      <w:r w:rsidRPr="000709E7">
        <w:t xml:space="preserve"> Radiation Therapy Department</w:t>
      </w:r>
    </w:p>
    <w:p w:rsidR="00F425CB" w:rsidRPr="000709E7" w:rsidRDefault="003E3AAB" w:rsidP="00AF7C46">
      <w:pPr>
        <w:pStyle w:val="Bullet"/>
      </w:pPr>
      <w:r>
        <w:t>Radiation Oncology Work Group</w:t>
      </w:r>
    </w:p>
    <w:p w:rsidR="007E7990" w:rsidRDefault="00F425CB" w:rsidP="00AF7C46">
      <w:pPr>
        <w:pStyle w:val="Bullet"/>
      </w:pPr>
      <w:r w:rsidRPr="000709E7">
        <w:t>Radiation Therapy Advisory Panel</w:t>
      </w:r>
    </w:p>
    <w:p w:rsidR="00F425CB" w:rsidRPr="000709E7" w:rsidRDefault="00F425CB" w:rsidP="00AF7C46">
      <w:pPr>
        <w:pStyle w:val="Bullet"/>
      </w:pPr>
      <w:r w:rsidRPr="000709E7">
        <w:t>Royal Australian and NZ College of Radiologists (RANZCR)</w:t>
      </w:r>
    </w:p>
    <w:p w:rsidR="00F425CB" w:rsidRPr="00AF7C46" w:rsidRDefault="00F425CB" w:rsidP="00AF7C46">
      <w:pPr>
        <w:pStyle w:val="Bullet"/>
        <w:rPr>
          <w:i/>
        </w:rPr>
      </w:pPr>
      <w:r w:rsidRPr="000709E7">
        <w:t>Southern DHB, Deputy CEO, Director of Patient Services</w:t>
      </w:r>
    </w:p>
    <w:p w:rsidR="00AF7C46" w:rsidRPr="000709E7" w:rsidRDefault="00AF7C46" w:rsidP="00AF7C46"/>
    <w:p w:rsidR="007E7990" w:rsidRPr="007E7990" w:rsidRDefault="00AF7C46" w:rsidP="00AF7C46">
      <w:pPr>
        <w:pStyle w:val="Heading1"/>
        <w:ind w:left="0" w:firstLine="0"/>
      </w:pPr>
      <w:bookmarkStart w:id="182" w:name="_Toc376936397"/>
      <w:r>
        <w:br w:type="page"/>
      </w:r>
      <w:bookmarkStart w:id="183" w:name="_Toc384202873"/>
      <w:r w:rsidR="00F425CB" w:rsidRPr="007E7990">
        <w:lastRenderedPageBreak/>
        <w:t>Appendix 3</w:t>
      </w:r>
      <w:r>
        <w:t xml:space="preserve">: </w:t>
      </w:r>
      <w:r w:rsidR="00F425CB" w:rsidRPr="007E7990">
        <w:t>Links of the Plan with the roles of central agencies</w:t>
      </w:r>
      <w:bookmarkEnd w:id="182"/>
      <w:bookmarkEnd w:id="183"/>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809"/>
        <w:gridCol w:w="2976"/>
        <w:gridCol w:w="4571"/>
      </w:tblGrid>
      <w:tr w:rsidR="00F425CB" w:rsidRPr="00AF7C46" w:rsidTr="00C73F47">
        <w:trPr>
          <w:cantSplit/>
        </w:trPr>
        <w:tc>
          <w:tcPr>
            <w:tcW w:w="1809" w:type="dxa"/>
            <w:shd w:val="clear" w:color="auto" w:fill="BDE2FF"/>
          </w:tcPr>
          <w:p w:rsidR="00F425CB" w:rsidRPr="00AF7C46" w:rsidRDefault="00F425CB" w:rsidP="00AF7C46">
            <w:pPr>
              <w:pStyle w:val="TableText"/>
              <w:rPr>
                <w:b/>
              </w:rPr>
            </w:pPr>
            <w:r w:rsidRPr="00AF7C46">
              <w:rPr>
                <w:b/>
              </w:rPr>
              <w:t>Agency</w:t>
            </w:r>
          </w:p>
        </w:tc>
        <w:tc>
          <w:tcPr>
            <w:tcW w:w="2976" w:type="dxa"/>
            <w:shd w:val="clear" w:color="auto" w:fill="BDE2FF"/>
          </w:tcPr>
          <w:p w:rsidR="00F425CB" w:rsidRPr="00AF7C46" w:rsidRDefault="00F425CB" w:rsidP="00AF7C46">
            <w:pPr>
              <w:pStyle w:val="TableText"/>
              <w:rPr>
                <w:b/>
              </w:rPr>
            </w:pPr>
            <w:r w:rsidRPr="00AF7C46">
              <w:rPr>
                <w:b/>
              </w:rPr>
              <w:t>Role</w:t>
            </w:r>
          </w:p>
        </w:tc>
        <w:tc>
          <w:tcPr>
            <w:tcW w:w="4571" w:type="dxa"/>
            <w:shd w:val="clear" w:color="auto" w:fill="BDE2FF"/>
          </w:tcPr>
          <w:p w:rsidR="00F425CB" w:rsidRPr="00AF7C46" w:rsidRDefault="00F425CB" w:rsidP="00AF7C46">
            <w:pPr>
              <w:pStyle w:val="TableText"/>
              <w:rPr>
                <w:b/>
              </w:rPr>
            </w:pPr>
            <w:r w:rsidRPr="00AF7C46">
              <w:rPr>
                <w:b/>
              </w:rPr>
              <w:t>Nature of link</w:t>
            </w:r>
          </w:p>
        </w:tc>
      </w:tr>
      <w:tr w:rsidR="00F425CB" w:rsidRPr="0021236A" w:rsidTr="00C73F47">
        <w:trPr>
          <w:cantSplit/>
        </w:trPr>
        <w:tc>
          <w:tcPr>
            <w:tcW w:w="1809" w:type="dxa"/>
          </w:tcPr>
          <w:p w:rsidR="00F425CB" w:rsidRPr="0021236A" w:rsidRDefault="00F425CB" w:rsidP="00AF7C46">
            <w:pPr>
              <w:pStyle w:val="TableText"/>
            </w:pPr>
            <w:r w:rsidRPr="0021236A">
              <w:t>National Health Board</w:t>
            </w:r>
          </w:p>
        </w:tc>
        <w:tc>
          <w:tcPr>
            <w:tcW w:w="2976" w:type="dxa"/>
          </w:tcPr>
          <w:p w:rsidR="00F425CB" w:rsidRPr="0021236A" w:rsidRDefault="00F425CB" w:rsidP="00AF7C46">
            <w:pPr>
              <w:pStyle w:val="TableText"/>
            </w:pPr>
            <w:r w:rsidRPr="0021236A">
              <w:t>Funding and monitoring of DHBs, as well as promoting long term service and capacity planning at national and regional levels</w:t>
            </w:r>
          </w:p>
        </w:tc>
        <w:tc>
          <w:tcPr>
            <w:tcW w:w="4571" w:type="dxa"/>
          </w:tcPr>
          <w:p w:rsidR="00F425CB" w:rsidRPr="0021236A" w:rsidRDefault="00F425CB" w:rsidP="00AF7C46">
            <w:pPr>
              <w:pStyle w:val="TableText"/>
            </w:pPr>
            <w:r w:rsidRPr="0021236A">
              <w:t xml:space="preserve">The Plan builds on regional </w:t>
            </w:r>
            <w:r>
              <w:t>radiation therapy</w:t>
            </w:r>
            <w:r w:rsidRPr="0021236A">
              <w:t xml:space="preserve"> capacity planning; provides a model to support local, regional and national planning; and initiates alignment of servi</w:t>
            </w:r>
            <w:r w:rsidR="00AF7C46">
              <w:t>ce and capacity planning</w:t>
            </w:r>
          </w:p>
        </w:tc>
      </w:tr>
      <w:tr w:rsidR="00F425CB" w:rsidRPr="0021236A" w:rsidTr="00C73F47">
        <w:trPr>
          <w:cantSplit/>
        </w:trPr>
        <w:tc>
          <w:tcPr>
            <w:tcW w:w="1809" w:type="dxa"/>
          </w:tcPr>
          <w:p w:rsidR="00F425CB" w:rsidRPr="0021236A" w:rsidRDefault="00F425CB" w:rsidP="00AF7C46">
            <w:pPr>
              <w:pStyle w:val="TableText"/>
            </w:pPr>
            <w:r w:rsidRPr="0021236A">
              <w:t>Health Quality &amp; Safety Commission</w:t>
            </w:r>
          </w:p>
        </w:tc>
        <w:tc>
          <w:tcPr>
            <w:tcW w:w="2976" w:type="dxa"/>
          </w:tcPr>
          <w:p w:rsidR="00F425CB" w:rsidRPr="0021236A" w:rsidRDefault="00F425CB" w:rsidP="00AF7C46">
            <w:pPr>
              <w:pStyle w:val="TableText"/>
            </w:pPr>
            <w:r w:rsidRPr="0021236A">
              <w:t>Leading and coordinating quality and safety improvement initiatives across public and private sector health and disability providers. Includes focus on reduction in unwarranted clinical variation</w:t>
            </w:r>
          </w:p>
        </w:tc>
        <w:tc>
          <w:tcPr>
            <w:tcW w:w="4571" w:type="dxa"/>
          </w:tcPr>
          <w:p w:rsidR="00F425CB" w:rsidRPr="0021236A" w:rsidRDefault="00F425CB" w:rsidP="00AF7C46">
            <w:pPr>
              <w:pStyle w:val="TableText"/>
            </w:pPr>
            <w:r w:rsidRPr="0021236A">
              <w:t xml:space="preserve">The Plan makes transparent the current variation in access to </w:t>
            </w:r>
            <w:r>
              <w:t>radiation therapy</w:t>
            </w:r>
            <w:r w:rsidRPr="0021236A">
              <w:t xml:space="preserve"> across New Zealand, and promotes increase collaboration between radiation oncology services to foster quality improvement</w:t>
            </w:r>
            <w:r>
              <w:t>. National standards are also considered</w:t>
            </w:r>
          </w:p>
        </w:tc>
      </w:tr>
      <w:tr w:rsidR="00F425CB" w:rsidRPr="0021236A" w:rsidTr="00C73F47">
        <w:trPr>
          <w:cantSplit/>
        </w:trPr>
        <w:tc>
          <w:tcPr>
            <w:tcW w:w="1809" w:type="dxa"/>
          </w:tcPr>
          <w:p w:rsidR="00F425CB" w:rsidRPr="0021236A" w:rsidRDefault="00F425CB" w:rsidP="00AF7C46">
            <w:pPr>
              <w:pStyle w:val="TableText"/>
            </w:pPr>
            <w:r w:rsidRPr="0021236A">
              <w:t>Health Workforce New Zealand</w:t>
            </w:r>
          </w:p>
        </w:tc>
        <w:tc>
          <w:tcPr>
            <w:tcW w:w="2976" w:type="dxa"/>
          </w:tcPr>
          <w:p w:rsidR="00F425CB" w:rsidRPr="0021236A" w:rsidRDefault="00F425CB" w:rsidP="00AF7C46">
            <w:pPr>
              <w:pStyle w:val="TableText"/>
            </w:pPr>
            <w:r w:rsidRPr="0021236A">
              <w:t>Planning and development of the health workforce to ensure that staffing capacity is aligned with service plans, and that the healthcare workforce is fit for purpose</w:t>
            </w:r>
          </w:p>
        </w:tc>
        <w:tc>
          <w:tcPr>
            <w:tcW w:w="4571" w:type="dxa"/>
          </w:tcPr>
          <w:p w:rsidR="00F425CB" w:rsidRPr="0021236A" w:rsidRDefault="00F425CB" w:rsidP="00AF7C46">
            <w:pPr>
              <w:pStyle w:val="TableText"/>
            </w:pPr>
            <w:r>
              <w:t>The Plan and associated Model identify future workforce requirements for the three core work groups as</w:t>
            </w:r>
            <w:r w:rsidR="00AF7C46">
              <w:t>sociated with radiation therapy</w:t>
            </w:r>
          </w:p>
        </w:tc>
      </w:tr>
      <w:tr w:rsidR="00F425CB" w:rsidRPr="0021236A" w:rsidTr="00C73F47">
        <w:trPr>
          <w:cantSplit/>
        </w:trPr>
        <w:tc>
          <w:tcPr>
            <w:tcW w:w="1809" w:type="dxa"/>
          </w:tcPr>
          <w:p w:rsidR="00F425CB" w:rsidRPr="0021236A" w:rsidRDefault="00707479" w:rsidP="00AF7C46">
            <w:pPr>
              <w:pStyle w:val="TableText"/>
            </w:pPr>
            <w:r w:rsidRPr="00707479">
              <w:t xml:space="preserve">Pharmaceutical Management Agency </w:t>
            </w:r>
            <w:r>
              <w:t>(</w:t>
            </w:r>
            <w:r w:rsidR="00F425CB" w:rsidRPr="007E7990">
              <w:t>PHARMAC</w:t>
            </w:r>
            <w:r>
              <w:t>)</w:t>
            </w:r>
          </w:p>
        </w:tc>
        <w:tc>
          <w:tcPr>
            <w:tcW w:w="2976" w:type="dxa"/>
          </w:tcPr>
          <w:p w:rsidR="00F425CB" w:rsidRPr="0021236A" w:rsidRDefault="00F425CB" w:rsidP="00AF7C46">
            <w:pPr>
              <w:pStyle w:val="TableText"/>
            </w:pPr>
            <w:r w:rsidRPr="0021236A">
              <w:t>Management of community and hospital pharmaceuticals, and moving into procurement of some medical devices</w:t>
            </w:r>
          </w:p>
        </w:tc>
        <w:tc>
          <w:tcPr>
            <w:tcW w:w="4571" w:type="dxa"/>
          </w:tcPr>
          <w:p w:rsidR="00F425CB" w:rsidRPr="0021236A" w:rsidRDefault="00F425CB" w:rsidP="00AF7C46">
            <w:pPr>
              <w:pStyle w:val="TableText"/>
            </w:pPr>
            <w:r w:rsidRPr="0021236A">
              <w:t>Yet to be determined whether PHARMAC</w:t>
            </w:r>
            <w:r w:rsidR="007E7990">
              <w:t>’</w:t>
            </w:r>
            <w:r w:rsidRPr="0021236A">
              <w:t>s role will encompass more specialised and high cost c</w:t>
            </w:r>
            <w:r w:rsidR="00AF7C46">
              <w:t>apital equipment such as linacs</w:t>
            </w:r>
          </w:p>
        </w:tc>
      </w:tr>
      <w:tr w:rsidR="00F425CB" w:rsidRPr="0021236A" w:rsidTr="00C73F47">
        <w:trPr>
          <w:cantSplit/>
        </w:trPr>
        <w:tc>
          <w:tcPr>
            <w:tcW w:w="1809" w:type="dxa"/>
          </w:tcPr>
          <w:p w:rsidR="00F425CB" w:rsidRPr="007E7990" w:rsidRDefault="00F425CB" w:rsidP="00AF7C46">
            <w:pPr>
              <w:pStyle w:val="TableText"/>
              <w:rPr>
                <w:i/>
                <w:iCs/>
                <w:color w:val="404040"/>
              </w:rPr>
            </w:pPr>
            <w:r w:rsidRPr="007E7990">
              <w:t>National Health Committee</w:t>
            </w:r>
          </w:p>
        </w:tc>
        <w:tc>
          <w:tcPr>
            <w:tcW w:w="2976" w:type="dxa"/>
          </w:tcPr>
          <w:p w:rsidR="00F425CB" w:rsidRPr="0021236A" w:rsidRDefault="00F425CB" w:rsidP="00AF7C46">
            <w:pPr>
              <w:pStyle w:val="TableText"/>
            </w:pPr>
            <w:r w:rsidRPr="007E7990">
              <w:t>Prioritising new diagnostic and treatment services, and significant expansions of existing services; also advice on what technologies are obsolete or no longer providing value for mo</w:t>
            </w:r>
            <w:r w:rsidR="00AF7C46">
              <w:t>ney</w:t>
            </w:r>
          </w:p>
        </w:tc>
        <w:tc>
          <w:tcPr>
            <w:tcW w:w="4571" w:type="dxa"/>
          </w:tcPr>
          <w:p w:rsidR="00F425CB" w:rsidRPr="0021236A" w:rsidRDefault="00F425CB" w:rsidP="00AF7C46">
            <w:pPr>
              <w:pStyle w:val="TableText"/>
            </w:pPr>
            <w:r>
              <w:t>The Plan recommends a nationally led process to</w:t>
            </w:r>
            <w:r w:rsidRPr="0021236A">
              <w:t xml:space="preserve"> consider the place of new </w:t>
            </w:r>
            <w:r>
              <w:t>radiation therapy</w:t>
            </w:r>
            <w:r w:rsidRPr="0021236A">
              <w:t xml:space="preserve"> technologies and techniques</w:t>
            </w:r>
          </w:p>
        </w:tc>
      </w:tr>
      <w:tr w:rsidR="00F425CB" w:rsidRPr="0021236A" w:rsidTr="00C73F47">
        <w:trPr>
          <w:cantSplit/>
        </w:trPr>
        <w:tc>
          <w:tcPr>
            <w:tcW w:w="1809" w:type="dxa"/>
          </w:tcPr>
          <w:p w:rsidR="00F425CB" w:rsidRPr="0021236A" w:rsidRDefault="00F425CB" w:rsidP="00AF7C46">
            <w:pPr>
              <w:pStyle w:val="TableText"/>
            </w:pPr>
            <w:r w:rsidRPr="0021236A">
              <w:t>Capital Investment Committee</w:t>
            </w:r>
            <w:r w:rsidR="00707479">
              <w:t xml:space="preserve"> (CIC)</w:t>
            </w:r>
          </w:p>
        </w:tc>
        <w:tc>
          <w:tcPr>
            <w:tcW w:w="2976" w:type="dxa"/>
          </w:tcPr>
          <w:p w:rsidR="00F425CB" w:rsidRPr="0021236A" w:rsidRDefault="00F425CB" w:rsidP="00AF7C46">
            <w:pPr>
              <w:pStyle w:val="TableText"/>
            </w:pPr>
            <w:r w:rsidRPr="0021236A">
              <w:t>National prioritisation and allocation of health capital funding</w:t>
            </w:r>
          </w:p>
        </w:tc>
        <w:tc>
          <w:tcPr>
            <w:tcW w:w="4571" w:type="dxa"/>
          </w:tcPr>
          <w:p w:rsidR="00F425CB" w:rsidRPr="0021236A" w:rsidRDefault="00F425CB" w:rsidP="00AF7C46">
            <w:pPr>
              <w:pStyle w:val="TableText"/>
            </w:pPr>
            <w:r>
              <w:t>Radiation therapy</w:t>
            </w:r>
            <w:r w:rsidRPr="0021236A">
              <w:t xml:space="preserve"> is highly capital intensive, through both new and replacement linacs, and the requirement for dedicated bunker facilities. CIC needs to approve any capital investment over $10</w:t>
            </w:r>
            <w:r w:rsidR="003E3AAB">
              <w:t xml:space="preserve"> </w:t>
            </w:r>
            <w:r w:rsidRPr="0021236A">
              <w:t>m</w:t>
            </w:r>
            <w:r w:rsidR="003E3AAB">
              <w:t>illion</w:t>
            </w:r>
            <w:r w:rsidRPr="0021236A">
              <w:t xml:space="preserve">, while </w:t>
            </w:r>
            <w:r>
              <w:t xml:space="preserve">individual </w:t>
            </w:r>
            <w:r w:rsidRPr="0021236A">
              <w:t>linac capital costs tend to be in the $4</w:t>
            </w:r>
            <w:r w:rsidR="00AF7C46">
              <w:t>–</w:t>
            </w:r>
            <w:r w:rsidRPr="0021236A">
              <w:t>6</w:t>
            </w:r>
            <w:r w:rsidR="003E3AAB">
              <w:t xml:space="preserve"> </w:t>
            </w:r>
            <w:r w:rsidRPr="0021236A">
              <w:t>m</w:t>
            </w:r>
            <w:r w:rsidR="003E3AAB">
              <w:t>illion</w:t>
            </w:r>
            <w:r w:rsidRPr="0021236A">
              <w:t xml:space="preserve"> range, depending on the extent of facility development required</w:t>
            </w:r>
            <w:r>
              <w:t>. The magnitude of total forecast capital expenditure on linac replacement and capacity expansion may prompt CIC interest</w:t>
            </w:r>
          </w:p>
        </w:tc>
      </w:tr>
    </w:tbl>
    <w:p w:rsidR="00AF7C46" w:rsidRDefault="00AF7C46" w:rsidP="00AF7C46">
      <w:pPr>
        <w:rPr>
          <w:highlight w:val="yellow"/>
        </w:rPr>
      </w:pPr>
    </w:p>
    <w:p w:rsidR="00F425CB" w:rsidRPr="007E7990" w:rsidRDefault="00F425CB" w:rsidP="00AF7C46">
      <w:pPr>
        <w:pStyle w:val="Heading1"/>
      </w:pPr>
      <w:r>
        <w:rPr>
          <w:highlight w:val="yellow"/>
        </w:rPr>
        <w:br w:type="page"/>
      </w:r>
      <w:bookmarkStart w:id="184" w:name="_Toc376936398"/>
      <w:bookmarkStart w:id="185" w:name="_Toc384202874"/>
      <w:r w:rsidRPr="007E7990">
        <w:lastRenderedPageBreak/>
        <w:t>Appendix 4</w:t>
      </w:r>
      <w:r w:rsidR="00AF7C46">
        <w:t>:</w:t>
      </w:r>
      <w:r w:rsidRPr="007E7990">
        <w:t xml:space="preserve"> Cancer registration growth</w:t>
      </w:r>
      <w:bookmarkEnd w:id="184"/>
      <w:bookmarkEnd w:id="185"/>
    </w:p>
    <w:p w:rsidR="00F425CB" w:rsidRDefault="00F425CB" w:rsidP="00A57EAE">
      <w:r w:rsidRPr="007E7990">
        <w:rPr>
          <w:b/>
          <w:bCs/>
        </w:rPr>
        <w:t>Aim</w:t>
      </w:r>
      <w:r w:rsidRPr="007E7990">
        <w:t>:</w:t>
      </w:r>
      <w:r w:rsidR="007E7990" w:rsidRPr="007E7990">
        <w:t xml:space="preserve"> </w:t>
      </w:r>
      <w:r w:rsidRPr="007E7990">
        <w:t>To re-base the current Ministry of Health (MOH) projections</w:t>
      </w:r>
      <w:r w:rsidRPr="00A57EAE">
        <w:rPr>
          <w:rStyle w:val="FootnoteReference"/>
        </w:rPr>
        <w:footnoteReference w:id="47"/>
      </w:r>
      <w:r w:rsidRPr="007E7990">
        <w:t xml:space="preserve"> and re-project to 2022 by DHB</w:t>
      </w:r>
      <w:r w:rsidR="00A57EAE">
        <w:t>.</w:t>
      </w:r>
    </w:p>
    <w:p w:rsidR="00A57EAE" w:rsidRPr="007E7990" w:rsidRDefault="00A57EAE" w:rsidP="00A57EAE"/>
    <w:p w:rsidR="00F425CB" w:rsidRDefault="00F425CB" w:rsidP="00A57EAE">
      <w:r w:rsidRPr="007E7990">
        <w:rPr>
          <w:b/>
          <w:bCs/>
        </w:rPr>
        <w:t>Background</w:t>
      </w:r>
      <w:r w:rsidRPr="007E7990">
        <w:t>:</w:t>
      </w:r>
      <w:r w:rsidR="007E7990" w:rsidRPr="007E7990">
        <w:t xml:space="preserve"> </w:t>
      </w:r>
      <w:r w:rsidRPr="007E7990">
        <w:t>The current MOH projections are based on 2004 to 2008 cancer registrations (mid-point 2006).</w:t>
      </w:r>
      <w:r w:rsidR="007E7990" w:rsidRPr="007E7990">
        <w:t xml:space="preserve"> </w:t>
      </w:r>
      <w:r w:rsidRPr="007E7990">
        <w:t>2009 data is now available.</w:t>
      </w:r>
      <w:r w:rsidRPr="00A57EAE">
        <w:rPr>
          <w:rStyle w:val="FootnoteReference"/>
        </w:rPr>
        <w:footnoteReference w:id="48"/>
      </w:r>
      <w:r w:rsidR="007E7990" w:rsidRPr="007E7990">
        <w:t xml:space="preserve"> </w:t>
      </w:r>
      <w:r w:rsidRPr="007E7990">
        <w:t>The modelling for medical oncology excluded child and haematological cancers, which need to be included for radiation oncology.</w:t>
      </w:r>
      <w:r w:rsidR="007E7990" w:rsidRPr="007E7990">
        <w:t xml:space="preserve"> </w:t>
      </w:r>
      <w:r w:rsidRPr="007E7990">
        <w:t>Revised population pro</w:t>
      </w:r>
      <w:r w:rsidR="00707479">
        <w:t>jections carried out for the Ministry</w:t>
      </w:r>
      <w:r w:rsidRPr="007E7990">
        <w:t xml:space="preserve"> by Statistics New Zealand</w:t>
      </w:r>
      <w:r w:rsidRPr="00A57EAE">
        <w:rPr>
          <w:rStyle w:val="FootnoteReference"/>
        </w:rPr>
        <w:footnoteReference w:id="49"/>
      </w:r>
      <w:r w:rsidRPr="007E7990">
        <w:t xml:space="preserve"> have seen population projections reduce slightly.</w:t>
      </w:r>
    </w:p>
    <w:p w:rsidR="00A57EAE" w:rsidRPr="007E7990" w:rsidRDefault="00A57EAE" w:rsidP="00A57EAE"/>
    <w:p w:rsidR="00F425CB" w:rsidRDefault="00F425CB" w:rsidP="00A57EAE">
      <w:r w:rsidRPr="007E7990">
        <w:rPr>
          <w:b/>
          <w:bCs/>
        </w:rPr>
        <w:t>Method</w:t>
      </w:r>
      <w:r w:rsidRPr="007E7990">
        <w:t>:</w:t>
      </w:r>
      <w:r w:rsidR="007E7990" w:rsidRPr="007E7990">
        <w:t xml:space="preserve"> </w:t>
      </w:r>
      <w:r w:rsidRPr="007E7990">
        <w:t xml:space="preserve">All cancers excluding </w:t>
      </w:r>
      <w:proofErr w:type="spellStart"/>
      <w:r w:rsidRPr="007E7990">
        <w:t>myelodysplastic</w:t>
      </w:r>
      <w:proofErr w:type="spellEnd"/>
      <w:r w:rsidRPr="007E7990">
        <w:t xml:space="preserve"> disorders are included.</w:t>
      </w:r>
      <w:r w:rsidR="007E7990" w:rsidRPr="007E7990">
        <w:t xml:space="preserve"> </w:t>
      </w:r>
      <w:r w:rsidR="00707479">
        <w:t>The Ministry</w:t>
      </w:r>
      <w:r w:rsidRPr="007E7990">
        <w:t xml:space="preserve"> projections per main cancer type were re-based on a 2007</w:t>
      </w:r>
      <w:r w:rsidR="00A57EAE">
        <w:t>–</w:t>
      </w:r>
      <w:r w:rsidRPr="007E7990">
        <w:t>09 average registration rate (mid-point 2008), and projected through to 2022 by DHB using the October 2012 revised population projections.</w:t>
      </w:r>
      <w:r w:rsidR="007E7990" w:rsidRPr="007E7990">
        <w:t xml:space="preserve"> </w:t>
      </w:r>
      <w:r w:rsidRPr="007E7990">
        <w:t>Variables used were cancer type, DHB of domicile, age group, and gender.</w:t>
      </w:r>
    </w:p>
    <w:p w:rsidR="00A57EAE" w:rsidRPr="007E7990" w:rsidRDefault="00A57EAE" w:rsidP="00A57EAE"/>
    <w:p w:rsidR="00F425CB" w:rsidRPr="007E7990" w:rsidRDefault="00F425CB" w:rsidP="00A57EAE">
      <w:r w:rsidRPr="007E7990">
        <w:rPr>
          <w:b/>
          <w:bCs/>
        </w:rPr>
        <w:t>Results</w:t>
      </w:r>
      <w:r w:rsidRPr="007E7990">
        <w:t xml:space="preserve">: Results of the re-basing by cancer type are shown in </w:t>
      </w:r>
      <w:r w:rsidR="00A57EAE">
        <w:t>Table 17</w:t>
      </w:r>
      <w:r w:rsidRPr="007E7990">
        <w:t xml:space="preserve">, and by DHB of domicile in </w:t>
      </w:r>
      <w:r w:rsidR="00A57EAE">
        <w:t>Table 18</w:t>
      </w:r>
      <w:r w:rsidRPr="007E7990">
        <w:t>.</w:t>
      </w:r>
      <w:r w:rsidR="007E7990" w:rsidRPr="007E7990">
        <w:t xml:space="preserve"> </w:t>
      </w:r>
      <w:r w:rsidRPr="007E7990">
        <w:t>Overall numbers are slightly lower than previous work due to the re-basing and the lower population projections.</w:t>
      </w:r>
    </w:p>
    <w:p w:rsidR="00F425CB" w:rsidRDefault="00F425CB" w:rsidP="00A57EAE"/>
    <w:p w:rsidR="00F425CB" w:rsidRPr="007E7990" w:rsidRDefault="00F425CB" w:rsidP="00A57EAE">
      <w:pPr>
        <w:pStyle w:val="Table"/>
      </w:pPr>
      <w:bookmarkStart w:id="186" w:name="_Ref367266379"/>
      <w:bookmarkStart w:id="187" w:name="_Toc384202892"/>
      <w:r w:rsidRPr="007E7990">
        <w:lastRenderedPageBreak/>
        <w:t xml:space="preserve">Table </w:t>
      </w:r>
      <w:r w:rsidR="00A57EAE">
        <w:t>17</w:t>
      </w:r>
      <w:bookmarkEnd w:id="186"/>
      <w:r w:rsidR="00A57EAE">
        <w:t>:</w:t>
      </w:r>
      <w:r w:rsidR="007E7990" w:rsidRPr="007E7990">
        <w:t xml:space="preserve"> </w:t>
      </w:r>
      <w:r w:rsidRPr="007E7990">
        <w:t>Projected cancer registrations by type</w:t>
      </w:r>
      <w:r w:rsidR="00707479">
        <w:t>, Ministry</w:t>
      </w:r>
      <w:r w:rsidRPr="007E7990">
        <w:t xml:space="preserve"> projections re-based to 2007</w:t>
      </w:r>
      <w:r w:rsidR="00D04A5B">
        <w:t>–</w:t>
      </w:r>
      <w:r w:rsidRPr="007E7990">
        <w:t>2009</w:t>
      </w:r>
      <w:bookmarkEnd w:id="187"/>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127"/>
        <w:gridCol w:w="1559"/>
        <w:gridCol w:w="1276"/>
        <w:gridCol w:w="1275"/>
        <w:gridCol w:w="1134"/>
        <w:gridCol w:w="993"/>
        <w:gridCol w:w="992"/>
      </w:tblGrid>
      <w:tr w:rsidR="00C11659" w:rsidRPr="0021236A" w:rsidTr="00C73F47">
        <w:trPr>
          <w:cantSplit/>
        </w:trPr>
        <w:tc>
          <w:tcPr>
            <w:tcW w:w="2127" w:type="dxa"/>
            <w:shd w:val="clear" w:color="auto" w:fill="BDE2FF"/>
            <w:noWrap/>
          </w:tcPr>
          <w:p w:rsidR="00C11659" w:rsidRPr="00C11659" w:rsidRDefault="00C11659" w:rsidP="00C11659">
            <w:pPr>
              <w:pStyle w:val="TableText"/>
              <w:keepNext/>
              <w:rPr>
                <w:b/>
                <w:lang w:eastAsia="en-NZ"/>
              </w:rPr>
            </w:pPr>
          </w:p>
        </w:tc>
        <w:tc>
          <w:tcPr>
            <w:tcW w:w="1559" w:type="dxa"/>
            <w:shd w:val="clear" w:color="auto" w:fill="BDE2FF"/>
            <w:noWrap/>
          </w:tcPr>
          <w:p w:rsidR="00C11659" w:rsidRPr="00AF7751" w:rsidRDefault="00C11659" w:rsidP="00C11659">
            <w:pPr>
              <w:pStyle w:val="TableText"/>
              <w:jc w:val="center"/>
              <w:rPr>
                <w:b/>
                <w:bCs/>
                <w:lang w:eastAsia="en-NZ"/>
              </w:rPr>
            </w:pPr>
            <w:r w:rsidRPr="00AF7751">
              <w:rPr>
                <w:b/>
                <w:bCs/>
                <w:lang w:eastAsia="en-NZ"/>
              </w:rPr>
              <w:t>Actual av</w:t>
            </w:r>
            <w:r>
              <w:rPr>
                <w:b/>
                <w:bCs/>
                <w:lang w:eastAsia="en-NZ"/>
              </w:rPr>
              <w:t>erage</w:t>
            </w:r>
            <w:r w:rsidRPr="00AF7751">
              <w:rPr>
                <w:b/>
                <w:bCs/>
                <w:lang w:eastAsia="en-NZ"/>
              </w:rPr>
              <w:t xml:space="preserve"> reg</w:t>
            </w:r>
            <w:r>
              <w:rPr>
                <w:b/>
                <w:bCs/>
                <w:lang w:eastAsia="en-NZ"/>
              </w:rPr>
              <w:t>istrations</w:t>
            </w:r>
            <w:r>
              <w:rPr>
                <w:b/>
                <w:bCs/>
                <w:lang w:eastAsia="en-NZ"/>
              </w:rPr>
              <w:br/>
            </w:r>
            <w:r w:rsidRPr="00AF7751">
              <w:rPr>
                <w:b/>
                <w:bCs/>
                <w:lang w:eastAsia="en-NZ"/>
              </w:rPr>
              <w:t>2</w:t>
            </w:r>
            <w:r>
              <w:rPr>
                <w:b/>
                <w:bCs/>
                <w:lang w:eastAsia="en-NZ"/>
              </w:rPr>
              <w:t>007–</w:t>
            </w:r>
            <w:r w:rsidRPr="00AF7751">
              <w:rPr>
                <w:b/>
                <w:bCs/>
                <w:lang w:eastAsia="en-NZ"/>
              </w:rPr>
              <w:t>09</w:t>
            </w:r>
          </w:p>
        </w:tc>
        <w:tc>
          <w:tcPr>
            <w:tcW w:w="1276" w:type="dxa"/>
            <w:shd w:val="clear" w:color="auto" w:fill="BDE2FF"/>
            <w:noWrap/>
          </w:tcPr>
          <w:p w:rsidR="00C11659" w:rsidRPr="00AF7751" w:rsidRDefault="00C11659" w:rsidP="00C11659">
            <w:pPr>
              <w:pStyle w:val="TableText"/>
              <w:jc w:val="center"/>
              <w:rPr>
                <w:b/>
                <w:bCs/>
                <w:lang w:eastAsia="en-NZ"/>
              </w:rPr>
            </w:pPr>
            <w:r w:rsidRPr="00AF7751">
              <w:rPr>
                <w:b/>
                <w:bCs/>
                <w:lang w:eastAsia="en-NZ"/>
              </w:rPr>
              <w:t>Projected to</w:t>
            </w:r>
            <w:r>
              <w:rPr>
                <w:b/>
                <w:bCs/>
                <w:lang w:eastAsia="en-NZ"/>
              </w:rPr>
              <w:t xml:space="preserve"> </w:t>
            </w:r>
            <w:r w:rsidRPr="00AF7751">
              <w:rPr>
                <w:b/>
                <w:bCs/>
                <w:lang w:eastAsia="en-NZ"/>
              </w:rPr>
              <w:t>2012</w:t>
            </w:r>
          </w:p>
        </w:tc>
        <w:tc>
          <w:tcPr>
            <w:tcW w:w="1275" w:type="dxa"/>
            <w:shd w:val="clear" w:color="auto" w:fill="BDE2FF"/>
            <w:noWrap/>
          </w:tcPr>
          <w:p w:rsidR="00C11659" w:rsidRPr="00AF7751" w:rsidRDefault="00C11659" w:rsidP="00C11659">
            <w:pPr>
              <w:pStyle w:val="TableText"/>
              <w:jc w:val="center"/>
              <w:rPr>
                <w:b/>
                <w:bCs/>
                <w:lang w:eastAsia="en-NZ"/>
              </w:rPr>
            </w:pPr>
            <w:r w:rsidRPr="00AF7751">
              <w:rPr>
                <w:b/>
                <w:bCs/>
                <w:lang w:eastAsia="en-NZ"/>
              </w:rPr>
              <w:t>Projected to</w:t>
            </w:r>
            <w:r>
              <w:rPr>
                <w:b/>
                <w:bCs/>
                <w:lang w:eastAsia="en-NZ"/>
              </w:rPr>
              <w:t xml:space="preserve"> </w:t>
            </w:r>
            <w:r w:rsidRPr="00AF7751">
              <w:rPr>
                <w:b/>
                <w:bCs/>
                <w:lang w:eastAsia="en-NZ"/>
              </w:rPr>
              <w:t>2022</w:t>
            </w:r>
          </w:p>
        </w:tc>
        <w:tc>
          <w:tcPr>
            <w:tcW w:w="1134" w:type="dxa"/>
            <w:shd w:val="clear" w:color="auto" w:fill="BDE2FF"/>
            <w:noWrap/>
          </w:tcPr>
          <w:p w:rsidR="00C11659" w:rsidRPr="00AF7751" w:rsidRDefault="00C11659" w:rsidP="00C11659">
            <w:pPr>
              <w:pStyle w:val="TableText"/>
              <w:jc w:val="center"/>
              <w:rPr>
                <w:b/>
                <w:bCs/>
                <w:lang w:eastAsia="en-NZ"/>
              </w:rPr>
            </w:pPr>
            <w:r w:rsidRPr="00AF7751">
              <w:rPr>
                <w:b/>
                <w:bCs/>
                <w:lang w:eastAsia="en-NZ"/>
              </w:rPr>
              <w:t>Growth over 10</w:t>
            </w:r>
            <w:r>
              <w:rPr>
                <w:b/>
                <w:bCs/>
                <w:lang w:eastAsia="en-NZ"/>
              </w:rPr>
              <w:t> </w:t>
            </w:r>
            <w:r w:rsidRPr="00AF7751">
              <w:rPr>
                <w:b/>
                <w:bCs/>
                <w:lang w:eastAsia="en-NZ"/>
              </w:rPr>
              <w:t>years</w:t>
            </w:r>
          </w:p>
        </w:tc>
        <w:tc>
          <w:tcPr>
            <w:tcW w:w="993" w:type="dxa"/>
            <w:shd w:val="clear" w:color="auto" w:fill="BDE2FF"/>
            <w:noWrap/>
          </w:tcPr>
          <w:p w:rsidR="00C11659" w:rsidRPr="00AF7751" w:rsidRDefault="00C11659" w:rsidP="00C11659">
            <w:pPr>
              <w:pStyle w:val="TableText"/>
              <w:jc w:val="center"/>
              <w:rPr>
                <w:b/>
                <w:bCs/>
                <w:lang w:eastAsia="en-NZ"/>
              </w:rPr>
            </w:pPr>
            <w:r w:rsidRPr="00AF7751">
              <w:rPr>
                <w:b/>
                <w:bCs/>
                <w:lang w:eastAsia="en-NZ"/>
              </w:rPr>
              <w:t>10 year growth</w:t>
            </w:r>
            <w:r>
              <w:rPr>
                <w:b/>
                <w:bCs/>
                <w:lang w:eastAsia="en-NZ"/>
              </w:rPr>
              <w:br/>
            </w:r>
            <w:r w:rsidRPr="00AF7751">
              <w:rPr>
                <w:b/>
                <w:bCs/>
                <w:lang w:eastAsia="en-NZ"/>
              </w:rPr>
              <w:t>%</w:t>
            </w:r>
          </w:p>
        </w:tc>
        <w:tc>
          <w:tcPr>
            <w:tcW w:w="992" w:type="dxa"/>
            <w:shd w:val="clear" w:color="auto" w:fill="BDE2FF"/>
            <w:noWrap/>
          </w:tcPr>
          <w:p w:rsidR="00C11659" w:rsidRPr="00AF7751" w:rsidRDefault="00C11659" w:rsidP="00C11659">
            <w:pPr>
              <w:pStyle w:val="TableText"/>
              <w:jc w:val="center"/>
              <w:rPr>
                <w:b/>
                <w:bCs/>
                <w:lang w:eastAsia="en-NZ"/>
              </w:rPr>
            </w:pPr>
            <w:r w:rsidRPr="00AF7751">
              <w:rPr>
                <w:b/>
                <w:bCs/>
                <w:lang w:eastAsia="en-NZ"/>
              </w:rPr>
              <w:t>Growth</w:t>
            </w:r>
            <w:r>
              <w:rPr>
                <w:b/>
                <w:bCs/>
                <w:lang w:eastAsia="en-NZ"/>
              </w:rPr>
              <w:br/>
            </w:r>
            <w:r w:rsidRPr="00AF7751">
              <w:rPr>
                <w:b/>
                <w:bCs/>
                <w:lang w:eastAsia="en-NZ"/>
              </w:rPr>
              <w:t>% pa</w:t>
            </w:r>
          </w:p>
        </w:tc>
      </w:tr>
      <w:tr w:rsidR="00F425CB" w:rsidRPr="0021236A" w:rsidTr="00C73F47">
        <w:trPr>
          <w:cantSplit/>
        </w:trPr>
        <w:tc>
          <w:tcPr>
            <w:tcW w:w="2127" w:type="dxa"/>
            <w:noWrap/>
          </w:tcPr>
          <w:p w:rsidR="00F425CB" w:rsidRPr="00AF7751" w:rsidRDefault="00F425CB" w:rsidP="00C11659">
            <w:pPr>
              <w:pStyle w:val="TableText"/>
              <w:keepNext/>
              <w:rPr>
                <w:lang w:eastAsia="en-NZ"/>
              </w:rPr>
            </w:pPr>
            <w:r w:rsidRPr="00AF7751">
              <w:rPr>
                <w:lang w:eastAsia="en-NZ"/>
              </w:rPr>
              <w:t>Brain cancer</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264</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263</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303</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40</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15%</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1.4%</w:t>
            </w:r>
          </w:p>
        </w:tc>
      </w:tr>
      <w:tr w:rsidR="00F425CB" w:rsidRPr="0021236A" w:rsidTr="00C73F47">
        <w:trPr>
          <w:cantSplit/>
        </w:trPr>
        <w:tc>
          <w:tcPr>
            <w:tcW w:w="2127" w:type="dxa"/>
            <w:noWrap/>
          </w:tcPr>
          <w:p w:rsidR="00F425CB" w:rsidRPr="00AF7751" w:rsidRDefault="00F425CB" w:rsidP="00C11659">
            <w:pPr>
              <w:pStyle w:val="TableText"/>
              <w:keepNext/>
              <w:rPr>
                <w:lang w:eastAsia="en-NZ"/>
              </w:rPr>
            </w:pPr>
            <w:r w:rsidRPr="00AF7751">
              <w:rPr>
                <w:lang w:eastAsia="en-NZ"/>
              </w:rPr>
              <w:t>Colorectal cancer</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2,816</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2,961</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3,563</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602</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20%</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1.9%</w:t>
            </w:r>
          </w:p>
        </w:tc>
      </w:tr>
      <w:tr w:rsidR="00F425CB" w:rsidRPr="0021236A" w:rsidTr="00C73F47">
        <w:trPr>
          <w:cantSplit/>
        </w:trPr>
        <w:tc>
          <w:tcPr>
            <w:tcW w:w="2127" w:type="dxa"/>
            <w:noWrap/>
          </w:tcPr>
          <w:p w:rsidR="00F425CB" w:rsidRPr="00AF7751" w:rsidRDefault="00F425CB" w:rsidP="00C11659">
            <w:pPr>
              <w:pStyle w:val="TableText"/>
              <w:keepNext/>
              <w:rPr>
                <w:lang w:eastAsia="en-NZ"/>
              </w:rPr>
            </w:pPr>
            <w:r w:rsidRPr="00AF7751">
              <w:rPr>
                <w:lang w:eastAsia="en-NZ"/>
              </w:rPr>
              <w:t>Lung cancer</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1,898</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1,965</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2,201</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236</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12%</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1.1%</w:t>
            </w:r>
          </w:p>
        </w:tc>
      </w:tr>
      <w:tr w:rsidR="00F425CB" w:rsidRPr="0021236A" w:rsidTr="00C73F47">
        <w:trPr>
          <w:cantSplit/>
        </w:trPr>
        <w:tc>
          <w:tcPr>
            <w:tcW w:w="2127" w:type="dxa"/>
            <w:noWrap/>
          </w:tcPr>
          <w:p w:rsidR="00F425CB" w:rsidRPr="00AF7751" w:rsidRDefault="00F425CB" w:rsidP="00C11659">
            <w:pPr>
              <w:pStyle w:val="TableText"/>
              <w:keepNext/>
              <w:rPr>
                <w:lang w:eastAsia="en-NZ"/>
              </w:rPr>
            </w:pPr>
            <w:r w:rsidRPr="00AF7751">
              <w:rPr>
                <w:lang w:eastAsia="en-NZ"/>
              </w:rPr>
              <w:t>NH Lymphoma</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747</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831</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1,132</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301</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36%</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3.1%</w:t>
            </w:r>
          </w:p>
        </w:tc>
      </w:tr>
      <w:tr w:rsidR="00F425CB" w:rsidRPr="0021236A" w:rsidTr="00C73F47">
        <w:trPr>
          <w:cantSplit/>
        </w:trPr>
        <w:tc>
          <w:tcPr>
            <w:tcW w:w="2127" w:type="dxa"/>
            <w:noWrap/>
          </w:tcPr>
          <w:p w:rsidR="00F425CB" w:rsidRPr="00AF7751" w:rsidRDefault="00F425CB" w:rsidP="00C11659">
            <w:pPr>
              <w:pStyle w:val="TableText"/>
              <w:keepNext/>
              <w:rPr>
                <w:lang w:eastAsia="en-NZ"/>
              </w:rPr>
            </w:pPr>
            <w:r w:rsidRPr="00AF7751">
              <w:rPr>
                <w:lang w:eastAsia="en-NZ"/>
              </w:rPr>
              <w:t>Leukaemia</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576</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580</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752</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172</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30%</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2.6%</w:t>
            </w:r>
          </w:p>
        </w:tc>
      </w:tr>
      <w:tr w:rsidR="00F425CB" w:rsidRPr="0021236A" w:rsidTr="00C73F47">
        <w:trPr>
          <w:cantSplit/>
        </w:trPr>
        <w:tc>
          <w:tcPr>
            <w:tcW w:w="2127" w:type="dxa"/>
            <w:noWrap/>
          </w:tcPr>
          <w:p w:rsidR="00F425CB" w:rsidRPr="00AF7751" w:rsidRDefault="00F425CB" w:rsidP="00C11659">
            <w:pPr>
              <w:pStyle w:val="TableText"/>
              <w:keepNext/>
              <w:rPr>
                <w:lang w:eastAsia="en-NZ"/>
              </w:rPr>
            </w:pPr>
            <w:r w:rsidRPr="00AF7751">
              <w:rPr>
                <w:lang w:eastAsia="en-NZ"/>
              </w:rPr>
              <w:t>Myeloma</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270</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288</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342</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54</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19%</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1.7%</w:t>
            </w:r>
          </w:p>
        </w:tc>
      </w:tr>
      <w:tr w:rsidR="00F425CB" w:rsidRPr="0021236A" w:rsidTr="00C73F47">
        <w:trPr>
          <w:cantSplit/>
        </w:trPr>
        <w:tc>
          <w:tcPr>
            <w:tcW w:w="2127" w:type="dxa"/>
            <w:noWrap/>
          </w:tcPr>
          <w:p w:rsidR="00F425CB" w:rsidRPr="00AF7751" w:rsidRDefault="00F425CB" w:rsidP="00C11659">
            <w:pPr>
              <w:pStyle w:val="TableText"/>
              <w:keepNext/>
              <w:rPr>
                <w:lang w:eastAsia="en-NZ"/>
              </w:rPr>
            </w:pPr>
            <w:r w:rsidRPr="00AF7751">
              <w:rPr>
                <w:lang w:eastAsia="en-NZ"/>
              </w:rPr>
              <w:t>Melanoma</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2,214</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2,442</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3,215</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773</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32%</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2.8%</w:t>
            </w:r>
          </w:p>
        </w:tc>
      </w:tr>
      <w:tr w:rsidR="00F425CB" w:rsidRPr="0021236A" w:rsidTr="00C73F47">
        <w:trPr>
          <w:cantSplit/>
        </w:trPr>
        <w:tc>
          <w:tcPr>
            <w:tcW w:w="2127" w:type="dxa"/>
            <w:noWrap/>
          </w:tcPr>
          <w:p w:rsidR="00F425CB" w:rsidRPr="00AF7751" w:rsidRDefault="00F425CB" w:rsidP="00C11659">
            <w:pPr>
              <w:pStyle w:val="TableText"/>
              <w:keepNext/>
              <w:rPr>
                <w:lang w:eastAsia="en-NZ"/>
              </w:rPr>
            </w:pPr>
            <w:r w:rsidRPr="00AF7751">
              <w:rPr>
                <w:lang w:eastAsia="en-NZ"/>
              </w:rPr>
              <w:t>Oesophageal cancer</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275</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303</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402</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99</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33%</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2.9%</w:t>
            </w:r>
          </w:p>
        </w:tc>
      </w:tr>
      <w:tr w:rsidR="00F425CB" w:rsidRPr="0021236A" w:rsidTr="00C73F47">
        <w:trPr>
          <w:cantSplit/>
        </w:trPr>
        <w:tc>
          <w:tcPr>
            <w:tcW w:w="2127" w:type="dxa"/>
            <w:noWrap/>
          </w:tcPr>
          <w:p w:rsidR="00F425CB" w:rsidRPr="00AF7751" w:rsidRDefault="00F425CB" w:rsidP="00C11659">
            <w:pPr>
              <w:pStyle w:val="TableText"/>
              <w:keepNext/>
              <w:rPr>
                <w:lang w:eastAsia="en-NZ"/>
              </w:rPr>
            </w:pPr>
            <w:r w:rsidRPr="00AF7751">
              <w:rPr>
                <w:lang w:eastAsia="en-NZ"/>
              </w:rPr>
              <w:t>Pancreas cancer</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442</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474</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584</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110</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23%</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2.1%</w:t>
            </w:r>
          </w:p>
        </w:tc>
      </w:tr>
      <w:tr w:rsidR="00F425CB" w:rsidRPr="0021236A" w:rsidTr="00C73F47">
        <w:trPr>
          <w:cantSplit/>
        </w:trPr>
        <w:tc>
          <w:tcPr>
            <w:tcW w:w="2127" w:type="dxa"/>
            <w:noWrap/>
          </w:tcPr>
          <w:p w:rsidR="00F425CB" w:rsidRPr="00AF7751" w:rsidRDefault="00F425CB" w:rsidP="00C11659">
            <w:pPr>
              <w:pStyle w:val="TableText"/>
              <w:keepNext/>
              <w:rPr>
                <w:lang w:eastAsia="en-NZ"/>
              </w:rPr>
            </w:pPr>
            <w:r w:rsidRPr="00AF7751">
              <w:rPr>
                <w:lang w:eastAsia="en-NZ"/>
              </w:rPr>
              <w:t xml:space="preserve">Stomach </w:t>
            </w:r>
            <w:r w:rsidR="00C11659">
              <w:rPr>
                <w:lang w:eastAsia="en-NZ"/>
              </w:rPr>
              <w:t>c</w:t>
            </w:r>
            <w:r w:rsidRPr="00AF7751">
              <w:rPr>
                <w:lang w:eastAsia="en-NZ"/>
              </w:rPr>
              <w:t>ancer</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371</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379</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404</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25</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7%</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0.6%</w:t>
            </w:r>
          </w:p>
        </w:tc>
      </w:tr>
      <w:tr w:rsidR="00F425CB" w:rsidRPr="0021236A" w:rsidTr="00C73F47">
        <w:trPr>
          <w:cantSplit/>
        </w:trPr>
        <w:tc>
          <w:tcPr>
            <w:tcW w:w="2127" w:type="dxa"/>
            <w:noWrap/>
          </w:tcPr>
          <w:p w:rsidR="00F425CB" w:rsidRPr="00AF7751" w:rsidRDefault="00F425CB" w:rsidP="00C11659">
            <w:pPr>
              <w:pStyle w:val="TableText"/>
              <w:keepNext/>
              <w:rPr>
                <w:lang w:eastAsia="en-NZ"/>
              </w:rPr>
            </w:pPr>
            <w:r w:rsidRPr="00AF7751">
              <w:rPr>
                <w:lang w:eastAsia="en-NZ"/>
              </w:rPr>
              <w:t>Breast</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2,679</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2,887</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3,472</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584</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20%</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1.9%</w:t>
            </w:r>
          </w:p>
        </w:tc>
      </w:tr>
      <w:tr w:rsidR="00F425CB" w:rsidRPr="0021236A" w:rsidTr="00C73F47">
        <w:trPr>
          <w:cantSplit/>
        </w:trPr>
        <w:tc>
          <w:tcPr>
            <w:tcW w:w="2127" w:type="dxa"/>
            <w:tcBorders>
              <w:bottom w:val="single" w:sz="4" w:space="0" w:color="A6A6A6"/>
            </w:tcBorders>
            <w:noWrap/>
          </w:tcPr>
          <w:p w:rsidR="00F425CB" w:rsidRPr="00AF7751" w:rsidRDefault="00F425CB" w:rsidP="00C11659">
            <w:pPr>
              <w:pStyle w:val="TableText"/>
              <w:keepNext/>
              <w:rPr>
                <w:lang w:eastAsia="en-NZ"/>
              </w:rPr>
            </w:pPr>
            <w:r w:rsidRPr="00AF7751">
              <w:rPr>
                <w:lang w:eastAsia="en-NZ"/>
              </w:rPr>
              <w:t>Cervical</w:t>
            </w:r>
          </w:p>
        </w:tc>
        <w:tc>
          <w:tcPr>
            <w:tcW w:w="1559" w:type="dxa"/>
            <w:tcBorders>
              <w:bottom w:val="single" w:sz="4" w:space="0" w:color="A6A6A6"/>
            </w:tcBorders>
            <w:noWrap/>
          </w:tcPr>
          <w:p w:rsidR="00F425CB" w:rsidRPr="00AF7751" w:rsidRDefault="00F425CB" w:rsidP="00C11659">
            <w:pPr>
              <w:pStyle w:val="TableText"/>
              <w:tabs>
                <w:tab w:val="decimal" w:pos="884"/>
              </w:tabs>
              <w:rPr>
                <w:lang w:eastAsia="en-NZ"/>
              </w:rPr>
            </w:pPr>
            <w:r w:rsidRPr="00AF7751">
              <w:rPr>
                <w:lang w:eastAsia="en-NZ"/>
              </w:rPr>
              <w:t>158</w:t>
            </w:r>
          </w:p>
        </w:tc>
        <w:tc>
          <w:tcPr>
            <w:tcW w:w="1276" w:type="dxa"/>
            <w:tcBorders>
              <w:bottom w:val="single" w:sz="4" w:space="0" w:color="A6A6A6"/>
            </w:tcBorders>
            <w:noWrap/>
          </w:tcPr>
          <w:p w:rsidR="00F425CB" w:rsidRPr="00AF7751" w:rsidRDefault="00F425CB" w:rsidP="00C11659">
            <w:pPr>
              <w:pStyle w:val="TableText"/>
              <w:tabs>
                <w:tab w:val="decimal" w:pos="722"/>
              </w:tabs>
              <w:rPr>
                <w:lang w:eastAsia="en-NZ"/>
              </w:rPr>
            </w:pPr>
            <w:r w:rsidRPr="00AF7751">
              <w:rPr>
                <w:lang w:eastAsia="en-NZ"/>
              </w:rPr>
              <w:t>143</w:t>
            </w:r>
          </w:p>
        </w:tc>
        <w:tc>
          <w:tcPr>
            <w:tcW w:w="1275" w:type="dxa"/>
            <w:tcBorders>
              <w:bottom w:val="single" w:sz="4" w:space="0" w:color="A6A6A6"/>
            </w:tcBorders>
            <w:noWrap/>
          </w:tcPr>
          <w:p w:rsidR="00F425CB" w:rsidRPr="00AF7751" w:rsidRDefault="00F425CB" w:rsidP="00C11659">
            <w:pPr>
              <w:pStyle w:val="TableText"/>
              <w:tabs>
                <w:tab w:val="decimal" w:pos="722"/>
              </w:tabs>
              <w:rPr>
                <w:lang w:eastAsia="en-NZ"/>
              </w:rPr>
            </w:pPr>
            <w:r w:rsidRPr="00AF7751">
              <w:rPr>
                <w:lang w:eastAsia="en-NZ"/>
              </w:rPr>
              <w:t>112</w:t>
            </w:r>
          </w:p>
        </w:tc>
        <w:tc>
          <w:tcPr>
            <w:tcW w:w="1134" w:type="dxa"/>
            <w:tcBorders>
              <w:bottom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-31</w:t>
            </w:r>
          </w:p>
        </w:tc>
        <w:tc>
          <w:tcPr>
            <w:tcW w:w="993" w:type="dxa"/>
            <w:tcBorders>
              <w:bottom w:val="single" w:sz="4" w:space="0" w:color="A6A6A6"/>
            </w:tcBorders>
            <w:noWrap/>
          </w:tcPr>
          <w:p w:rsidR="00F425CB" w:rsidRPr="00AF7751" w:rsidRDefault="00F425CB" w:rsidP="00C11659">
            <w:pPr>
              <w:pStyle w:val="TableText"/>
              <w:tabs>
                <w:tab w:val="decimal" w:pos="459"/>
              </w:tabs>
              <w:rPr>
                <w:lang w:eastAsia="en-NZ"/>
              </w:rPr>
            </w:pPr>
            <w:r w:rsidRPr="00AF7751">
              <w:rPr>
                <w:lang w:eastAsia="en-NZ"/>
              </w:rPr>
              <w:t>-22%</w:t>
            </w:r>
          </w:p>
        </w:tc>
        <w:tc>
          <w:tcPr>
            <w:tcW w:w="992" w:type="dxa"/>
            <w:tcBorders>
              <w:bottom w:val="single" w:sz="4" w:space="0" w:color="A6A6A6"/>
            </w:tcBorders>
            <w:noWrap/>
          </w:tcPr>
          <w:p w:rsidR="00F425CB" w:rsidRPr="00AF7751" w:rsidRDefault="00F425CB" w:rsidP="00C11659">
            <w:pPr>
              <w:pStyle w:val="TableText"/>
              <w:tabs>
                <w:tab w:val="decimal" w:pos="317"/>
              </w:tabs>
              <w:rPr>
                <w:lang w:eastAsia="en-NZ"/>
              </w:rPr>
            </w:pPr>
            <w:r w:rsidRPr="00AF7751">
              <w:rPr>
                <w:lang w:eastAsia="en-NZ"/>
              </w:rPr>
              <w:t>-2.4%</w:t>
            </w:r>
          </w:p>
        </w:tc>
      </w:tr>
      <w:tr w:rsidR="00F425CB" w:rsidRPr="0021236A" w:rsidTr="00C73F47">
        <w:trPr>
          <w:cantSplit/>
        </w:trPr>
        <w:tc>
          <w:tcPr>
            <w:tcW w:w="2127" w:type="dxa"/>
            <w:shd w:val="clear" w:color="auto" w:fill="D9D9D9"/>
            <w:noWrap/>
          </w:tcPr>
          <w:p w:rsidR="00F425CB" w:rsidRPr="00AF7751" w:rsidRDefault="00F425CB" w:rsidP="00C11659">
            <w:pPr>
              <w:pStyle w:val="TableText"/>
              <w:keepNext/>
              <w:rPr>
                <w:b/>
                <w:bCs/>
                <w:lang w:eastAsia="en-NZ"/>
              </w:rPr>
            </w:pPr>
            <w:r w:rsidRPr="00AF7751">
              <w:rPr>
                <w:b/>
                <w:bCs/>
                <w:lang w:eastAsia="en-NZ"/>
              </w:rPr>
              <w:t>Prostate</w:t>
            </w:r>
          </w:p>
        </w:tc>
        <w:tc>
          <w:tcPr>
            <w:tcW w:w="1559" w:type="dxa"/>
            <w:shd w:val="clear" w:color="auto" w:fill="D9D9D9"/>
            <w:noWrap/>
          </w:tcPr>
          <w:p w:rsidR="00F425CB" w:rsidRPr="00AF7751" w:rsidRDefault="00F425CB" w:rsidP="00C11659">
            <w:pPr>
              <w:pStyle w:val="TableText"/>
              <w:tabs>
                <w:tab w:val="decimal" w:pos="884"/>
              </w:tabs>
              <w:rPr>
                <w:b/>
                <w:bCs/>
                <w:lang w:eastAsia="en-NZ"/>
              </w:rPr>
            </w:pPr>
            <w:r w:rsidRPr="00AF7751">
              <w:rPr>
                <w:b/>
                <w:bCs/>
                <w:lang w:eastAsia="en-NZ"/>
              </w:rPr>
              <w:t>3,087</w:t>
            </w:r>
          </w:p>
        </w:tc>
        <w:tc>
          <w:tcPr>
            <w:tcW w:w="1276" w:type="dxa"/>
            <w:shd w:val="clear" w:color="auto" w:fill="D9D9D9"/>
            <w:noWrap/>
          </w:tcPr>
          <w:p w:rsidR="00F425CB" w:rsidRPr="00AF7751" w:rsidRDefault="00F425CB" w:rsidP="00C11659">
            <w:pPr>
              <w:pStyle w:val="TableText"/>
              <w:tabs>
                <w:tab w:val="decimal" w:pos="722"/>
              </w:tabs>
              <w:rPr>
                <w:b/>
                <w:bCs/>
                <w:lang w:eastAsia="en-NZ"/>
              </w:rPr>
            </w:pPr>
            <w:r w:rsidRPr="00AF7751">
              <w:rPr>
                <w:b/>
                <w:bCs/>
                <w:lang w:eastAsia="en-NZ"/>
              </w:rPr>
              <w:t>3,882</w:t>
            </w:r>
          </w:p>
        </w:tc>
        <w:tc>
          <w:tcPr>
            <w:tcW w:w="1275" w:type="dxa"/>
            <w:shd w:val="clear" w:color="auto" w:fill="D9D9D9"/>
            <w:noWrap/>
          </w:tcPr>
          <w:p w:rsidR="00F425CB" w:rsidRPr="00AF7751" w:rsidRDefault="00F425CB" w:rsidP="00C11659">
            <w:pPr>
              <w:pStyle w:val="TableText"/>
              <w:tabs>
                <w:tab w:val="decimal" w:pos="722"/>
              </w:tabs>
              <w:rPr>
                <w:b/>
                <w:bCs/>
                <w:lang w:eastAsia="en-NZ"/>
              </w:rPr>
            </w:pPr>
            <w:r w:rsidRPr="00AF7751">
              <w:rPr>
                <w:b/>
                <w:bCs/>
                <w:lang w:eastAsia="en-NZ"/>
              </w:rPr>
              <w:t>6,604</w:t>
            </w:r>
          </w:p>
        </w:tc>
        <w:tc>
          <w:tcPr>
            <w:tcW w:w="1134" w:type="dxa"/>
            <w:shd w:val="clear" w:color="auto" w:fill="D9D9D9"/>
            <w:noWrap/>
          </w:tcPr>
          <w:p w:rsidR="00F425CB" w:rsidRPr="00AF7751" w:rsidRDefault="00F425CB" w:rsidP="00C11659">
            <w:pPr>
              <w:pStyle w:val="TableText"/>
              <w:tabs>
                <w:tab w:val="decimal" w:pos="601"/>
              </w:tabs>
              <w:rPr>
                <w:b/>
                <w:bCs/>
                <w:lang w:eastAsia="en-NZ"/>
              </w:rPr>
            </w:pPr>
            <w:r w:rsidRPr="00AF7751">
              <w:rPr>
                <w:b/>
                <w:bCs/>
                <w:lang w:eastAsia="en-NZ"/>
              </w:rPr>
              <w:t>2,721</w:t>
            </w:r>
          </w:p>
        </w:tc>
        <w:tc>
          <w:tcPr>
            <w:tcW w:w="993" w:type="dxa"/>
            <w:shd w:val="clear" w:color="auto" w:fill="D9D9D9"/>
            <w:noWrap/>
          </w:tcPr>
          <w:p w:rsidR="00F425CB" w:rsidRPr="00AF7751" w:rsidRDefault="00F425CB" w:rsidP="00C11659">
            <w:pPr>
              <w:pStyle w:val="TableText"/>
              <w:tabs>
                <w:tab w:val="decimal" w:pos="459"/>
              </w:tabs>
              <w:rPr>
                <w:b/>
                <w:bCs/>
                <w:lang w:eastAsia="en-NZ"/>
              </w:rPr>
            </w:pPr>
            <w:r w:rsidRPr="00AF7751">
              <w:rPr>
                <w:b/>
                <w:bCs/>
                <w:lang w:eastAsia="en-NZ"/>
              </w:rPr>
              <w:t>70%</w:t>
            </w:r>
          </w:p>
        </w:tc>
        <w:tc>
          <w:tcPr>
            <w:tcW w:w="992" w:type="dxa"/>
            <w:shd w:val="clear" w:color="auto" w:fill="D9D9D9"/>
            <w:noWrap/>
          </w:tcPr>
          <w:p w:rsidR="00F425CB" w:rsidRPr="00AF7751" w:rsidRDefault="00F425CB" w:rsidP="00C11659">
            <w:pPr>
              <w:pStyle w:val="TableText"/>
              <w:tabs>
                <w:tab w:val="decimal" w:pos="317"/>
              </w:tabs>
              <w:rPr>
                <w:b/>
                <w:bCs/>
                <w:lang w:eastAsia="en-NZ"/>
              </w:rPr>
            </w:pPr>
            <w:r w:rsidRPr="00AF7751">
              <w:rPr>
                <w:b/>
                <w:bCs/>
                <w:lang w:eastAsia="en-NZ"/>
              </w:rPr>
              <w:t>5.5%</w:t>
            </w:r>
          </w:p>
        </w:tc>
      </w:tr>
      <w:tr w:rsidR="00F425CB" w:rsidRPr="0021236A" w:rsidTr="00C73F47">
        <w:trPr>
          <w:cantSplit/>
        </w:trPr>
        <w:tc>
          <w:tcPr>
            <w:tcW w:w="2127" w:type="dxa"/>
            <w:noWrap/>
          </w:tcPr>
          <w:p w:rsidR="00F425CB" w:rsidRPr="00AF7751" w:rsidRDefault="00F425CB" w:rsidP="00C11659">
            <w:pPr>
              <w:pStyle w:val="TableText"/>
              <w:rPr>
                <w:lang w:eastAsia="en-NZ"/>
              </w:rPr>
            </w:pPr>
            <w:r w:rsidRPr="00AF7751">
              <w:rPr>
                <w:lang w:eastAsia="en-NZ"/>
              </w:rPr>
              <w:t>Testis</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153</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151</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169</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18</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12%</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1.1%</w:t>
            </w:r>
          </w:p>
        </w:tc>
      </w:tr>
      <w:tr w:rsidR="00F425CB" w:rsidRPr="0021236A" w:rsidTr="00C73F47">
        <w:trPr>
          <w:cantSplit/>
        </w:trPr>
        <w:tc>
          <w:tcPr>
            <w:tcW w:w="2127" w:type="dxa"/>
            <w:noWrap/>
          </w:tcPr>
          <w:p w:rsidR="00F425CB" w:rsidRPr="00AF7751" w:rsidRDefault="00F425CB" w:rsidP="00C11659">
            <w:pPr>
              <w:pStyle w:val="TableText"/>
              <w:rPr>
                <w:lang w:eastAsia="en-NZ"/>
              </w:rPr>
            </w:pPr>
            <w:r w:rsidRPr="00AF7751">
              <w:rPr>
                <w:lang w:eastAsia="en-NZ"/>
              </w:rPr>
              <w:t>All other adult cancers</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4,003</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4,266</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5,084</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818</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19%</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1.8%</w:t>
            </w:r>
          </w:p>
        </w:tc>
      </w:tr>
      <w:tr w:rsidR="00F425CB" w:rsidRPr="0021236A" w:rsidTr="00C73F47">
        <w:trPr>
          <w:cantSplit/>
        </w:trPr>
        <w:tc>
          <w:tcPr>
            <w:tcW w:w="2127" w:type="dxa"/>
            <w:noWrap/>
          </w:tcPr>
          <w:p w:rsidR="00F425CB" w:rsidRPr="00AF7751" w:rsidRDefault="00F425CB" w:rsidP="00C11659">
            <w:pPr>
              <w:pStyle w:val="TableText"/>
              <w:rPr>
                <w:lang w:eastAsia="en-NZ"/>
              </w:rPr>
            </w:pPr>
            <w:r w:rsidRPr="00AF7751">
              <w:rPr>
                <w:lang w:eastAsia="en-NZ"/>
              </w:rPr>
              <w:t>Child cancer</w:t>
            </w:r>
          </w:p>
        </w:tc>
        <w:tc>
          <w:tcPr>
            <w:tcW w:w="1559" w:type="dxa"/>
            <w:noWrap/>
          </w:tcPr>
          <w:p w:rsidR="00F425CB" w:rsidRPr="00AF7751" w:rsidRDefault="00F425CB" w:rsidP="00C11659">
            <w:pPr>
              <w:pStyle w:val="TableText"/>
              <w:tabs>
                <w:tab w:val="decimal" w:pos="884"/>
              </w:tabs>
              <w:rPr>
                <w:lang w:eastAsia="en-NZ"/>
              </w:rPr>
            </w:pPr>
            <w:r w:rsidRPr="00AF7751">
              <w:rPr>
                <w:lang w:eastAsia="en-NZ"/>
              </w:rPr>
              <w:t>121</w:t>
            </w:r>
          </w:p>
        </w:tc>
        <w:tc>
          <w:tcPr>
            <w:tcW w:w="1276" w:type="dxa"/>
            <w:noWrap/>
          </w:tcPr>
          <w:p w:rsidR="00F425CB" w:rsidRPr="00AF7751" w:rsidRDefault="00F425CB" w:rsidP="00C11659">
            <w:pPr>
              <w:pStyle w:val="TableText"/>
              <w:tabs>
                <w:tab w:val="decimal" w:pos="722"/>
              </w:tabs>
              <w:rPr>
                <w:lang w:eastAsia="en-NZ"/>
              </w:rPr>
            </w:pPr>
            <w:r w:rsidRPr="00AF7751">
              <w:rPr>
                <w:lang w:eastAsia="en-NZ"/>
              </w:rPr>
              <w:t>119</w:t>
            </w:r>
          </w:p>
        </w:tc>
        <w:tc>
          <w:tcPr>
            <w:tcW w:w="1275" w:type="dxa"/>
            <w:noWrap/>
          </w:tcPr>
          <w:p w:rsidR="00F425CB" w:rsidRPr="00AF7751" w:rsidRDefault="00F425CB" w:rsidP="00C11659">
            <w:pPr>
              <w:pStyle w:val="TableText"/>
              <w:tabs>
                <w:tab w:val="decimal" w:pos="722"/>
              </w:tabs>
              <w:rPr>
                <w:lang w:eastAsia="en-NZ"/>
              </w:rPr>
            </w:pPr>
            <w:r w:rsidRPr="00AF7751">
              <w:rPr>
                <w:lang w:eastAsia="en-NZ"/>
              </w:rPr>
              <w:t>120</w:t>
            </w:r>
          </w:p>
        </w:tc>
        <w:tc>
          <w:tcPr>
            <w:tcW w:w="1134" w:type="dxa"/>
            <w:noWrap/>
          </w:tcPr>
          <w:p w:rsidR="00F425CB" w:rsidRPr="00AF7751" w:rsidRDefault="00F425CB" w:rsidP="00C11659">
            <w:pPr>
              <w:pStyle w:val="TableText"/>
              <w:tabs>
                <w:tab w:val="decimal" w:pos="601"/>
              </w:tabs>
              <w:rPr>
                <w:lang w:eastAsia="en-NZ"/>
              </w:rPr>
            </w:pPr>
            <w:r w:rsidRPr="00AF7751">
              <w:rPr>
                <w:lang w:eastAsia="en-NZ"/>
              </w:rPr>
              <w:t>1</w:t>
            </w:r>
          </w:p>
        </w:tc>
        <w:tc>
          <w:tcPr>
            <w:tcW w:w="993" w:type="dxa"/>
            <w:noWrap/>
          </w:tcPr>
          <w:p w:rsidR="00F425CB" w:rsidRPr="00AF7751" w:rsidRDefault="00F425CB" w:rsidP="00C11659">
            <w:pPr>
              <w:pStyle w:val="TableText"/>
              <w:tabs>
                <w:tab w:val="decimal" w:pos="459"/>
              </w:tabs>
              <w:rPr>
                <w:lang w:eastAsia="en-NZ"/>
              </w:rPr>
            </w:pPr>
            <w:r w:rsidRPr="00AF7751">
              <w:rPr>
                <w:lang w:eastAsia="en-NZ"/>
              </w:rPr>
              <w:t>1%</w:t>
            </w:r>
          </w:p>
        </w:tc>
        <w:tc>
          <w:tcPr>
            <w:tcW w:w="992" w:type="dxa"/>
            <w:noWrap/>
          </w:tcPr>
          <w:p w:rsidR="00F425CB" w:rsidRPr="00AF7751" w:rsidRDefault="00F425CB" w:rsidP="00C11659">
            <w:pPr>
              <w:pStyle w:val="TableText"/>
              <w:tabs>
                <w:tab w:val="decimal" w:pos="317"/>
              </w:tabs>
              <w:rPr>
                <w:lang w:eastAsia="en-NZ"/>
              </w:rPr>
            </w:pPr>
            <w:r w:rsidRPr="00AF7751">
              <w:rPr>
                <w:lang w:eastAsia="en-NZ"/>
              </w:rPr>
              <w:t>0.1%</w:t>
            </w:r>
          </w:p>
        </w:tc>
      </w:tr>
      <w:tr w:rsidR="00F425CB" w:rsidRPr="00C11659" w:rsidTr="00C73F47">
        <w:trPr>
          <w:cantSplit/>
        </w:trPr>
        <w:tc>
          <w:tcPr>
            <w:tcW w:w="2127" w:type="dxa"/>
            <w:noWrap/>
          </w:tcPr>
          <w:p w:rsidR="00F425CB" w:rsidRPr="00C11659" w:rsidRDefault="00F425CB" w:rsidP="00C11659">
            <w:pPr>
              <w:pStyle w:val="TableText"/>
              <w:rPr>
                <w:b/>
                <w:lang w:eastAsia="en-NZ"/>
              </w:rPr>
            </w:pPr>
            <w:r w:rsidRPr="00C11659">
              <w:rPr>
                <w:b/>
                <w:lang w:eastAsia="en-NZ"/>
              </w:rPr>
              <w:t>Total</w:t>
            </w:r>
          </w:p>
        </w:tc>
        <w:tc>
          <w:tcPr>
            <w:tcW w:w="1559" w:type="dxa"/>
            <w:noWrap/>
          </w:tcPr>
          <w:p w:rsidR="00F425CB" w:rsidRPr="00C11659" w:rsidRDefault="00F425CB" w:rsidP="00C11659">
            <w:pPr>
              <w:pStyle w:val="TableText"/>
              <w:tabs>
                <w:tab w:val="decimal" w:pos="884"/>
              </w:tabs>
              <w:rPr>
                <w:b/>
                <w:lang w:eastAsia="en-NZ"/>
              </w:rPr>
            </w:pPr>
            <w:r w:rsidRPr="00C11659">
              <w:rPr>
                <w:b/>
                <w:lang w:eastAsia="en-NZ"/>
              </w:rPr>
              <w:t>20,074</w:t>
            </w:r>
          </w:p>
        </w:tc>
        <w:tc>
          <w:tcPr>
            <w:tcW w:w="1276" w:type="dxa"/>
            <w:noWrap/>
          </w:tcPr>
          <w:p w:rsidR="00F425CB" w:rsidRPr="00C11659" w:rsidRDefault="00F425CB" w:rsidP="00C11659">
            <w:pPr>
              <w:pStyle w:val="TableText"/>
              <w:tabs>
                <w:tab w:val="decimal" w:pos="722"/>
              </w:tabs>
              <w:rPr>
                <w:b/>
                <w:lang w:eastAsia="en-NZ"/>
              </w:rPr>
            </w:pPr>
            <w:r w:rsidRPr="00C11659">
              <w:rPr>
                <w:b/>
                <w:lang w:eastAsia="en-NZ"/>
              </w:rPr>
              <w:t>21,934</w:t>
            </w:r>
          </w:p>
        </w:tc>
        <w:tc>
          <w:tcPr>
            <w:tcW w:w="1275" w:type="dxa"/>
            <w:noWrap/>
          </w:tcPr>
          <w:p w:rsidR="00F425CB" w:rsidRPr="00C11659" w:rsidRDefault="00F425CB" w:rsidP="00C11659">
            <w:pPr>
              <w:pStyle w:val="TableText"/>
              <w:tabs>
                <w:tab w:val="decimal" w:pos="722"/>
              </w:tabs>
              <w:rPr>
                <w:b/>
                <w:lang w:eastAsia="en-NZ"/>
              </w:rPr>
            </w:pPr>
            <w:r w:rsidRPr="00C11659">
              <w:rPr>
                <w:b/>
                <w:lang w:eastAsia="en-NZ"/>
              </w:rPr>
              <w:t>28,458</w:t>
            </w:r>
          </w:p>
        </w:tc>
        <w:tc>
          <w:tcPr>
            <w:tcW w:w="1134" w:type="dxa"/>
            <w:noWrap/>
          </w:tcPr>
          <w:p w:rsidR="00F425CB" w:rsidRPr="00C11659" w:rsidRDefault="00F425CB" w:rsidP="00C11659">
            <w:pPr>
              <w:pStyle w:val="TableText"/>
              <w:tabs>
                <w:tab w:val="decimal" w:pos="601"/>
              </w:tabs>
              <w:rPr>
                <w:b/>
                <w:lang w:eastAsia="en-NZ"/>
              </w:rPr>
            </w:pPr>
            <w:r w:rsidRPr="00C11659">
              <w:rPr>
                <w:b/>
                <w:lang w:eastAsia="en-NZ"/>
              </w:rPr>
              <w:t>6,524</w:t>
            </w:r>
          </w:p>
        </w:tc>
        <w:tc>
          <w:tcPr>
            <w:tcW w:w="993" w:type="dxa"/>
            <w:noWrap/>
          </w:tcPr>
          <w:p w:rsidR="00F425CB" w:rsidRPr="00C11659" w:rsidRDefault="00F425CB" w:rsidP="00C11659">
            <w:pPr>
              <w:pStyle w:val="TableText"/>
              <w:tabs>
                <w:tab w:val="decimal" w:pos="459"/>
              </w:tabs>
              <w:rPr>
                <w:b/>
                <w:lang w:eastAsia="en-NZ"/>
              </w:rPr>
            </w:pPr>
            <w:r w:rsidRPr="00C11659">
              <w:rPr>
                <w:b/>
                <w:lang w:eastAsia="en-NZ"/>
              </w:rPr>
              <w:t>30%</w:t>
            </w:r>
          </w:p>
        </w:tc>
        <w:tc>
          <w:tcPr>
            <w:tcW w:w="992" w:type="dxa"/>
            <w:noWrap/>
          </w:tcPr>
          <w:p w:rsidR="00F425CB" w:rsidRPr="00C11659" w:rsidRDefault="00F425CB" w:rsidP="00C11659">
            <w:pPr>
              <w:pStyle w:val="TableText"/>
              <w:tabs>
                <w:tab w:val="decimal" w:pos="317"/>
              </w:tabs>
              <w:rPr>
                <w:b/>
                <w:lang w:eastAsia="en-NZ"/>
              </w:rPr>
            </w:pPr>
            <w:r w:rsidRPr="00C11659">
              <w:rPr>
                <w:b/>
                <w:lang w:eastAsia="en-NZ"/>
              </w:rPr>
              <w:t>2.6%</w:t>
            </w:r>
          </w:p>
        </w:tc>
      </w:tr>
    </w:tbl>
    <w:p w:rsidR="00F425CB" w:rsidRPr="00F85D76" w:rsidRDefault="00F425CB" w:rsidP="00C11659">
      <w:pPr>
        <w:pStyle w:val="Source"/>
        <w:rPr>
          <w:lang w:eastAsia="en-NZ"/>
        </w:rPr>
      </w:pPr>
      <w:r w:rsidRPr="00F85D76">
        <w:rPr>
          <w:lang w:eastAsia="en-NZ"/>
        </w:rPr>
        <w:t>Source: HPCG; method as described in text above.</w:t>
      </w:r>
    </w:p>
    <w:p w:rsidR="00F425CB" w:rsidRDefault="00F425CB" w:rsidP="00C11659">
      <w:pPr>
        <w:rPr>
          <w:lang w:eastAsia="en-NZ"/>
        </w:rPr>
      </w:pPr>
    </w:p>
    <w:p w:rsidR="00F425CB" w:rsidRPr="007E7990" w:rsidRDefault="00F425CB" w:rsidP="00C11659">
      <w:pPr>
        <w:rPr>
          <w:lang w:eastAsia="en-NZ"/>
        </w:rPr>
      </w:pPr>
      <w:r w:rsidRPr="007E7990">
        <w:rPr>
          <w:lang w:eastAsia="en-NZ"/>
        </w:rPr>
        <w:t>Prostate cancer has shown apparent high growth in the recent past due to diagnostic changes, and has a significant impact on the total cancer growth.</w:t>
      </w:r>
      <w:r w:rsidR="007E7990" w:rsidRPr="007E7990">
        <w:rPr>
          <w:lang w:eastAsia="en-NZ"/>
        </w:rPr>
        <w:t xml:space="preserve"> </w:t>
      </w:r>
      <w:r w:rsidRPr="007E7990">
        <w:rPr>
          <w:lang w:eastAsia="en-NZ"/>
        </w:rPr>
        <w:t xml:space="preserve">The original Ministry projections had difficulties with the prostate growth, and revised the figures based on the </w:t>
      </w:r>
      <w:r w:rsidR="007E7990" w:rsidRPr="007E7990">
        <w:rPr>
          <w:lang w:eastAsia="en-NZ"/>
        </w:rPr>
        <w:t>‘</w:t>
      </w:r>
      <w:r w:rsidRPr="007E7990">
        <w:rPr>
          <w:lang w:eastAsia="en-NZ"/>
        </w:rPr>
        <w:t>PSA effect</w:t>
      </w:r>
      <w:r w:rsidR="007E7990" w:rsidRPr="007E7990">
        <w:rPr>
          <w:lang w:eastAsia="en-NZ"/>
        </w:rPr>
        <w:t>’</w:t>
      </w:r>
      <w:r w:rsidRPr="007E7990">
        <w:rPr>
          <w:lang w:eastAsia="en-NZ"/>
        </w:rPr>
        <w:t>.</w:t>
      </w:r>
      <w:r w:rsidR="007E7990" w:rsidRPr="007E7990">
        <w:rPr>
          <w:lang w:eastAsia="en-NZ"/>
        </w:rPr>
        <w:t xml:space="preserve"> </w:t>
      </w:r>
      <w:r w:rsidRPr="007E7990">
        <w:rPr>
          <w:lang w:eastAsia="en-NZ"/>
        </w:rPr>
        <w:t>The potential for actual growth to be lower than the projections is tested in the sensitivity analyses (Section</w:t>
      </w:r>
      <w:r w:rsidR="00C11659">
        <w:rPr>
          <w:lang w:eastAsia="en-NZ"/>
        </w:rPr>
        <w:t> </w:t>
      </w:r>
      <w:r w:rsidRPr="007E7990">
        <w:rPr>
          <w:lang w:eastAsia="en-NZ"/>
        </w:rPr>
        <w:t>4.6).</w:t>
      </w:r>
    </w:p>
    <w:p w:rsidR="00F425CB" w:rsidRPr="00AF7751" w:rsidRDefault="00F425CB" w:rsidP="00C11659"/>
    <w:p w:rsidR="00F425CB" w:rsidRPr="007E7990" w:rsidRDefault="00F425CB" w:rsidP="00C11659">
      <w:pPr>
        <w:pStyle w:val="Table"/>
      </w:pPr>
      <w:bookmarkStart w:id="188" w:name="_Ref367266388"/>
      <w:bookmarkStart w:id="189" w:name="_Toc384202893"/>
      <w:r w:rsidRPr="007E7990">
        <w:lastRenderedPageBreak/>
        <w:t xml:space="preserve">Table </w:t>
      </w:r>
      <w:r w:rsidR="00C11659">
        <w:t>18</w:t>
      </w:r>
      <w:bookmarkEnd w:id="188"/>
      <w:r w:rsidR="00C11659">
        <w:t>:</w:t>
      </w:r>
      <w:r w:rsidR="007E7990" w:rsidRPr="007E7990">
        <w:t xml:space="preserve"> </w:t>
      </w:r>
      <w:r w:rsidRPr="007E7990">
        <w:t>Projected cancer registrations by DHB</w:t>
      </w:r>
      <w:bookmarkEnd w:id="189"/>
    </w:p>
    <w:tbl>
      <w:tblPr>
        <w:tblW w:w="9356" w:type="dxa"/>
        <w:tblInd w:w="108" w:type="dxa"/>
        <w:tblLayout w:type="fixed"/>
        <w:tblLook w:val="00A0" w:firstRow="1" w:lastRow="0" w:firstColumn="1" w:lastColumn="0" w:noHBand="0" w:noVBand="0"/>
      </w:tblPr>
      <w:tblGrid>
        <w:gridCol w:w="1418"/>
        <w:gridCol w:w="1559"/>
        <w:gridCol w:w="992"/>
        <w:gridCol w:w="879"/>
        <w:gridCol w:w="879"/>
        <w:gridCol w:w="879"/>
        <w:gridCol w:w="879"/>
        <w:gridCol w:w="879"/>
        <w:gridCol w:w="992"/>
      </w:tblGrid>
      <w:tr w:rsidR="00C11659" w:rsidRPr="00C11659" w:rsidTr="00C73F47">
        <w:trPr>
          <w:cantSplit/>
        </w:trPr>
        <w:tc>
          <w:tcPr>
            <w:tcW w:w="1418" w:type="dxa"/>
            <w:vMerge w:val="restart"/>
            <w:tcBorders>
              <w:top w:val="single" w:sz="4" w:space="0" w:color="A6A6A6"/>
              <w:left w:val="single" w:sz="4" w:space="0" w:color="A6A6A6"/>
              <w:bottom w:val="single" w:sz="4" w:space="0" w:color="A6A6A6"/>
              <w:right w:val="single" w:sz="4" w:space="0" w:color="A6A6A6"/>
            </w:tcBorders>
            <w:shd w:val="clear" w:color="auto" w:fill="BDE2FF"/>
            <w:noWrap/>
          </w:tcPr>
          <w:p w:rsidR="00C11659" w:rsidRPr="00C11659" w:rsidRDefault="00C11659" w:rsidP="00C11659">
            <w:pPr>
              <w:pStyle w:val="TableText"/>
              <w:keepNext/>
              <w:rPr>
                <w:b/>
                <w:lang w:eastAsia="en-NZ"/>
              </w:rPr>
            </w:pPr>
            <w:r w:rsidRPr="00C11659">
              <w:rPr>
                <w:b/>
                <w:lang w:eastAsia="en-NZ"/>
              </w:rPr>
              <w:t>Centre</w:t>
            </w:r>
          </w:p>
        </w:tc>
        <w:tc>
          <w:tcPr>
            <w:tcW w:w="1559" w:type="dxa"/>
            <w:vMerge w:val="restart"/>
            <w:tcBorders>
              <w:top w:val="single" w:sz="4" w:space="0" w:color="A6A6A6"/>
              <w:left w:val="single" w:sz="4" w:space="0" w:color="A6A6A6"/>
              <w:bottom w:val="single" w:sz="4" w:space="0" w:color="A6A6A6"/>
              <w:right w:val="single" w:sz="4" w:space="0" w:color="A6A6A6"/>
            </w:tcBorders>
            <w:shd w:val="clear" w:color="auto" w:fill="BDE2FF"/>
            <w:noWrap/>
          </w:tcPr>
          <w:p w:rsidR="00C11659" w:rsidRPr="00C11659" w:rsidRDefault="00C11659" w:rsidP="00C11659">
            <w:pPr>
              <w:pStyle w:val="TableText"/>
              <w:keepNext/>
              <w:rPr>
                <w:b/>
                <w:lang w:eastAsia="en-NZ"/>
              </w:rPr>
            </w:pPr>
            <w:r w:rsidRPr="00C11659">
              <w:rPr>
                <w:b/>
                <w:lang w:eastAsia="en-NZ"/>
              </w:rPr>
              <w:t>DHB</w:t>
            </w:r>
          </w:p>
        </w:tc>
        <w:tc>
          <w:tcPr>
            <w:tcW w:w="992" w:type="dxa"/>
            <w:vMerge w:val="restart"/>
            <w:tcBorders>
              <w:top w:val="single" w:sz="4" w:space="0" w:color="A6A6A6"/>
              <w:left w:val="single" w:sz="4" w:space="0" w:color="A6A6A6"/>
              <w:right w:val="single" w:sz="4" w:space="0" w:color="A6A6A6"/>
            </w:tcBorders>
            <w:shd w:val="clear" w:color="auto" w:fill="BDE2FF"/>
            <w:noWrap/>
          </w:tcPr>
          <w:p w:rsidR="00C11659" w:rsidRPr="00C11659" w:rsidRDefault="00C11659" w:rsidP="00C11659">
            <w:pPr>
              <w:pStyle w:val="TableText"/>
              <w:keepNext/>
              <w:jc w:val="center"/>
              <w:rPr>
                <w:b/>
                <w:lang w:eastAsia="en-NZ"/>
              </w:rPr>
            </w:pPr>
            <w:r w:rsidRPr="00C11659">
              <w:rPr>
                <w:b/>
                <w:lang w:eastAsia="en-NZ"/>
              </w:rPr>
              <w:t>Actual average</w:t>
            </w:r>
            <w:r>
              <w:rPr>
                <w:b/>
                <w:lang w:eastAsia="en-NZ"/>
              </w:rPr>
              <w:br/>
            </w:r>
            <w:r w:rsidRPr="00C11659">
              <w:rPr>
                <w:b/>
                <w:lang w:eastAsia="en-NZ"/>
              </w:rPr>
              <w:t>2007–09</w:t>
            </w:r>
          </w:p>
        </w:tc>
        <w:tc>
          <w:tcPr>
            <w:tcW w:w="4395" w:type="dxa"/>
            <w:gridSpan w:val="5"/>
            <w:tcBorders>
              <w:top w:val="single" w:sz="4" w:space="0" w:color="A6A6A6"/>
              <w:left w:val="single" w:sz="4" w:space="0" w:color="A6A6A6"/>
              <w:bottom w:val="single" w:sz="4" w:space="0" w:color="A6A6A6"/>
              <w:right w:val="single" w:sz="4" w:space="0" w:color="A6A6A6"/>
            </w:tcBorders>
            <w:shd w:val="clear" w:color="auto" w:fill="BDE2FF"/>
            <w:noWrap/>
          </w:tcPr>
          <w:p w:rsidR="00C11659" w:rsidRPr="00C11659" w:rsidRDefault="00C11659" w:rsidP="00C11659">
            <w:pPr>
              <w:pStyle w:val="TableText"/>
              <w:keepNext/>
              <w:jc w:val="center"/>
              <w:rPr>
                <w:b/>
                <w:lang w:eastAsia="en-NZ"/>
              </w:rPr>
            </w:pPr>
            <w:r w:rsidRPr="00C11659">
              <w:rPr>
                <w:b/>
                <w:lang w:eastAsia="en-NZ"/>
              </w:rPr>
              <w:t>Projected cancer registrations</w:t>
            </w:r>
          </w:p>
        </w:tc>
        <w:tc>
          <w:tcPr>
            <w:tcW w:w="992" w:type="dxa"/>
            <w:vMerge w:val="restart"/>
            <w:tcBorders>
              <w:top w:val="single" w:sz="4" w:space="0" w:color="A6A6A6"/>
              <w:left w:val="single" w:sz="4" w:space="0" w:color="A6A6A6"/>
              <w:right w:val="single" w:sz="4" w:space="0" w:color="A6A6A6"/>
            </w:tcBorders>
            <w:shd w:val="clear" w:color="auto" w:fill="BDE2FF"/>
          </w:tcPr>
          <w:p w:rsidR="00C11659" w:rsidRPr="00C11659" w:rsidRDefault="00C11659" w:rsidP="00C11659">
            <w:pPr>
              <w:pStyle w:val="TableText"/>
              <w:keepNext/>
              <w:rPr>
                <w:b/>
                <w:lang w:eastAsia="en-NZ"/>
              </w:rPr>
            </w:pPr>
            <w:r w:rsidRPr="00C11659">
              <w:rPr>
                <w:b/>
                <w:lang w:eastAsia="en-NZ"/>
              </w:rPr>
              <w:t>Average % pa</w:t>
            </w:r>
          </w:p>
        </w:tc>
      </w:tr>
      <w:tr w:rsidR="00C11659" w:rsidRPr="00C11659" w:rsidTr="00C73F47">
        <w:trPr>
          <w:cantSplit/>
        </w:trPr>
        <w:tc>
          <w:tcPr>
            <w:tcW w:w="1418" w:type="dxa"/>
            <w:vMerge/>
            <w:tcBorders>
              <w:top w:val="single" w:sz="4" w:space="0" w:color="A6A6A6"/>
              <w:left w:val="single" w:sz="4" w:space="0" w:color="A6A6A6"/>
              <w:bottom w:val="single" w:sz="4" w:space="0" w:color="A6A6A6"/>
              <w:right w:val="single" w:sz="4" w:space="0" w:color="A6A6A6"/>
            </w:tcBorders>
            <w:shd w:val="clear" w:color="auto" w:fill="BDE2FF"/>
            <w:noWrap/>
          </w:tcPr>
          <w:p w:rsidR="00C11659" w:rsidRPr="00C11659" w:rsidRDefault="00C11659" w:rsidP="00C11659">
            <w:pPr>
              <w:pStyle w:val="TableText"/>
              <w:keepNext/>
              <w:rPr>
                <w:b/>
                <w:lang w:eastAsia="en-NZ"/>
              </w:rPr>
            </w:pPr>
          </w:p>
        </w:tc>
        <w:tc>
          <w:tcPr>
            <w:tcW w:w="1559" w:type="dxa"/>
            <w:vMerge/>
            <w:tcBorders>
              <w:top w:val="single" w:sz="4" w:space="0" w:color="A6A6A6"/>
              <w:left w:val="single" w:sz="4" w:space="0" w:color="A6A6A6"/>
              <w:bottom w:val="single" w:sz="4" w:space="0" w:color="A6A6A6"/>
              <w:right w:val="single" w:sz="4" w:space="0" w:color="A6A6A6"/>
            </w:tcBorders>
            <w:shd w:val="clear" w:color="auto" w:fill="BDE2FF"/>
            <w:noWrap/>
          </w:tcPr>
          <w:p w:rsidR="00C11659" w:rsidRPr="00C11659" w:rsidRDefault="00C11659" w:rsidP="00C11659">
            <w:pPr>
              <w:pStyle w:val="TableText"/>
              <w:keepNext/>
              <w:rPr>
                <w:b/>
                <w:lang w:eastAsia="en-NZ"/>
              </w:rPr>
            </w:pPr>
          </w:p>
        </w:tc>
        <w:tc>
          <w:tcPr>
            <w:tcW w:w="992" w:type="dxa"/>
            <w:vMerge/>
            <w:tcBorders>
              <w:left w:val="single" w:sz="4" w:space="0" w:color="A6A6A6"/>
              <w:bottom w:val="single" w:sz="4" w:space="0" w:color="A6A6A6"/>
              <w:right w:val="single" w:sz="4" w:space="0" w:color="A6A6A6"/>
            </w:tcBorders>
            <w:shd w:val="clear" w:color="auto" w:fill="BDE2FF"/>
            <w:noWrap/>
          </w:tcPr>
          <w:p w:rsidR="00C11659" w:rsidRPr="00C11659" w:rsidRDefault="00C11659" w:rsidP="00C11659">
            <w:pPr>
              <w:pStyle w:val="TableText"/>
              <w:keepNext/>
              <w:rPr>
                <w:b/>
                <w:lang w:eastAsia="en-NZ"/>
              </w:rPr>
            </w:pPr>
          </w:p>
        </w:tc>
        <w:tc>
          <w:tcPr>
            <w:tcW w:w="879" w:type="dxa"/>
            <w:tcBorders>
              <w:top w:val="single" w:sz="4" w:space="0" w:color="A6A6A6"/>
              <w:left w:val="single" w:sz="4" w:space="0" w:color="A6A6A6"/>
              <w:bottom w:val="single" w:sz="4" w:space="0" w:color="A6A6A6"/>
              <w:right w:val="single" w:sz="4" w:space="0" w:color="A6A6A6"/>
            </w:tcBorders>
            <w:shd w:val="clear" w:color="auto" w:fill="BDE2FF"/>
            <w:noWrap/>
          </w:tcPr>
          <w:p w:rsidR="00C11659" w:rsidRPr="00C11659" w:rsidRDefault="00C11659" w:rsidP="00C11659">
            <w:pPr>
              <w:pStyle w:val="TableText"/>
              <w:keepNext/>
              <w:jc w:val="center"/>
              <w:rPr>
                <w:b/>
                <w:lang w:eastAsia="en-NZ"/>
              </w:rPr>
            </w:pPr>
            <w:r w:rsidRPr="00C11659">
              <w:rPr>
                <w:b/>
                <w:lang w:eastAsia="en-NZ"/>
              </w:rPr>
              <w:t>2010</w:t>
            </w:r>
          </w:p>
        </w:tc>
        <w:tc>
          <w:tcPr>
            <w:tcW w:w="879" w:type="dxa"/>
            <w:tcBorders>
              <w:top w:val="single" w:sz="4" w:space="0" w:color="A6A6A6"/>
              <w:left w:val="single" w:sz="4" w:space="0" w:color="A6A6A6"/>
              <w:bottom w:val="single" w:sz="4" w:space="0" w:color="A6A6A6"/>
              <w:right w:val="single" w:sz="4" w:space="0" w:color="A6A6A6"/>
            </w:tcBorders>
            <w:shd w:val="clear" w:color="auto" w:fill="BDE2FF"/>
            <w:noWrap/>
          </w:tcPr>
          <w:p w:rsidR="00C11659" w:rsidRPr="00C11659" w:rsidRDefault="00C11659" w:rsidP="00C11659">
            <w:pPr>
              <w:pStyle w:val="TableText"/>
              <w:keepNext/>
              <w:jc w:val="center"/>
              <w:rPr>
                <w:b/>
                <w:lang w:eastAsia="en-NZ"/>
              </w:rPr>
            </w:pPr>
            <w:r w:rsidRPr="00C11659">
              <w:rPr>
                <w:b/>
                <w:lang w:eastAsia="en-NZ"/>
              </w:rPr>
              <w:t>2011</w:t>
            </w:r>
          </w:p>
        </w:tc>
        <w:tc>
          <w:tcPr>
            <w:tcW w:w="879" w:type="dxa"/>
            <w:tcBorders>
              <w:top w:val="single" w:sz="4" w:space="0" w:color="A6A6A6"/>
              <w:left w:val="single" w:sz="4" w:space="0" w:color="A6A6A6"/>
              <w:bottom w:val="single" w:sz="4" w:space="0" w:color="A6A6A6"/>
              <w:right w:val="single" w:sz="4" w:space="0" w:color="A6A6A6"/>
            </w:tcBorders>
            <w:shd w:val="clear" w:color="auto" w:fill="BDE2FF"/>
            <w:noWrap/>
          </w:tcPr>
          <w:p w:rsidR="00C11659" w:rsidRPr="00C11659" w:rsidRDefault="00C11659" w:rsidP="00C11659">
            <w:pPr>
              <w:pStyle w:val="TableText"/>
              <w:keepNext/>
              <w:jc w:val="center"/>
              <w:rPr>
                <w:b/>
                <w:lang w:eastAsia="en-NZ"/>
              </w:rPr>
            </w:pPr>
            <w:r w:rsidRPr="00C11659">
              <w:rPr>
                <w:b/>
                <w:lang w:eastAsia="en-NZ"/>
              </w:rPr>
              <w:t>2012</w:t>
            </w:r>
          </w:p>
        </w:tc>
        <w:tc>
          <w:tcPr>
            <w:tcW w:w="879" w:type="dxa"/>
            <w:tcBorders>
              <w:top w:val="single" w:sz="4" w:space="0" w:color="A6A6A6"/>
              <w:left w:val="single" w:sz="4" w:space="0" w:color="A6A6A6"/>
              <w:bottom w:val="single" w:sz="4" w:space="0" w:color="A6A6A6"/>
              <w:right w:val="single" w:sz="4" w:space="0" w:color="A6A6A6"/>
            </w:tcBorders>
            <w:shd w:val="clear" w:color="auto" w:fill="BDE2FF"/>
            <w:noWrap/>
          </w:tcPr>
          <w:p w:rsidR="00C11659" w:rsidRPr="00C11659" w:rsidRDefault="00C11659" w:rsidP="00C11659">
            <w:pPr>
              <w:pStyle w:val="TableText"/>
              <w:keepNext/>
              <w:jc w:val="center"/>
              <w:rPr>
                <w:b/>
                <w:lang w:eastAsia="en-NZ"/>
              </w:rPr>
            </w:pPr>
            <w:r w:rsidRPr="00C11659">
              <w:rPr>
                <w:b/>
                <w:lang w:eastAsia="en-NZ"/>
              </w:rPr>
              <w:t>2017</w:t>
            </w:r>
          </w:p>
        </w:tc>
        <w:tc>
          <w:tcPr>
            <w:tcW w:w="879" w:type="dxa"/>
            <w:tcBorders>
              <w:top w:val="single" w:sz="4" w:space="0" w:color="A6A6A6"/>
              <w:left w:val="single" w:sz="4" w:space="0" w:color="A6A6A6"/>
              <w:bottom w:val="single" w:sz="4" w:space="0" w:color="A6A6A6"/>
              <w:right w:val="single" w:sz="4" w:space="0" w:color="A6A6A6"/>
            </w:tcBorders>
            <w:shd w:val="clear" w:color="auto" w:fill="BDE2FF"/>
            <w:noWrap/>
          </w:tcPr>
          <w:p w:rsidR="00C11659" w:rsidRPr="00C11659" w:rsidRDefault="00C11659" w:rsidP="00C11659">
            <w:pPr>
              <w:pStyle w:val="TableText"/>
              <w:keepNext/>
              <w:jc w:val="center"/>
              <w:rPr>
                <w:b/>
                <w:lang w:eastAsia="en-NZ"/>
              </w:rPr>
            </w:pPr>
            <w:r w:rsidRPr="00C11659">
              <w:rPr>
                <w:b/>
                <w:lang w:eastAsia="en-NZ"/>
              </w:rPr>
              <w:t>2022</w:t>
            </w:r>
          </w:p>
        </w:tc>
        <w:tc>
          <w:tcPr>
            <w:tcW w:w="992" w:type="dxa"/>
            <w:vMerge/>
            <w:tcBorders>
              <w:left w:val="single" w:sz="4" w:space="0" w:color="A6A6A6"/>
              <w:bottom w:val="single" w:sz="4" w:space="0" w:color="A6A6A6"/>
              <w:right w:val="single" w:sz="4" w:space="0" w:color="A6A6A6"/>
            </w:tcBorders>
            <w:shd w:val="clear" w:color="auto" w:fill="BDE2FF"/>
          </w:tcPr>
          <w:p w:rsidR="00C11659" w:rsidRPr="00C11659" w:rsidRDefault="00C11659" w:rsidP="00C11659">
            <w:pPr>
              <w:pStyle w:val="TableText"/>
              <w:keepNext/>
              <w:rPr>
                <w:b/>
                <w:lang w:eastAsia="en-NZ"/>
              </w:rPr>
            </w:pP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Auckland</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Northland</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601"/>
              </w:tabs>
              <w:rPr>
                <w:lang w:eastAsia="en-NZ"/>
              </w:rPr>
            </w:pPr>
            <w:r w:rsidRPr="00AF7751">
              <w:rPr>
                <w:lang w:eastAsia="en-NZ"/>
              </w:rPr>
              <w:t>868</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905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923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943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1,055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1,198</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keepNext/>
              <w:jc w:val="center"/>
              <w:rPr>
                <w:lang w:eastAsia="en-NZ"/>
              </w:rPr>
            </w:pPr>
            <w:r w:rsidRPr="00AF7751">
              <w:rPr>
                <w:lang w:eastAsia="en-NZ"/>
              </w:rPr>
              <w:t>2.4%</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Auckland</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proofErr w:type="spellStart"/>
            <w:r w:rsidRPr="00AF7751">
              <w:rPr>
                <w:lang w:eastAsia="en-NZ"/>
              </w:rPr>
              <w:t>Waitemata</w:t>
            </w:r>
            <w:proofErr w:type="spellEnd"/>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601"/>
              </w:tabs>
              <w:rPr>
                <w:lang w:eastAsia="en-NZ"/>
              </w:rPr>
            </w:pPr>
            <w:r w:rsidRPr="00AF7751">
              <w:rPr>
                <w:lang w:eastAsia="en-NZ"/>
              </w:rPr>
              <w:t>2,276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2,412</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2,482</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2,555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2,988</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3,552</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keepNext/>
              <w:jc w:val="center"/>
              <w:rPr>
                <w:lang w:eastAsia="en-NZ"/>
              </w:rPr>
            </w:pPr>
            <w:r w:rsidRPr="00AF7751">
              <w:rPr>
                <w:lang w:eastAsia="en-NZ"/>
              </w:rPr>
              <w:t>3.4%</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Auckland</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Auckland</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601"/>
              </w:tabs>
              <w:rPr>
                <w:lang w:eastAsia="en-NZ"/>
              </w:rPr>
            </w:pPr>
            <w:r w:rsidRPr="00AF7751">
              <w:rPr>
                <w:lang w:eastAsia="en-NZ"/>
              </w:rPr>
              <w:t>1,690</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1,757</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1,791</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1,826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2,059</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2,397</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keepNext/>
              <w:jc w:val="center"/>
              <w:rPr>
                <w:lang w:eastAsia="en-NZ"/>
              </w:rPr>
            </w:pPr>
            <w:r w:rsidRPr="00AF7751">
              <w:rPr>
                <w:lang w:eastAsia="en-NZ"/>
              </w:rPr>
              <w:t>2.8%</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Auckland</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 xml:space="preserve">Counties </w:t>
            </w:r>
            <w:proofErr w:type="spellStart"/>
            <w:r w:rsidRPr="00AF7751">
              <w:rPr>
                <w:lang w:eastAsia="en-NZ"/>
              </w:rPr>
              <w:t>Manukau</w:t>
            </w:r>
            <w:proofErr w:type="spellEnd"/>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601"/>
              </w:tabs>
              <w:rPr>
                <w:lang w:eastAsia="en-NZ"/>
              </w:rPr>
            </w:pPr>
            <w:r w:rsidRPr="00AF7751">
              <w:rPr>
                <w:lang w:eastAsia="en-NZ"/>
              </w:rPr>
              <w:t>1,742</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1,855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1,913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1,974</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2,316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2,729</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keepNext/>
              <w:jc w:val="center"/>
              <w:rPr>
                <w:lang w:eastAsia="en-NZ"/>
              </w:rPr>
            </w:pPr>
            <w:r w:rsidRPr="00AF7751">
              <w:rPr>
                <w:lang w:eastAsia="en-NZ"/>
              </w:rPr>
              <w:t>3.3%</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Hamilton</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Waikato</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601"/>
              </w:tabs>
              <w:rPr>
                <w:lang w:eastAsia="en-NZ"/>
              </w:rPr>
            </w:pPr>
            <w:r w:rsidRPr="00AF7751">
              <w:rPr>
                <w:lang w:eastAsia="en-NZ"/>
              </w:rPr>
              <w:t>1,651</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1,726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1,765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1,805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2,029</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2,299</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keepNext/>
              <w:jc w:val="center"/>
              <w:rPr>
                <w:lang w:eastAsia="en-NZ"/>
              </w:rPr>
            </w:pPr>
            <w:r w:rsidRPr="00AF7751">
              <w:rPr>
                <w:lang w:eastAsia="en-NZ"/>
              </w:rPr>
              <w:t>2.4%</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Hamilton</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Lakes</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601"/>
              </w:tabs>
              <w:rPr>
                <w:lang w:eastAsia="en-NZ"/>
              </w:rPr>
            </w:pPr>
            <w:r w:rsidRPr="00AF7751">
              <w:rPr>
                <w:lang w:eastAsia="en-NZ"/>
              </w:rPr>
              <w:t>487</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503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512</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521</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577</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654</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keepNext/>
              <w:jc w:val="center"/>
              <w:rPr>
                <w:lang w:eastAsia="en-NZ"/>
              </w:rPr>
            </w:pPr>
            <w:r w:rsidRPr="00AF7751">
              <w:rPr>
                <w:lang w:eastAsia="en-NZ"/>
              </w:rPr>
              <w:t>2.3%</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Hamilton</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Bay of Plenty</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601"/>
              </w:tabs>
              <w:rPr>
                <w:lang w:eastAsia="en-NZ"/>
              </w:rPr>
            </w:pPr>
            <w:r w:rsidRPr="00AF7751">
              <w:rPr>
                <w:lang w:eastAsia="en-NZ"/>
              </w:rPr>
              <w:t>1,202</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1,257</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1,286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1,315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1,482</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1,687</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keepNext/>
              <w:jc w:val="center"/>
              <w:rPr>
                <w:lang w:eastAsia="en-NZ"/>
              </w:rPr>
            </w:pPr>
            <w:r w:rsidRPr="00AF7751">
              <w:rPr>
                <w:lang w:eastAsia="en-NZ"/>
              </w:rPr>
              <w:t>2.5%</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Hamilton</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proofErr w:type="spellStart"/>
            <w:r w:rsidRPr="00AF7751">
              <w:rPr>
                <w:lang w:eastAsia="en-NZ"/>
              </w:rPr>
              <w:t>Tairawhiti</w:t>
            </w:r>
            <w:proofErr w:type="spellEnd"/>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601"/>
              </w:tabs>
              <w:rPr>
                <w:lang w:eastAsia="en-NZ"/>
              </w:rPr>
            </w:pPr>
            <w:r w:rsidRPr="00AF7751">
              <w:rPr>
                <w:lang w:eastAsia="en-NZ"/>
              </w:rPr>
              <w:t>223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230</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233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237</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263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302</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keepNext/>
              <w:jc w:val="center"/>
              <w:rPr>
                <w:lang w:eastAsia="en-NZ"/>
              </w:rPr>
            </w:pPr>
            <w:r w:rsidRPr="00AF7751">
              <w:rPr>
                <w:lang w:eastAsia="en-NZ"/>
              </w:rPr>
              <w:t>2.5%</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proofErr w:type="spellStart"/>
            <w:r w:rsidRPr="00AF7751">
              <w:rPr>
                <w:lang w:eastAsia="en-NZ"/>
              </w:rPr>
              <w:t>Palmerston</w:t>
            </w:r>
            <w:proofErr w:type="spellEnd"/>
            <w:r w:rsidRPr="00AF7751">
              <w:rPr>
                <w:lang w:eastAsia="en-NZ"/>
              </w:rPr>
              <w:t xml:space="preserve"> North</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rPr>
                <w:lang w:eastAsia="en-NZ"/>
              </w:rPr>
            </w:pPr>
            <w:r w:rsidRPr="00AF7751">
              <w:rPr>
                <w:lang w:eastAsia="en-NZ"/>
              </w:rPr>
              <w:t>Hawkes Bay</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601"/>
              </w:tabs>
              <w:rPr>
                <w:lang w:eastAsia="en-NZ"/>
              </w:rPr>
            </w:pPr>
            <w:r w:rsidRPr="00AF7751">
              <w:rPr>
                <w:lang w:eastAsia="en-NZ"/>
              </w:rPr>
              <w:t>809</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839</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854</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870</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963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keepNext/>
              <w:tabs>
                <w:tab w:val="decimal" w:pos="573"/>
              </w:tabs>
              <w:rPr>
                <w:lang w:eastAsia="en-NZ"/>
              </w:rPr>
            </w:pPr>
            <w:r w:rsidRPr="00AF7751">
              <w:rPr>
                <w:lang w:eastAsia="en-NZ"/>
              </w:rPr>
              <w:t>1,083</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keepNext/>
              <w:jc w:val="center"/>
              <w:rPr>
                <w:lang w:eastAsia="en-NZ"/>
              </w:rPr>
            </w:pPr>
            <w:r w:rsidRPr="00AF7751">
              <w:rPr>
                <w:lang w:eastAsia="en-NZ"/>
              </w:rPr>
              <w:t>2.2%</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proofErr w:type="spellStart"/>
            <w:r w:rsidRPr="00AF7751">
              <w:rPr>
                <w:lang w:eastAsia="en-NZ"/>
              </w:rPr>
              <w:t>Palmerston</w:t>
            </w:r>
            <w:proofErr w:type="spellEnd"/>
            <w:r w:rsidRPr="00AF7751">
              <w:rPr>
                <w:lang w:eastAsia="en-NZ"/>
              </w:rPr>
              <w:t xml:space="preserve"> North</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proofErr w:type="spellStart"/>
            <w:r w:rsidRPr="00AF7751">
              <w:rPr>
                <w:lang w:eastAsia="en-NZ"/>
              </w:rPr>
              <w:t>Taranaki</w:t>
            </w:r>
            <w:proofErr w:type="spellEnd"/>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604</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624</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634</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645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706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782</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2.0%</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proofErr w:type="spellStart"/>
            <w:r w:rsidRPr="00AF7751">
              <w:rPr>
                <w:lang w:eastAsia="en-NZ"/>
              </w:rPr>
              <w:t>Palmerston</w:t>
            </w:r>
            <w:proofErr w:type="spellEnd"/>
            <w:r w:rsidRPr="00AF7751">
              <w:rPr>
                <w:lang w:eastAsia="en-NZ"/>
              </w:rPr>
              <w:t xml:space="preserve"> North</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Mid</w:t>
            </w:r>
            <w:r>
              <w:rPr>
                <w:lang w:eastAsia="en-NZ"/>
              </w:rPr>
              <w:t>C</w:t>
            </w:r>
            <w:r w:rsidRPr="00AF7751">
              <w:rPr>
                <w:lang w:eastAsia="en-NZ"/>
              </w:rPr>
              <w:t>entral</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856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888</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905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922</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1,024</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1,159</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2.3%</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proofErr w:type="spellStart"/>
            <w:r w:rsidRPr="00AF7751">
              <w:rPr>
                <w:lang w:eastAsia="en-NZ"/>
              </w:rPr>
              <w:t>Palmerston</w:t>
            </w:r>
            <w:proofErr w:type="spellEnd"/>
            <w:r w:rsidRPr="00AF7751">
              <w:rPr>
                <w:lang w:eastAsia="en-NZ"/>
              </w:rPr>
              <w:t xml:space="preserve"> North</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proofErr w:type="spellStart"/>
            <w:r w:rsidRPr="00AF7751">
              <w:rPr>
                <w:lang w:eastAsia="en-NZ"/>
              </w:rPr>
              <w:t>Whanganui</w:t>
            </w:r>
            <w:proofErr w:type="spellEnd"/>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368</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376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380</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384</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414</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458</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1.8%</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Wellington</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Capital &amp; Coast</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1,093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1,149</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1,178</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1,208</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1,369</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1,552</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2.5%</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Wellington</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Hutt Valley</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620</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643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655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667</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739</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831</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2.2%</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Wellington</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proofErr w:type="spellStart"/>
            <w:r w:rsidRPr="00AF7751">
              <w:rPr>
                <w:lang w:eastAsia="en-NZ"/>
              </w:rPr>
              <w:t>Wairarapa</w:t>
            </w:r>
            <w:proofErr w:type="spellEnd"/>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225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235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240</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245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275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310</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2.4%</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Christchurch</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Nelson Marlborough</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763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806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828</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851</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975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1,118</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2.8%</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Christchurch</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West Coast</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180</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188</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191</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196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218</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246</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2.3%</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Christchurch</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Canterbury</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2,596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2,708</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2,766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2,826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3,208</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3,746</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2.9%</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Christchurch</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South Canterbury</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353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366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373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379</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417</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462</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2.0%</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Dunedin</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Pr>
                <w:lang w:eastAsia="en-NZ"/>
              </w:rPr>
              <w:t>Southern</w:t>
            </w:r>
            <w:r w:rsidR="007E7990">
              <w:rPr>
                <w:lang w:eastAsia="en-NZ"/>
              </w:rPr>
              <w:t xml:space="preserve"> – </w:t>
            </w:r>
            <w:proofErr w:type="spellStart"/>
            <w:r w:rsidRPr="00AF7751">
              <w:rPr>
                <w:lang w:eastAsia="en-NZ"/>
              </w:rPr>
              <w:t>Otago</w:t>
            </w:r>
            <w:proofErr w:type="spellEnd"/>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936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973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992</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1,011</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1,115</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1,234</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2.0%</w:t>
            </w:r>
          </w:p>
        </w:tc>
      </w:tr>
      <w:tr w:rsidR="00F425CB" w:rsidRPr="0021236A" w:rsidTr="00C73F47">
        <w:trPr>
          <w:cantSplit/>
        </w:trPr>
        <w:tc>
          <w:tcPr>
            <w:tcW w:w="1418"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sidRPr="00AF7751">
              <w:rPr>
                <w:lang w:eastAsia="en-NZ"/>
              </w:rPr>
              <w:t>Dunedin</w:t>
            </w:r>
          </w:p>
        </w:tc>
        <w:tc>
          <w:tcPr>
            <w:tcW w:w="155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rPr>
                <w:lang w:eastAsia="en-NZ"/>
              </w:rPr>
            </w:pPr>
            <w:r>
              <w:rPr>
                <w:lang w:eastAsia="en-NZ"/>
              </w:rPr>
              <w:t xml:space="preserve">Southern </w:t>
            </w:r>
            <w:r w:rsidR="00C11659">
              <w:rPr>
                <w:lang w:eastAsia="en-NZ"/>
              </w:rPr>
              <w:t>–</w:t>
            </w:r>
            <w:r w:rsidRPr="00AF7751">
              <w:rPr>
                <w:lang w:eastAsia="en-NZ"/>
              </w:rPr>
              <w:t>Southland</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489</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502</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509</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516</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560</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619</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1.8%</w:t>
            </w:r>
          </w:p>
        </w:tc>
      </w:tr>
      <w:tr w:rsidR="00F425CB" w:rsidRPr="0021236A" w:rsidTr="00C73F47">
        <w:trPr>
          <w:cantSplit/>
        </w:trPr>
        <w:tc>
          <w:tcPr>
            <w:tcW w:w="2977" w:type="dxa"/>
            <w:gridSpan w:val="2"/>
            <w:tcBorders>
              <w:top w:val="single" w:sz="4" w:space="0" w:color="A6A6A6"/>
              <w:left w:val="single" w:sz="4" w:space="0" w:color="A6A6A6"/>
              <w:bottom w:val="single" w:sz="4" w:space="0" w:color="A6A6A6"/>
              <w:right w:val="single" w:sz="4" w:space="0" w:color="A6A6A6"/>
            </w:tcBorders>
            <w:noWrap/>
          </w:tcPr>
          <w:p w:rsidR="00F425CB" w:rsidRPr="00AF7751" w:rsidRDefault="00C11659" w:rsidP="00C11659">
            <w:pPr>
              <w:pStyle w:val="TableText"/>
              <w:rPr>
                <w:lang w:eastAsia="en-NZ"/>
              </w:rPr>
            </w:pPr>
            <w:r>
              <w:rPr>
                <w:lang w:eastAsia="en-NZ"/>
              </w:rPr>
              <w:t>Total New Zealand</w:t>
            </w:r>
          </w:p>
        </w:tc>
        <w:tc>
          <w:tcPr>
            <w:tcW w:w="992"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601"/>
              </w:tabs>
              <w:rPr>
                <w:lang w:eastAsia="en-NZ"/>
              </w:rPr>
            </w:pPr>
            <w:r w:rsidRPr="00AF7751">
              <w:rPr>
                <w:lang w:eastAsia="en-NZ"/>
              </w:rPr>
              <w:t>20,073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20,983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21,453</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21,934</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24,791</w:t>
            </w:r>
          </w:p>
        </w:tc>
        <w:tc>
          <w:tcPr>
            <w:tcW w:w="879" w:type="dxa"/>
            <w:tcBorders>
              <w:top w:val="single" w:sz="4" w:space="0" w:color="A6A6A6"/>
              <w:left w:val="single" w:sz="4" w:space="0" w:color="A6A6A6"/>
              <w:bottom w:val="single" w:sz="4" w:space="0" w:color="A6A6A6"/>
              <w:right w:val="single" w:sz="4" w:space="0" w:color="A6A6A6"/>
            </w:tcBorders>
            <w:noWrap/>
          </w:tcPr>
          <w:p w:rsidR="00F425CB" w:rsidRPr="00AF7751" w:rsidRDefault="00F425CB" w:rsidP="00C11659">
            <w:pPr>
              <w:pStyle w:val="TableText"/>
              <w:tabs>
                <w:tab w:val="decimal" w:pos="573"/>
              </w:tabs>
              <w:rPr>
                <w:lang w:eastAsia="en-NZ"/>
              </w:rPr>
            </w:pPr>
            <w:r w:rsidRPr="00AF7751">
              <w:rPr>
                <w:lang w:eastAsia="en-NZ"/>
              </w:rPr>
              <w:t>28,458</w:t>
            </w:r>
          </w:p>
        </w:tc>
        <w:tc>
          <w:tcPr>
            <w:tcW w:w="992" w:type="dxa"/>
            <w:tcBorders>
              <w:top w:val="single" w:sz="4" w:space="0" w:color="A6A6A6"/>
              <w:left w:val="single" w:sz="4" w:space="0" w:color="A6A6A6"/>
              <w:bottom w:val="single" w:sz="4" w:space="0" w:color="A6A6A6"/>
              <w:right w:val="single" w:sz="4" w:space="0" w:color="A6A6A6"/>
            </w:tcBorders>
          </w:tcPr>
          <w:p w:rsidR="00F425CB" w:rsidRPr="00AF7751" w:rsidRDefault="00F425CB" w:rsidP="00C11659">
            <w:pPr>
              <w:pStyle w:val="TableText"/>
              <w:jc w:val="center"/>
              <w:rPr>
                <w:lang w:eastAsia="en-NZ"/>
              </w:rPr>
            </w:pPr>
            <w:r w:rsidRPr="00AF7751">
              <w:rPr>
                <w:lang w:eastAsia="en-NZ"/>
              </w:rPr>
              <w:t>2.6%</w:t>
            </w:r>
          </w:p>
        </w:tc>
      </w:tr>
    </w:tbl>
    <w:p w:rsidR="00F425CB" w:rsidRPr="00F85D76" w:rsidRDefault="00F425CB" w:rsidP="00C11659">
      <w:pPr>
        <w:pStyle w:val="Source"/>
        <w:rPr>
          <w:lang w:eastAsia="en-NZ"/>
        </w:rPr>
      </w:pPr>
      <w:r w:rsidRPr="00F85D76">
        <w:rPr>
          <w:lang w:eastAsia="en-NZ"/>
        </w:rPr>
        <w:t>Source: HPCG; method as described in text above.</w:t>
      </w:r>
    </w:p>
    <w:p w:rsidR="00F425CB" w:rsidRPr="007E7990" w:rsidRDefault="00F425CB" w:rsidP="00C11659"/>
    <w:p w:rsidR="00F425CB" w:rsidRDefault="00F425CB" w:rsidP="00C11659">
      <w:r w:rsidRPr="007E7990">
        <w:t xml:space="preserve">The DHBs with the fastest growing and ageing populations have the highest projected cancer registration growth as expected, with Counties </w:t>
      </w:r>
      <w:proofErr w:type="spellStart"/>
      <w:r w:rsidRPr="007E7990">
        <w:t>Manukau</w:t>
      </w:r>
      <w:proofErr w:type="spellEnd"/>
      <w:r w:rsidRPr="007E7990">
        <w:t xml:space="preserve"> and </w:t>
      </w:r>
      <w:proofErr w:type="spellStart"/>
      <w:r w:rsidRPr="007E7990">
        <w:t>Waitemata</w:t>
      </w:r>
      <w:proofErr w:type="spellEnd"/>
      <w:r w:rsidRPr="007E7990">
        <w:t xml:space="preserve"> growing at over 3% per annum.</w:t>
      </w:r>
      <w:r w:rsidR="007E7990" w:rsidRPr="007E7990">
        <w:t xml:space="preserve"> </w:t>
      </w:r>
      <w:r w:rsidRPr="007E7990">
        <w:t>Over the next 10 years there is expected to be a growth of 6,524 cancer registrations for New Zealand, 2.6% per annum growth, or 30% from 2012 to 2022.</w:t>
      </w:r>
    </w:p>
    <w:p w:rsidR="00C11659" w:rsidRPr="007E7990" w:rsidRDefault="00C11659" w:rsidP="00C11659"/>
    <w:p w:rsidR="00F425CB" w:rsidRPr="007E7990" w:rsidRDefault="00177741" w:rsidP="00177741">
      <w:pPr>
        <w:pStyle w:val="Heading1"/>
      </w:pPr>
      <w:bookmarkStart w:id="190" w:name="_Toc376936399"/>
      <w:r>
        <w:br w:type="page"/>
      </w:r>
      <w:bookmarkStart w:id="191" w:name="_Toc384202875"/>
      <w:r w:rsidR="00F425CB" w:rsidRPr="007E7990">
        <w:lastRenderedPageBreak/>
        <w:t>Appendix 5</w:t>
      </w:r>
      <w:r>
        <w:t>:</w:t>
      </w:r>
      <w:r w:rsidR="007E7990" w:rsidRPr="007E7990">
        <w:t xml:space="preserve"> </w:t>
      </w:r>
      <w:r w:rsidR="00F425CB" w:rsidRPr="007E7990">
        <w:t>Linear accelerator location and timings</w:t>
      </w:r>
      <w:bookmarkEnd w:id="190"/>
      <w:bookmarkEnd w:id="191"/>
    </w:p>
    <w:p w:rsidR="00F425CB" w:rsidRPr="00107F69" w:rsidRDefault="00F425CB" w:rsidP="00177741">
      <w:pPr>
        <w:rPr>
          <w:color w:val="000000"/>
          <w:lang w:eastAsia="en-NZ"/>
        </w:rPr>
      </w:pPr>
      <w:r w:rsidRPr="00107F69">
        <w:t>The following tables show possible configurations</w:t>
      </w:r>
      <w:r w:rsidRPr="00107F69">
        <w:rPr>
          <w:color w:val="000000"/>
          <w:lang w:eastAsia="en-NZ"/>
        </w:rPr>
        <w:t xml:space="preserve"> for new linacs suggested</w:t>
      </w:r>
      <w:r w:rsidRPr="00107F69">
        <w:t xml:space="preserve"> by the Model, in the same format a</w:t>
      </w:r>
      <w:r w:rsidRPr="002226B6">
        <w:t xml:space="preserve">s </w:t>
      </w:r>
      <w:r w:rsidR="00177741">
        <w:t>Table 14</w:t>
      </w:r>
      <w:r w:rsidRPr="002226B6">
        <w:rPr>
          <w:color w:val="000000"/>
          <w:lang w:eastAsia="en-NZ"/>
        </w:rPr>
        <w:t>.</w:t>
      </w:r>
      <w:r w:rsidRPr="002226B6">
        <w:t xml:space="preserve"> No</w:t>
      </w:r>
      <w:r w:rsidRPr="00107F69">
        <w:t xml:space="preserve">te that </w:t>
      </w:r>
      <w:r w:rsidRPr="00107F69">
        <w:rPr>
          <w:color w:val="000000"/>
          <w:lang w:eastAsia="en-NZ"/>
        </w:rPr>
        <w:t>locations and timing are indicative only</w:t>
      </w:r>
      <w:r w:rsidR="007E7990">
        <w:rPr>
          <w:color w:val="000000"/>
          <w:lang w:eastAsia="en-NZ"/>
        </w:rPr>
        <w:t xml:space="preserve"> – </w:t>
      </w:r>
      <w:r w:rsidRPr="00107F69">
        <w:rPr>
          <w:color w:val="000000"/>
          <w:lang w:eastAsia="en-NZ"/>
        </w:rPr>
        <w:t>actual build locations and timing will be dependent on DHB business cases and actual service demand in the time leading up to said business cases.</w:t>
      </w:r>
      <w:r w:rsidR="007E7990">
        <w:rPr>
          <w:color w:val="000000"/>
          <w:lang w:eastAsia="en-NZ"/>
        </w:rPr>
        <w:t xml:space="preserve"> </w:t>
      </w:r>
      <w:r w:rsidRPr="00107F69">
        <w:rPr>
          <w:color w:val="000000"/>
          <w:lang w:eastAsia="en-NZ"/>
        </w:rPr>
        <w:t xml:space="preserve">Only new linacs are shown in the first </w:t>
      </w:r>
      <w:r>
        <w:rPr>
          <w:color w:val="000000"/>
          <w:lang w:eastAsia="en-NZ"/>
        </w:rPr>
        <w:t>three</w:t>
      </w:r>
      <w:r w:rsidRPr="00107F69">
        <w:rPr>
          <w:color w:val="000000"/>
          <w:lang w:eastAsia="en-NZ"/>
        </w:rPr>
        <w:t xml:space="preserve"> tables – an indicative replacement schedule is shown in the last table. No assumption is made as to whether the new builds will be in the private or public sector (or indeed some mixture of the two).</w:t>
      </w:r>
      <w:r w:rsidR="007E7990">
        <w:rPr>
          <w:color w:val="000000"/>
          <w:lang w:eastAsia="en-NZ"/>
        </w:rPr>
        <w:t xml:space="preserve"> </w:t>
      </w:r>
      <w:r w:rsidRPr="00107F69">
        <w:rPr>
          <w:color w:val="000000"/>
          <w:lang w:eastAsia="en-NZ"/>
        </w:rPr>
        <w:t>The Model uses current operating arrangements to project forward, but these arrangements may change in the future</w:t>
      </w:r>
      <w:r w:rsidR="007E7990">
        <w:rPr>
          <w:color w:val="000000"/>
          <w:lang w:eastAsia="en-NZ"/>
        </w:rPr>
        <w:t xml:space="preserve"> – </w:t>
      </w:r>
      <w:r w:rsidRPr="00107F69">
        <w:rPr>
          <w:color w:val="000000"/>
          <w:lang w:eastAsia="en-NZ"/>
        </w:rPr>
        <w:t>all suggestions are indicative only.</w:t>
      </w:r>
    </w:p>
    <w:p w:rsidR="00F425CB" w:rsidRPr="00107F69" w:rsidRDefault="00F425CB" w:rsidP="00177741">
      <w:pPr>
        <w:rPr>
          <w:lang w:eastAsia="en-NZ"/>
        </w:rPr>
      </w:pPr>
    </w:p>
    <w:p w:rsidR="00F425CB" w:rsidRPr="00107F69" w:rsidRDefault="00F425CB" w:rsidP="00177741">
      <w:pPr>
        <w:rPr>
          <w:lang w:eastAsia="en-NZ"/>
        </w:rPr>
      </w:pPr>
      <w:r w:rsidRPr="00107F69">
        <w:rPr>
          <w:lang w:eastAsia="en-NZ"/>
        </w:rPr>
        <w:t>The tables are by cancer centre, arranged by region:</w:t>
      </w:r>
    </w:p>
    <w:p w:rsidR="00F425CB" w:rsidRPr="00107F69" w:rsidRDefault="00F425CB" w:rsidP="00177741">
      <w:pPr>
        <w:pStyle w:val="Bullet"/>
      </w:pPr>
      <w:r w:rsidRPr="00107F69">
        <w:t>A</w:t>
      </w:r>
      <w:r>
        <w:t>DHB</w:t>
      </w:r>
      <w:r w:rsidRPr="00107F69">
        <w:t xml:space="preserve"> = Auckland </w:t>
      </w:r>
      <w:r>
        <w:t>DHB, Auckland</w:t>
      </w:r>
    </w:p>
    <w:p w:rsidR="00F425CB" w:rsidRPr="00107F69" w:rsidRDefault="00F425CB" w:rsidP="00177741">
      <w:pPr>
        <w:pStyle w:val="Bullet"/>
      </w:pPr>
      <w:r w:rsidRPr="00107F69">
        <w:t>ARO = Auckland Radiation Oncology</w:t>
      </w:r>
    </w:p>
    <w:p w:rsidR="00F425CB" w:rsidRPr="00107F69" w:rsidRDefault="00F425CB" w:rsidP="00177741">
      <w:pPr>
        <w:pStyle w:val="Bullet"/>
      </w:pPr>
      <w:r w:rsidRPr="00107F69">
        <w:t>W</w:t>
      </w:r>
      <w:r>
        <w:t>DHB</w:t>
      </w:r>
      <w:r w:rsidRPr="00107F69">
        <w:t xml:space="preserve"> =Waikato </w:t>
      </w:r>
      <w:r>
        <w:t>DHB, Hamilton</w:t>
      </w:r>
    </w:p>
    <w:p w:rsidR="00F425CB" w:rsidRPr="00107F69" w:rsidRDefault="00F425CB" w:rsidP="00177741">
      <w:pPr>
        <w:pStyle w:val="Bullet"/>
      </w:pPr>
      <w:r w:rsidRPr="00107F69">
        <w:t>KKC = Kathleen Kilgour Centre,</w:t>
      </w:r>
      <w:r>
        <w:t xml:space="preserve"> </w:t>
      </w:r>
      <w:r w:rsidRPr="00107F69">
        <w:t>Tauranga</w:t>
      </w:r>
    </w:p>
    <w:p w:rsidR="00F425CB" w:rsidRPr="00107F69" w:rsidRDefault="00F425CB" w:rsidP="00177741">
      <w:pPr>
        <w:pStyle w:val="Bullet"/>
      </w:pPr>
      <w:r w:rsidRPr="00107F69">
        <w:t>M</w:t>
      </w:r>
      <w:r>
        <w:t>DHB</w:t>
      </w:r>
      <w:r w:rsidRPr="00107F69">
        <w:t xml:space="preserve"> = </w:t>
      </w:r>
      <w:proofErr w:type="spellStart"/>
      <w:r w:rsidRPr="00107F69">
        <w:t>MidCentral</w:t>
      </w:r>
      <w:proofErr w:type="spellEnd"/>
      <w:r w:rsidRPr="00107F69">
        <w:t xml:space="preserve"> DHB, </w:t>
      </w:r>
      <w:proofErr w:type="spellStart"/>
      <w:r w:rsidRPr="00107F69">
        <w:t>Palmerston</w:t>
      </w:r>
      <w:proofErr w:type="spellEnd"/>
      <w:r w:rsidRPr="00107F69">
        <w:t xml:space="preserve"> North</w:t>
      </w:r>
    </w:p>
    <w:p w:rsidR="00F425CB" w:rsidRPr="00107F69" w:rsidRDefault="00F425CB" w:rsidP="00177741">
      <w:pPr>
        <w:pStyle w:val="Bullet"/>
      </w:pPr>
      <w:r w:rsidRPr="00107F69">
        <w:t>CC</w:t>
      </w:r>
      <w:r>
        <w:t>DHB</w:t>
      </w:r>
      <w:r w:rsidRPr="00107F69">
        <w:t xml:space="preserve"> = Capital </w:t>
      </w:r>
      <w:r>
        <w:t>and</w:t>
      </w:r>
      <w:r w:rsidRPr="00107F69">
        <w:t xml:space="preserve"> Coast DHB, Wellington</w:t>
      </w:r>
    </w:p>
    <w:p w:rsidR="00F425CB" w:rsidRPr="00107F69" w:rsidRDefault="00F425CB" w:rsidP="00177741">
      <w:pPr>
        <w:pStyle w:val="Bullet"/>
      </w:pPr>
      <w:r w:rsidRPr="00107F69">
        <w:t>C</w:t>
      </w:r>
      <w:r>
        <w:t>DHB</w:t>
      </w:r>
      <w:r w:rsidRPr="00107F69">
        <w:t xml:space="preserve"> = Canterbury </w:t>
      </w:r>
      <w:r>
        <w:t>DHB</w:t>
      </w:r>
      <w:r w:rsidRPr="00107F69">
        <w:t>, Christchurch</w:t>
      </w:r>
    </w:p>
    <w:p w:rsidR="007E7990" w:rsidRDefault="00F425CB" w:rsidP="00177741">
      <w:pPr>
        <w:pStyle w:val="Bullet"/>
      </w:pPr>
      <w:r w:rsidRPr="00107F69">
        <w:t>SGC = St Georges Centre, Christchurch</w:t>
      </w:r>
    </w:p>
    <w:p w:rsidR="00F425CB" w:rsidRPr="00107F69" w:rsidRDefault="00F425CB" w:rsidP="00177741">
      <w:pPr>
        <w:pStyle w:val="Bullet"/>
      </w:pPr>
      <w:r w:rsidRPr="00107F69">
        <w:t>S</w:t>
      </w:r>
      <w:r>
        <w:t>DHB</w:t>
      </w:r>
      <w:r w:rsidRPr="00107F69">
        <w:t xml:space="preserve"> = Southern </w:t>
      </w:r>
      <w:r>
        <w:t>DHB</w:t>
      </w:r>
      <w:r w:rsidRPr="00107F69">
        <w:t>, Dunedin</w:t>
      </w:r>
    </w:p>
    <w:p w:rsidR="00F425CB" w:rsidRDefault="00F425CB" w:rsidP="00177741"/>
    <w:p w:rsidR="00177741" w:rsidRDefault="00177741" w:rsidP="00177741">
      <w:pPr>
        <w:pStyle w:val="Heading3"/>
      </w:pPr>
      <w:r>
        <w:rPr>
          <w:lang w:eastAsia="en-NZ"/>
        </w:rPr>
        <w:t>A.</w:t>
      </w:r>
      <w:r>
        <w:rPr>
          <w:lang w:eastAsia="en-NZ"/>
        </w:rPr>
        <w:tab/>
      </w:r>
      <w:r w:rsidRPr="00107F69">
        <w:rPr>
          <w:lang w:eastAsia="en-NZ"/>
        </w:rPr>
        <w:t>Linear accelerator additions suggested by the Model</w:t>
      </w:r>
      <w:r>
        <w:rPr>
          <w:lang w:eastAsia="en-NZ"/>
        </w:rPr>
        <w:t xml:space="preserve"> – </w:t>
      </w:r>
      <w:r w:rsidRPr="00107F69">
        <w:rPr>
          <w:lang w:eastAsia="en-NZ"/>
        </w:rPr>
        <w:t>Base</w:t>
      </w:r>
    </w:p>
    <w:tbl>
      <w:tblPr>
        <w:tblW w:w="9371" w:type="dxa"/>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33"/>
        <w:gridCol w:w="1161"/>
        <w:gridCol w:w="753"/>
        <w:gridCol w:w="753"/>
        <w:gridCol w:w="753"/>
        <w:gridCol w:w="753"/>
        <w:gridCol w:w="753"/>
        <w:gridCol w:w="753"/>
        <w:gridCol w:w="753"/>
        <w:gridCol w:w="753"/>
        <w:gridCol w:w="753"/>
      </w:tblGrid>
      <w:tr w:rsidR="00177741" w:rsidRPr="001F41AD" w:rsidTr="00056904">
        <w:trPr>
          <w:cantSplit/>
        </w:trPr>
        <w:tc>
          <w:tcPr>
            <w:tcW w:w="1433" w:type="dxa"/>
            <w:shd w:val="clear" w:color="auto" w:fill="BDE2FF"/>
            <w:noWrap/>
          </w:tcPr>
          <w:p w:rsidR="00177741" w:rsidRPr="001F41AD" w:rsidRDefault="00177741" w:rsidP="002F3CF6">
            <w:pPr>
              <w:pStyle w:val="TableText"/>
              <w:rPr>
                <w:b/>
                <w:lang w:eastAsia="en-NZ"/>
              </w:rPr>
            </w:pPr>
            <w:r w:rsidRPr="001F41AD">
              <w:rPr>
                <w:b/>
                <w:lang w:eastAsia="en-NZ"/>
              </w:rPr>
              <w:t>Region</w:t>
            </w:r>
          </w:p>
        </w:tc>
        <w:tc>
          <w:tcPr>
            <w:tcW w:w="1161" w:type="dxa"/>
            <w:shd w:val="clear" w:color="auto" w:fill="BDE2FF"/>
            <w:noWrap/>
          </w:tcPr>
          <w:p w:rsidR="00177741" w:rsidRPr="001F41AD" w:rsidRDefault="00177741" w:rsidP="002F3CF6">
            <w:pPr>
              <w:pStyle w:val="TableText"/>
              <w:rPr>
                <w:b/>
                <w:lang w:eastAsia="en-NZ"/>
              </w:rPr>
            </w:pPr>
            <w:r w:rsidRPr="001F41AD">
              <w:rPr>
                <w:b/>
                <w:lang w:eastAsia="en-NZ"/>
              </w:rPr>
              <w:t>Centre</w:t>
            </w:r>
          </w:p>
        </w:tc>
        <w:tc>
          <w:tcPr>
            <w:tcW w:w="753" w:type="dxa"/>
            <w:tcBorders>
              <w:bottom w:val="single" w:sz="4" w:space="0" w:color="A6A6A6"/>
            </w:tcBorders>
            <w:shd w:val="clear" w:color="auto" w:fill="BDE2FF"/>
            <w:noWrap/>
          </w:tcPr>
          <w:p w:rsidR="00177741" w:rsidRPr="001F41AD" w:rsidRDefault="00177741" w:rsidP="002F3CF6">
            <w:pPr>
              <w:pStyle w:val="TableText"/>
              <w:jc w:val="center"/>
              <w:rPr>
                <w:b/>
                <w:lang w:eastAsia="en-NZ"/>
              </w:rPr>
            </w:pPr>
            <w:r w:rsidRPr="001F41AD">
              <w:rPr>
                <w:b/>
                <w:lang w:eastAsia="en-NZ"/>
              </w:rPr>
              <w:t>2014</w:t>
            </w:r>
          </w:p>
        </w:tc>
        <w:tc>
          <w:tcPr>
            <w:tcW w:w="753" w:type="dxa"/>
            <w:tcBorders>
              <w:bottom w:val="single" w:sz="4" w:space="0" w:color="A6A6A6"/>
            </w:tcBorders>
            <w:shd w:val="clear" w:color="auto" w:fill="BDE2FF"/>
            <w:noWrap/>
          </w:tcPr>
          <w:p w:rsidR="00177741" w:rsidRPr="001F41AD" w:rsidRDefault="00177741" w:rsidP="002F3CF6">
            <w:pPr>
              <w:pStyle w:val="TableText"/>
              <w:jc w:val="center"/>
              <w:rPr>
                <w:b/>
                <w:lang w:eastAsia="en-NZ"/>
              </w:rPr>
            </w:pPr>
            <w:r w:rsidRPr="001F41AD">
              <w:rPr>
                <w:b/>
                <w:lang w:eastAsia="en-NZ"/>
              </w:rPr>
              <w:t>2015</w:t>
            </w:r>
          </w:p>
        </w:tc>
        <w:tc>
          <w:tcPr>
            <w:tcW w:w="753" w:type="dxa"/>
            <w:tcBorders>
              <w:bottom w:val="single" w:sz="4" w:space="0" w:color="A6A6A6"/>
            </w:tcBorders>
            <w:shd w:val="clear" w:color="auto" w:fill="BDE2FF"/>
            <w:noWrap/>
          </w:tcPr>
          <w:p w:rsidR="00177741" w:rsidRPr="001F41AD" w:rsidRDefault="00177741" w:rsidP="002F3CF6">
            <w:pPr>
              <w:pStyle w:val="TableText"/>
              <w:jc w:val="center"/>
              <w:rPr>
                <w:b/>
                <w:lang w:eastAsia="en-NZ"/>
              </w:rPr>
            </w:pPr>
            <w:r w:rsidRPr="001F41AD">
              <w:rPr>
                <w:b/>
                <w:lang w:eastAsia="en-NZ"/>
              </w:rPr>
              <w:t>2016</w:t>
            </w:r>
          </w:p>
        </w:tc>
        <w:tc>
          <w:tcPr>
            <w:tcW w:w="753" w:type="dxa"/>
            <w:tcBorders>
              <w:bottom w:val="single" w:sz="4" w:space="0" w:color="A6A6A6"/>
            </w:tcBorders>
            <w:shd w:val="clear" w:color="auto" w:fill="BDE2FF"/>
            <w:noWrap/>
          </w:tcPr>
          <w:p w:rsidR="00177741" w:rsidRPr="001F41AD" w:rsidRDefault="00177741" w:rsidP="002F3CF6">
            <w:pPr>
              <w:pStyle w:val="TableText"/>
              <w:jc w:val="center"/>
              <w:rPr>
                <w:b/>
                <w:lang w:eastAsia="en-NZ"/>
              </w:rPr>
            </w:pPr>
            <w:r w:rsidRPr="001F41AD">
              <w:rPr>
                <w:b/>
                <w:lang w:eastAsia="en-NZ"/>
              </w:rPr>
              <w:t>2017</w:t>
            </w:r>
          </w:p>
        </w:tc>
        <w:tc>
          <w:tcPr>
            <w:tcW w:w="753" w:type="dxa"/>
            <w:tcBorders>
              <w:bottom w:val="single" w:sz="4" w:space="0" w:color="A6A6A6"/>
            </w:tcBorders>
            <w:shd w:val="clear" w:color="auto" w:fill="BDE2FF"/>
            <w:noWrap/>
          </w:tcPr>
          <w:p w:rsidR="00177741" w:rsidRPr="001F41AD" w:rsidRDefault="00177741" w:rsidP="002F3CF6">
            <w:pPr>
              <w:pStyle w:val="TableText"/>
              <w:jc w:val="center"/>
              <w:rPr>
                <w:b/>
                <w:lang w:eastAsia="en-NZ"/>
              </w:rPr>
            </w:pPr>
            <w:r w:rsidRPr="001F41AD">
              <w:rPr>
                <w:b/>
                <w:lang w:eastAsia="en-NZ"/>
              </w:rPr>
              <w:t>2018</w:t>
            </w:r>
          </w:p>
        </w:tc>
        <w:tc>
          <w:tcPr>
            <w:tcW w:w="753" w:type="dxa"/>
            <w:tcBorders>
              <w:bottom w:val="single" w:sz="4" w:space="0" w:color="A6A6A6"/>
            </w:tcBorders>
            <w:shd w:val="clear" w:color="auto" w:fill="BDE2FF"/>
            <w:noWrap/>
          </w:tcPr>
          <w:p w:rsidR="00177741" w:rsidRPr="001F41AD" w:rsidRDefault="00177741" w:rsidP="002F3CF6">
            <w:pPr>
              <w:pStyle w:val="TableText"/>
              <w:jc w:val="center"/>
              <w:rPr>
                <w:b/>
                <w:lang w:eastAsia="en-NZ"/>
              </w:rPr>
            </w:pPr>
            <w:r w:rsidRPr="001F41AD">
              <w:rPr>
                <w:b/>
                <w:lang w:eastAsia="en-NZ"/>
              </w:rPr>
              <w:t>2019</w:t>
            </w:r>
          </w:p>
        </w:tc>
        <w:tc>
          <w:tcPr>
            <w:tcW w:w="753" w:type="dxa"/>
            <w:tcBorders>
              <w:bottom w:val="single" w:sz="4" w:space="0" w:color="A6A6A6"/>
            </w:tcBorders>
            <w:shd w:val="clear" w:color="auto" w:fill="BDE2FF"/>
            <w:noWrap/>
          </w:tcPr>
          <w:p w:rsidR="00177741" w:rsidRPr="001F41AD" w:rsidRDefault="00177741" w:rsidP="002F3CF6">
            <w:pPr>
              <w:pStyle w:val="TableText"/>
              <w:jc w:val="center"/>
              <w:rPr>
                <w:b/>
                <w:lang w:eastAsia="en-NZ"/>
              </w:rPr>
            </w:pPr>
            <w:r w:rsidRPr="001F41AD">
              <w:rPr>
                <w:b/>
                <w:lang w:eastAsia="en-NZ"/>
              </w:rPr>
              <w:t>2020</w:t>
            </w:r>
          </w:p>
        </w:tc>
        <w:tc>
          <w:tcPr>
            <w:tcW w:w="753" w:type="dxa"/>
            <w:tcBorders>
              <w:bottom w:val="single" w:sz="4" w:space="0" w:color="A6A6A6"/>
            </w:tcBorders>
            <w:shd w:val="clear" w:color="auto" w:fill="BDE2FF"/>
            <w:noWrap/>
          </w:tcPr>
          <w:p w:rsidR="00177741" w:rsidRPr="001F41AD" w:rsidRDefault="00177741" w:rsidP="002F3CF6">
            <w:pPr>
              <w:pStyle w:val="TableText"/>
              <w:jc w:val="center"/>
              <w:rPr>
                <w:b/>
                <w:lang w:eastAsia="en-NZ"/>
              </w:rPr>
            </w:pPr>
            <w:r w:rsidRPr="001F41AD">
              <w:rPr>
                <w:b/>
                <w:lang w:eastAsia="en-NZ"/>
              </w:rPr>
              <w:t>2021</w:t>
            </w:r>
          </w:p>
        </w:tc>
        <w:tc>
          <w:tcPr>
            <w:tcW w:w="753" w:type="dxa"/>
            <w:tcBorders>
              <w:bottom w:val="single" w:sz="4" w:space="0" w:color="A6A6A6"/>
            </w:tcBorders>
            <w:shd w:val="clear" w:color="auto" w:fill="BDE2FF"/>
            <w:noWrap/>
          </w:tcPr>
          <w:p w:rsidR="00177741" w:rsidRPr="001F41AD" w:rsidRDefault="00177741" w:rsidP="002F3CF6">
            <w:pPr>
              <w:pStyle w:val="TableText"/>
              <w:jc w:val="center"/>
              <w:rPr>
                <w:b/>
                <w:lang w:eastAsia="en-NZ"/>
              </w:rPr>
            </w:pPr>
            <w:r w:rsidRPr="001F41AD">
              <w:rPr>
                <w:b/>
                <w:lang w:eastAsia="en-NZ"/>
              </w:rPr>
              <w:t>2022</w:t>
            </w:r>
          </w:p>
        </w:tc>
      </w:tr>
      <w:tr w:rsidR="002F3CF6" w:rsidRPr="008B2F2A" w:rsidTr="002F3CF6">
        <w:trPr>
          <w:cantSplit/>
        </w:trPr>
        <w:tc>
          <w:tcPr>
            <w:tcW w:w="1433" w:type="dxa"/>
            <w:vMerge w:val="restart"/>
            <w:shd w:val="clear" w:color="auto" w:fill="auto"/>
            <w:noWrap/>
          </w:tcPr>
          <w:p w:rsidR="002F3CF6" w:rsidRPr="008B2F2A" w:rsidRDefault="002F3CF6" w:rsidP="002F3CF6">
            <w:pPr>
              <w:pStyle w:val="TableText"/>
              <w:rPr>
                <w:lang w:eastAsia="en-NZ"/>
              </w:rPr>
            </w:pPr>
            <w:r w:rsidRPr="008B2F2A">
              <w:rPr>
                <w:lang w:eastAsia="en-NZ"/>
              </w:rPr>
              <w:t>Northern</w:t>
            </w:r>
          </w:p>
        </w:tc>
        <w:tc>
          <w:tcPr>
            <w:tcW w:w="1161" w:type="dxa"/>
            <w:shd w:val="clear" w:color="auto" w:fill="auto"/>
            <w:noWrap/>
          </w:tcPr>
          <w:p w:rsidR="002F3CF6" w:rsidRPr="008B2F2A" w:rsidRDefault="002F3CF6" w:rsidP="002F3CF6">
            <w:pPr>
              <w:pStyle w:val="TableText"/>
              <w:rPr>
                <w:lang w:eastAsia="en-NZ"/>
              </w:rPr>
            </w:pPr>
            <w:r w:rsidRPr="008B2F2A">
              <w:rPr>
                <w:lang w:eastAsia="en-NZ"/>
              </w:rPr>
              <w:t>A</w:t>
            </w:r>
            <w:r>
              <w:rPr>
                <w:lang w:eastAsia="en-NZ"/>
              </w:rPr>
              <w:t>DHB</w:t>
            </w:r>
          </w:p>
        </w:tc>
        <w:tc>
          <w:tcPr>
            <w:tcW w:w="753" w:type="dxa"/>
            <w:shd w:val="clear" w:color="auto" w:fill="963634"/>
            <w:noWrap/>
            <w:vAlign w:val="bottom"/>
          </w:tcPr>
          <w:p w:rsidR="002F3CF6" w:rsidRDefault="002F3CF6" w:rsidP="00C73F47">
            <w:pPr>
              <w:pStyle w:val="TableText"/>
              <w:jc w:val="center"/>
              <w:rPr>
                <w:lang w:eastAsia="en-NZ"/>
              </w:rPr>
            </w:pPr>
            <w:r w:rsidRPr="007B23A1">
              <w:rPr>
                <w:color w:val="F2F2F2"/>
                <w:lang w:eastAsia="en-NZ"/>
              </w:rPr>
              <w:t>+1</w:t>
            </w:r>
          </w:p>
        </w:tc>
        <w:tc>
          <w:tcPr>
            <w:tcW w:w="753" w:type="dxa"/>
            <w:tcBorders>
              <w:bottom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bottom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DA9694"/>
            <w:noWrap/>
            <w:vAlign w:val="bottom"/>
          </w:tcPr>
          <w:p w:rsidR="002F3CF6" w:rsidRPr="007B23A1" w:rsidRDefault="002F3CF6" w:rsidP="00C73F47">
            <w:pPr>
              <w:pStyle w:val="TableText"/>
              <w:jc w:val="center"/>
              <w:rPr>
                <w:lang w:eastAsia="en-NZ"/>
              </w:rPr>
            </w:pPr>
          </w:p>
        </w:tc>
        <w:tc>
          <w:tcPr>
            <w:tcW w:w="753" w:type="dxa"/>
            <w:shd w:val="clear" w:color="auto" w:fill="963634"/>
            <w:noWrap/>
            <w:vAlign w:val="bottom"/>
          </w:tcPr>
          <w:p w:rsidR="002F3CF6" w:rsidRPr="007B23A1" w:rsidRDefault="002F3CF6" w:rsidP="00C73F47">
            <w:pPr>
              <w:pStyle w:val="TableText"/>
              <w:jc w:val="center"/>
              <w:rPr>
                <w:color w:val="F2F2F2"/>
                <w:lang w:eastAsia="en-NZ"/>
              </w:rPr>
            </w:pPr>
            <w:r w:rsidRPr="007B23A1">
              <w:rPr>
                <w:color w:val="F2F2F2"/>
                <w:lang w:eastAsia="en-NZ"/>
              </w:rPr>
              <w:t>+1</w:t>
            </w: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r>
      <w:tr w:rsidR="002F3CF6" w:rsidRPr="008B2F2A" w:rsidTr="002F3CF6">
        <w:trPr>
          <w:cantSplit/>
        </w:trPr>
        <w:tc>
          <w:tcPr>
            <w:tcW w:w="1433" w:type="dxa"/>
            <w:vMerge/>
            <w:shd w:val="clear" w:color="auto" w:fill="auto"/>
            <w:noWrap/>
          </w:tcPr>
          <w:p w:rsidR="002F3CF6" w:rsidRPr="008B2F2A" w:rsidRDefault="002F3CF6" w:rsidP="002F3CF6">
            <w:pPr>
              <w:pStyle w:val="TableText"/>
              <w:rPr>
                <w:lang w:eastAsia="en-NZ"/>
              </w:rPr>
            </w:pPr>
          </w:p>
        </w:tc>
        <w:tc>
          <w:tcPr>
            <w:tcW w:w="1161" w:type="dxa"/>
            <w:shd w:val="clear" w:color="auto" w:fill="auto"/>
            <w:noWrap/>
          </w:tcPr>
          <w:p w:rsidR="002F3CF6" w:rsidRPr="008B2F2A" w:rsidRDefault="002F3CF6" w:rsidP="002F3CF6">
            <w:pPr>
              <w:pStyle w:val="TableText"/>
              <w:rPr>
                <w:lang w:eastAsia="en-NZ"/>
              </w:rPr>
            </w:pPr>
            <w:r w:rsidRPr="008B2F2A">
              <w:rPr>
                <w:lang w:eastAsia="en-NZ"/>
              </w:rPr>
              <w:t>ARO</w:t>
            </w:r>
          </w:p>
        </w:tc>
        <w:tc>
          <w:tcPr>
            <w:tcW w:w="753" w:type="dxa"/>
            <w:tcBorders>
              <w:bottom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DA9694"/>
            <w:noWrap/>
            <w:vAlign w:val="bottom"/>
          </w:tcPr>
          <w:p w:rsidR="002F3CF6" w:rsidRPr="007B23A1" w:rsidRDefault="002F3CF6" w:rsidP="00C73F47">
            <w:pPr>
              <w:pStyle w:val="TableText"/>
              <w:jc w:val="center"/>
              <w:rPr>
                <w:lang w:eastAsia="en-NZ"/>
              </w:rPr>
            </w:pPr>
          </w:p>
        </w:tc>
        <w:tc>
          <w:tcPr>
            <w:tcW w:w="753" w:type="dxa"/>
            <w:shd w:val="clear" w:color="auto" w:fill="963634"/>
            <w:noWrap/>
            <w:vAlign w:val="bottom"/>
          </w:tcPr>
          <w:p w:rsidR="002F3CF6" w:rsidRPr="007B23A1" w:rsidRDefault="002F3CF6" w:rsidP="00C73F47">
            <w:pPr>
              <w:pStyle w:val="TableText"/>
              <w:jc w:val="center"/>
              <w:rPr>
                <w:color w:val="F2F2F2"/>
                <w:lang w:eastAsia="en-NZ"/>
              </w:rPr>
            </w:pPr>
            <w:r w:rsidRPr="007B23A1">
              <w:rPr>
                <w:color w:val="F2F2F2"/>
                <w:lang w:eastAsia="en-NZ"/>
              </w:rPr>
              <w:t>+1</w:t>
            </w: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r>
      <w:tr w:rsidR="002F3CF6" w:rsidRPr="008B2F2A" w:rsidTr="002F3CF6">
        <w:trPr>
          <w:cantSplit/>
        </w:trPr>
        <w:tc>
          <w:tcPr>
            <w:tcW w:w="1433" w:type="dxa"/>
            <w:vMerge w:val="restart"/>
            <w:shd w:val="clear" w:color="auto" w:fill="auto"/>
            <w:noWrap/>
          </w:tcPr>
          <w:p w:rsidR="002F3CF6" w:rsidRPr="008B2F2A" w:rsidRDefault="002F3CF6" w:rsidP="002F3CF6">
            <w:pPr>
              <w:pStyle w:val="TableText"/>
              <w:rPr>
                <w:lang w:eastAsia="en-NZ"/>
              </w:rPr>
            </w:pPr>
            <w:r w:rsidRPr="008B2F2A">
              <w:rPr>
                <w:lang w:eastAsia="en-NZ"/>
              </w:rPr>
              <w:t>Midland</w:t>
            </w:r>
          </w:p>
        </w:tc>
        <w:tc>
          <w:tcPr>
            <w:tcW w:w="1161" w:type="dxa"/>
            <w:shd w:val="clear" w:color="auto" w:fill="auto"/>
            <w:noWrap/>
          </w:tcPr>
          <w:p w:rsidR="002F3CF6" w:rsidRPr="008B2F2A" w:rsidRDefault="002F3CF6" w:rsidP="002F3CF6">
            <w:pPr>
              <w:pStyle w:val="TableText"/>
              <w:rPr>
                <w:lang w:eastAsia="en-NZ"/>
              </w:rPr>
            </w:pPr>
            <w:r w:rsidRPr="008B2F2A">
              <w:rPr>
                <w:lang w:eastAsia="en-NZ"/>
              </w:rPr>
              <w:t>W</w:t>
            </w:r>
            <w:r>
              <w:rPr>
                <w:lang w:eastAsia="en-NZ"/>
              </w:rPr>
              <w:t>DHB</w:t>
            </w:r>
          </w:p>
        </w:tc>
        <w:tc>
          <w:tcPr>
            <w:tcW w:w="753" w:type="dxa"/>
            <w:shd w:val="clear" w:color="auto" w:fill="DA9694"/>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r>
      <w:tr w:rsidR="002F3CF6" w:rsidRPr="008B2F2A" w:rsidTr="002F3CF6">
        <w:trPr>
          <w:cantSplit/>
        </w:trPr>
        <w:tc>
          <w:tcPr>
            <w:tcW w:w="1433" w:type="dxa"/>
            <w:vMerge/>
            <w:shd w:val="clear" w:color="auto" w:fill="auto"/>
            <w:noWrap/>
          </w:tcPr>
          <w:p w:rsidR="002F3CF6" w:rsidRPr="008B2F2A" w:rsidRDefault="002F3CF6" w:rsidP="002F3CF6">
            <w:pPr>
              <w:pStyle w:val="TableText"/>
              <w:rPr>
                <w:lang w:eastAsia="en-NZ"/>
              </w:rPr>
            </w:pPr>
          </w:p>
        </w:tc>
        <w:tc>
          <w:tcPr>
            <w:tcW w:w="1161" w:type="dxa"/>
            <w:shd w:val="clear" w:color="auto" w:fill="auto"/>
            <w:noWrap/>
          </w:tcPr>
          <w:p w:rsidR="002F3CF6" w:rsidRPr="008B2F2A" w:rsidRDefault="002F3CF6" w:rsidP="002F3CF6">
            <w:pPr>
              <w:pStyle w:val="TableText"/>
              <w:rPr>
                <w:lang w:eastAsia="en-NZ"/>
              </w:rPr>
            </w:pPr>
            <w:r w:rsidRPr="008B2F2A">
              <w:rPr>
                <w:lang w:eastAsia="en-NZ"/>
              </w:rPr>
              <w:t>KKC</w:t>
            </w:r>
          </w:p>
        </w:tc>
        <w:tc>
          <w:tcPr>
            <w:tcW w:w="753" w:type="dxa"/>
            <w:tcBorders>
              <w:bottom w:val="single" w:sz="4" w:space="0" w:color="A6A6A6"/>
            </w:tcBorders>
            <w:shd w:val="clear" w:color="auto" w:fill="auto"/>
            <w:noWrap/>
            <w:vAlign w:val="bottom"/>
          </w:tcPr>
          <w:p w:rsidR="002F3CF6" w:rsidRPr="007B23A1" w:rsidRDefault="002F3CF6" w:rsidP="00C73F47">
            <w:pPr>
              <w:pStyle w:val="TableText"/>
              <w:jc w:val="center"/>
              <w:rPr>
                <w:b/>
                <w:bCs/>
                <w:color w:val="31869B"/>
                <w:lang w:eastAsia="en-NZ"/>
              </w:rPr>
            </w:pPr>
            <w:r w:rsidRPr="007B23A1">
              <w:rPr>
                <w:b/>
                <w:bCs/>
                <w:color w:val="31869B"/>
                <w:lang w:eastAsia="en-NZ"/>
              </w:rPr>
              <w:t>S</w:t>
            </w: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tcBorders>
              <w:bottom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bottom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bottom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r>
      <w:tr w:rsidR="002F3CF6" w:rsidRPr="008B2F2A" w:rsidTr="00056904">
        <w:trPr>
          <w:cantSplit/>
        </w:trPr>
        <w:tc>
          <w:tcPr>
            <w:tcW w:w="1433" w:type="dxa"/>
            <w:vMerge w:val="restart"/>
            <w:shd w:val="clear" w:color="auto" w:fill="auto"/>
            <w:noWrap/>
          </w:tcPr>
          <w:p w:rsidR="002F3CF6" w:rsidRPr="008B2F2A" w:rsidRDefault="002F3CF6" w:rsidP="002F3CF6">
            <w:pPr>
              <w:pStyle w:val="TableText"/>
              <w:rPr>
                <w:lang w:eastAsia="en-NZ"/>
              </w:rPr>
            </w:pPr>
            <w:r w:rsidRPr="008B2F2A">
              <w:rPr>
                <w:lang w:eastAsia="en-NZ"/>
              </w:rPr>
              <w:t>Central</w:t>
            </w:r>
          </w:p>
        </w:tc>
        <w:tc>
          <w:tcPr>
            <w:tcW w:w="1161" w:type="dxa"/>
            <w:shd w:val="clear" w:color="auto" w:fill="auto"/>
            <w:noWrap/>
          </w:tcPr>
          <w:p w:rsidR="002F3CF6" w:rsidRPr="008B2F2A" w:rsidRDefault="002F3CF6" w:rsidP="002F3CF6">
            <w:pPr>
              <w:pStyle w:val="TableText"/>
              <w:rPr>
                <w:lang w:eastAsia="en-NZ"/>
              </w:rPr>
            </w:pPr>
            <w:r w:rsidRPr="008B2F2A">
              <w:rPr>
                <w:lang w:eastAsia="en-NZ"/>
              </w:rPr>
              <w:t>M</w:t>
            </w:r>
            <w:r>
              <w:rPr>
                <w:lang w:eastAsia="en-NZ"/>
              </w:rPr>
              <w:t>DHB</w:t>
            </w:r>
          </w:p>
        </w:tc>
        <w:tc>
          <w:tcPr>
            <w:tcW w:w="753" w:type="dxa"/>
            <w:tcBorders>
              <w:bottom w:val="single" w:sz="4" w:space="0" w:color="A6A6A6"/>
              <w:right w:val="single" w:sz="4" w:space="0" w:color="A6A6A6"/>
            </w:tcBorders>
            <w:shd w:val="clear" w:color="auto" w:fill="963634"/>
            <w:noWrap/>
            <w:vAlign w:val="bottom"/>
          </w:tcPr>
          <w:p w:rsidR="002F3CF6" w:rsidRDefault="002F3CF6" w:rsidP="00C73F47">
            <w:pPr>
              <w:pStyle w:val="TableText"/>
              <w:jc w:val="center"/>
              <w:rPr>
                <w:lang w:eastAsia="en-NZ"/>
              </w:rPr>
            </w:pPr>
            <w:r w:rsidRPr="007B23A1">
              <w:rPr>
                <w:color w:val="F2F2F2"/>
                <w:lang w:eastAsia="en-NZ"/>
              </w:rPr>
              <w:t>+1</w:t>
            </w:r>
          </w:p>
        </w:tc>
        <w:tc>
          <w:tcPr>
            <w:tcW w:w="753" w:type="dxa"/>
            <w:tcBorders>
              <w:left w:val="single" w:sz="4" w:space="0" w:color="A6A6A6"/>
              <w:bottom w:val="single" w:sz="4" w:space="0" w:color="A6A6A6"/>
              <w:right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left w:val="single" w:sz="4" w:space="0" w:color="A6A6A6"/>
              <w:bottom w:val="single" w:sz="4" w:space="0" w:color="A6A6A6"/>
              <w:right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left w:val="single" w:sz="4" w:space="0" w:color="A6A6A6"/>
              <w:bottom w:val="single" w:sz="4" w:space="0" w:color="A6A6A6"/>
              <w:right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left w:val="single" w:sz="4" w:space="0" w:color="A6A6A6"/>
              <w:bottom w:val="single" w:sz="4" w:space="0" w:color="A6A6A6"/>
              <w:right w:val="single" w:sz="4" w:space="0" w:color="A6A6A6"/>
            </w:tcBorders>
            <w:shd w:val="clear" w:color="auto" w:fill="DA9694"/>
            <w:noWrap/>
            <w:vAlign w:val="bottom"/>
          </w:tcPr>
          <w:p w:rsidR="002F3CF6" w:rsidRPr="007B23A1" w:rsidRDefault="002F3CF6" w:rsidP="00C73F47">
            <w:pPr>
              <w:pStyle w:val="TableText"/>
              <w:jc w:val="center"/>
              <w:rPr>
                <w:lang w:eastAsia="en-NZ"/>
              </w:rPr>
            </w:pPr>
          </w:p>
        </w:tc>
        <w:tc>
          <w:tcPr>
            <w:tcW w:w="753" w:type="dxa"/>
            <w:tcBorders>
              <w:left w:val="single" w:sz="4" w:space="0" w:color="A6A6A6"/>
              <w:bottom w:val="single" w:sz="4" w:space="0" w:color="A6A6A6"/>
              <w:right w:val="single" w:sz="4" w:space="0" w:color="A6A6A6"/>
            </w:tcBorders>
            <w:shd w:val="clear" w:color="auto" w:fill="DA9694"/>
            <w:noWrap/>
            <w:vAlign w:val="bottom"/>
          </w:tcPr>
          <w:p w:rsidR="002F3CF6" w:rsidRPr="007B23A1" w:rsidRDefault="002F3CF6" w:rsidP="00C73F47">
            <w:pPr>
              <w:pStyle w:val="TableText"/>
              <w:jc w:val="center"/>
              <w:rPr>
                <w:lang w:eastAsia="en-NZ"/>
              </w:rPr>
            </w:pPr>
          </w:p>
        </w:tc>
        <w:tc>
          <w:tcPr>
            <w:tcW w:w="753" w:type="dxa"/>
            <w:tcBorders>
              <w:left w:val="single" w:sz="4" w:space="0" w:color="A6A6A6"/>
              <w:bottom w:val="single" w:sz="4" w:space="0" w:color="A6A6A6"/>
              <w:right w:val="single" w:sz="4" w:space="0" w:color="A6A6A6"/>
            </w:tcBorders>
            <w:shd w:val="clear" w:color="auto" w:fill="963634"/>
            <w:noWrap/>
            <w:vAlign w:val="bottom"/>
          </w:tcPr>
          <w:p w:rsidR="002F3CF6" w:rsidRPr="007B23A1" w:rsidRDefault="002F3CF6" w:rsidP="00C73F47">
            <w:pPr>
              <w:pStyle w:val="TableText"/>
              <w:jc w:val="center"/>
              <w:rPr>
                <w:color w:val="F2F2F2"/>
                <w:lang w:eastAsia="en-NZ"/>
              </w:rPr>
            </w:pPr>
            <w:r w:rsidRPr="007B23A1">
              <w:rPr>
                <w:color w:val="F2F2F2"/>
                <w:lang w:eastAsia="en-NZ"/>
              </w:rPr>
              <w:t>+1</w:t>
            </w:r>
          </w:p>
        </w:tc>
        <w:tc>
          <w:tcPr>
            <w:tcW w:w="753" w:type="dxa"/>
            <w:tcBorders>
              <w:left w:val="single" w:sz="4" w:space="0" w:color="A6A6A6"/>
              <w:bottom w:val="single" w:sz="4" w:space="0" w:color="A6A6A6"/>
              <w:right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left w:val="single" w:sz="4" w:space="0" w:color="A6A6A6"/>
              <w:bottom w:val="single" w:sz="4" w:space="0" w:color="A6A6A6"/>
            </w:tcBorders>
            <w:shd w:val="clear" w:color="auto" w:fill="auto"/>
            <w:noWrap/>
            <w:vAlign w:val="bottom"/>
          </w:tcPr>
          <w:p w:rsidR="002F3CF6" w:rsidRPr="007B23A1" w:rsidRDefault="002F3CF6" w:rsidP="00C73F47">
            <w:pPr>
              <w:pStyle w:val="TableText"/>
              <w:jc w:val="center"/>
              <w:rPr>
                <w:lang w:eastAsia="en-NZ"/>
              </w:rPr>
            </w:pPr>
          </w:p>
        </w:tc>
      </w:tr>
      <w:tr w:rsidR="002F3CF6" w:rsidRPr="008B2F2A" w:rsidTr="00056904">
        <w:trPr>
          <w:cantSplit/>
        </w:trPr>
        <w:tc>
          <w:tcPr>
            <w:tcW w:w="1433" w:type="dxa"/>
            <w:vMerge/>
            <w:shd w:val="clear" w:color="auto" w:fill="auto"/>
            <w:noWrap/>
          </w:tcPr>
          <w:p w:rsidR="002F3CF6" w:rsidRPr="008B2F2A" w:rsidRDefault="002F3CF6" w:rsidP="002F3CF6">
            <w:pPr>
              <w:pStyle w:val="TableText"/>
              <w:rPr>
                <w:lang w:eastAsia="en-NZ"/>
              </w:rPr>
            </w:pPr>
          </w:p>
        </w:tc>
        <w:tc>
          <w:tcPr>
            <w:tcW w:w="1161" w:type="dxa"/>
            <w:shd w:val="clear" w:color="auto" w:fill="auto"/>
            <w:noWrap/>
          </w:tcPr>
          <w:p w:rsidR="002F3CF6" w:rsidRPr="008B2F2A" w:rsidRDefault="002F3CF6" w:rsidP="002F3CF6">
            <w:pPr>
              <w:pStyle w:val="TableText"/>
              <w:rPr>
                <w:lang w:eastAsia="en-NZ"/>
              </w:rPr>
            </w:pPr>
            <w:r w:rsidRPr="008B2F2A">
              <w:rPr>
                <w:lang w:eastAsia="en-NZ"/>
              </w:rPr>
              <w:t>CC</w:t>
            </w:r>
            <w:r>
              <w:rPr>
                <w:lang w:eastAsia="en-NZ"/>
              </w:rPr>
              <w:t>DHB</w:t>
            </w:r>
          </w:p>
        </w:tc>
        <w:tc>
          <w:tcPr>
            <w:tcW w:w="753" w:type="dxa"/>
            <w:tcBorders>
              <w:top w:val="single" w:sz="4" w:space="0" w:color="A6A6A6"/>
              <w:bottom w:val="single" w:sz="4" w:space="0" w:color="A6A6A6"/>
            </w:tcBorders>
            <w:shd w:val="clear" w:color="auto" w:fill="963634"/>
            <w:noWrap/>
            <w:vAlign w:val="bottom"/>
          </w:tcPr>
          <w:p w:rsidR="002F3CF6" w:rsidRDefault="002F3CF6" w:rsidP="00C73F47">
            <w:pPr>
              <w:pStyle w:val="TableText"/>
              <w:jc w:val="center"/>
              <w:rPr>
                <w:lang w:eastAsia="en-NZ"/>
              </w:rPr>
            </w:pPr>
            <w:r w:rsidRPr="007B23A1">
              <w:rPr>
                <w:color w:val="F2F2F2"/>
                <w:lang w:eastAsia="en-NZ"/>
              </w:rPr>
              <w:t>+1</w:t>
            </w:r>
          </w:p>
        </w:tc>
        <w:tc>
          <w:tcPr>
            <w:tcW w:w="753" w:type="dxa"/>
            <w:tcBorders>
              <w:top w:val="single" w:sz="4" w:space="0" w:color="A6A6A6"/>
              <w:bottom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top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top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top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top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top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top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top w:val="single" w:sz="4" w:space="0" w:color="A6A6A6"/>
            </w:tcBorders>
            <w:shd w:val="clear" w:color="auto" w:fill="auto"/>
            <w:noWrap/>
            <w:vAlign w:val="bottom"/>
          </w:tcPr>
          <w:p w:rsidR="002F3CF6" w:rsidRPr="007B23A1" w:rsidRDefault="002F3CF6" w:rsidP="00C73F47">
            <w:pPr>
              <w:pStyle w:val="TableText"/>
              <w:jc w:val="center"/>
              <w:rPr>
                <w:lang w:eastAsia="en-NZ"/>
              </w:rPr>
            </w:pPr>
          </w:p>
        </w:tc>
      </w:tr>
      <w:tr w:rsidR="002F3CF6" w:rsidRPr="008B2F2A" w:rsidTr="002F3CF6">
        <w:trPr>
          <w:cantSplit/>
        </w:trPr>
        <w:tc>
          <w:tcPr>
            <w:tcW w:w="1433" w:type="dxa"/>
            <w:vMerge w:val="restart"/>
            <w:shd w:val="clear" w:color="auto" w:fill="auto"/>
            <w:noWrap/>
          </w:tcPr>
          <w:p w:rsidR="002F3CF6" w:rsidRPr="008B2F2A" w:rsidRDefault="002F3CF6" w:rsidP="002F3CF6">
            <w:pPr>
              <w:pStyle w:val="TableText"/>
              <w:rPr>
                <w:lang w:eastAsia="en-NZ"/>
              </w:rPr>
            </w:pPr>
            <w:r w:rsidRPr="008B2F2A">
              <w:rPr>
                <w:lang w:eastAsia="en-NZ"/>
              </w:rPr>
              <w:t>South</w:t>
            </w:r>
            <w:r>
              <w:rPr>
                <w:lang w:eastAsia="en-NZ"/>
              </w:rPr>
              <w:t xml:space="preserve"> Island</w:t>
            </w:r>
          </w:p>
        </w:tc>
        <w:tc>
          <w:tcPr>
            <w:tcW w:w="1161" w:type="dxa"/>
            <w:shd w:val="clear" w:color="auto" w:fill="auto"/>
            <w:noWrap/>
          </w:tcPr>
          <w:p w:rsidR="002F3CF6" w:rsidRPr="008B2F2A" w:rsidRDefault="002F3CF6" w:rsidP="002F3CF6">
            <w:pPr>
              <w:pStyle w:val="TableText"/>
              <w:rPr>
                <w:lang w:eastAsia="en-NZ"/>
              </w:rPr>
            </w:pPr>
            <w:r w:rsidRPr="008B2F2A">
              <w:rPr>
                <w:lang w:eastAsia="en-NZ"/>
              </w:rPr>
              <w:t>C</w:t>
            </w:r>
            <w:r>
              <w:rPr>
                <w:lang w:eastAsia="en-NZ"/>
              </w:rPr>
              <w:t>DHB</w:t>
            </w:r>
          </w:p>
        </w:tc>
        <w:tc>
          <w:tcPr>
            <w:tcW w:w="753" w:type="dxa"/>
            <w:shd w:val="clear" w:color="auto" w:fill="DA9694"/>
            <w:noWrap/>
            <w:vAlign w:val="bottom"/>
          </w:tcPr>
          <w:p w:rsidR="002F3CF6" w:rsidRPr="007B23A1" w:rsidRDefault="002F3CF6" w:rsidP="00C73F47">
            <w:pPr>
              <w:pStyle w:val="TableText"/>
              <w:jc w:val="center"/>
              <w:rPr>
                <w:lang w:eastAsia="en-NZ"/>
              </w:rPr>
            </w:pPr>
          </w:p>
        </w:tc>
        <w:tc>
          <w:tcPr>
            <w:tcW w:w="753" w:type="dxa"/>
            <w:shd w:val="clear" w:color="auto" w:fill="963634"/>
            <w:noWrap/>
            <w:vAlign w:val="bottom"/>
          </w:tcPr>
          <w:p w:rsidR="002F3CF6" w:rsidRPr="007B23A1" w:rsidRDefault="002F3CF6" w:rsidP="00C73F47">
            <w:pPr>
              <w:pStyle w:val="TableText"/>
              <w:jc w:val="center"/>
              <w:rPr>
                <w:color w:val="F2F2F2"/>
                <w:lang w:eastAsia="en-NZ"/>
              </w:rPr>
            </w:pPr>
            <w:r w:rsidRPr="007B23A1">
              <w:rPr>
                <w:color w:val="F2F2F2"/>
                <w:lang w:eastAsia="en-NZ"/>
              </w:rPr>
              <w:t>+1</w:t>
            </w: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r>
      <w:tr w:rsidR="002F3CF6" w:rsidRPr="008B2F2A" w:rsidTr="002F3CF6">
        <w:trPr>
          <w:cantSplit/>
        </w:trPr>
        <w:tc>
          <w:tcPr>
            <w:tcW w:w="1433" w:type="dxa"/>
            <w:vMerge/>
            <w:shd w:val="clear" w:color="auto" w:fill="auto"/>
            <w:noWrap/>
          </w:tcPr>
          <w:p w:rsidR="002F3CF6" w:rsidRPr="008B2F2A" w:rsidRDefault="002F3CF6" w:rsidP="002F3CF6">
            <w:pPr>
              <w:pStyle w:val="TableText"/>
              <w:rPr>
                <w:lang w:eastAsia="en-NZ"/>
              </w:rPr>
            </w:pPr>
          </w:p>
        </w:tc>
        <w:tc>
          <w:tcPr>
            <w:tcW w:w="1161" w:type="dxa"/>
            <w:shd w:val="clear" w:color="auto" w:fill="auto"/>
            <w:noWrap/>
          </w:tcPr>
          <w:p w:rsidR="002F3CF6" w:rsidRPr="008B2F2A" w:rsidRDefault="002F3CF6" w:rsidP="002F3CF6">
            <w:pPr>
              <w:pStyle w:val="TableText"/>
              <w:rPr>
                <w:lang w:eastAsia="en-NZ"/>
              </w:rPr>
            </w:pPr>
            <w:r w:rsidRPr="008B2F2A">
              <w:rPr>
                <w:lang w:eastAsia="en-NZ"/>
              </w:rPr>
              <w:t>SGC</w:t>
            </w: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tcBorders>
              <w:bottom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tcBorders>
              <w:bottom w:val="single" w:sz="4" w:space="0" w:color="A6A6A6"/>
            </w:tcBorders>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r>
      <w:tr w:rsidR="002F3CF6" w:rsidRPr="008B2F2A" w:rsidTr="002F3CF6">
        <w:trPr>
          <w:cantSplit/>
        </w:trPr>
        <w:tc>
          <w:tcPr>
            <w:tcW w:w="1433" w:type="dxa"/>
            <w:vMerge/>
            <w:shd w:val="clear" w:color="auto" w:fill="auto"/>
            <w:noWrap/>
          </w:tcPr>
          <w:p w:rsidR="002F3CF6" w:rsidRPr="008B2F2A" w:rsidRDefault="002F3CF6" w:rsidP="002F3CF6">
            <w:pPr>
              <w:pStyle w:val="TableText"/>
              <w:rPr>
                <w:lang w:eastAsia="en-NZ"/>
              </w:rPr>
            </w:pPr>
          </w:p>
        </w:tc>
        <w:tc>
          <w:tcPr>
            <w:tcW w:w="1161" w:type="dxa"/>
            <w:shd w:val="clear" w:color="auto" w:fill="auto"/>
            <w:noWrap/>
          </w:tcPr>
          <w:p w:rsidR="002F3CF6" w:rsidRPr="008B2F2A" w:rsidRDefault="002F3CF6" w:rsidP="002F3CF6">
            <w:pPr>
              <w:pStyle w:val="TableText"/>
              <w:rPr>
                <w:lang w:eastAsia="en-NZ"/>
              </w:rPr>
            </w:pPr>
            <w:r w:rsidRPr="008B2F2A">
              <w:rPr>
                <w:lang w:eastAsia="en-NZ"/>
              </w:rPr>
              <w:t>S</w:t>
            </w:r>
            <w:r>
              <w:rPr>
                <w:lang w:eastAsia="en-NZ"/>
              </w:rPr>
              <w:t>DHB</w:t>
            </w: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DA9694"/>
            <w:noWrap/>
            <w:vAlign w:val="bottom"/>
          </w:tcPr>
          <w:p w:rsidR="002F3CF6" w:rsidRPr="007B23A1" w:rsidRDefault="002F3CF6" w:rsidP="00C73F47">
            <w:pPr>
              <w:pStyle w:val="TableText"/>
              <w:jc w:val="center"/>
              <w:rPr>
                <w:lang w:eastAsia="en-NZ"/>
              </w:rPr>
            </w:pPr>
          </w:p>
        </w:tc>
        <w:tc>
          <w:tcPr>
            <w:tcW w:w="753" w:type="dxa"/>
            <w:shd w:val="clear" w:color="auto" w:fill="963634"/>
            <w:noWrap/>
            <w:vAlign w:val="bottom"/>
          </w:tcPr>
          <w:p w:rsidR="002F3CF6" w:rsidRPr="007B23A1" w:rsidRDefault="002F3CF6" w:rsidP="00C73F47">
            <w:pPr>
              <w:pStyle w:val="TableText"/>
              <w:jc w:val="center"/>
              <w:rPr>
                <w:color w:val="F2F2F2"/>
                <w:lang w:eastAsia="en-NZ"/>
              </w:rPr>
            </w:pPr>
            <w:r w:rsidRPr="007B23A1">
              <w:rPr>
                <w:color w:val="F2F2F2"/>
                <w:lang w:eastAsia="en-NZ"/>
              </w:rPr>
              <w:t>+1</w:t>
            </w: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c>
          <w:tcPr>
            <w:tcW w:w="753" w:type="dxa"/>
            <w:shd w:val="clear" w:color="auto" w:fill="auto"/>
            <w:noWrap/>
            <w:vAlign w:val="bottom"/>
          </w:tcPr>
          <w:p w:rsidR="002F3CF6" w:rsidRPr="007B23A1" w:rsidRDefault="002F3CF6" w:rsidP="00C73F47">
            <w:pPr>
              <w:pStyle w:val="TableText"/>
              <w:jc w:val="center"/>
              <w:rPr>
                <w:lang w:eastAsia="en-NZ"/>
              </w:rPr>
            </w:pPr>
          </w:p>
        </w:tc>
      </w:tr>
      <w:tr w:rsidR="002F3CF6" w:rsidRPr="008B2F2A" w:rsidTr="002F3CF6">
        <w:trPr>
          <w:cantSplit/>
        </w:trPr>
        <w:tc>
          <w:tcPr>
            <w:tcW w:w="2594" w:type="dxa"/>
            <w:gridSpan w:val="2"/>
            <w:shd w:val="clear" w:color="auto" w:fill="auto"/>
            <w:noWrap/>
          </w:tcPr>
          <w:p w:rsidR="002F3CF6" w:rsidRPr="00523384" w:rsidRDefault="002F3CF6" w:rsidP="002F3CF6">
            <w:pPr>
              <w:pStyle w:val="TableText"/>
              <w:rPr>
                <w:b/>
                <w:lang w:eastAsia="en-NZ"/>
              </w:rPr>
            </w:pPr>
            <w:r w:rsidRPr="00523384">
              <w:rPr>
                <w:b/>
                <w:lang w:eastAsia="en-NZ"/>
              </w:rPr>
              <w:t>Cumulative total NZ</w:t>
            </w:r>
          </w:p>
        </w:tc>
        <w:tc>
          <w:tcPr>
            <w:tcW w:w="753" w:type="dxa"/>
            <w:shd w:val="clear" w:color="auto" w:fill="auto"/>
            <w:noWrap/>
            <w:vAlign w:val="bottom"/>
          </w:tcPr>
          <w:p w:rsidR="002F3CF6" w:rsidRPr="007B23A1" w:rsidRDefault="002F3CF6" w:rsidP="00C73F47">
            <w:pPr>
              <w:pStyle w:val="TableText"/>
              <w:jc w:val="center"/>
              <w:rPr>
                <w:lang w:eastAsia="en-NZ"/>
              </w:rPr>
            </w:pPr>
            <w:r w:rsidRPr="007B23A1">
              <w:rPr>
                <w:b/>
                <w:bCs/>
                <w:lang w:eastAsia="en-NZ"/>
              </w:rPr>
              <w:t>+3</w:t>
            </w:r>
          </w:p>
        </w:tc>
        <w:tc>
          <w:tcPr>
            <w:tcW w:w="753" w:type="dxa"/>
            <w:shd w:val="clear" w:color="auto" w:fill="auto"/>
            <w:noWrap/>
            <w:vAlign w:val="bottom"/>
          </w:tcPr>
          <w:p w:rsidR="002F3CF6" w:rsidRPr="007B23A1" w:rsidRDefault="002F3CF6" w:rsidP="00C73F47">
            <w:pPr>
              <w:pStyle w:val="TableText"/>
              <w:jc w:val="center"/>
              <w:rPr>
                <w:b/>
                <w:bCs/>
                <w:lang w:eastAsia="en-NZ"/>
              </w:rPr>
            </w:pPr>
            <w:r w:rsidRPr="007B23A1">
              <w:rPr>
                <w:b/>
                <w:bCs/>
                <w:lang w:eastAsia="en-NZ"/>
              </w:rPr>
              <w:t>+4</w:t>
            </w:r>
          </w:p>
        </w:tc>
        <w:tc>
          <w:tcPr>
            <w:tcW w:w="753" w:type="dxa"/>
            <w:shd w:val="clear" w:color="auto" w:fill="auto"/>
            <w:noWrap/>
            <w:vAlign w:val="bottom"/>
          </w:tcPr>
          <w:p w:rsidR="002F3CF6" w:rsidRPr="007B23A1" w:rsidRDefault="00707479" w:rsidP="00C73F47">
            <w:pPr>
              <w:pStyle w:val="TableText"/>
              <w:jc w:val="center"/>
              <w:rPr>
                <w:b/>
                <w:bCs/>
                <w:lang w:eastAsia="en-NZ"/>
              </w:rPr>
            </w:pPr>
            <w:r>
              <w:rPr>
                <w:b/>
                <w:bCs/>
                <w:lang w:eastAsia="en-NZ"/>
              </w:rPr>
              <w:t>+5</w:t>
            </w:r>
          </w:p>
        </w:tc>
        <w:tc>
          <w:tcPr>
            <w:tcW w:w="753" w:type="dxa"/>
            <w:shd w:val="clear" w:color="auto" w:fill="auto"/>
            <w:noWrap/>
            <w:vAlign w:val="bottom"/>
          </w:tcPr>
          <w:p w:rsidR="002F3CF6" w:rsidRPr="007B23A1" w:rsidRDefault="002F3CF6" w:rsidP="00C73F47">
            <w:pPr>
              <w:pStyle w:val="TableText"/>
              <w:jc w:val="center"/>
              <w:rPr>
                <w:b/>
                <w:bCs/>
                <w:lang w:eastAsia="en-NZ"/>
              </w:rPr>
            </w:pPr>
          </w:p>
        </w:tc>
        <w:tc>
          <w:tcPr>
            <w:tcW w:w="753" w:type="dxa"/>
            <w:shd w:val="clear" w:color="auto" w:fill="auto"/>
            <w:noWrap/>
            <w:vAlign w:val="bottom"/>
          </w:tcPr>
          <w:p w:rsidR="002F3CF6" w:rsidRPr="007B23A1" w:rsidRDefault="002F3CF6" w:rsidP="00C73F47">
            <w:pPr>
              <w:pStyle w:val="TableText"/>
              <w:jc w:val="center"/>
              <w:rPr>
                <w:b/>
                <w:bCs/>
                <w:lang w:eastAsia="en-NZ"/>
              </w:rPr>
            </w:pPr>
          </w:p>
        </w:tc>
        <w:tc>
          <w:tcPr>
            <w:tcW w:w="753" w:type="dxa"/>
            <w:shd w:val="clear" w:color="auto" w:fill="auto"/>
            <w:noWrap/>
            <w:vAlign w:val="bottom"/>
          </w:tcPr>
          <w:p w:rsidR="002F3CF6" w:rsidRPr="007B23A1" w:rsidRDefault="002F3CF6" w:rsidP="00C73F47">
            <w:pPr>
              <w:pStyle w:val="TableText"/>
              <w:jc w:val="center"/>
              <w:rPr>
                <w:b/>
                <w:bCs/>
                <w:lang w:eastAsia="en-NZ"/>
              </w:rPr>
            </w:pPr>
            <w:r w:rsidRPr="007B23A1">
              <w:rPr>
                <w:b/>
                <w:bCs/>
                <w:lang w:eastAsia="en-NZ"/>
              </w:rPr>
              <w:t>+6</w:t>
            </w:r>
          </w:p>
        </w:tc>
        <w:tc>
          <w:tcPr>
            <w:tcW w:w="753" w:type="dxa"/>
            <w:shd w:val="clear" w:color="auto" w:fill="auto"/>
            <w:noWrap/>
            <w:vAlign w:val="bottom"/>
          </w:tcPr>
          <w:p w:rsidR="002F3CF6" w:rsidRPr="007B23A1" w:rsidRDefault="002F3CF6" w:rsidP="00C73F47">
            <w:pPr>
              <w:pStyle w:val="TableText"/>
              <w:jc w:val="center"/>
              <w:rPr>
                <w:b/>
                <w:bCs/>
                <w:lang w:eastAsia="en-NZ"/>
              </w:rPr>
            </w:pPr>
            <w:r w:rsidRPr="007B23A1">
              <w:rPr>
                <w:b/>
                <w:bCs/>
                <w:lang w:eastAsia="en-NZ"/>
              </w:rPr>
              <w:t>+8</w:t>
            </w:r>
          </w:p>
        </w:tc>
        <w:tc>
          <w:tcPr>
            <w:tcW w:w="753" w:type="dxa"/>
            <w:shd w:val="clear" w:color="auto" w:fill="auto"/>
            <w:noWrap/>
            <w:vAlign w:val="bottom"/>
          </w:tcPr>
          <w:p w:rsidR="002F3CF6" w:rsidRPr="007B23A1" w:rsidRDefault="002F3CF6" w:rsidP="00C73F47">
            <w:pPr>
              <w:pStyle w:val="TableText"/>
              <w:jc w:val="center"/>
              <w:rPr>
                <w:b/>
                <w:bCs/>
                <w:lang w:eastAsia="en-NZ"/>
              </w:rPr>
            </w:pPr>
          </w:p>
        </w:tc>
        <w:tc>
          <w:tcPr>
            <w:tcW w:w="753" w:type="dxa"/>
            <w:shd w:val="clear" w:color="auto" w:fill="auto"/>
            <w:noWrap/>
            <w:vAlign w:val="bottom"/>
          </w:tcPr>
          <w:p w:rsidR="002F3CF6" w:rsidRPr="007B23A1" w:rsidRDefault="002F3CF6" w:rsidP="00C73F47">
            <w:pPr>
              <w:pStyle w:val="TableText"/>
              <w:jc w:val="center"/>
              <w:rPr>
                <w:b/>
                <w:bCs/>
                <w:lang w:eastAsia="en-NZ"/>
              </w:rPr>
            </w:pPr>
          </w:p>
        </w:tc>
      </w:tr>
    </w:tbl>
    <w:p w:rsidR="00177741" w:rsidRPr="00BF4B05" w:rsidRDefault="00177741" w:rsidP="002F3CF6">
      <w:pPr>
        <w:rPr>
          <w:sz w:val="12"/>
          <w:szCs w:val="12"/>
        </w:rPr>
      </w:pPr>
    </w:p>
    <w:tbl>
      <w:tblPr>
        <w:tblW w:w="0" w:type="auto"/>
        <w:tblLayout w:type="fixed"/>
        <w:tblLook w:val="04A0" w:firstRow="1" w:lastRow="0" w:firstColumn="1" w:lastColumn="0" w:noHBand="0" w:noVBand="1"/>
      </w:tblPr>
      <w:tblGrid>
        <w:gridCol w:w="675"/>
        <w:gridCol w:w="4536"/>
      </w:tblGrid>
      <w:tr w:rsidR="002F3CF6" w:rsidRPr="008B2F2A" w:rsidTr="00177741">
        <w:trPr>
          <w:cantSplit/>
        </w:trPr>
        <w:tc>
          <w:tcPr>
            <w:tcW w:w="675" w:type="dxa"/>
            <w:vMerge w:val="restart"/>
            <w:tcBorders>
              <w:right w:val="single" w:sz="4" w:space="0" w:color="A6A6A6"/>
            </w:tcBorders>
            <w:shd w:val="clear" w:color="auto" w:fill="auto"/>
            <w:noWrap/>
          </w:tcPr>
          <w:p w:rsidR="002F3CF6" w:rsidRPr="008B2F2A" w:rsidRDefault="002F3CF6" w:rsidP="002F3CF6">
            <w:pPr>
              <w:pStyle w:val="TableText"/>
              <w:rPr>
                <w:lang w:eastAsia="en-NZ"/>
              </w:rPr>
            </w:pPr>
            <w:r w:rsidRPr="008B2F2A">
              <w:rPr>
                <w:lang w:eastAsia="en-NZ"/>
              </w:rPr>
              <w:t>Key:</w:t>
            </w:r>
          </w:p>
        </w:tc>
        <w:tc>
          <w:tcPr>
            <w:tcW w:w="4536" w:type="dxa"/>
            <w:tcBorders>
              <w:top w:val="single" w:sz="4" w:space="0" w:color="A6A6A6"/>
              <w:left w:val="single" w:sz="4" w:space="0" w:color="A6A6A6"/>
              <w:bottom w:val="single" w:sz="4" w:space="0" w:color="A6A6A6"/>
              <w:right w:val="single" w:sz="4" w:space="0" w:color="A6A6A6"/>
            </w:tcBorders>
            <w:shd w:val="clear" w:color="000000" w:fill="DA9694"/>
            <w:noWrap/>
          </w:tcPr>
          <w:p w:rsidR="002F3CF6" w:rsidRPr="008B2F2A" w:rsidRDefault="002F3CF6" w:rsidP="002F3CF6">
            <w:pPr>
              <w:pStyle w:val="TableText"/>
              <w:rPr>
                <w:lang w:eastAsia="en-NZ"/>
              </w:rPr>
            </w:pPr>
            <w:r w:rsidRPr="008B2F2A">
              <w:rPr>
                <w:lang w:eastAsia="en-NZ"/>
              </w:rPr>
              <w:t>Within 95% of capacity</w:t>
            </w:r>
          </w:p>
        </w:tc>
      </w:tr>
      <w:tr w:rsidR="002F3CF6" w:rsidRPr="008B2F2A" w:rsidTr="00177741">
        <w:trPr>
          <w:cantSplit/>
        </w:trPr>
        <w:tc>
          <w:tcPr>
            <w:tcW w:w="675" w:type="dxa"/>
            <w:vMerge/>
            <w:tcBorders>
              <w:right w:val="single" w:sz="4" w:space="0" w:color="A6A6A6"/>
            </w:tcBorders>
            <w:shd w:val="clear" w:color="auto" w:fill="auto"/>
            <w:noWrap/>
          </w:tcPr>
          <w:p w:rsidR="002F3CF6" w:rsidRPr="008B2F2A" w:rsidRDefault="002F3CF6" w:rsidP="00177741">
            <w:pPr>
              <w:pStyle w:val="TableText"/>
              <w:keepNext/>
              <w:rPr>
                <w:lang w:eastAsia="en-NZ"/>
              </w:rPr>
            </w:pPr>
          </w:p>
        </w:tc>
        <w:tc>
          <w:tcPr>
            <w:tcW w:w="4536" w:type="dxa"/>
            <w:tcBorders>
              <w:top w:val="single" w:sz="4" w:space="0" w:color="A6A6A6"/>
              <w:left w:val="single" w:sz="4" w:space="0" w:color="A6A6A6"/>
              <w:bottom w:val="single" w:sz="4" w:space="0" w:color="A6A6A6"/>
              <w:right w:val="single" w:sz="4" w:space="0" w:color="A6A6A6"/>
            </w:tcBorders>
            <w:shd w:val="clear" w:color="000000" w:fill="963634"/>
            <w:noWrap/>
          </w:tcPr>
          <w:p w:rsidR="002F3CF6" w:rsidRPr="008B2F2A" w:rsidRDefault="002F3CF6" w:rsidP="00177741">
            <w:pPr>
              <w:pStyle w:val="TableText"/>
              <w:keepNext/>
              <w:rPr>
                <w:color w:val="F2F2F2"/>
                <w:lang w:eastAsia="en-NZ"/>
              </w:rPr>
            </w:pPr>
            <w:r w:rsidRPr="008B2F2A">
              <w:rPr>
                <w:color w:val="F2F2F2"/>
                <w:lang w:eastAsia="en-NZ"/>
              </w:rPr>
              <w:t>Model suggests new linac may be needed</w:t>
            </w:r>
          </w:p>
        </w:tc>
      </w:tr>
    </w:tbl>
    <w:p w:rsidR="007E7990" w:rsidRDefault="00F425CB" w:rsidP="0031479E">
      <w:pPr>
        <w:pStyle w:val="Note"/>
        <w:rPr>
          <w:lang w:eastAsia="en-NZ"/>
        </w:rPr>
      </w:pPr>
      <w:proofErr w:type="gramStart"/>
      <w:r>
        <w:rPr>
          <w:lang w:eastAsia="en-NZ"/>
        </w:rPr>
        <w:t>Assumes Base scenario</w:t>
      </w:r>
      <w:r w:rsidR="007E7990">
        <w:rPr>
          <w:lang w:eastAsia="en-NZ"/>
        </w:rPr>
        <w:t xml:space="preserve"> – </w:t>
      </w:r>
      <w:r w:rsidRPr="007B23A1">
        <w:rPr>
          <w:lang w:eastAsia="en-NZ"/>
        </w:rPr>
        <w:t>demographic and cancer incidence changes only, with all</w:t>
      </w:r>
      <w:r>
        <w:rPr>
          <w:lang w:eastAsia="en-NZ"/>
        </w:rPr>
        <w:t xml:space="preserve"> </w:t>
      </w:r>
      <w:r w:rsidRPr="007B23A1">
        <w:rPr>
          <w:lang w:eastAsia="en-NZ"/>
        </w:rPr>
        <w:t>centres working at current operating parameters and no change in IR.</w:t>
      </w:r>
      <w:proofErr w:type="gramEnd"/>
    </w:p>
    <w:p w:rsidR="00F425CB" w:rsidRPr="007B23A1" w:rsidRDefault="00F425CB" w:rsidP="0031479E">
      <w:pPr>
        <w:pStyle w:val="Note"/>
        <w:rPr>
          <w:lang w:eastAsia="en-NZ"/>
        </w:rPr>
      </w:pPr>
      <w:r w:rsidRPr="00F425CB">
        <w:rPr>
          <w:b/>
          <w:color w:val="4F81BD"/>
          <w:lang w:eastAsia="en-NZ"/>
        </w:rPr>
        <w:t>S</w:t>
      </w:r>
      <w:r>
        <w:rPr>
          <w:lang w:eastAsia="en-NZ"/>
        </w:rPr>
        <w:t xml:space="preserve"> =</w:t>
      </w:r>
      <w:r w:rsidR="007E7990">
        <w:rPr>
          <w:lang w:eastAsia="en-NZ"/>
        </w:rPr>
        <w:t xml:space="preserve"> </w:t>
      </w:r>
      <w:r w:rsidRPr="007B23A1">
        <w:rPr>
          <w:lang w:eastAsia="en-NZ"/>
        </w:rPr>
        <w:t>KKC (Tauranga) starts mid-2014</w:t>
      </w:r>
      <w:r w:rsidR="0031479E">
        <w:rPr>
          <w:lang w:eastAsia="en-NZ"/>
        </w:rPr>
        <w:t>.</w:t>
      </w:r>
    </w:p>
    <w:p w:rsidR="00F425CB" w:rsidRDefault="00F425CB" w:rsidP="0031479E"/>
    <w:p w:rsidR="00F425CB" w:rsidRDefault="00177741" w:rsidP="00177741">
      <w:pPr>
        <w:pStyle w:val="Heading3"/>
      </w:pPr>
      <w:r>
        <w:lastRenderedPageBreak/>
        <w:t>B.</w:t>
      </w:r>
      <w:r>
        <w:tab/>
      </w:r>
      <w:r w:rsidR="00F425CB" w:rsidRPr="00676D31">
        <w:t>Linear accelerator additions suggested by the Model</w:t>
      </w:r>
      <w:r w:rsidR="007E7990">
        <w:t xml:space="preserve"> – </w:t>
      </w:r>
      <w:r w:rsidR="00F425CB" w:rsidRPr="00676D31">
        <w:t>40% IR</w:t>
      </w:r>
    </w:p>
    <w:tbl>
      <w:tblPr>
        <w:tblW w:w="9371" w:type="dxa"/>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33"/>
        <w:gridCol w:w="1161"/>
        <w:gridCol w:w="753"/>
        <w:gridCol w:w="753"/>
        <w:gridCol w:w="753"/>
        <w:gridCol w:w="753"/>
        <w:gridCol w:w="753"/>
        <w:gridCol w:w="753"/>
        <w:gridCol w:w="753"/>
        <w:gridCol w:w="753"/>
        <w:gridCol w:w="753"/>
      </w:tblGrid>
      <w:tr w:rsidR="003932F9" w:rsidRPr="001F41AD" w:rsidTr="00056904">
        <w:trPr>
          <w:cantSplit/>
        </w:trPr>
        <w:tc>
          <w:tcPr>
            <w:tcW w:w="1433" w:type="dxa"/>
            <w:shd w:val="clear" w:color="auto" w:fill="BDE2FF"/>
            <w:noWrap/>
          </w:tcPr>
          <w:p w:rsidR="003932F9" w:rsidRPr="001F41AD" w:rsidRDefault="003932F9" w:rsidP="00C73F47">
            <w:pPr>
              <w:pStyle w:val="TableText"/>
              <w:rPr>
                <w:b/>
                <w:lang w:eastAsia="en-NZ"/>
              </w:rPr>
            </w:pPr>
            <w:r w:rsidRPr="001F41AD">
              <w:rPr>
                <w:b/>
                <w:lang w:eastAsia="en-NZ"/>
              </w:rPr>
              <w:t>Region</w:t>
            </w:r>
          </w:p>
        </w:tc>
        <w:tc>
          <w:tcPr>
            <w:tcW w:w="1161" w:type="dxa"/>
            <w:shd w:val="clear" w:color="auto" w:fill="BDE2FF"/>
            <w:noWrap/>
          </w:tcPr>
          <w:p w:rsidR="003932F9" w:rsidRPr="001F41AD" w:rsidRDefault="003932F9" w:rsidP="00C73F47">
            <w:pPr>
              <w:pStyle w:val="TableText"/>
              <w:rPr>
                <w:b/>
                <w:lang w:eastAsia="en-NZ"/>
              </w:rPr>
            </w:pPr>
            <w:r w:rsidRPr="001F41AD">
              <w:rPr>
                <w:b/>
                <w:lang w:eastAsia="en-NZ"/>
              </w:rPr>
              <w:t>Centre</w:t>
            </w:r>
          </w:p>
        </w:tc>
        <w:tc>
          <w:tcPr>
            <w:tcW w:w="753" w:type="dxa"/>
            <w:tcBorders>
              <w:bottom w:val="single" w:sz="4" w:space="0" w:color="A6A6A6"/>
            </w:tcBorders>
            <w:shd w:val="clear" w:color="auto" w:fill="BDE2FF"/>
            <w:noWrap/>
          </w:tcPr>
          <w:p w:rsidR="003932F9" w:rsidRPr="001F41AD" w:rsidRDefault="003932F9" w:rsidP="00C73F47">
            <w:pPr>
              <w:pStyle w:val="TableText"/>
              <w:jc w:val="center"/>
              <w:rPr>
                <w:b/>
                <w:lang w:eastAsia="en-NZ"/>
              </w:rPr>
            </w:pPr>
            <w:r w:rsidRPr="001F41AD">
              <w:rPr>
                <w:b/>
                <w:lang w:eastAsia="en-NZ"/>
              </w:rPr>
              <w:t>2014</w:t>
            </w:r>
          </w:p>
        </w:tc>
        <w:tc>
          <w:tcPr>
            <w:tcW w:w="753" w:type="dxa"/>
            <w:tcBorders>
              <w:bottom w:val="single" w:sz="4" w:space="0" w:color="A6A6A6"/>
            </w:tcBorders>
            <w:shd w:val="clear" w:color="auto" w:fill="BDE2FF"/>
            <w:noWrap/>
          </w:tcPr>
          <w:p w:rsidR="003932F9" w:rsidRPr="001F41AD" w:rsidRDefault="003932F9" w:rsidP="00C73F47">
            <w:pPr>
              <w:pStyle w:val="TableText"/>
              <w:jc w:val="center"/>
              <w:rPr>
                <w:b/>
                <w:lang w:eastAsia="en-NZ"/>
              </w:rPr>
            </w:pPr>
            <w:r w:rsidRPr="001F41AD">
              <w:rPr>
                <w:b/>
                <w:lang w:eastAsia="en-NZ"/>
              </w:rPr>
              <w:t>2015</w:t>
            </w:r>
          </w:p>
        </w:tc>
        <w:tc>
          <w:tcPr>
            <w:tcW w:w="753" w:type="dxa"/>
            <w:tcBorders>
              <w:bottom w:val="single" w:sz="4" w:space="0" w:color="A6A6A6"/>
            </w:tcBorders>
            <w:shd w:val="clear" w:color="auto" w:fill="BDE2FF"/>
            <w:noWrap/>
          </w:tcPr>
          <w:p w:rsidR="003932F9" w:rsidRPr="001F41AD" w:rsidRDefault="003932F9" w:rsidP="00C73F47">
            <w:pPr>
              <w:pStyle w:val="TableText"/>
              <w:jc w:val="center"/>
              <w:rPr>
                <w:b/>
                <w:lang w:eastAsia="en-NZ"/>
              </w:rPr>
            </w:pPr>
            <w:r w:rsidRPr="001F41AD">
              <w:rPr>
                <w:b/>
                <w:lang w:eastAsia="en-NZ"/>
              </w:rPr>
              <w:t>2016</w:t>
            </w:r>
          </w:p>
        </w:tc>
        <w:tc>
          <w:tcPr>
            <w:tcW w:w="753" w:type="dxa"/>
            <w:tcBorders>
              <w:bottom w:val="single" w:sz="4" w:space="0" w:color="A6A6A6"/>
            </w:tcBorders>
            <w:shd w:val="clear" w:color="auto" w:fill="BDE2FF"/>
            <w:noWrap/>
          </w:tcPr>
          <w:p w:rsidR="003932F9" w:rsidRPr="001F41AD" w:rsidRDefault="003932F9" w:rsidP="00C73F47">
            <w:pPr>
              <w:pStyle w:val="TableText"/>
              <w:jc w:val="center"/>
              <w:rPr>
                <w:b/>
                <w:lang w:eastAsia="en-NZ"/>
              </w:rPr>
            </w:pPr>
            <w:r w:rsidRPr="001F41AD">
              <w:rPr>
                <w:b/>
                <w:lang w:eastAsia="en-NZ"/>
              </w:rPr>
              <w:t>2017</w:t>
            </w:r>
          </w:p>
        </w:tc>
        <w:tc>
          <w:tcPr>
            <w:tcW w:w="753" w:type="dxa"/>
            <w:tcBorders>
              <w:bottom w:val="single" w:sz="4" w:space="0" w:color="A6A6A6"/>
            </w:tcBorders>
            <w:shd w:val="clear" w:color="auto" w:fill="BDE2FF"/>
            <w:noWrap/>
          </w:tcPr>
          <w:p w:rsidR="003932F9" w:rsidRPr="001F41AD" w:rsidRDefault="003932F9" w:rsidP="00C73F47">
            <w:pPr>
              <w:pStyle w:val="TableText"/>
              <w:jc w:val="center"/>
              <w:rPr>
                <w:b/>
                <w:lang w:eastAsia="en-NZ"/>
              </w:rPr>
            </w:pPr>
            <w:r w:rsidRPr="001F41AD">
              <w:rPr>
                <w:b/>
                <w:lang w:eastAsia="en-NZ"/>
              </w:rPr>
              <w:t>2018</w:t>
            </w:r>
          </w:p>
        </w:tc>
        <w:tc>
          <w:tcPr>
            <w:tcW w:w="753" w:type="dxa"/>
            <w:tcBorders>
              <w:bottom w:val="single" w:sz="4" w:space="0" w:color="A6A6A6"/>
            </w:tcBorders>
            <w:shd w:val="clear" w:color="auto" w:fill="BDE2FF"/>
            <w:noWrap/>
          </w:tcPr>
          <w:p w:rsidR="003932F9" w:rsidRPr="001F41AD" w:rsidRDefault="003932F9" w:rsidP="00C73F47">
            <w:pPr>
              <w:pStyle w:val="TableText"/>
              <w:jc w:val="center"/>
              <w:rPr>
                <w:b/>
                <w:lang w:eastAsia="en-NZ"/>
              </w:rPr>
            </w:pPr>
            <w:r w:rsidRPr="001F41AD">
              <w:rPr>
                <w:b/>
                <w:lang w:eastAsia="en-NZ"/>
              </w:rPr>
              <w:t>2019</w:t>
            </w:r>
          </w:p>
        </w:tc>
        <w:tc>
          <w:tcPr>
            <w:tcW w:w="753" w:type="dxa"/>
            <w:tcBorders>
              <w:bottom w:val="single" w:sz="4" w:space="0" w:color="A6A6A6"/>
            </w:tcBorders>
            <w:shd w:val="clear" w:color="auto" w:fill="BDE2FF"/>
            <w:noWrap/>
          </w:tcPr>
          <w:p w:rsidR="003932F9" w:rsidRPr="001F41AD" w:rsidRDefault="003932F9" w:rsidP="00C73F47">
            <w:pPr>
              <w:pStyle w:val="TableText"/>
              <w:jc w:val="center"/>
              <w:rPr>
                <w:b/>
                <w:lang w:eastAsia="en-NZ"/>
              </w:rPr>
            </w:pPr>
            <w:r w:rsidRPr="001F41AD">
              <w:rPr>
                <w:b/>
                <w:lang w:eastAsia="en-NZ"/>
              </w:rPr>
              <w:t>2020</w:t>
            </w:r>
          </w:p>
        </w:tc>
        <w:tc>
          <w:tcPr>
            <w:tcW w:w="753" w:type="dxa"/>
            <w:tcBorders>
              <w:bottom w:val="single" w:sz="4" w:space="0" w:color="A6A6A6"/>
            </w:tcBorders>
            <w:shd w:val="clear" w:color="auto" w:fill="BDE2FF"/>
            <w:noWrap/>
          </w:tcPr>
          <w:p w:rsidR="003932F9" w:rsidRPr="001F41AD" w:rsidRDefault="003932F9" w:rsidP="00C73F47">
            <w:pPr>
              <w:pStyle w:val="TableText"/>
              <w:jc w:val="center"/>
              <w:rPr>
                <w:b/>
                <w:lang w:eastAsia="en-NZ"/>
              </w:rPr>
            </w:pPr>
            <w:r w:rsidRPr="001F41AD">
              <w:rPr>
                <w:b/>
                <w:lang w:eastAsia="en-NZ"/>
              </w:rPr>
              <w:t>2021</w:t>
            </w:r>
          </w:p>
        </w:tc>
        <w:tc>
          <w:tcPr>
            <w:tcW w:w="753" w:type="dxa"/>
            <w:tcBorders>
              <w:bottom w:val="single" w:sz="4" w:space="0" w:color="A6A6A6"/>
            </w:tcBorders>
            <w:shd w:val="clear" w:color="auto" w:fill="BDE2FF"/>
            <w:noWrap/>
          </w:tcPr>
          <w:p w:rsidR="003932F9" w:rsidRPr="001F41AD" w:rsidRDefault="003932F9" w:rsidP="00C73F47">
            <w:pPr>
              <w:pStyle w:val="TableText"/>
              <w:jc w:val="center"/>
              <w:rPr>
                <w:b/>
                <w:lang w:eastAsia="en-NZ"/>
              </w:rPr>
            </w:pPr>
            <w:r w:rsidRPr="001F41AD">
              <w:rPr>
                <w:b/>
                <w:lang w:eastAsia="en-NZ"/>
              </w:rPr>
              <w:t>2022</w:t>
            </w:r>
          </w:p>
        </w:tc>
      </w:tr>
      <w:tr w:rsidR="003932F9" w:rsidRPr="007B23A1" w:rsidTr="003932F9">
        <w:trPr>
          <w:cantSplit/>
        </w:trPr>
        <w:tc>
          <w:tcPr>
            <w:tcW w:w="1433" w:type="dxa"/>
            <w:vMerge w:val="restart"/>
            <w:shd w:val="clear" w:color="auto" w:fill="auto"/>
            <w:noWrap/>
          </w:tcPr>
          <w:p w:rsidR="003932F9" w:rsidRPr="008B2F2A" w:rsidRDefault="003932F9" w:rsidP="00C73F47">
            <w:pPr>
              <w:pStyle w:val="TableText"/>
              <w:rPr>
                <w:lang w:eastAsia="en-NZ"/>
              </w:rPr>
            </w:pPr>
            <w:r w:rsidRPr="008B2F2A">
              <w:rPr>
                <w:lang w:eastAsia="en-NZ"/>
              </w:rPr>
              <w:t>Northern</w:t>
            </w:r>
          </w:p>
        </w:tc>
        <w:tc>
          <w:tcPr>
            <w:tcW w:w="1161" w:type="dxa"/>
            <w:shd w:val="clear" w:color="auto" w:fill="auto"/>
            <w:noWrap/>
          </w:tcPr>
          <w:p w:rsidR="003932F9" w:rsidRPr="008B2F2A" w:rsidRDefault="003932F9" w:rsidP="00C73F47">
            <w:pPr>
              <w:pStyle w:val="TableText"/>
              <w:rPr>
                <w:lang w:eastAsia="en-NZ"/>
              </w:rPr>
            </w:pPr>
            <w:r w:rsidRPr="008B2F2A">
              <w:rPr>
                <w:lang w:eastAsia="en-NZ"/>
              </w:rPr>
              <w:t>A</w:t>
            </w:r>
            <w:r>
              <w:rPr>
                <w:lang w:eastAsia="en-NZ"/>
              </w:rPr>
              <w:t>DHB</w:t>
            </w:r>
          </w:p>
        </w:tc>
        <w:tc>
          <w:tcPr>
            <w:tcW w:w="753" w:type="dxa"/>
            <w:shd w:val="clear" w:color="auto" w:fill="963634"/>
            <w:noWrap/>
            <w:vAlign w:val="bottom"/>
          </w:tcPr>
          <w:p w:rsidR="003932F9" w:rsidRPr="00C73F47" w:rsidRDefault="003932F9" w:rsidP="00C73F47">
            <w:pPr>
              <w:pStyle w:val="TableText"/>
              <w:jc w:val="center"/>
              <w:rPr>
                <w:color w:val="FFFFFF"/>
                <w:lang w:eastAsia="en-NZ"/>
              </w:rPr>
            </w:pPr>
            <w:r w:rsidRPr="00C73F47">
              <w:rPr>
                <w:color w:val="FFFFFF"/>
                <w:lang w:eastAsia="en-NZ"/>
              </w:rPr>
              <w:t>+1</w:t>
            </w: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DA9694"/>
            <w:noWrap/>
            <w:vAlign w:val="bottom"/>
          </w:tcPr>
          <w:p w:rsidR="003932F9" w:rsidRPr="005A7ACE" w:rsidRDefault="003932F9" w:rsidP="00C73F47">
            <w:pPr>
              <w:pStyle w:val="TableText"/>
              <w:jc w:val="center"/>
              <w:rPr>
                <w:color w:val="000000"/>
                <w:lang w:eastAsia="en-NZ"/>
              </w:rPr>
            </w:pPr>
          </w:p>
        </w:tc>
        <w:tc>
          <w:tcPr>
            <w:tcW w:w="753" w:type="dxa"/>
            <w:shd w:val="clear" w:color="auto" w:fill="963634"/>
            <w:noWrap/>
            <w:vAlign w:val="bottom"/>
          </w:tcPr>
          <w:p w:rsidR="003932F9" w:rsidRPr="00C73F47" w:rsidRDefault="003932F9"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DA9694"/>
            <w:noWrap/>
            <w:vAlign w:val="bottom"/>
          </w:tcPr>
          <w:p w:rsidR="003932F9" w:rsidRPr="005A7ACE" w:rsidRDefault="003932F9" w:rsidP="00C73F47">
            <w:pPr>
              <w:pStyle w:val="TableText"/>
              <w:jc w:val="center"/>
              <w:rPr>
                <w:color w:val="000000"/>
                <w:lang w:eastAsia="en-NZ"/>
              </w:rPr>
            </w:pPr>
          </w:p>
        </w:tc>
        <w:tc>
          <w:tcPr>
            <w:tcW w:w="753" w:type="dxa"/>
            <w:shd w:val="clear" w:color="auto" w:fill="963634"/>
            <w:noWrap/>
            <w:vAlign w:val="bottom"/>
          </w:tcPr>
          <w:p w:rsidR="003932F9" w:rsidRPr="00C73F47" w:rsidRDefault="003932F9"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r>
      <w:tr w:rsidR="003932F9" w:rsidRPr="007B23A1" w:rsidTr="003932F9">
        <w:trPr>
          <w:cantSplit/>
        </w:trPr>
        <w:tc>
          <w:tcPr>
            <w:tcW w:w="1433" w:type="dxa"/>
            <w:vMerge/>
            <w:shd w:val="clear" w:color="auto" w:fill="auto"/>
            <w:noWrap/>
          </w:tcPr>
          <w:p w:rsidR="003932F9" w:rsidRPr="008B2F2A" w:rsidRDefault="003932F9" w:rsidP="00C73F47">
            <w:pPr>
              <w:pStyle w:val="TableText"/>
              <w:rPr>
                <w:lang w:eastAsia="en-NZ"/>
              </w:rPr>
            </w:pPr>
          </w:p>
        </w:tc>
        <w:tc>
          <w:tcPr>
            <w:tcW w:w="1161" w:type="dxa"/>
            <w:shd w:val="clear" w:color="auto" w:fill="auto"/>
            <w:noWrap/>
          </w:tcPr>
          <w:p w:rsidR="003932F9" w:rsidRPr="008B2F2A" w:rsidRDefault="003932F9" w:rsidP="00C73F47">
            <w:pPr>
              <w:pStyle w:val="TableText"/>
              <w:rPr>
                <w:lang w:eastAsia="en-NZ"/>
              </w:rPr>
            </w:pPr>
            <w:r w:rsidRPr="008B2F2A">
              <w:rPr>
                <w:lang w:eastAsia="en-NZ"/>
              </w:rPr>
              <w:t>ARO</w:t>
            </w:r>
          </w:p>
        </w:tc>
        <w:tc>
          <w:tcPr>
            <w:tcW w:w="753" w:type="dxa"/>
            <w:tcBorders>
              <w:bottom w:val="single" w:sz="4" w:space="0" w:color="A6A6A6"/>
            </w:tcBorders>
            <w:shd w:val="clear" w:color="auto" w:fill="auto"/>
            <w:noWrap/>
            <w:vAlign w:val="bottom"/>
          </w:tcPr>
          <w:p w:rsidR="003932F9" w:rsidRDefault="003932F9" w:rsidP="00C73F47">
            <w:pPr>
              <w:pStyle w:val="TableText"/>
              <w:jc w:val="center"/>
              <w:rPr>
                <w:color w:val="000000"/>
                <w:lang w:eastAsia="en-NZ"/>
              </w:rPr>
            </w:pPr>
          </w:p>
        </w:tc>
        <w:tc>
          <w:tcPr>
            <w:tcW w:w="753" w:type="dxa"/>
            <w:shd w:val="clear" w:color="auto" w:fill="DA9694"/>
            <w:noWrap/>
            <w:vAlign w:val="bottom"/>
          </w:tcPr>
          <w:p w:rsidR="003932F9" w:rsidRPr="005A7ACE" w:rsidRDefault="003932F9" w:rsidP="00C73F47">
            <w:pPr>
              <w:pStyle w:val="TableText"/>
              <w:jc w:val="center"/>
              <w:rPr>
                <w:color w:val="000000"/>
                <w:lang w:eastAsia="en-NZ"/>
              </w:rPr>
            </w:pPr>
          </w:p>
        </w:tc>
        <w:tc>
          <w:tcPr>
            <w:tcW w:w="753" w:type="dxa"/>
            <w:shd w:val="clear" w:color="auto" w:fill="963634"/>
            <w:noWrap/>
            <w:vAlign w:val="bottom"/>
          </w:tcPr>
          <w:p w:rsidR="003932F9" w:rsidRPr="00C73F47" w:rsidRDefault="003932F9"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r>
      <w:tr w:rsidR="003932F9" w:rsidRPr="007B23A1" w:rsidTr="003932F9">
        <w:trPr>
          <w:cantSplit/>
        </w:trPr>
        <w:tc>
          <w:tcPr>
            <w:tcW w:w="1433" w:type="dxa"/>
            <w:vMerge w:val="restart"/>
            <w:shd w:val="clear" w:color="auto" w:fill="auto"/>
            <w:noWrap/>
          </w:tcPr>
          <w:p w:rsidR="003932F9" w:rsidRPr="008B2F2A" w:rsidRDefault="003932F9" w:rsidP="00C73F47">
            <w:pPr>
              <w:pStyle w:val="TableText"/>
              <w:rPr>
                <w:lang w:eastAsia="en-NZ"/>
              </w:rPr>
            </w:pPr>
            <w:r w:rsidRPr="008B2F2A">
              <w:rPr>
                <w:lang w:eastAsia="en-NZ"/>
              </w:rPr>
              <w:t>Midland</w:t>
            </w:r>
          </w:p>
        </w:tc>
        <w:tc>
          <w:tcPr>
            <w:tcW w:w="1161" w:type="dxa"/>
            <w:shd w:val="clear" w:color="auto" w:fill="auto"/>
            <w:noWrap/>
          </w:tcPr>
          <w:p w:rsidR="003932F9" w:rsidRPr="008B2F2A" w:rsidRDefault="003932F9" w:rsidP="00C73F47">
            <w:pPr>
              <w:pStyle w:val="TableText"/>
              <w:rPr>
                <w:lang w:eastAsia="en-NZ"/>
              </w:rPr>
            </w:pPr>
            <w:r w:rsidRPr="008B2F2A">
              <w:rPr>
                <w:lang w:eastAsia="en-NZ"/>
              </w:rPr>
              <w:t>W</w:t>
            </w:r>
            <w:r>
              <w:rPr>
                <w:lang w:eastAsia="en-NZ"/>
              </w:rPr>
              <w:t>DHB</w:t>
            </w:r>
          </w:p>
        </w:tc>
        <w:tc>
          <w:tcPr>
            <w:tcW w:w="753" w:type="dxa"/>
            <w:shd w:val="clear" w:color="auto" w:fill="DA9694"/>
            <w:noWrap/>
            <w:vAlign w:val="bottom"/>
          </w:tcPr>
          <w:p w:rsidR="003932F9"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r>
      <w:tr w:rsidR="003932F9" w:rsidRPr="007B23A1" w:rsidTr="003932F9">
        <w:trPr>
          <w:cantSplit/>
        </w:trPr>
        <w:tc>
          <w:tcPr>
            <w:tcW w:w="1433" w:type="dxa"/>
            <w:vMerge/>
            <w:shd w:val="clear" w:color="auto" w:fill="auto"/>
            <w:noWrap/>
          </w:tcPr>
          <w:p w:rsidR="003932F9" w:rsidRPr="008B2F2A" w:rsidRDefault="003932F9" w:rsidP="00C73F47">
            <w:pPr>
              <w:pStyle w:val="TableText"/>
              <w:rPr>
                <w:lang w:eastAsia="en-NZ"/>
              </w:rPr>
            </w:pPr>
          </w:p>
        </w:tc>
        <w:tc>
          <w:tcPr>
            <w:tcW w:w="1161" w:type="dxa"/>
            <w:shd w:val="clear" w:color="auto" w:fill="auto"/>
            <w:noWrap/>
          </w:tcPr>
          <w:p w:rsidR="003932F9" w:rsidRPr="008B2F2A" w:rsidRDefault="003932F9" w:rsidP="00C73F47">
            <w:pPr>
              <w:pStyle w:val="TableText"/>
              <w:rPr>
                <w:lang w:eastAsia="en-NZ"/>
              </w:rPr>
            </w:pPr>
            <w:r w:rsidRPr="008B2F2A">
              <w:rPr>
                <w:lang w:eastAsia="en-NZ"/>
              </w:rPr>
              <w:t>KKC</w:t>
            </w:r>
          </w:p>
        </w:tc>
        <w:tc>
          <w:tcPr>
            <w:tcW w:w="753" w:type="dxa"/>
            <w:tcBorders>
              <w:bottom w:val="single" w:sz="4" w:space="0" w:color="A6A6A6"/>
            </w:tcBorders>
            <w:shd w:val="clear" w:color="auto" w:fill="auto"/>
            <w:noWrap/>
            <w:vAlign w:val="bottom"/>
          </w:tcPr>
          <w:p w:rsidR="003932F9" w:rsidRDefault="003932F9" w:rsidP="00C73F47">
            <w:pPr>
              <w:pStyle w:val="TableText"/>
              <w:jc w:val="center"/>
              <w:rPr>
                <w:b/>
                <w:bCs/>
                <w:color w:val="31869B"/>
                <w:lang w:eastAsia="en-NZ"/>
              </w:rPr>
            </w:pPr>
            <w:r w:rsidRPr="005A7ACE">
              <w:rPr>
                <w:b/>
                <w:bCs/>
                <w:color w:val="31869B"/>
                <w:lang w:eastAsia="en-NZ"/>
              </w:rPr>
              <w:t>S</w:t>
            </w: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r>
      <w:tr w:rsidR="003932F9" w:rsidRPr="007B23A1" w:rsidTr="00056904">
        <w:trPr>
          <w:cantSplit/>
        </w:trPr>
        <w:tc>
          <w:tcPr>
            <w:tcW w:w="1433" w:type="dxa"/>
            <w:vMerge w:val="restart"/>
            <w:shd w:val="clear" w:color="auto" w:fill="auto"/>
            <w:noWrap/>
          </w:tcPr>
          <w:p w:rsidR="003932F9" w:rsidRPr="008B2F2A" w:rsidRDefault="003932F9" w:rsidP="00C73F47">
            <w:pPr>
              <w:pStyle w:val="TableText"/>
              <w:rPr>
                <w:lang w:eastAsia="en-NZ"/>
              </w:rPr>
            </w:pPr>
            <w:r w:rsidRPr="008B2F2A">
              <w:rPr>
                <w:lang w:eastAsia="en-NZ"/>
              </w:rPr>
              <w:t>Central</w:t>
            </w:r>
          </w:p>
        </w:tc>
        <w:tc>
          <w:tcPr>
            <w:tcW w:w="1161" w:type="dxa"/>
            <w:shd w:val="clear" w:color="auto" w:fill="auto"/>
            <w:noWrap/>
          </w:tcPr>
          <w:p w:rsidR="003932F9" w:rsidRPr="008B2F2A" w:rsidRDefault="003932F9" w:rsidP="00C73F47">
            <w:pPr>
              <w:pStyle w:val="TableText"/>
              <w:rPr>
                <w:lang w:eastAsia="en-NZ"/>
              </w:rPr>
            </w:pPr>
            <w:r w:rsidRPr="008B2F2A">
              <w:rPr>
                <w:lang w:eastAsia="en-NZ"/>
              </w:rPr>
              <w:t>M</w:t>
            </w:r>
            <w:r>
              <w:rPr>
                <w:lang w:eastAsia="en-NZ"/>
              </w:rPr>
              <w:t>DHB</w:t>
            </w:r>
          </w:p>
        </w:tc>
        <w:tc>
          <w:tcPr>
            <w:tcW w:w="753" w:type="dxa"/>
            <w:tcBorders>
              <w:bottom w:val="single" w:sz="4" w:space="0" w:color="A6A6A6"/>
            </w:tcBorders>
            <w:shd w:val="clear" w:color="auto" w:fill="963634"/>
            <w:noWrap/>
            <w:vAlign w:val="bottom"/>
          </w:tcPr>
          <w:p w:rsidR="003932F9" w:rsidRPr="00C73F47" w:rsidRDefault="003932F9" w:rsidP="00C73F47">
            <w:pPr>
              <w:pStyle w:val="TableText"/>
              <w:jc w:val="center"/>
              <w:rPr>
                <w:color w:val="FFFFFF"/>
                <w:lang w:eastAsia="en-NZ"/>
              </w:rPr>
            </w:pPr>
            <w:r w:rsidRPr="00C73F47">
              <w:rPr>
                <w:color w:val="FFFFFF"/>
                <w:lang w:eastAsia="en-NZ"/>
              </w:rPr>
              <w:t>+1</w:t>
            </w: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DA9694"/>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right w:val="single" w:sz="4" w:space="0" w:color="A6A6A6"/>
            </w:tcBorders>
            <w:shd w:val="clear" w:color="auto" w:fill="963634"/>
            <w:noWrap/>
            <w:vAlign w:val="bottom"/>
          </w:tcPr>
          <w:p w:rsidR="003932F9" w:rsidRPr="00C73F47" w:rsidRDefault="003932F9" w:rsidP="00C73F47">
            <w:pPr>
              <w:pStyle w:val="TableText"/>
              <w:jc w:val="center"/>
              <w:rPr>
                <w:color w:val="FFFFFF"/>
                <w:lang w:eastAsia="en-NZ"/>
              </w:rPr>
            </w:pPr>
            <w:r w:rsidRPr="00C73F47">
              <w:rPr>
                <w:color w:val="FFFFFF"/>
                <w:lang w:eastAsia="en-NZ"/>
              </w:rPr>
              <w:t>+1</w:t>
            </w:r>
          </w:p>
        </w:tc>
        <w:tc>
          <w:tcPr>
            <w:tcW w:w="753" w:type="dxa"/>
            <w:tcBorders>
              <w:left w:val="single" w:sz="4" w:space="0" w:color="A6A6A6"/>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r>
      <w:tr w:rsidR="003932F9" w:rsidRPr="007B23A1" w:rsidTr="00056904">
        <w:trPr>
          <w:cantSplit/>
        </w:trPr>
        <w:tc>
          <w:tcPr>
            <w:tcW w:w="1433" w:type="dxa"/>
            <w:vMerge/>
            <w:shd w:val="clear" w:color="auto" w:fill="auto"/>
            <w:noWrap/>
          </w:tcPr>
          <w:p w:rsidR="003932F9" w:rsidRPr="008B2F2A" w:rsidRDefault="003932F9" w:rsidP="00C73F47">
            <w:pPr>
              <w:pStyle w:val="TableText"/>
              <w:rPr>
                <w:lang w:eastAsia="en-NZ"/>
              </w:rPr>
            </w:pPr>
          </w:p>
        </w:tc>
        <w:tc>
          <w:tcPr>
            <w:tcW w:w="1161" w:type="dxa"/>
            <w:shd w:val="clear" w:color="auto" w:fill="auto"/>
            <w:noWrap/>
          </w:tcPr>
          <w:p w:rsidR="003932F9" w:rsidRPr="008B2F2A" w:rsidRDefault="003932F9" w:rsidP="00C73F47">
            <w:pPr>
              <w:pStyle w:val="TableText"/>
              <w:rPr>
                <w:lang w:eastAsia="en-NZ"/>
              </w:rPr>
            </w:pPr>
            <w:r w:rsidRPr="008B2F2A">
              <w:rPr>
                <w:lang w:eastAsia="en-NZ"/>
              </w:rPr>
              <w:t>CC</w:t>
            </w:r>
            <w:r>
              <w:rPr>
                <w:lang w:eastAsia="en-NZ"/>
              </w:rPr>
              <w:t>DHB</w:t>
            </w:r>
          </w:p>
        </w:tc>
        <w:tc>
          <w:tcPr>
            <w:tcW w:w="753" w:type="dxa"/>
            <w:tcBorders>
              <w:top w:val="single" w:sz="4" w:space="0" w:color="A6A6A6"/>
              <w:bottom w:val="single" w:sz="4" w:space="0" w:color="A6A6A6"/>
            </w:tcBorders>
            <w:shd w:val="clear" w:color="auto" w:fill="963634"/>
            <w:noWrap/>
            <w:vAlign w:val="bottom"/>
          </w:tcPr>
          <w:p w:rsidR="003932F9" w:rsidRPr="00C73F47" w:rsidRDefault="003932F9" w:rsidP="00C73F47">
            <w:pPr>
              <w:pStyle w:val="TableText"/>
              <w:jc w:val="center"/>
              <w:rPr>
                <w:color w:val="FFFFFF"/>
                <w:lang w:eastAsia="en-NZ"/>
              </w:rPr>
            </w:pPr>
            <w:r w:rsidRPr="00C73F47">
              <w:rPr>
                <w:color w:val="FFFFFF"/>
                <w:lang w:eastAsia="en-NZ"/>
              </w:rPr>
              <w:t>+1</w:t>
            </w:r>
          </w:p>
        </w:tc>
        <w:tc>
          <w:tcPr>
            <w:tcW w:w="753" w:type="dxa"/>
            <w:tcBorders>
              <w:top w:val="single" w:sz="4" w:space="0" w:color="A6A6A6"/>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DA9694"/>
            <w:noWrap/>
            <w:vAlign w:val="bottom"/>
          </w:tcPr>
          <w:p w:rsidR="003932F9" w:rsidRPr="005A7ACE" w:rsidRDefault="003932F9" w:rsidP="00C73F47">
            <w:pPr>
              <w:pStyle w:val="TableText"/>
              <w:jc w:val="center"/>
              <w:rPr>
                <w:color w:val="000000"/>
                <w:lang w:eastAsia="en-NZ"/>
              </w:rPr>
            </w:pPr>
          </w:p>
        </w:tc>
      </w:tr>
      <w:tr w:rsidR="003932F9" w:rsidRPr="007B23A1" w:rsidTr="00056904">
        <w:trPr>
          <w:cantSplit/>
        </w:trPr>
        <w:tc>
          <w:tcPr>
            <w:tcW w:w="1433" w:type="dxa"/>
            <w:vMerge w:val="restart"/>
            <w:shd w:val="clear" w:color="auto" w:fill="auto"/>
            <w:noWrap/>
          </w:tcPr>
          <w:p w:rsidR="003932F9" w:rsidRPr="008B2F2A" w:rsidRDefault="003932F9" w:rsidP="00C73F47">
            <w:pPr>
              <w:pStyle w:val="TableText"/>
              <w:rPr>
                <w:lang w:eastAsia="en-NZ"/>
              </w:rPr>
            </w:pPr>
            <w:r w:rsidRPr="008B2F2A">
              <w:rPr>
                <w:lang w:eastAsia="en-NZ"/>
              </w:rPr>
              <w:t>South</w:t>
            </w:r>
            <w:r>
              <w:rPr>
                <w:lang w:eastAsia="en-NZ"/>
              </w:rPr>
              <w:t xml:space="preserve"> Island</w:t>
            </w:r>
          </w:p>
        </w:tc>
        <w:tc>
          <w:tcPr>
            <w:tcW w:w="1161" w:type="dxa"/>
            <w:shd w:val="clear" w:color="auto" w:fill="auto"/>
            <w:noWrap/>
          </w:tcPr>
          <w:p w:rsidR="003932F9" w:rsidRPr="008B2F2A" w:rsidRDefault="003932F9" w:rsidP="00C73F47">
            <w:pPr>
              <w:pStyle w:val="TableText"/>
              <w:rPr>
                <w:lang w:eastAsia="en-NZ"/>
              </w:rPr>
            </w:pPr>
            <w:r w:rsidRPr="008B2F2A">
              <w:rPr>
                <w:lang w:eastAsia="en-NZ"/>
              </w:rPr>
              <w:t>C</w:t>
            </w:r>
            <w:r>
              <w:rPr>
                <w:lang w:eastAsia="en-NZ"/>
              </w:rPr>
              <w:t>DHB</w:t>
            </w:r>
          </w:p>
        </w:tc>
        <w:tc>
          <w:tcPr>
            <w:tcW w:w="753" w:type="dxa"/>
            <w:tcBorders>
              <w:top w:val="single" w:sz="4" w:space="0" w:color="A6A6A6"/>
            </w:tcBorders>
            <w:shd w:val="clear" w:color="auto" w:fill="963634"/>
            <w:noWrap/>
            <w:vAlign w:val="bottom"/>
          </w:tcPr>
          <w:p w:rsidR="003932F9" w:rsidRPr="00C73F47" w:rsidRDefault="003932F9" w:rsidP="00C73F47">
            <w:pPr>
              <w:pStyle w:val="TableText"/>
              <w:jc w:val="center"/>
              <w:rPr>
                <w:color w:val="FFFFFF"/>
                <w:lang w:eastAsia="en-NZ"/>
              </w:rPr>
            </w:pPr>
            <w:r w:rsidRPr="00C73F47">
              <w:rPr>
                <w:color w:val="FFFFFF"/>
                <w:lang w:eastAsia="en-NZ"/>
              </w:rPr>
              <w:t>+1</w:t>
            </w:r>
          </w:p>
        </w:tc>
        <w:tc>
          <w:tcPr>
            <w:tcW w:w="753" w:type="dxa"/>
            <w:tcBorders>
              <w:top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tcBorders>
            <w:shd w:val="clear" w:color="auto" w:fill="DA9694"/>
            <w:noWrap/>
            <w:vAlign w:val="bottom"/>
          </w:tcPr>
          <w:p w:rsidR="003932F9" w:rsidRPr="005A7ACE" w:rsidRDefault="003932F9" w:rsidP="00C73F47">
            <w:pPr>
              <w:pStyle w:val="TableText"/>
              <w:jc w:val="center"/>
              <w:rPr>
                <w:color w:val="000000"/>
                <w:lang w:eastAsia="en-NZ"/>
              </w:rPr>
            </w:pPr>
          </w:p>
        </w:tc>
        <w:tc>
          <w:tcPr>
            <w:tcW w:w="753" w:type="dxa"/>
            <w:tcBorders>
              <w:top w:val="single" w:sz="4" w:space="0" w:color="A6A6A6"/>
            </w:tcBorders>
            <w:shd w:val="clear" w:color="auto" w:fill="963634"/>
            <w:noWrap/>
            <w:vAlign w:val="bottom"/>
          </w:tcPr>
          <w:p w:rsidR="003932F9" w:rsidRPr="00C73F47" w:rsidRDefault="003932F9" w:rsidP="00C73F47">
            <w:pPr>
              <w:pStyle w:val="TableText"/>
              <w:jc w:val="center"/>
              <w:rPr>
                <w:color w:val="FFFFFF"/>
                <w:lang w:eastAsia="en-NZ"/>
              </w:rPr>
            </w:pPr>
            <w:r w:rsidRPr="00C73F47">
              <w:rPr>
                <w:color w:val="FFFFFF"/>
                <w:lang w:eastAsia="en-NZ"/>
              </w:rPr>
              <w:t>+1</w:t>
            </w:r>
          </w:p>
        </w:tc>
        <w:tc>
          <w:tcPr>
            <w:tcW w:w="753" w:type="dxa"/>
            <w:tcBorders>
              <w:top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r>
      <w:tr w:rsidR="003932F9" w:rsidRPr="007B23A1" w:rsidTr="003932F9">
        <w:trPr>
          <w:cantSplit/>
        </w:trPr>
        <w:tc>
          <w:tcPr>
            <w:tcW w:w="1433" w:type="dxa"/>
            <w:vMerge/>
            <w:shd w:val="clear" w:color="auto" w:fill="auto"/>
            <w:noWrap/>
          </w:tcPr>
          <w:p w:rsidR="003932F9" w:rsidRPr="008B2F2A" w:rsidRDefault="003932F9" w:rsidP="00C73F47">
            <w:pPr>
              <w:pStyle w:val="TableText"/>
              <w:rPr>
                <w:lang w:eastAsia="en-NZ"/>
              </w:rPr>
            </w:pPr>
          </w:p>
        </w:tc>
        <w:tc>
          <w:tcPr>
            <w:tcW w:w="1161" w:type="dxa"/>
            <w:shd w:val="clear" w:color="auto" w:fill="auto"/>
            <w:noWrap/>
          </w:tcPr>
          <w:p w:rsidR="003932F9" w:rsidRPr="008B2F2A" w:rsidRDefault="003932F9" w:rsidP="00C73F47">
            <w:pPr>
              <w:pStyle w:val="TableText"/>
              <w:rPr>
                <w:lang w:eastAsia="en-NZ"/>
              </w:rPr>
            </w:pPr>
            <w:r w:rsidRPr="008B2F2A">
              <w:rPr>
                <w:lang w:eastAsia="en-NZ"/>
              </w:rPr>
              <w:t>SGC</w:t>
            </w: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tcBorders>
              <w:bottom w:val="single" w:sz="4" w:space="0" w:color="A6A6A6"/>
            </w:tcBorders>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r>
      <w:tr w:rsidR="003932F9" w:rsidRPr="007B23A1" w:rsidTr="003932F9">
        <w:trPr>
          <w:cantSplit/>
        </w:trPr>
        <w:tc>
          <w:tcPr>
            <w:tcW w:w="1433" w:type="dxa"/>
            <w:vMerge/>
            <w:shd w:val="clear" w:color="auto" w:fill="auto"/>
            <w:noWrap/>
          </w:tcPr>
          <w:p w:rsidR="003932F9" w:rsidRPr="008B2F2A" w:rsidRDefault="003932F9" w:rsidP="00C73F47">
            <w:pPr>
              <w:pStyle w:val="TableText"/>
              <w:rPr>
                <w:lang w:eastAsia="en-NZ"/>
              </w:rPr>
            </w:pPr>
          </w:p>
        </w:tc>
        <w:tc>
          <w:tcPr>
            <w:tcW w:w="1161" w:type="dxa"/>
            <w:shd w:val="clear" w:color="auto" w:fill="auto"/>
            <w:noWrap/>
          </w:tcPr>
          <w:p w:rsidR="003932F9" w:rsidRPr="008B2F2A" w:rsidRDefault="003932F9" w:rsidP="00C73F47">
            <w:pPr>
              <w:pStyle w:val="TableText"/>
              <w:rPr>
                <w:lang w:eastAsia="en-NZ"/>
              </w:rPr>
            </w:pPr>
            <w:r w:rsidRPr="008B2F2A">
              <w:rPr>
                <w:lang w:eastAsia="en-NZ"/>
              </w:rPr>
              <w:t>S</w:t>
            </w:r>
            <w:r>
              <w:rPr>
                <w:lang w:eastAsia="en-NZ"/>
              </w:rPr>
              <w:t>DHB</w:t>
            </w: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c>
          <w:tcPr>
            <w:tcW w:w="753" w:type="dxa"/>
            <w:shd w:val="clear" w:color="auto" w:fill="DA9694"/>
            <w:noWrap/>
            <w:vAlign w:val="bottom"/>
          </w:tcPr>
          <w:p w:rsidR="003932F9" w:rsidRPr="005A7ACE" w:rsidRDefault="003932F9" w:rsidP="00C73F47">
            <w:pPr>
              <w:pStyle w:val="TableText"/>
              <w:jc w:val="center"/>
              <w:rPr>
                <w:color w:val="000000"/>
                <w:lang w:eastAsia="en-NZ"/>
              </w:rPr>
            </w:pPr>
          </w:p>
        </w:tc>
        <w:tc>
          <w:tcPr>
            <w:tcW w:w="753" w:type="dxa"/>
            <w:shd w:val="clear" w:color="auto" w:fill="963634"/>
            <w:noWrap/>
            <w:vAlign w:val="bottom"/>
          </w:tcPr>
          <w:p w:rsidR="003932F9" w:rsidRPr="00C73F47" w:rsidRDefault="003932F9"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3932F9" w:rsidRPr="005A7ACE" w:rsidRDefault="003932F9" w:rsidP="00C73F47">
            <w:pPr>
              <w:pStyle w:val="TableText"/>
              <w:jc w:val="center"/>
              <w:rPr>
                <w:color w:val="000000"/>
                <w:lang w:eastAsia="en-NZ"/>
              </w:rPr>
            </w:pPr>
          </w:p>
        </w:tc>
      </w:tr>
      <w:tr w:rsidR="003932F9" w:rsidRPr="007B23A1" w:rsidTr="00C73F47">
        <w:trPr>
          <w:cantSplit/>
        </w:trPr>
        <w:tc>
          <w:tcPr>
            <w:tcW w:w="2594" w:type="dxa"/>
            <w:gridSpan w:val="2"/>
            <w:shd w:val="clear" w:color="auto" w:fill="auto"/>
            <w:noWrap/>
          </w:tcPr>
          <w:p w:rsidR="003932F9" w:rsidRPr="00523384" w:rsidRDefault="003932F9" w:rsidP="00C73F47">
            <w:pPr>
              <w:pStyle w:val="TableText"/>
              <w:rPr>
                <w:b/>
                <w:lang w:eastAsia="en-NZ"/>
              </w:rPr>
            </w:pPr>
            <w:r w:rsidRPr="00523384">
              <w:rPr>
                <w:b/>
                <w:lang w:eastAsia="en-NZ"/>
              </w:rPr>
              <w:t>Cumulative total NZ</w:t>
            </w:r>
          </w:p>
        </w:tc>
        <w:tc>
          <w:tcPr>
            <w:tcW w:w="753" w:type="dxa"/>
            <w:shd w:val="clear" w:color="auto" w:fill="auto"/>
            <w:noWrap/>
            <w:vAlign w:val="bottom"/>
          </w:tcPr>
          <w:p w:rsidR="003932F9" w:rsidRPr="007B23A1" w:rsidRDefault="003932F9" w:rsidP="00C73F47">
            <w:pPr>
              <w:pStyle w:val="TableText"/>
              <w:jc w:val="center"/>
              <w:rPr>
                <w:lang w:eastAsia="en-NZ"/>
              </w:rPr>
            </w:pPr>
            <w:r>
              <w:rPr>
                <w:b/>
                <w:bCs/>
                <w:lang w:eastAsia="en-NZ"/>
              </w:rPr>
              <w:t>+4</w:t>
            </w:r>
          </w:p>
        </w:tc>
        <w:tc>
          <w:tcPr>
            <w:tcW w:w="753" w:type="dxa"/>
            <w:shd w:val="clear" w:color="auto" w:fill="auto"/>
            <w:noWrap/>
            <w:vAlign w:val="bottom"/>
          </w:tcPr>
          <w:p w:rsidR="003932F9" w:rsidRPr="007B23A1" w:rsidRDefault="003932F9" w:rsidP="00C73F47">
            <w:pPr>
              <w:pStyle w:val="TableText"/>
              <w:jc w:val="center"/>
              <w:rPr>
                <w:b/>
                <w:bCs/>
                <w:lang w:eastAsia="en-NZ"/>
              </w:rPr>
            </w:pPr>
          </w:p>
        </w:tc>
        <w:tc>
          <w:tcPr>
            <w:tcW w:w="753" w:type="dxa"/>
            <w:shd w:val="clear" w:color="auto" w:fill="auto"/>
            <w:noWrap/>
            <w:vAlign w:val="bottom"/>
          </w:tcPr>
          <w:p w:rsidR="003932F9" w:rsidRPr="007B23A1" w:rsidRDefault="003932F9" w:rsidP="00C73F47">
            <w:pPr>
              <w:pStyle w:val="TableText"/>
              <w:jc w:val="center"/>
              <w:rPr>
                <w:b/>
                <w:bCs/>
                <w:lang w:eastAsia="en-NZ"/>
              </w:rPr>
            </w:pPr>
            <w:r>
              <w:rPr>
                <w:b/>
                <w:bCs/>
                <w:lang w:eastAsia="en-NZ"/>
              </w:rPr>
              <w:t>+5</w:t>
            </w:r>
          </w:p>
        </w:tc>
        <w:tc>
          <w:tcPr>
            <w:tcW w:w="753" w:type="dxa"/>
            <w:shd w:val="clear" w:color="auto" w:fill="auto"/>
            <w:noWrap/>
            <w:vAlign w:val="bottom"/>
          </w:tcPr>
          <w:p w:rsidR="003932F9" w:rsidRPr="007B23A1" w:rsidRDefault="003932F9" w:rsidP="00C73F47">
            <w:pPr>
              <w:pStyle w:val="TableText"/>
              <w:jc w:val="center"/>
              <w:rPr>
                <w:b/>
                <w:bCs/>
                <w:lang w:eastAsia="en-NZ"/>
              </w:rPr>
            </w:pPr>
          </w:p>
        </w:tc>
        <w:tc>
          <w:tcPr>
            <w:tcW w:w="753" w:type="dxa"/>
            <w:shd w:val="clear" w:color="auto" w:fill="auto"/>
            <w:noWrap/>
            <w:vAlign w:val="bottom"/>
          </w:tcPr>
          <w:p w:rsidR="003932F9" w:rsidRPr="007B23A1" w:rsidRDefault="003932F9" w:rsidP="00C73F47">
            <w:pPr>
              <w:pStyle w:val="TableText"/>
              <w:jc w:val="center"/>
              <w:rPr>
                <w:b/>
                <w:bCs/>
                <w:lang w:eastAsia="en-NZ"/>
              </w:rPr>
            </w:pPr>
            <w:r>
              <w:rPr>
                <w:b/>
                <w:bCs/>
                <w:lang w:eastAsia="en-NZ"/>
              </w:rPr>
              <w:t>+7</w:t>
            </w:r>
          </w:p>
        </w:tc>
        <w:tc>
          <w:tcPr>
            <w:tcW w:w="753" w:type="dxa"/>
            <w:shd w:val="clear" w:color="auto" w:fill="auto"/>
            <w:noWrap/>
            <w:vAlign w:val="bottom"/>
          </w:tcPr>
          <w:p w:rsidR="003932F9" w:rsidRPr="007B23A1" w:rsidRDefault="003932F9" w:rsidP="00C73F47">
            <w:pPr>
              <w:pStyle w:val="TableText"/>
              <w:jc w:val="center"/>
              <w:rPr>
                <w:b/>
                <w:bCs/>
                <w:lang w:eastAsia="en-NZ"/>
              </w:rPr>
            </w:pPr>
          </w:p>
        </w:tc>
        <w:tc>
          <w:tcPr>
            <w:tcW w:w="753" w:type="dxa"/>
            <w:shd w:val="clear" w:color="auto" w:fill="auto"/>
            <w:noWrap/>
            <w:vAlign w:val="bottom"/>
          </w:tcPr>
          <w:p w:rsidR="003932F9" w:rsidRPr="007B23A1" w:rsidRDefault="003932F9" w:rsidP="00C73F47">
            <w:pPr>
              <w:pStyle w:val="TableText"/>
              <w:jc w:val="center"/>
              <w:rPr>
                <w:b/>
                <w:bCs/>
                <w:lang w:eastAsia="en-NZ"/>
              </w:rPr>
            </w:pPr>
          </w:p>
        </w:tc>
        <w:tc>
          <w:tcPr>
            <w:tcW w:w="753" w:type="dxa"/>
            <w:shd w:val="clear" w:color="auto" w:fill="auto"/>
            <w:noWrap/>
            <w:vAlign w:val="bottom"/>
          </w:tcPr>
          <w:p w:rsidR="003932F9" w:rsidRPr="007B23A1" w:rsidRDefault="003932F9" w:rsidP="00C73F47">
            <w:pPr>
              <w:pStyle w:val="TableText"/>
              <w:jc w:val="center"/>
              <w:rPr>
                <w:b/>
                <w:bCs/>
                <w:lang w:eastAsia="en-NZ"/>
              </w:rPr>
            </w:pPr>
            <w:r>
              <w:rPr>
                <w:b/>
                <w:bCs/>
                <w:lang w:eastAsia="en-NZ"/>
              </w:rPr>
              <w:t>+10</w:t>
            </w:r>
          </w:p>
        </w:tc>
        <w:tc>
          <w:tcPr>
            <w:tcW w:w="753" w:type="dxa"/>
            <w:shd w:val="clear" w:color="auto" w:fill="auto"/>
            <w:noWrap/>
            <w:vAlign w:val="bottom"/>
          </w:tcPr>
          <w:p w:rsidR="003932F9" w:rsidRPr="007B23A1" w:rsidRDefault="003932F9" w:rsidP="00C73F47">
            <w:pPr>
              <w:pStyle w:val="TableText"/>
              <w:jc w:val="center"/>
              <w:rPr>
                <w:b/>
                <w:bCs/>
                <w:lang w:eastAsia="en-NZ"/>
              </w:rPr>
            </w:pPr>
          </w:p>
        </w:tc>
      </w:tr>
    </w:tbl>
    <w:p w:rsidR="003932F9" w:rsidRPr="00BF4B05" w:rsidRDefault="003932F9" w:rsidP="003932F9">
      <w:pPr>
        <w:rPr>
          <w:sz w:val="12"/>
          <w:szCs w:val="12"/>
        </w:rPr>
      </w:pPr>
    </w:p>
    <w:tbl>
      <w:tblPr>
        <w:tblW w:w="0" w:type="auto"/>
        <w:tblLayout w:type="fixed"/>
        <w:tblLook w:val="04A0" w:firstRow="1" w:lastRow="0" w:firstColumn="1" w:lastColumn="0" w:noHBand="0" w:noVBand="1"/>
      </w:tblPr>
      <w:tblGrid>
        <w:gridCol w:w="675"/>
        <w:gridCol w:w="4536"/>
      </w:tblGrid>
      <w:tr w:rsidR="003932F9" w:rsidRPr="008B2F2A" w:rsidTr="00C73F47">
        <w:trPr>
          <w:cantSplit/>
        </w:trPr>
        <w:tc>
          <w:tcPr>
            <w:tcW w:w="675" w:type="dxa"/>
            <w:vMerge w:val="restart"/>
            <w:tcBorders>
              <w:right w:val="single" w:sz="4" w:space="0" w:color="A6A6A6"/>
            </w:tcBorders>
            <w:shd w:val="clear" w:color="auto" w:fill="auto"/>
            <w:noWrap/>
          </w:tcPr>
          <w:p w:rsidR="003932F9" w:rsidRPr="008B2F2A" w:rsidRDefault="003932F9" w:rsidP="00C73F47">
            <w:pPr>
              <w:pStyle w:val="TableText"/>
              <w:rPr>
                <w:lang w:eastAsia="en-NZ"/>
              </w:rPr>
            </w:pPr>
            <w:r w:rsidRPr="008B2F2A">
              <w:rPr>
                <w:lang w:eastAsia="en-NZ"/>
              </w:rPr>
              <w:t>Key:</w:t>
            </w:r>
          </w:p>
        </w:tc>
        <w:tc>
          <w:tcPr>
            <w:tcW w:w="4536" w:type="dxa"/>
            <w:tcBorders>
              <w:top w:val="single" w:sz="4" w:space="0" w:color="A6A6A6"/>
              <w:left w:val="single" w:sz="4" w:space="0" w:color="A6A6A6"/>
              <w:bottom w:val="single" w:sz="4" w:space="0" w:color="A6A6A6"/>
              <w:right w:val="single" w:sz="4" w:space="0" w:color="A6A6A6"/>
            </w:tcBorders>
            <w:shd w:val="clear" w:color="000000" w:fill="DA9694"/>
            <w:noWrap/>
          </w:tcPr>
          <w:p w:rsidR="003932F9" w:rsidRPr="008B2F2A" w:rsidRDefault="003932F9" w:rsidP="00C73F47">
            <w:pPr>
              <w:pStyle w:val="TableText"/>
              <w:rPr>
                <w:lang w:eastAsia="en-NZ"/>
              </w:rPr>
            </w:pPr>
            <w:r w:rsidRPr="008B2F2A">
              <w:rPr>
                <w:lang w:eastAsia="en-NZ"/>
              </w:rPr>
              <w:t>Within 95% of capacity</w:t>
            </w:r>
          </w:p>
        </w:tc>
      </w:tr>
      <w:tr w:rsidR="003932F9" w:rsidRPr="008B2F2A" w:rsidTr="00C73F47">
        <w:trPr>
          <w:cantSplit/>
        </w:trPr>
        <w:tc>
          <w:tcPr>
            <w:tcW w:w="675" w:type="dxa"/>
            <w:vMerge/>
            <w:tcBorders>
              <w:right w:val="single" w:sz="4" w:space="0" w:color="A6A6A6"/>
            </w:tcBorders>
            <w:shd w:val="clear" w:color="auto" w:fill="auto"/>
            <w:noWrap/>
          </w:tcPr>
          <w:p w:rsidR="003932F9" w:rsidRPr="008B2F2A" w:rsidRDefault="003932F9" w:rsidP="00C73F47">
            <w:pPr>
              <w:pStyle w:val="TableText"/>
              <w:keepNext/>
              <w:rPr>
                <w:lang w:eastAsia="en-NZ"/>
              </w:rPr>
            </w:pPr>
          </w:p>
        </w:tc>
        <w:tc>
          <w:tcPr>
            <w:tcW w:w="4536" w:type="dxa"/>
            <w:tcBorders>
              <w:top w:val="single" w:sz="4" w:space="0" w:color="A6A6A6"/>
              <w:left w:val="single" w:sz="4" w:space="0" w:color="A6A6A6"/>
              <w:bottom w:val="single" w:sz="4" w:space="0" w:color="A6A6A6"/>
              <w:right w:val="single" w:sz="4" w:space="0" w:color="A6A6A6"/>
            </w:tcBorders>
            <w:shd w:val="clear" w:color="000000" w:fill="963634"/>
            <w:noWrap/>
          </w:tcPr>
          <w:p w:rsidR="003932F9" w:rsidRPr="008B2F2A" w:rsidRDefault="003932F9" w:rsidP="00C73F47">
            <w:pPr>
              <w:pStyle w:val="TableText"/>
              <w:keepNext/>
              <w:rPr>
                <w:color w:val="F2F2F2"/>
                <w:lang w:eastAsia="en-NZ"/>
              </w:rPr>
            </w:pPr>
            <w:r w:rsidRPr="008B2F2A">
              <w:rPr>
                <w:color w:val="F2F2F2"/>
                <w:lang w:eastAsia="en-NZ"/>
              </w:rPr>
              <w:t>Model suggests new linac may be needed</w:t>
            </w:r>
          </w:p>
        </w:tc>
      </w:tr>
    </w:tbl>
    <w:p w:rsidR="003932F9" w:rsidRDefault="003932F9" w:rsidP="003932F9">
      <w:pPr>
        <w:pStyle w:val="Note"/>
      </w:pPr>
      <w:proofErr w:type="gramStart"/>
      <w:r w:rsidRPr="00702D0B">
        <w:t>Assumes all centres working at current operating parameters and all DHBs moving to a 40% IR.</w:t>
      </w:r>
      <w:proofErr w:type="gramEnd"/>
      <w:r>
        <w:t xml:space="preserve"> </w:t>
      </w:r>
      <w:r w:rsidRPr="00702D0B">
        <w:t>Suggested locations and timing only; actual build locations and timing will be dependent on DHB business cases and actual service demand.</w:t>
      </w:r>
    </w:p>
    <w:p w:rsidR="003932F9" w:rsidRDefault="003932F9" w:rsidP="003932F9">
      <w:pPr>
        <w:pStyle w:val="Note"/>
      </w:pPr>
      <w:r w:rsidRPr="00F425CB">
        <w:rPr>
          <w:b/>
          <w:color w:val="4F81BD"/>
          <w:lang w:eastAsia="en-NZ"/>
        </w:rPr>
        <w:t>S</w:t>
      </w:r>
      <w:r w:rsidRPr="00F425CB">
        <w:rPr>
          <w:rFonts w:eastAsia="Calibri"/>
        </w:rPr>
        <w:t>=</w:t>
      </w:r>
      <w:r w:rsidRPr="00702D0B">
        <w:t xml:space="preserve"> KKC (Tauranga) starts mid-2014</w:t>
      </w:r>
      <w:r>
        <w:t>.</w:t>
      </w:r>
    </w:p>
    <w:p w:rsidR="003932F9" w:rsidRPr="003932F9" w:rsidRDefault="003932F9" w:rsidP="003932F9"/>
    <w:p w:rsidR="00F425CB" w:rsidRDefault="00177741" w:rsidP="00177741">
      <w:pPr>
        <w:pStyle w:val="Heading3"/>
        <w:rPr>
          <w:lang w:eastAsia="en-NZ"/>
        </w:rPr>
      </w:pPr>
      <w:r>
        <w:rPr>
          <w:lang w:eastAsia="en-NZ"/>
        </w:rPr>
        <w:t>C.</w:t>
      </w:r>
      <w:r>
        <w:rPr>
          <w:lang w:eastAsia="en-NZ"/>
        </w:rPr>
        <w:tab/>
      </w:r>
      <w:r w:rsidR="00F425CB" w:rsidRPr="00676D31">
        <w:rPr>
          <w:lang w:eastAsia="en-NZ"/>
        </w:rPr>
        <w:t>Linear accelerator additions suggested by the Model – 45% IR</w:t>
      </w:r>
    </w:p>
    <w:tbl>
      <w:tblPr>
        <w:tblW w:w="9371" w:type="dxa"/>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33"/>
        <w:gridCol w:w="1161"/>
        <w:gridCol w:w="753"/>
        <w:gridCol w:w="753"/>
        <w:gridCol w:w="753"/>
        <w:gridCol w:w="753"/>
        <w:gridCol w:w="753"/>
        <w:gridCol w:w="753"/>
        <w:gridCol w:w="753"/>
        <w:gridCol w:w="753"/>
        <w:gridCol w:w="753"/>
      </w:tblGrid>
      <w:tr w:rsidR="00D04BAB" w:rsidRPr="001F41AD" w:rsidTr="00056904">
        <w:trPr>
          <w:cantSplit/>
        </w:trPr>
        <w:tc>
          <w:tcPr>
            <w:tcW w:w="1433" w:type="dxa"/>
            <w:shd w:val="clear" w:color="auto" w:fill="BDE2FF"/>
            <w:noWrap/>
          </w:tcPr>
          <w:p w:rsidR="00D04BAB" w:rsidRPr="001F41AD" w:rsidRDefault="00D04BAB" w:rsidP="00C73F47">
            <w:pPr>
              <w:pStyle w:val="TableText"/>
              <w:rPr>
                <w:b/>
                <w:lang w:eastAsia="en-NZ"/>
              </w:rPr>
            </w:pPr>
            <w:r w:rsidRPr="001F41AD">
              <w:rPr>
                <w:b/>
                <w:lang w:eastAsia="en-NZ"/>
              </w:rPr>
              <w:t>Region</w:t>
            </w:r>
          </w:p>
        </w:tc>
        <w:tc>
          <w:tcPr>
            <w:tcW w:w="1161" w:type="dxa"/>
            <w:shd w:val="clear" w:color="auto" w:fill="BDE2FF"/>
            <w:noWrap/>
          </w:tcPr>
          <w:p w:rsidR="00D04BAB" w:rsidRPr="001F41AD" w:rsidRDefault="00D04BAB" w:rsidP="00C73F47">
            <w:pPr>
              <w:pStyle w:val="TableText"/>
              <w:rPr>
                <w:b/>
                <w:lang w:eastAsia="en-NZ"/>
              </w:rPr>
            </w:pPr>
            <w:r w:rsidRPr="001F41AD">
              <w:rPr>
                <w:b/>
                <w:lang w:eastAsia="en-NZ"/>
              </w:rPr>
              <w:t>Centre</w:t>
            </w:r>
          </w:p>
        </w:tc>
        <w:tc>
          <w:tcPr>
            <w:tcW w:w="753" w:type="dxa"/>
            <w:tcBorders>
              <w:bottom w:val="single" w:sz="4" w:space="0" w:color="A6A6A6"/>
            </w:tcBorders>
            <w:shd w:val="clear" w:color="auto" w:fill="BDE2FF"/>
            <w:noWrap/>
          </w:tcPr>
          <w:p w:rsidR="00D04BAB" w:rsidRPr="001F41AD" w:rsidRDefault="00D04BAB" w:rsidP="00C73F47">
            <w:pPr>
              <w:pStyle w:val="TableText"/>
              <w:jc w:val="center"/>
              <w:rPr>
                <w:b/>
                <w:lang w:eastAsia="en-NZ"/>
              </w:rPr>
            </w:pPr>
            <w:r w:rsidRPr="001F41AD">
              <w:rPr>
                <w:b/>
                <w:lang w:eastAsia="en-NZ"/>
              </w:rPr>
              <w:t>2014</w:t>
            </w:r>
          </w:p>
        </w:tc>
        <w:tc>
          <w:tcPr>
            <w:tcW w:w="753" w:type="dxa"/>
            <w:tcBorders>
              <w:bottom w:val="single" w:sz="4" w:space="0" w:color="A6A6A6"/>
            </w:tcBorders>
            <w:shd w:val="clear" w:color="auto" w:fill="BDE2FF"/>
            <w:noWrap/>
          </w:tcPr>
          <w:p w:rsidR="00D04BAB" w:rsidRPr="001F41AD" w:rsidRDefault="00D04BAB" w:rsidP="00C73F47">
            <w:pPr>
              <w:pStyle w:val="TableText"/>
              <w:jc w:val="center"/>
              <w:rPr>
                <w:b/>
                <w:lang w:eastAsia="en-NZ"/>
              </w:rPr>
            </w:pPr>
            <w:r w:rsidRPr="001F41AD">
              <w:rPr>
                <w:b/>
                <w:lang w:eastAsia="en-NZ"/>
              </w:rPr>
              <w:t>2015</w:t>
            </w:r>
          </w:p>
        </w:tc>
        <w:tc>
          <w:tcPr>
            <w:tcW w:w="753" w:type="dxa"/>
            <w:tcBorders>
              <w:bottom w:val="single" w:sz="4" w:space="0" w:color="A6A6A6"/>
            </w:tcBorders>
            <w:shd w:val="clear" w:color="auto" w:fill="BDE2FF"/>
            <w:noWrap/>
          </w:tcPr>
          <w:p w:rsidR="00D04BAB" w:rsidRPr="001F41AD" w:rsidRDefault="00D04BAB" w:rsidP="00C73F47">
            <w:pPr>
              <w:pStyle w:val="TableText"/>
              <w:jc w:val="center"/>
              <w:rPr>
                <w:b/>
                <w:lang w:eastAsia="en-NZ"/>
              </w:rPr>
            </w:pPr>
            <w:r w:rsidRPr="001F41AD">
              <w:rPr>
                <w:b/>
                <w:lang w:eastAsia="en-NZ"/>
              </w:rPr>
              <w:t>2016</w:t>
            </w:r>
          </w:p>
        </w:tc>
        <w:tc>
          <w:tcPr>
            <w:tcW w:w="753" w:type="dxa"/>
            <w:tcBorders>
              <w:bottom w:val="single" w:sz="4" w:space="0" w:color="A6A6A6"/>
            </w:tcBorders>
            <w:shd w:val="clear" w:color="auto" w:fill="BDE2FF"/>
            <w:noWrap/>
          </w:tcPr>
          <w:p w:rsidR="00D04BAB" w:rsidRPr="001F41AD" w:rsidRDefault="00D04BAB" w:rsidP="00C73F47">
            <w:pPr>
              <w:pStyle w:val="TableText"/>
              <w:jc w:val="center"/>
              <w:rPr>
                <w:b/>
                <w:lang w:eastAsia="en-NZ"/>
              </w:rPr>
            </w:pPr>
            <w:r w:rsidRPr="001F41AD">
              <w:rPr>
                <w:b/>
                <w:lang w:eastAsia="en-NZ"/>
              </w:rPr>
              <w:t>2017</w:t>
            </w:r>
          </w:p>
        </w:tc>
        <w:tc>
          <w:tcPr>
            <w:tcW w:w="753" w:type="dxa"/>
            <w:tcBorders>
              <w:bottom w:val="single" w:sz="4" w:space="0" w:color="A6A6A6"/>
            </w:tcBorders>
            <w:shd w:val="clear" w:color="auto" w:fill="BDE2FF"/>
            <w:noWrap/>
          </w:tcPr>
          <w:p w:rsidR="00D04BAB" w:rsidRPr="001F41AD" w:rsidRDefault="00D04BAB" w:rsidP="00C73F47">
            <w:pPr>
              <w:pStyle w:val="TableText"/>
              <w:jc w:val="center"/>
              <w:rPr>
                <w:b/>
                <w:lang w:eastAsia="en-NZ"/>
              </w:rPr>
            </w:pPr>
            <w:r w:rsidRPr="001F41AD">
              <w:rPr>
                <w:b/>
                <w:lang w:eastAsia="en-NZ"/>
              </w:rPr>
              <w:t>2018</w:t>
            </w:r>
          </w:p>
        </w:tc>
        <w:tc>
          <w:tcPr>
            <w:tcW w:w="753" w:type="dxa"/>
            <w:tcBorders>
              <w:bottom w:val="single" w:sz="4" w:space="0" w:color="A6A6A6"/>
            </w:tcBorders>
            <w:shd w:val="clear" w:color="auto" w:fill="BDE2FF"/>
            <w:noWrap/>
          </w:tcPr>
          <w:p w:rsidR="00D04BAB" w:rsidRPr="001F41AD" w:rsidRDefault="00D04BAB" w:rsidP="00C73F47">
            <w:pPr>
              <w:pStyle w:val="TableText"/>
              <w:jc w:val="center"/>
              <w:rPr>
                <w:b/>
                <w:lang w:eastAsia="en-NZ"/>
              </w:rPr>
            </w:pPr>
            <w:r w:rsidRPr="001F41AD">
              <w:rPr>
                <w:b/>
                <w:lang w:eastAsia="en-NZ"/>
              </w:rPr>
              <w:t>2019</w:t>
            </w:r>
          </w:p>
        </w:tc>
        <w:tc>
          <w:tcPr>
            <w:tcW w:w="753" w:type="dxa"/>
            <w:tcBorders>
              <w:bottom w:val="single" w:sz="4" w:space="0" w:color="A6A6A6"/>
            </w:tcBorders>
            <w:shd w:val="clear" w:color="auto" w:fill="BDE2FF"/>
            <w:noWrap/>
          </w:tcPr>
          <w:p w:rsidR="00D04BAB" w:rsidRPr="001F41AD" w:rsidRDefault="00D04BAB" w:rsidP="00C73F47">
            <w:pPr>
              <w:pStyle w:val="TableText"/>
              <w:jc w:val="center"/>
              <w:rPr>
                <w:b/>
                <w:lang w:eastAsia="en-NZ"/>
              </w:rPr>
            </w:pPr>
            <w:r w:rsidRPr="001F41AD">
              <w:rPr>
                <w:b/>
                <w:lang w:eastAsia="en-NZ"/>
              </w:rPr>
              <w:t>2020</w:t>
            </w:r>
          </w:p>
        </w:tc>
        <w:tc>
          <w:tcPr>
            <w:tcW w:w="753" w:type="dxa"/>
            <w:tcBorders>
              <w:bottom w:val="single" w:sz="4" w:space="0" w:color="A6A6A6"/>
            </w:tcBorders>
            <w:shd w:val="clear" w:color="auto" w:fill="BDE2FF"/>
            <w:noWrap/>
          </w:tcPr>
          <w:p w:rsidR="00D04BAB" w:rsidRPr="001F41AD" w:rsidRDefault="00D04BAB" w:rsidP="00C73F47">
            <w:pPr>
              <w:pStyle w:val="TableText"/>
              <w:jc w:val="center"/>
              <w:rPr>
                <w:b/>
                <w:lang w:eastAsia="en-NZ"/>
              </w:rPr>
            </w:pPr>
            <w:r w:rsidRPr="001F41AD">
              <w:rPr>
                <w:b/>
                <w:lang w:eastAsia="en-NZ"/>
              </w:rPr>
              <w:t>2021</w:t>
            </w:r>
          </w:p>
        </w:tc>
        <w:tc>
          <w:tcPr>
            <w:tcW w:w="753" w:type="dxa"/>
            <w:tcBorders>
              <w:bottom w:val="single" w:sz="4" w:space="0" w:color="A6A6A6"/>
            </w:tcBorders>
            <w:shd w:val="clear" w:color="auto" w:fill="BDE2FF"/>
            <w:noWrap/>
          </w:tcPr>
          <w:p w:rsidR="00D04BAB" w:rsidRPr="001F41AD" w:rsidRDefault="00D04BAB" w:rsidP="00C73F47">
            <w:pPr>
              <w:pStyle w:val="TableText"/>
              <w:jc w:val="center"/>
              <w:rPr>
                <w:b/>
                <w:lang w:eastAsia="en-NZ"/>
              </w:rPr>
            </w:pPr>
            <w:r w:rsidRPr="001F41AD">
              <w:rPr>
                <w:b/>
                <w:lang w:eastAsia="en-NZ"/>
              </w:rPr>
              <w:t>2022</w:t>
            </w:r>
          </w:p>
        </w:tc>
      </w:tr>
      <w:tr w:rsidR="00D04BAB" w:rsidRPr="008B2F2A" w:rsidTr="00056904">
        <w:trPr>
          <w:cantSplit/>
        </w:trPr>
        <w:tc>
          <w:tcPr>
            <w:tcW w:w="1433" w:type="dxa"/>
            <w:vMerge w:val="restart"/>
            <w:shd w:val="clear" w:color="auto" w:fill="auto"/>
            <w:noWrap/>
          </w:tcPr>
          <w:p w:rsidR="00D04BAB" w:rsidRPr="008B2F2A" w:rsidRDefault="00D04BAB" w:rsidP="00C73F47">
            <w:pPr>
              <w:pStyle w:val="TableText"/>
              <w:rPr>
                <w:lang w:eastAsia="en-NZ"/>
              </w:rPr>
            </w:pPr>
            <w:r w:rsidRPr="008B2F2A">
              <w:rPr>
                <w:lang w:eastAsia="en-NZ"/>
              </w:rPr>
              <w:t>Northern</w:t>
            </w:r>
          </w:p>
        </w:tc>
        <w:tc>
          <w:tcPr>
            <w:tcW w:w="1161" w:type="dxa"/>
            <w:shd w:val="clear" w:color="auto" w:fill="auto"/>
            <w:noWrap/>
          </w:tcPr>
          <w:p w:rsidR="00D04BAB" w:rsidRPr="008B2F2A" w:rsidRDefault="00D04BAB" w:rsidP="00C73F47">
            <w:pPr>
              <w:pStyle w:val="TableText"/>
              <w:rPr>
                <w:lang w:eastAsia="en-NZ"/>
              </w:rPr>
            </w:pPr>
            <w:r w:rsidRPr="008B2F2A">
              <w:rPr>
                <w:lang w:eastAsia="en-NZ"/>
              </w:rPr>
              <w:t>A</w:t>
            </w:r>
            <w:r>
              <w:rPr>
                <w:lang w:eastAsia="en-NZ"/>
              </w:rPr>
              <w:t>DHB</w:t>
            </w:r>
          </w:p>
        </w:tc>
        <w:tc>
          <w:tcPr>
            <w:tcW w:w="753" w:type="dxa"/>
            <w:tcBorders>
              <w:bottom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bottom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bottom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bottom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bottom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r>
      <w:tr w:rsidR="00D04BAB" w:rsidRPr="008B2F2A" w:rsidTr="00056904">
        <w:trPr>
          <w:cantSplit/>
        </w:trPr>
        <w:tc>
          <w:tcPr>
            <w:tcW w:w="1433" w:type="dxa"/>
            <w:vMerge/>
            <w:shd w:val="clear" w:color="auto" w:fill="auto"/>
            <w:noWrap/>
          </w:tcPr>
          <w:p w:rsidR="00D04BAB" w:rsidRPr="008B2F2A" w:rsidRDefault="00D04BAB" w:rsidP="00C73F47">
            <w:pPr>
              <w:pStyle w:val="TableText"/>
              <w:rPr>
                <w:lang w:eastAsia="en-NZ"/>
              </w:rPr>
            </w:pPr>
          </w:p>
        </w:tc>
        <w:tc>
          <w:tcPr>
            <w:tcW w:w="1161" w:type="dxa"/>
            <w:shd w:val="clear" w:color="auto" w:fill="auto"/>
            <w:noWrap/>
          </w:tcPr>
          <w:p w:rsidR="00D04BAB" w:rsidRPr="008B2F2A" w:rsidRDefault="00D04BAB" w:rsidP="00C73F47">
            <w:pPr>
              <w:pStyle w:val="TableText"/>
              <w:rPr>
                <w:lang w:eastAsia="en-NZ"/>
              </w:rPr>
            </w:pPr>
            <w:r w:rsidRPr="008B2F2A">
              <w:rPr>
                <w:lang w:eastAsia="en-NZ"/>
              </w:rPr>
              <w:t>ARO</w:t>
            </w:r>
          </w:p>
        </w:tc>
        <w:tc>
          <w:tcPr>
            <w:tcW w:w="753" w:type="dxa"/>
            <w:tcBorders>
              <w:top w:val="single" w:sz="4" w:space="0" w:color="A6A6A6"/>
              <w:bottom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r>
      <w:tr w:rsidR="00D04BAB" w:rsidRPr="008B2F2A" w:rsidTr="00056904">
        <w:trPr>
          <w:cantSplit/>
        </w:trPr>
        <w:tc>
          <w:tcPr>
            <w:tcW w:w="1433" w:type="dxa"/>
            <w:vMerge w:val="restart"/>
            <w:shd w:val="clear" w:color="auto" w:fill="auto"/>
            <w:noWrap/>
          </w:tcPr>
          <w:p w:rsidR="00D04BAB" w:rsidRPr="008B2F2A" w:rsidRDefault="00D04BAB" w:rsidP="00C73F47">
            <w:pPr>
              <w:pStyle w:val="TableText"/>
              <w:rPr>
                <w:lang w:eastAsia="en-NZ"/>
              </w:rPr>
            </w:pPr>
            <w:r w:rsidRPr="008B2F2A">
              <w:rPr>
                <w:lang w:eastAsia="en-NZ"/>
              </w:rPr>
              <w:t>Midland</w:t>
            </w:r>
          </w:p>
        </w:tc>
        <w:tc>
          <w:tcPr>
            <w:tcW w:w="1161" w:type="dxa"/>
            <w:shd w:val="clear" w:color="auto" w:fill="auto"/>
            <w:noWrap/>
          </w:tcPr>
          <w:p w:rsidR="00D04BAB" w:rsidRPr="008B2F2A" w:rsidRDefault="00D04BAB" w:rsidP="00C73F47">
            <w:pPr>
              <w:pStyle w:val="TableText"/>
              <w:rPr>
                <w:lang w:eastAsia="en-NZ"/>
              </w:rPr>
            </w:pPr>
            <w:r w:rsidRPr="008B2F2A">
              <w:rPr>
                <w:lang w:eastAsia="en-NZ"/>
              </w:rPr>
              <w:t>W</w:t>
            </w:r>
            <w:r>
              <w:rPr>
                <w:lang w:eastAsia="en-NZ"/>
              </w:rPr>
              <w:t>DHB</w:t>
            </w:r>
          </w:p>
        </w:tc>
        <w:tc>
          <w:tcPr>
            <w:tcW w:w="753" w:type="dxa"/>
            <w:tcBorders>
              <w:top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r>
      <w:tr w:rsidR="00056904" w:rsidRPr="008B2F2A" w:rsidTr="00056904">
        <w:trPr>
          <w:cantSplit/>
        </w:trPr>
        <w:tc>
          <w:tcPr>
            <w:tcW w:w="1433" w:type="dxa"/>
            <w:vMerge/>
            <w:shd w:val="clear" w:color="auto" w:fill="auto"/>
            <w:noWrap/>
          </w:tcPr>
          <w:p w:rsidR="00D04BAB" w:rsidRPr="008B2F2A" w:rsidRDefault="00D04BAB" w:rsidP="00C73F47">
            <w:pPr>
              <w:pStyle w:val="TableText"/>
              <w:rPr>
                <w:lang w:eastAsia="en-NZ"/>
              </w:rPr>
            </w:pPr>
          </w:p>
        </w:tc>
        <w:tc>
          <w:tcPr>
            <w:tcW w:w="1161" w:type="dxa"/>
            <w:shd w:val="clear" w:color="auto" w:fill="auto"/>
            <w:noWrap/>
          </w:tcPr>
          <w:p w:rsidR="00D04BAB" w:rsidRPr="008B2F2A" w:rsidRDefault="00D04BAB" w:rsidP="00C73F47">
            <w:pPr>
              <w:pStyle w:val="TableText"/>
              <w:rPr>
                <w:lang w:eastAsia="en-NZ"/>
              </w:rPr>
            </w:pPr>
            <w:r w:rsidRPr="008B2F2A">
              <w:rPr>
                <w:lang w:eastAsia="en-NZ"/>
              </w:rPr>
              <w:t>KKC</w:t>
            </w:r>
          </w:p>
        </w:tc>
        <w:tc>
          <w:tcPr>
            <w:tcW w:w="753" w:type="dxa"/>
            <w:tcBorders>
              <w:bottom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b/>
                <w:bCs/>
                <w:color w:val="31869B"/>
                <w:lang w:eastAsia="en-NZ"/>
              </w:rPr>
            </w:pPr>
            <w:r w:rsidRPr="00702D0B">
              <w:rPr>
                <w:b/>
                <w:bCs/>
                <w:color w:val="31869B"/>
                <w:lang w:eastAsia="en-NZ"/>
              </w:rPr>
              <w:t>S</w:t>
            </w:r>
          </w:p>
        </w:tc>
        <w:tc>
          <w:tcPr>
            <w:tcW w:w="753" w:type="dxa"/>
            <w:tcBorders>
              <w:left w:val="single" w:sz="4" w:space="0" w:color="A6A6A6"/>
              <w:bottom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bottom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bottom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bottom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bottom w:val="single" w:sz="4" w:space="0" w:color="A6A6A6"/>
              <w:right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bottom w:val="single" w:sz="4" w:space="0" w:color="A6A6A6"/>
              <w:right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r>
      <w:tr w:rsidR="00D04BAB" w:rsidRPr="008B2F2A" w:rsidTr="00056904">
        <w:trPr>
          <w:cantSplit/>
        </w:trPr>
        <w:tc>
          <w:tcPr>
            <w:tcW w:w="1433" w:type="dxa"/>
            <w:vMerge w:val="restart"/>
            <w:shd w:val="clear" w:color="auto" w:fill="auto"/>
            <w:noWrap/>
          </w:tcPr>
          <w:p w:rsidR="00D04BAB" w:rsidRPr="008B2F2A" w:rsidRDefault="00D04BAB" w:rsidP="00C73F47">
            <w:pPr>
              <w:pStyle w:val="TableText"/>
              <w:rPr>
                <w:lang w:eastAsia="en-NZ"/>
              </w:rPr>
            </w:pPr>
            <w:r w:rsidRPr="008B2F2A">
              <w:rPr>
                <w:lang w:eastAsia="en-NZ"/>
              </w:rPr>
              <w:t>Central</w:t>
            </w:r>
          </w:p>
        </w:tc>
        <w:tc>
          <w:tcPr>
            <w:tcW w:w="1161" w:type="dxa"/>
            <w:shd w:val="clear" w:color="auto" w:fill="auto"/>
            <w:noWrap/>
          </w:tcPr>
          <w:p w:rsidR="00D04BAB" w:rsidRPr="008B2F2A" w:rsidRDefault="00D04BAB" w:rsidP="00C73F47">
            <w:pPr>
              <w:pStyle w:val="TableText"/>
              <w:rPr>
                <w:lang w:eastAsia="en-NZ"/>
              </w:rPr>
            </w:pPr>
            <w:r w:rsidRPr="008B2F2A">
              <w:rPr>
                <w:lang w:eastAsia="en-NZ"/>
              </w:rPr>
              <w:t>M</w:t>
            </w:r>
            <w:r>
              <w:rPr>
                <w:lang w:eastAsia="en-NZ"/>
              </w:rPr>
              <w:t>DHB</w:t>
            </w:r>
          </w:p>
        </w:tc>
        <w:tc>
          <w:tcPr>
            <w:tcW w:w="753" w:type="dxa"/>
            <w:tcBorders>
              <w:bottom w:val="single" w:sz="4" w:space="0" w:color="A6A6A6"/>
              <w:right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left w:val="single" w:sz="4" w:space="0" w:color="A6A6A6"/>
              <w:bottom w:val="single" w:sz="4" w:space="0" w:color="A6A6A6"/>
              <w:right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bottom w:val="single" w:sz="4" w:space="0" w:color="A6A6A6"/>
              <w:right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left w:val="single" w:sz="4" w:space="0" w:color="A6A6A6"/>
              <w:bottom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bottom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bottom w:val="single" w:sz="4" w:space="0" w:color="A6A6A6"/>
              <w:right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bottom w:val="single" w:sz="4" w:space="0" w:color="A6A6A6"/>
              <w:right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left w:val="single" w:sz="4" w:space="0" w:color="A6A6A6"/>
              <w:bottom w:val="single" w:sz="4" w:space="0" w:color="A6A6A6"/>
              <w:right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left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r>
      <w:tr w:rsidR="00D04BAB" w:rsidRPr="008B2F2A" w:rsidTr="00056904">
        <w:trPr>
          <w:cantSplit/>
        </w:trPr>
        <w:tc>
          <w:tcPr>
            <w:tcW w:w="1433" w:type="dxa"/>
            <w:vMerge/>
            <w:shd w:val="clear" w:color="auto" w:fill="auto"/>
            <w:noWrap/>
          </w:tcPr>
          <w:p w:rsidR="00D04BAB" w:rsidRPr="008B2F2A" w:rsidRDefault="00D04BAB" w:rsidP="00C73F47">
            <w:pPr>
              <w:pStyle w:val="TableText"/>
              <w:rPr>
                <w:lang w:eastAsia="en-NZ"/>
              </w:rPr>
            </w:pPr>
          </w:p>
        </w:tc>
        <w:tc>
          <w:tcPr>
            <w:tcW w:w="1161" w:type="dxa"/>
            <w:shd w:val="clear" w:color="auto" w:fill="auto"/>
            <w:noWrap/>
          </w:tcPr>
          <w:p w:rsidR="00D04BAB" w:rsidRPr="008B2F2A" w:rsidRDefault="00D04BAB" w:rsidP="00C73F47">
            <w:pPr>
              <w:pStyle w:val="TableText"/>
              <w:rPr>
                <w:lang w:eastAsia="en-NZ"/>
              </w:rPr>
            </w:pPr>
            <w:r w:rsidRPr="008B2F2A">
              <w:rPr>
                <w:lang w:eastAsia="en-NZ"/>
              </w:rPr>
              <w:t>CC</w:t>
            </w:r>
            <w:r>
              <w:rPr>
                <w:lang w:eastAsia="en-NZ"/>
              </w:rPr>
              <w:t>DHB</w:t>
            </w:r>
          </w:p>
        </w:tc>
        <w:tc>
          <w:tcPr>
            <w:tcW w:w="753" w:type="dxa"/>
            <w:tcBorders>
              <w:top w:val="single" w:sz="4" w:space="0" w:color="A6A6A6"/>
              <w:bottom w:val="single" w:sz="4" w:space="0" w:color="A6A6A6"/>
              <w:right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top w:val="single" w:sz="4" w:space="0" w:color="A6A6A6"/>
              <w:left w:val="single" w:sz="4" w:space="0" w:color="A6A6A6"/>
              <w:bottom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left w:val="single" w:sz="4" w:space="0" w:color="A6A6A6"/>
              <w:bottom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left w:val="single" w:sz="4" w:space="0" w:color="A6A6A6"/>
              <w:bottom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left w:val="single" w:sz="4" w:space="0" w:color="A6A6A6"/>
              <w:bottom w:val="single" w:sz="4" w:space="0" w:color="A6A6A6"/>
              <w:right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left w:val="single" w:sz="4" w:space="0" w:color="A6A6A6"/>
              <w:bottom w:val="single" w:sz="4" w:space="0" w:color="A6A6A6"/>
              <w:right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left w:val="single" w:sz="4" w:space="0" w:color="A6A6A6"/>
              <w:bottom w:val="single" w:sz="4" w:space="0" w:color="A6A6A6"/>
              <w:right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top w:val="single" w:sz="4" w:space="0" w:color="A6A6A6"/>
              <w:left w:val="single" w:sz="4" w:space="0" w:color="A6A6A6"/>
              <w:bottom w:val="single" w:sz="4" w:space="0" w:color="A6A6A6"/>
              <w:right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left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r>
      <w:tr w:rsidR="00D04BAB" w:rsidRPr="008B2F2A" w:rsidTr="00056904">
        <w:trPr>
          <w:cantSplit/>
        </w:trPr>
        <w:tc>
          <w:tcPr>
            <w:tcW w:w="1433" w:type="dxa"/>
            <w:vMerge w:val="restart"/>
            <w:shd w:val="clear" w:color="auto" w:fill="auto"/>
            <w:noWrap/>
          </w:tcPr>
          <w:p w:rsidR="00D04BAB" w:rsidRPr="008B2F2A" w:rsidRDefault="00D04BAB" w:rsidP="00C73F47">
            <w:pPr>
              <w:pStyle w:val="TableText"/>
              <w:rPr>
                <w:lang w:eastAsia="en-NZ"/>
              </w:rPr>
            </w:pPr>
            <w:r w:rsidRPr="008B2F2A">
              <w:rPr>
                <w:lang w:eastAsia="en-NZ"/>
              </w:rPr>
              <w:t>South</w:t>
            </w:r>
            <w:r>
              <w:rPr>
                <w:lang w:eastAsia="en-NZ"/>
              </w:rPr>
              <w:t xml:space="preserve"> Island</w:t>
            </w:r>
          </w:p>
        </w:tc>
        <w:tc>
          <w:tcPr>
            <w:tcW w:w="1161" w:type="dxa"/>
            <w:shd w:val="clear" w:color="auto" w:fill="auto"/>
            <w:noWrap/>
          </w:tcPr>
          <w:p w:rsidR="00D04BAB" w:rsidRPr="008B2F2A" w:rsidRDefault="00D04BAB" w:rsidP="00C73F47">
            <w:pPr>
              <w:pStyle w:val="TableText"/>
              <w:rPr>
                <w:lang w:eastAsia="en-NZ"/>
              </w:rPr>
            </w:pPr>
            <w:r w:rsidRPr="008B2F2A">
              <w:rPr>
                <w:lang w:eastAsia="en-NZ"/>
              </w:rPr>
              <w:t>C</w:t>
            </w:r>
            <w:r>
              <w:rPr>
                <w:lang w:eastAsia="en-NZ"/>
              </w:rPr>
              <w:t>DHB</w:t>
            </w:r>
          </w:p>
        </w:tc>
        <w:tc>
          <w:tcPr>
            <w:tcW w:w="753" w:type="dxa"/>
            <w:tcBorders>
              <w:top w:val="single" w:sz="4" w:space="0" w:color="A6A6A6"/>
              <w:bottom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r>
      <w:tr w:rsidR="00D04BAB" w:rsidRPr="008B2F2A" w:rsidTr="00056904">
        <w:trPr>
          <w:cantSplit/>
        </w:trPr>
        <w:tc>
          <w:tcPr>
            <w:tcW w:w="1433" w:type="dxa"/>
            <w:vMerge/>
            <w:shd w:val="clear" w:color="auto" w:fill="auto"/>
            <w:noWrap/>
          </w:tcPr>
          <w:p w:rsidR="00D04BAB" w:rsidRPr="008B2F2A" w:rsidRDefault="00D04BAB" w:rsidP="00C73F47">
            <w:pPr>
              <w:pStyle w:val="TableText"/>
              <w:rPr>
                <w:lang w:eastAsia="en-NZ"/>
              </w:rPr>
            </w:pPr>
          </w:p>
        </w:tc>
        <w:tc>
          <w:tcPr>
            <w:tcW w:w="1161" w:type="dxa"/>
            <w:shd w:val="clear" w:color="auto" w:fill="auto"/>
            <w:noWrap/>
          </w:tcPr>
          <w:p w:rsidR="00D04BAB" w:rsidRPr="008B2F2A" w:rsidRDefault="00D04BAB" w:rsidP="00C73F47">
            <w:pPr>
              <w:pStyle w:val="TableText"/>
              <w:rPr>
                <w:lang w:eastAsia="en-NZ"/>
              </w:rPr>
            </w:pPr>
            <w:r w:rsidRPr="008B2F2A">
              <w:rPr>
                <w:lang w:eastAsia="en-NZ"/>
              </w:rPr>
              <w:t>SGC</w:t>
            </w:r>
          </w:p>
        </w:tc>
        <w:tc>
          <w:tcPr>
            <w:tcW w:w="753" w:type="dxa"/>
            <w:tcBorders>
              <w:top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bottom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tcBorders>
            <w:shd w:val="clear" w:color="auto" w:fill="auto"/>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tcBorders>
            <w:shd w:val="clear" w:color="auto" w:fill="DA9694"/>
            <w:noWrap/>
            <w:vAlign w:val="bottom"/>
          </w:tcPr>
          <w:p w:rsidR="00D04BAB" w:rsidRPr="00702D0B" w:rsidRDefault="00D04BAB" w:rsidP="00C73F47">
            <w:pPr>
              <w:pStyle w:val="TableText"/>
              <w:jc w:val="center"/>
              <w:rPr>
                <w:color w:val="000000"/>
                <w:lang w:eastAsia="en-NZ"/>
              </w:rPr>
            </w:pPr>
          </w:p>
        </w:tc>
        <w:tc>
          <w:tcPr>
            <w:tcW w:w="753" w:type="dxa"/>
            <w:tcBorders>
              <w:top w:val="single" w:sz="4" w:space="0" w:color="A6A6A6"/>
            </w:tcBorders>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r>
      <w:tr w:rsidR="00D04BAB" w:rsidRPr="008B2F2A" w:rsidTr="00D04BAB">
        <w:trPr>
          <w:cantSplit/>
        </w:trPr>
        <w:tc>
          <w:tcPr>
            <w:tcW w:w="1433" w:type="dxa"/>
            <w:vMerge/>
            <w:shd w:val="clear" w:color="auto" w:fill="auto"/>
            <w:noWrap/>
          </w:tcPr>
          <w:p w:rsidR="00D04BAB" w:rsidRPr="008B2F2A" w:rsidRDefault="00D04BAB" w:rsidP="00C73F47">
            <w:pPr>
              <w:pStyle w:val="TableText"/>
              <w:rPr>
                <w:lang w:eastAsia="en-NZ"/>
              </w:rPr>
            </w:pPr>
          </w:p>
        </w:tc>
        <w:tc>
          <w:tcPr>
            <w:tcW w:w="1161" w:type="dxa"/>
            <w:shd w:val="clear" w:color="auto" w:fill="auto"/>
            <w:noWrap/>
          </w:tcPr>
          <w:p w:rsidR="00D04BAB" w:rsidRPr="008B2F2A" w:rsidRDefault="00D04BAB" w:rsidP="00C73F47">
            <w:pPr>
              <w:pStyle w:val="TableText"/>
              <w:rPr>
                <w:lang w:eastAsia="en-NZ"/>
              </w:rPr>
            </w:pPr>
            <w:r w:rsidRPr="008B2F2A">
              <w:rPr>
                <w:lang w:eastAsia="en-NZ"/>
              </w:rPr>
              <w:t>S</w:t>
            </w:r>
            <w:r>
              <w:rPr>
                <w:lang w:eastAsia="en-NZ"/>
              </w:rPr>
              <w:t>DHB</w:t>
            </w:r>
          </w:p>
        </w:tc>
        <w:tc>
          <w:tcPr>
            <w:tcW w:w="753" w:type="dxa"/>
            <w:shd w:val="clear" w:color="auto" w:fill="auto"/>
            <w:noWrap/>
            <w:vAlign w:val="bottom"/>
          </w:tcPr>
          <w:p w:rsidR="00D04BAB" w:rsidRPr="00702D0B" w:rsidRDefault="00D04BAB" w:rsidP="00C73F47">
            <w:pPr>
              <w:pStyle w:val="TableText"/>
              <w:jc w:val="center"/>
              <w:rPr>
                <w:color w:val="000000"/>
                <w:lang w:eastAsia="en-NZ"/>
              </w:rPr>
            </w:pPr>
          </w:p>
        </w:tc>
        <w:tc>
          <w:tcPr>
            <w:tcW w:w="753" w:type="dxa"/>
            <w:shd w:val="clear" w:color="auto" w:fill="auto"/>
            <w:noWrap/>
            <w:vAlign w:val="bottom"/>
          </w:tcPr>
          <w:p w:rsidR="00D04BAB" w:rsidRPr="00702D0B" w:rsidRDefault="00D04BAB" w:rsidP="00C73F47">
            <w:pPr>
              <w:pStyle w:val="TableText"/>
              <w:jc w:val="center"/>
              <w:rPr>
                <w:color w:val="000000"/>
                <w:lang w:eastAsia="en-NZ"/>
              </w:rPr>
            </w:pPr>
          </w:p>
        </w:tc>
        <w:tc>
          <w:tcPr>
            <w:tcW w:w="753" w:type="dxa"/>
            <w:shd w:val="clear" w:color="auto" w:fill="auto"/>
            <w:noWrap/>
            <w:vAlign w:val="bottom"/>
          </w:tcPr>
          <w:p w:rsidR="00D04BAB" w:rsidRPr="00702D0B" w:rsidRDefault="00D04BAB" w:rsidP="00C73F47">
            <w:pPr>
              <w:pStyle w:val="TableText"/>
              <w:jc w:val="center"/>
              <w:rPr>
                <w:color w:val="000000"/>
                <w:lang w:eastAsia="en-NZ"/>
              </w:rPr>
            </w:pPr>
          </w:p>
        </w:tc>
        <w:tc>
          <w:tcPr>
            <w:tcW w:w="753" w:type="dxa"/>
            <w:shd w:val="clear" w:color="auto" w:fill="auto"/>
            <w:noWrap/>
            <w:vAlign w:val="bottom"/>
          </w:tcPr>
          <w:p w:rsidR="00D04BAB" w:rsidRPr="00702D0B" w:rsidRDefault="00D04BAB" w:rsidP="00C73F47">
            <w:pPr>
              <w:pStyle w:val="TableText"/>
              <w:jc w:val="center"/>
              <w:rPr>
                <w:color w:val="000000"/>
                <w:lang w:eastAsia="en-NZ"/>
              </w:rPr>
            </w:pPr>
          </w:p>
        </w:tc>
        <w:tc>
          <w:tcPr>
            <w:tcW w:w="753" w:type="dxa"/>
            <w:shd w:val="clear" w:color="auto" w:fill="DA9694"/>
            <w:noWrap/>
            <w:vAlign w:val="bottom"/>
          </w:tcPr>
          <w:p w:rsidR="00D04BAB" w:rsidRPr="00702D0B" w:rsidRDefault="00D04BAB" w:rsidP="00C73F47">
            <w:pPr>
              <w:pStyle w:val="TableText"/>
              <w:jc w:val="center"/>
              <w:rPr>
                <w:color w:val="000000"/>
                <w:lang w:eastAsia="en-NZ"/>
              </w:rPr>
            </w:pPr>
          </w:p>
        </w:tc>
        <w:tc>
          <w:tcPr>
            <w:tcW w:w="753" w:type="dxa"/>
            <w:shd w:val="clear" w:color="auto" w:fill="963634"/>
            <w:noWrap/>
            <w:vAlign w:val="bottom"/>
          </w:tcPr>
          <w:p w:rsidR="00D04BAB" w:rsidRPr="00C73F47" w:rsidRDefault="00D04BAB"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D04BAB" w:rsidRPr="00702D0B" w:rsidRDefault="00D04BAB" w:rsidP="00C73F47">
            <w:pPr>
              <w:pStyle w:val="TableText"/>
              <w:jc w:val="center"/>
              <w:rPr>
                <w:color w:val="000000"/>
                <w:lang w:eastAsia="en-NZ"/>
              </w:rPr>
            </w:pPr>
          </w:p>
        </w:tc>
        <w:tc>
          <w:tcPr>
            <w:tcW w:w="753" w:type="dxa"/>
            <w:shd w:val="clear" w:color="auto" w:fill="auto"/>
            <w:noWrap/>
            <w:vAlign w:val="bottom"/>
          </w:tcPr>
          <w:p w:rsidR="00D04BAB" w:rsidRPr="00702D0B" w:rsidRDefault="00D04BAB" w:rsidP="00C73F47">
            <w:pPr>
              <w:pStyle w:val="TableText"/>
              <w:jc w:val="center"/>
              <w:rPr>
                <w:color w:val="000000"/>
                <w:lang w:eastAsia="en-NZ"/>
              </w:rPr>
            </w:pPr>
          </w:p>
        </w:tc>
        <w:tc>
          <w:tcPr>
            <w:tcW w:w="753" w:type="dxa"/>
            <w:shd w:val="clear" w:color="auto" w:fill="auto"/>
            <w:noWrap/>
            <w:vAlign w:val="bottom"/>
          </w:tcPr>
          <w:p w:rsidR="00D04BAB" w:rsidRPr="00702D0B" w:rsidRDefault="00D04BAB" w:rsidP="00C73F47">
            <w:pPr>
              <w:pStyle w:val="TableText"/>
              <w:jc w:val="center"/>
              <w:rPr>
                <w:color w:val="000000"/>
                <w:lang w:eastAsia="en-NZ"/>
              </w:rPr>
            </w:pPr>
          </w:p>
        </w:tc>
      </w:tr>
      <w:tr w:rsidR="00D04BAB" w:rsidRPr="008B2F2A" w:rsidTr="00D04BAB">
        <w:trPr>
          <w:cantSplit/>
        </w:trPr>
        <w:tc>
          <w:tcPr>
            <w:tcW w:w="2594" w:type="dxa"/>
            <w:gridSpan w:val="2"/>
            <w:shd w:val="clear" w:color="auto" w:fill="auto"/>
            <w:noWrap/>
          </w:tcPr>
          <w:p w:rsidR="00D04BAB" w:rsidRPr="00523384" w:rsidRDefault="00D04BAB" w:rsidP="00C73F47">
            <w:pPr>
              <w:pStyle w:val="TableText"/>
              <w:rPr>
                <w:b/>
                <w:lang w:eastAsia="en-NZ"/>
              </w:rPr>
            </w:pPr>
            <w:r w:rsidRPr="00523384">
              <w:rPr>
                <w:b/>
                <w:lang w:eastAsia="en-NZ"/>
              </w:rPr>
              <w:t>Cumulative total NZ</w:t>
            </w:r>
          </w:p>
        </w:tc>
        <w:tc>
          <w:tcPr>
            <w:tcW w:w="753" w:type="dxa"/>
            <w:shd w:val="clear" w:color="auto" w:fill="auto"/>
            <w:noWrap/>
            <w:vAlign w:val="bottom"/>
          </w:tcPr>
          <w:p w:rsidR="00D04BAB" w:rsidRDefault="00D04BAB" w:rsidP="00C73F47">
            <w:pPr>
              <w:pStyle w:val="TableText"/>
              <w:jc w:val="center"/>
              <w:rPr>
                <w:color w:val="000000"/>
                <w:lang w:eastAsia="en-NZ"/>
              </w:rPr>
            </w:pPr>
            <w:r>
              <w:rPr>
                <w:b/>
                <w:bCs/>
                <w:color w:val="000000"/>
                <w:lang w:eastAsia="en-NZ"/>
              </w:rPr>
              <w:t>+4</w:t>
            </w:r>
          </w:p>
        </w:tc>
        <w:tc>
          <w:tcPr>
            <w:tcW w:w="753" w:type="dxa"/>
            <w:shd w:val="clear" w:color="auto" w:fill="auto"/>
            <w:noWrap/>
            <w:vAlign w:val="bottom"/>
          </w:tcPr>
          <w:p w:rsidR="00D04BAB" w:rsidRPr="00702D0B" w:rsidRDefault="00D04BAB" w:rsidP="00C73F47">
            <w:pPr>
              <w:pStyle w:val="TableText"/>
              <w:jc w:val="center"/>
              <w:rPr>
                <w:b/>
                <w:bCs/>
                <w:color w:val="000000"/>
                <w:lang w:eastAsia="en-NZ"/>
              </w:rPr>
            </w:pPr>
            <w:r w:rsidRPr="00702D0B">
              <w:rPr>
                <w:b/>
                <w:bCs/>
                <w:color w:val="000000"/>
                <w:lang w:eastAsia="en-NZ"/>
              </w:rPr>
              <w:t>+5</w:t>
            </w:r>
          </w:p>
        </w:tc>
        <w:tc>
          <w:tcPr>
            <w:tcW w:w="753" w:type="dxa"/>
            <w:shd w:val="clear" w:color="auto" w:fill="auto"/>
            <w:noWrap/>
            <w:vAlign w:val="bottom"/>
          </w:tcPr>
          <w:p w:rsidR="00D04BAB" w:rsidRPr="00702D0B" w:rsidRDefault="00D04BAB" w:rsidP="00C73F47">
            <w:pPr>
              <w:pStyle w:val="TableText"/>
              <w:jc w:val="center"/>
              <w:rPr>
                <w:b/>
                <w:bCs/>
                <w:color w:val="000000"/>
                <w:lang w:eastAsia="en-NZ"/>
              </w:rPr>
            </w:pPr>
            <w:r w:rsidRPr="00702D0B">
              <w:rPr>
                <w:b/>
                <w:bCs/>
                <w:color w:val="000000"/>
                <w:lang w:eastAsia="en-NZ"/>
              </w:rPr>
              <w:t>+6</w:t>
            </w:r>
          </w:p>
        </w:tc>
        <w:tc>
          <w:tcPr>
            <w:tcW w:w="753" w:type="dxa"/>
            <w:shd w:val="clear" w:color="auto" w:fill="auto"/>
            <w:noWrap/>
            <w:vAlign w:val="bottom"/>
          </w:tcPr>
          <w:p w:rsidR="00D04BAB" w:rsidRPr="00702D0B" w:rsidRDefault="00D04BAB" w:rsidP="00C73F47">
            <w:pPr>
              <w:pStyle w:val="TableText"/>
              <w:jc w:val="center"/>
              <w:rPr>
                <w:b/>
                <w:bCs/>
                <w:color w:val="000000"/>
                <w:lang w:eastAsia="en-NZ"/>
              </w:rPr>
            </w:pPr>
            <w:r w:rsidRPr="00702D0B">
              <w:rPr>
                <w:b/>
                <w:bCs/>
                <w:color w:val="000000"/>
                <w:lang w:eastAsia="en-NZ"/>
              </w:rPr>
              <w:t>+7</w:t>
            </w:r>
          </w:p>
        </w:tc>
        <w:tc>
          <w:tcPr>
            <w:tcW w:w="753" w:type="dxa"/>
            <w:shd w:val="clear" w:color="auto" w:fill="auto"/>
            <w:noWrap/>
            <w:vAlign w:val="bottom"/>
          </w:tcPr>
          <w:p w:rsidR="00D04BAB" w:rsidRPr="00702D0B" w:rsidRDefault="00D04BAB" w:rsidP="00C73F47">
            <w:pPr>
              <w:pStyle w:val="TableText"/>
              <w:jc w:val="center"/>
              <w:rPr>
                <w:b/>
                <w:bCs/>
                <w:color w:val="000000"/>
                <w:lang w:eastAsia="en-NZ"/>
              </w:rPr>
            </w:pPr>
          </w:p>
        </w:tc>
        <w:tc>
          <w:tcPr>
            <w:tcW w:w="753" w:type="dxa"/>
            <w:shd w:val="clear" w:color="auto" w:fill="auto"/>
            <w:noWrap/>
            <w:vAlign w:val="bottom"/>
          </w:tcPr>
          <w:p w:rsidR="00D04BAB" w:rsidRPr="00702D0B" w:rsidRDefault="00D04BAB" w:rsidP="00C73F47">
            <w:pPr>
              <w:pStyle w:val="TableText"/>
              <w:jc w:val="center"/>
              <w:rPr>
                <w:b/>
                <w:bCs/>
                <w:color w:val="000000"/>
                <w:lang w:eastAsia="en-NZ"/>
              </w:rPr>
            </w:pPr>
            <w:r w:rsidRPr="00702D0B">
              <w:rPr>
                <w:b/>
                <w:bCs/>
                <w:color w:val="000000"/>
                <w:lang w:eastAsia="en-NZ"/>
              </w:rPr>
              <w:t>+10</w:t>
            </w:r>
          </w:p>
        </w:tc>
        <w:tc>
          <w:tcPr>
            <w:tcW w:w="753" w:type="dxa"/>
            <w:shd w:val="clear" w:color="auto" w:fill="auto"/>
            <w:noWrap/>
            <w:vAlign w:val="bottom"/>
          </w:tcPr>
          <w:p w:rsidR="00D04BAB" w:rsidRPr="00702D0B" w:rsidRDefault="00D04BAB" w:rsidP="00C73F47">
            <w:pPr>
              <w:pStyle w:val="TableText"/>
              <w:jc w:val="center"/>
              <w:rPr>
                <w:b/>
                <w:bCs/>
                <w:color w:val="000000"/>
                <w:lang w:eastAsia="en-NZ"/>
              </w:rPr>
            </w:pPr>
            <w:r w:rsidRPr="00702D0B">
              <w:rPr>
                <w:b/>
                <w:bCs/>
                <w:color w:val="000000"/>
                <w:lang w:eastAsia="en-NZ"/>
              </w:rPr>
              <w:t>+11</w:t>
            </w:r>
          </w:p>
        </w:tc>
        <w:tc>
          <w:tcPr>
            <w:tcW w:w="753" w:type="dxa"/>
            <w:shd w:val="clear" w:color="auto" w:fill="auto"/>
            <w:noWrap/>
            <w:vAlign w:val="bottom"/>
          </w:tcPr>
          <w:p w:rsidR="00D04BAB" w:rsidRPr="00702D0B" w:rsidRDefault="00D04BAB" w:rsidP="00C73F47">
            <w:pPr>
              <w:pStyle w:val="TableText"/>
              <w:jc w:val="center"/>
              <w:rPr>
                <w:b/>
                <w:bCs/>
                <w:color w:val="000000"/>
                <w:lang w:eastAsia="en-NZ"/>
              </w:rPr>
            </w:pPr>
            <w:r w:rsidRPr="00702D0B">
              <w:rPr>
                <w:b/>
                <w:bCs/>
                <w:color w:val="000000"/>
                <w:lang w:eastAsia="en-NZ"/>
              </w:rPr>
              <w:t>+14</w:t>
            </w:r>
          </w:p>
        </w:tc>
        <w:tc>
          <w:tcPr>
            <w:tcW w:w="753" w:type="dxa"/>
            <w:shd w:val="clear" w:color="auto" w:fill="auto"/>
            <w:noWrap/>
            <w:vAlign w:val="bottom"/>
          </w:tcPr>
          <w:p w:rsidR="00D04BAB" w:rsidRPr="00702D0B" w:rsidRDefault="00D04BAB" w:rsidP="00C73F47">
            <w:pPr>
              <w:pStyle w:val="TableText"/>
              <w:jc w:val="center"/>
              <w:rPr>
                <w:b/>
                <w:bCs/>
                <w:color w:val="000000"/>
                <w:lang w:eastAsia="en-NZ"/>
              </w:rPr>
            </w:pPr>
            <w:r w:rsidRPr="00702D0B">
              <w:rPr>
                <w:b/>
                <w:bCs/>
                <w:color w:val="000000"/>
                <w:lang w:eastAsia="en-NZ"/>
              </w:rPr>
              <w:t>+17</w:t>
            </w:r>
          </w:p>
        </w:tc>
      </w:tr>
    </w:tbl>
    <w:p w:rsidR="00D04BAB" w:rsidRPr="00BF4B05" w:rsidRDefault="00D04BAB" w:rsidP="00D04BAB">
      <w:pPr>
        <w:rPr>
          <w:sz w:val="12"/>
          <w:szCs w:val="12"/>
        </w:rPr>
      </w:pPr>
    </w:p>
    <w:tbl>
      <w:tblPr>
        <w:tblW w:w="0" w:type="auto"/>
        <w:tblLayout w:type="fixed"/>
        <w:tblLook w:val="04A0" w:firstRow="1" w:lastRow="0" w:firstColumn="1" w:lastColumn="0" w:noHBand="0" w:noVBand="1"/>
      </w:tblPr>
      <w:tblGrid>
        <w:gridCol w:w="675"/>
        <w:gridCol w:w="4536"/>
      </w:tblGrid>
      <w:tr w:rsidR="00D04BAB" w:rsidRPr="008B2F2A" w:rsidTr="00C73F47">
        <w:trPr>
          <w:cantSplit/>
        </w:trPr>
        <w:tc>
          <w:tcPr>
            <w:tcW w:w="675" w:type="dxa"/>
            <w:vMerge w:val="restart"/>
            <w:tcBorders>
              <w:right w:val="single" w:sz="4" w:space="0" w:color="A6A6A6"/>
            </w:tcBorders>
            <w:shd w:val="clear" w:color="auto" w:fill="auto"/>
            <w:noWrap/>
          </w:tcPr>
          <w:p w:rsidR="00D04BAB" w:rsidRPr="008B2F2A" w:rsidRDefault="00D04BAB" w:rsidP="00C73F47">
            <w:pPr>
              <w:pStyle w:val="TableText"/>
              <w:rPr>
                <w:lang w:eastAsia="en-NZ"/>
              </w:rPr>
            </w:pPr>
            <w:r w:rsidRPr="008B2F2A">
              <w:rPr>
                <w:lang w:eastAsia="en-NZ"/>
              </w:rPr>
              <w:t>Key:</w:t>
            </w:r>
          </w:p>
        </w:tc>
        <w:tc>
          <w:tcPr>
            <w:tcW w:w="4536" w:type="dxa"/>
            <w:tcBorders>
              <w:top w:val="single" w:sz="4" w:space="0" w:color="A6A6A6"/>
              <w:left w:val="single" w:sz="4" w:space="0" w:color="A6A6A6"/>
              <w:bottom w:val="single" w:sz="4" w:space="0" w:color="A6A6A6"/>
              <w:right w:val="single" w:sz="4" w:space="0" w:color="A6A6A6"/>
            </w:tcBorders>
            <w:shd w:val="clear" w:color="000000" w:fill="DA9694"/>
            <w:noWrap/>
          </w:tcPr>
          <w:p w:rsidR="00D04BAB" w:rsidRPr="008B2F2A" w:rsidRDefault="00D04BAB" w:rsidP="00C73F47">
            <w:pPr>
              <w:pStyle w:val="TableText"/>
              <w:rPr>
                <w:lang w:eastAsia="en-NZ"/>
              </w:rPr>
            </w:pPr>
            <w:r w:rsidRPr="008B2F2A">
              <w:rPr>
                <w:lang w:eastAsia="en-NZ"/>
              </w:rPr>
              <w:t>Within 95% of capacity</w:t>
            </w:r>
          </w:p>
        </w:tc>
      </w:tr>
      <w:tr w:rsidR="00D04BAB" w:rsidRPr="008B2F2A" w:rsidTr="00C73F47">
        <w:trPr>
          <w:cantSplit/>
        </w:trPr>
        <w:tc>
          <w:tcPr>
            <w:tcW w:w="675" w:type="dxa"/>
            <w:vMerge/>
            <w:tcBorders>
              <w:right w:val="single" w:sz="4" w:space="0" w:color="A6A6A6"/>
            </w:tcBorders>
            <w:shd w:val="clear" w:color="auto" w:fill="auto"/>
            <w:noWrap/>
          </w:tcPr>
          <w:p w:rsidR="00D04BAB" w:rsidRPr="008B2F2A" w:rsidRDefault="00D04BAB" w:rsidP="00C73F47">
            <w:pPr>
              <w:pStyle w:val="TableText"/>
              <w:keepNext/>
              <w:rPr>
                <w:lang w:eastAsia="en-NZ"/>
              </w:rPr>
            </w:pPr>
          </w:p>
        </w:tc>
        <w:tc>
          <w:tcPr>
            <w:tcW w:w="4536" w:type="dxa"/>
            <w:tcBorders>
              <w:top w:val="single" w:sz="4" w:space="0" w:color="A6A6A6"/>
              <w:left w:val="single" w:sz="4" w:space="0" w:color="A6A6A6"/>
              <w:bottom w:val="single" w:sz="4" w:space="0" w:color="A6A6A6"/>
              <w:right w:val="single" w:sz="4" w:space="0" w:color="A6A6A6"/>
            </w:tcBorders>
            <w:shd w:val="clear" w:color="000000" w:fill="963634"/>
            <w:noWrap/>
          </w:tcPr>
          <w:p w:rsidR="00D04BAB" w:rsidRPr="008B2F2A" w:rsidRDefault="00D04BAB" w:rsidP="00C73F47">
            <w:pPr>
              <w:pStyle w:val="TableText"/>
              <w:keepNext/>
              <w:rPr>
                <w:color w:val="F2F2F2"/>
                <w:lang w:eastAsia="en-NZ"/>
              </w:rPr>
            </w:pPr>
            <w:r w:rsidRPr="008B2F2A">
              <w:rPr>
                <w:color w:val="F2F2F2"/>
                <w:lang w:eastAsia="en-NZ"/>
              </w:rPr>
              <w:t>Model suggests new linac may be needed</w:t>
            </w:r>
          </w:p>
        </w:tc>
      </w:tr>
    </w:tbl>
    <w:p w:rsidR="0016725D" w:rsidRDefault="00F425CB" w:rsidP="0016725D">
      <w:pPr>
        <w:pStyle w:val="Note"/>
        <w:rPr>
          <w:lang w:eastAsia="en-NZ"/>
        </w:rPr>
      </w:pPr>
      <w:r w:rsidRPr="00702D0B">
        <w:rPr>
          <w:lang w:eastAsia="en-NZ"/>
        </w:rPr>
        <w:t xml:space="preserve">Assumes Growth scenario (45% IR), with all centres working at current operating parameters (for table with tipping point and operational gains included, see </w:t>
      </w:r>
      <w:r w:rsidR="0016725D">
        <w:rPr>
          <w:lang w:eastAsia="en-NZ"/>
        </w:rPr>
        <w:t>Table 14</w:t>
      </w:r>
      <w:r w:rsidRPr="00702D0B">
        <w:rPr>
          <w:lang w:eastAsia="en-NZ"/>
        </w:rPr>
        <w:t>.</w:t>
      </w:r>
      <w:r w:rsidR="007E7990">
        <w:rPr>
          <w:lang w:eastAsia="en-NZ"/>
        </w:rPr>
        <w:t xml:space="preserve"> </w:t>
      </w:r>
      <w:r w:rsidRPr="00702D0B">
        <w:rPr>
          <w:lang w:eastAsia="en-NZ"/>
        </w:rPr>
        <w:t>Suggested locations and timing only; actual build locations and timing will be dependent on DHB business cases and actual service demand.</w:t>
      </w:r>
    </w:p>
    <w:p w:rsidR="00F425CB" w:rsidRPr="00702D0B" w:rsidRDefault="00F425CB" w:rsidP="0016725D">
      <w:pPr>
        <w:pStyle w:val="Note"/>
        <w:rPr>
          <w:lang w:eastAsia="en-NZ"/>
        </w:rPr>
      </w:pPr>
      <w:r w:rsidRPr="00F425CB">
        <w:rPr>
          <w:b/>
          <w:color w:val="4F81BD"/>
          <w:lang w:eastAsia="en-NZ"/>
        </w:rPr>
        <w:t>S</w:t>
      </w:r>
      <w:r w:rsidRPr="00702D0B">
        <w:rPr>
          <w:lang w:eastAsia="en-NZ"/>
        </w:rPr>
        <w:t xml:space="preserve"> = KKC (Tauranga) starts mid-2014</w:t>
      </w:r>
      <w:r w:rsidR="0016725D">
        <w:rPr>
          <w:lang w:eastAsia="en-NZ"/>
        </w:rPr>
        <w:t>.</w:t>
      </w:r>
    </w:p>
    <w:p w:rsidR="00F425CB" w:rsidRPr="00702D0B" w:rsidRDefault="00F425CB" w:rsidP="0016725D">
      <w:pPr>
        <w:rPr>
          <w:lang w:eastAsia="en-NZ"/>
        </w:rPr>
      </w:pPr>
    </w:p>
    <w:p w:rsidR="00F425CB" w:rsidRDefault="00177741" w:rsidP="00177741">
      <w:pPr>
        <w:pStyle w:val="Heading3"/>
        <w:rPr>
          <w:lang w:eastAsia="en-NZ"/>
        </w:rPr>
      </w:pPr>
      <w:r>
        <w:rPr>
          <w:lang w:eastAsia="en-NZ"/>
        </w:rPr>
        <w:lastRenderedPageBreak/>
        <w:t>D.</w:t>
      </w:r>
      <w:r>
        <w:rPr>
          <w:lang w:eastAsia="en-NZ"/>
        </w:rPr>
        <w:tab/>
      </w:r>
      <w:r w:rsidR="00F425CB" w:rsidRPr="00107F69">
        <w:rPr>
          <w:lang w:eastAsia="en-NZ"/>
        </w:rPr>
        <w:t>Linear accelerator replacements as per HBL schedule</w:t>
      </w:r>
    </w:p>
    <w:tbl>
      <w:tblPr>
        <w:tblW w:w="9371" w:type="dxa"/>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33"/>
        <w:gridCol w:w="1161"/>
        <w:gridCol w:w="753"/>
        <w:gridCol w:w="753"/>
        <w:gridCol w:w="753"/>
        <w:gridCol w:w="753"/>
        <w:gridCol w:w="753"/>
        <w:gridCol w:w="753"/>
        <w:gridCol w:w="753"/>
        <w:gridCol w:w="753"/>
        <w:gridCol w:w="753"/>
      </w:tblGrid>
      <w:tr w:rsidR="00056904" w:rsidRPr="001F41AD" w:rsidTr="00056904">
        <w:trPr>
          <w:cantSplit/>
        </w:trPr>
        <w:tc>
          <w:tcPr>
            <w:tcW w:w="1433" w:type="dxa"/>
            <w:shd w:val="clear" w:color="auto" w:fill="BDE2FF"/>
            <w:noWrap/>
          </w:tcPr>
          <w:p w:rsidR="00056904" w:rsidRPr="001F41AD" w:rsidRDefault="00056904" w:rsidP="00056904">
            <w:pPr>
              <w:pStyle w:val="TableText"/>
              <w:keepNext/>
              <w:rPr>
                <w:b/>
                <w:lang w:eastAsia="en-NZ"/>
              </w:rPr>
            </w:pPr>
            <w:r w:rsidRPr="001F41AD">
              <w:rPr>
                <w:b/>
                <w:lang w:eastAsia="en-NZ"/>
              </w:rPr>
              <w:t>Region</w:t>
            </w:r>
          </w:p>
        </w:tc>
        <w:tc>
          <w:tcPr>
            <w:tcW w:w="1161" w:type="dxa"/>
            <w:shd w:val="clear" w:color="auto" w:fill="BDE2FF"/>
            <w:noWrap/>
          </w:tcPr>
          <w:p w:rsidR="00056904" w:rsidRPr="001F41AD" w:rsidRDefault="00056904" w:rsidP="00056904">
            <w:pPr>
              <w:pStyle w:val="TableText"/>
              <w:keepNext/>
              <w:rPr>
                <w:b/>
                <w:lang w:eastAsia="en-NZ"/>
              </w:rPr>
            </w:pPr>
            <w:r w:rsidRPr="001F41AD">
              <w:rPr>
                <w:b/>
                <w:lang w:eastAsia="en-NZ"/>
              </w:rPr>
              <w:t>Centre</w:t>
            </w:r>
          </w:p>
        </w:tc>
        <w:tc>
          <w:tcPr>
            <w:tcW w:w="753" w:type="dxa"/>
            <w:tcBorders>
              <w:bottom w:val="single" w:sz="4" w:space="0" w:color="A6A6A6"/>
            </w:tcBorders>
            <w:shd w:val="clear" w:color="auto" w:fill="BDE2FF"/>
            <w:noWrap/>
          </w:tcPr>
          <w:p w:rsidR="00056904" w:rsidRPr="001F41AD" w:rsidRDefault="00056904" w:rsidP="00056904">
            <w:pPr>
              <w:pStyle w:val="TableText"/>
              <w:keepNext/>
              <w:jc w:val="center"/>
              <w:rPr>
                <w:b/>
                <w:lang w:eastAsia="en-NZ"/>
              </w:rPr>
            </w:pPr>
            <w:r w:rsidRPr="001F41AD">
              <w:rPr>
                <w:b/>
                <w:lang w:eastAsia="en-NZ"/>
              </w:rPr>
              <w:t>2014</w:t>
            </w:r>
          </w:p>
        </w:tc>
        <w:tc>
          <w:tcPr>
            <w:tcW w:w="753" w:type="dxa"/>
            <w:tcBorders>
              <w:bottom w:val="single" w:sz="4" w:space="0" w:color="A6A6A6"/>
            </w:tcBorders>
            <w:shd w:val="clear" w:color="auto" w:fill="BDE2FF"/>
            <w:noWrap/>
          </w:tcPr>
          <w:p w:rsidR="00056904" w:rsidRPr="001F41AD" w:rsidRDefault="00056904" w:rsidP="00056904">
            <w:pPr>
              <w:pStyle w:val="TableText"/>
              <w:keepNext/>
              <w:jc w:val="center"/>
              <w:rPr>
                <w:b/>
                <w:lang w:eastAsia="en-NZ"/>
              </w:rPr>
            </w:pPr>
            <w:r w:rsidRPr="001F41AD">
              <w:rPr>
                <w:b/>
                <w:lang w:eastAsia="en-NZ"/>
              </w:rPr>
              <w:t>2015</w:t>
            </w:r>
          </w:p>
        </w:tc>
        <w:tc>
          <w:tcPr>
            <w:tcW w:w="753" w:type="dxa"/>
            <w:tcBorders>
              <w:bottom w:val="single" w:sz="4" w:space="0" w:color="A6A6A6"/>
            </w:tcBorders>
            <w:shd w:val="clear" w:color="auto" w:fill="BDE2FF"/>
            <w:noWrap/>
          </w:tcPr>
          <w:p w:rsidR="00056904" w:rsidRPr="001F41AD" w:rsidRDefault="00056904" w:rsidP="00056904">
            <w:pPr>
              <w:pStyle w:val="TableText"/>
              <w:keepNext/>
              <w:jc w:val="center"/>
              <w:rPr>
                <w:b/>
                <w:lang w:eastAsia="en-NZ"/>
              </w:rPr>
            </w:pPr>
            <w:r w:rsidRPr="001F41AD">
              <w:rPr>
                <w:b/>
                <w:lang w:eastAsia="en-NZ"/>
              </w:rPr>
              <w:t>2016</w:t>
            </w:r>
          </w:p>
        </w:tc>
        <w:tc>
          <w:tcPr>
            <w:tcW w:w="753" w:type="dxa"/>
            <w:tcBorders>
              <w:bottom w:val="single" w:sz="4" w:space="0" w:color="A6A6A6"/>
            </w:tcBorders>
            <w:shd w:val="clear" w:color="auto" w:fill="BDE2FF"/>
            <w:noWrap/>
          </w:tcPr>
          <w:p w:rsidR="00056904" w:rsidRPr="001F41AD" w:rsidRDefault="00056904" w:rsidP="00056904">
            <w:pPr>
              <w:pStyle w:val="TableText"/>
              <w:keepNext/>
              <w:jc w:val="center"/>
              <w:rPr>
                <w:b/>
                <w:lang w:eastAsia="en-NZ"/>
              </w:rPr>
            </w:pPr>
            <w:r w:rsidRPr="001F41AD">
              <w:rPr>
                <w:b/>
                <w:lang w:eastAsia="en-NZ"/>
              </w:rPr>
              <w:t>2017</w:t>
            </w:r>
          </w:p>
        </w:tc>
        <w:tc>
          <w:tcPr>
            <w:tcW w:w="753" w:type="dxa"/>
            <w:tcBorders>
              <w:bottom w:val="single" w:sz="4" w:space="0" w:color="A6A6A6"/>
            </w:tcBorders>
            <w:shd w:val="clear" w:color="auto" w:fill="BDE2FF"/>
            <w:noWrap/>
          </w:tcPr>
          <w:p w:rsidR="00056904" w:rsidRPr="001F41AD" w:rsidRDefault="00056904" w:rsidP="00056904">
            <w:pPr>
              <w:pStyle w:val="TableText"/>
              <w:keepNext/>
              <w:jc w:val="center"/>
              <w:rPr>
                <w:b/>
                <w:lang w:eastAsia="en-NZ"/>
              </w:rPr>
            </w:pPr>
            <w:r w:rsidRPr="001F41AD">
              <w:rPr>
                <w:b/>
                <w:lang w:eastAsia="en-NZ"/>
              </w:rPr>
              <w:t>2018</w:t>
            </w:r>
          </w:p>
        </w:tc>
        <w:tc>
          <w:tcPr>
            <w:tcW w:w="753" w:type="dxa"/>
            <w:tcBorders>
              <w:bottom w:val="single" w:sz="4" w:space="0" w:color="A6A6A6"/>
            </w:tcBorders>
            <w:shd w:val="clear" w:color="auto" w:fill="BDE2FF"/>
            <w:noWrap/>
          </w:tcPr>
          <w:p w:rsidR="00056904" w:rsidRPr="001F41AD" w:rsidRDefault="00056904" w:rsidP="00056904">
            <w:pPr>
              <w:pStyle w:val="TableText"/>
              <w:keepNext/>
              <w:jc w:val="center"/>
              <w:rPr>
                <w:b/>
                <w:lang w:eastAsia="en-NZ"/>
              </w:rPr>
            </w:pPr>
            <w:r w:rsidRPr="001F41AD">
              <w:rPr>
                <w:b/>
                <w:lang w:eastAsia="en-NZ"/>
              </w:rPr>
              <w:t>2019</w:t>
            </w:r>
          </w:p>
        </w:tc>
        <w:tc>
          <w:tcPr>
            <w:tcW w:w="753" w:type="dxa"/>
            <w:tcBorders>
              <w:bottom w:val="single" w:sz="4" w:space="0" w:color="A6A6A6"/>
            </w:tcBorders>
            <w:shd w:val="clear" w:color="auto" w:fill="BDE2FF"/>
            <w:noWrap/>
          </w:tcPr>
          <w:p w:rsidR="00056904" w:rsidRPr="001F41AD" w:rsidRDefault="00056904" w:rsidP="00056904">
            <w:pPr>
              <w:pStyle w:val="TableText"/>
              <w:keepNext/>
              <w:jc w:val="center"/>
              <w:rPr>
                <w:b/>
                <w:lang w:eastAsia="en-NZ"/>
              </w:rPr>
            </w:pPr>
            <w:r w:rsidRPr="001F41AD">
              <w:rPr>
                <w:b/>
                <w:lang w:eastAsia="en-NZ"/>
              </w:rPr>
              <w:t>2020</w:t>
            </w:r>
          </w:p>
        </w:tc>
        <w:tc>
          <w:tcPr>
            <w:tcW w:w="753" w:type="dxa"/>
            <w:tcBorders>
              <w:bottom w:val="single" w:sz="4" w:space="0" w:color="A6A6A6"/>
            </w:tcBorders>
            <w:shd w:val="clear" w:color="auto" w:fill="BDE2FF"/>
            <w:noWrap/>
          </w:tcPr>
          <w:p w:rsidR="00056904" w:rsidRPr="001F41AD" w:rsidRDefault="00056904" w:rsidP="00056904">
            <w:pPr>
              <w:pStyle w:val="TableText"/>
              <w:keepNext/>
              <w:jc w:val="center"/>
              <w:rPr>
                <w:b/>
                <w:lang w:eastAsia="en-NZ"/>
              </w:rPr>
            </w:pPr>
            <w:r w:rsidRPr="001F41AD">
              <w:rPr>
                <w:b/>
                <w:lang w:eastAsia="en-NZ"/>
              </w:rPr>
              <w:t>2021</w:t>
            </w:r>
          </w:p>
        </w:tc>
        <w:tc>
          <w:tcPr>
            <w:tcW w:w="753" w:type="dxa"/>
            <w:tcBorders>
              <w:bottom w:val="single" w:sz="4" w:space="0" w:color="A6A6A6"/>
            </w:tcBorders>
            <w:shd w:val="clear" w:color="auto" w:fill="BDE2FF"/>
            <w:noWrap/>
          </w:tcPr>
          <w:p w:rsidR="00056904" w:rsidRPr="001F41AD" w:rsidRDefault="00056904" w:rsidP="00056904">
            <w:pPr>
              <w:pStyle w:val="TableText"/>
              <w:keepNext/>
              <w:jc w:val="center"/>
              <w:rPr>
                <w:b/>
                <w:lang w:eastAsia="en-NZ"/>
              </w:rPr>
            </w:pPr>
            <w:r w:rsidRPr="001F41AD">
              <w:rPr>
                <w:b/>
                <w:lang w:eastAsia="en-NZ"/>
              </w:rPr>
              <w:t>2022</w:t>
            </w:r>
          </w:p>
        </w:tc>
      </w:tr>
      <w:tr w:rsidR="00056904" w:rsidRPr="008B2F2A" w:rsidTr="00056904">
        <w:trPr>
          <w:cantSplit/>
        </w:trPr>
        <w:tc>
          <w:tcPr>
            <w:tcW w:w="1433" w:type="dxa"/>
            <w:vMerge w:val="restart"/>
            <w:shd w:val="clear" w:color="auto" w:fill="auto"/>
            <w:noWrap/>
          </w:tcPr>
          <w:p w:rsidR="00056904" w:rsidRPr="008B2F2A" w:rsidRDefault="00056904" w:rsidP="00056904">
            <w:pPr>
              <w:pStyle w:val="TableText"/>
              <w:keepNext/>
              <w:rPr>
                <w:lang w:eastAsia="en-NZ"/>
              </w:rPr>
            </w:pPr>
            <w:r w:rsidRPr="008B2F2A">
              <w:rPr>
                <w:lang w:eastAsia="en-NZ"/>
              </w:rPr>
              <w:t>Northern</w:t>
            </w:r>
          </w:p>
        </w:tc>
        <w:tc>
          <w:tcPr>
            <w:tcW w:w="1161" w:type="dxa"/>
            <w:shd w:val="clear" w:color="auto" w:fill="auto"/>
            <w:noWrap/>
          </w:tcPr>
          <w:p w:rsidR="00056904" w:rsidRPr="008B2F2A" w:rsidRDefault="00056904" w:rsidP="00056904">
            <w:pPr>
              <w:pStyle w:val="TableText"/>
              <w:keepNext/>
              <w:rPr>
                <w:lang w:eastAsia="en-NZ"/>
              </w:rPr>
            </w:pPr>
            <w:r w:rsidRPr="008B2F2A">
              <w:rPr>
                <w:lang w:eastAsia="en-NZ"/>
              </w:rPr>
              <w:t>A</w:t>
            </w:r>
            <w:r>
              <w:rPr>
                <w:lang w:eastAsia="en-NZ"/>
              </w:rPr>
              <w:t>DHB</w:t>
            </w:r>
          </w:p>
        </w:tc>
        <w:tc>
          <w:tcPr>
            <w:tcW w:w="753" w:type="dxa"/>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righ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left w:val="nil"/>
              <w:bottom w:val="single" w:sz="4" w:space="0" w:color="A6A6A6"/>
              <w:righ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left w:val="nil"/>
              <w:righ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left w:val="nil"/>
              <w:bottom w:val="single" w:sz="4" w:space="0" w:color="A6A6A6"/>
              <w:righ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lef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r>
      <w:tr w:rsidR="00056904" w:rsidRPr="008B2F2A" w:rsidTr="00056904">
        <w:trPr>
          <w:cantSplit/>
        </w:trPr>
        <w:tc>
          <w:tcPr>
            <w:tcW w:w="1433" w:type="dxa"/>
            <w:vMerge/>
            <w:shd w:val="clear" w:color="auto" w:fill="auto"/>
            <w:noWrap/>
          </w:tcPr>
          <w:p w:rsidR="00056904" w:rsidRPr="008B2F2A" w:rsidRDefault="00056904" w:rsidP="00C73F47">
            <w:pPr>
              <w:pStyle w:val="TableText"/>
              <w:rPr>
                <w:lang w:eastAsia="en-NZ"/>
              </w:rPr>
            </w:pPr>
          </w:p>
        </w:tc>
        <w:tc>
          <w:tcPr>
            <w:tcW w:w="1161" w:type="dxa"/>
            <w:shd w:val="clear" w:color="auto" w:fill="auto"/>
            <w:noWrap/>
          </w:tcPr>
          <w:p w:rsidR="00056904" w:rsidRPr="008B2F2A" w:rsidRDefault="00056904" w:rsidP="00C73F47">
            <w:pPr>
              <w:pStyle w:val="TableText"/>
              <w:rPr>
                <w:lang w:eastAsia="en-NZ"/>
              </w:rPr>
            </w:pPr>
            <w:r w:rsidRPr="008B2F2A">
              <w:rPr>
                <w:lang w:eastAsia="en-NZ"/>
              </w:rPr>
              <w:t>ARO</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+2</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r>
      <w:tr w:rsidR="00056904" w:rsidRPr="008B2F2A" w:rsidTr="00056904">
        <w:trPr>
          <w:cantSplit/>
        </w:trPr>
        <w:tc>
          <w:tcPr>
            <w:tcW w:w="1433" w:type="dxa"/>
            <w:vMerge w:val="restart"/>
            <w:shd w:val="clear" w:color="auto" w:fill="auto"/>
            <w:noWrap/>
          </w:tcPr>
          <w:p w:rsidR="00056904" w:rsidRPr="008B2F2A" w:rsidRDefault="00056904" w:rsidP="00C73F47">
            <w:pPr>
              <w:pStyle w:val="TableText"/>
              <w:rPr>
                <w:lang w:eastAsia="en-NZ"/>
              </w:rPr>
            </w:pPr>
            <w:r w:rsidRPr="008B2F2A">
              <w:rPr>
                <w:lang w:eastAsia="en-NZ"/>
              </w:rPr>
              <w:t>Midland</w:t>
            </w:r>
          </w:p>
        </w:tc>
        <w:tc>
          <w:tcPr>
            <w:tcW w:w="1161" w:type="dxa"/>
            <w:shd w:val="clear" w:color="auto" w:fill="auto"/>
            <w:noWrap/>
          </w:tcPr>
          <w:p w:rsidR="00056904" w:rsidRPr="008B2F2A" w:rsidRDefault="00056904" w:rsidP="00C73F47">
            <w:pPr>
              <w:pStyle w:val="TableText"/>
              <w:rPr>
                <w:lang w:eastAsia="en-NZ"/>
              </w:rPr>
            </w:pPr>
            <w:r w:rsidRPr="008B2F2A">
              <w:rPr>
                <w:lang w:eastAsia="en-NZ"/>
              </w:rPr>
              <w:t>W</w:t>
            </w:r>
            <w:r>
              <w:rPr>
                <w:lang w:eastAsia="en-NZ"/>
              </w:rPr>
              <w:t>DHB</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top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top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r>
      <w:tr w:rsidR="00056904" w:rsidRPr="008B2F2A" w:rsidTr="00056904">
        <w:trPr>
          <w:cantSplit/>
        </w:trPr>
        <w:tc>
          <w:tcPr>
            <w:tcW w:w="1433" w:type="dxa"/>
            <w:vMerge/>
            <w:shd w:val="clear" w:color="auto" w:fill="auto"/>
            <w:noWrap/>
          </w:tcPr>
          <w:p w:rsidR="00056904" w:rsidRPr="008B2F2A" w:rsidRDefault="00056904" w:rsidP="00C73F47">
            <w:pPr>
              <w:pStyle w:val="TableText"/>
              <w:rPr>
                <w:lang w:eastAsia="en-NZ"/>
              </w:rPr>
            </w:pPr>
          </w:p>
        </w:tc>
        <w:tc>
          <w:tcPr>
            <w:tcW w:w="1161" w:type="dxa"/>
            <w:shd w:val="clear" w:color="auto" w:fill="auto"/>
            <w:noWrap/>
          </w:tcPr>
          <w:p w:rsidR="00056904" w:rsidRPr="008B2F2A" w:rsidRDefault="00056904" w:rsidP="00C73F47">
            <w:pPr>
              <w:pStyle w:val="TableText"/>
              <w:rPr>
                <w:lang w:eastAsia="en-NZ"/>
              </w:rPr>
            </w:pPr>
            <w:r w:rsidRPr="008B2F2A">
              <w:rPr>
                <w:lang w:eastAsia="en-NZ"/>
              </w:rPr>
              <w:t>KKC</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r>
      <w:tr w:rsidR="00056904" w:rsidRPr="008B2F2A" w:rsidTr="00056904">
        <w:trPr>
          <w:cantSplit/>
        </w:trPr>
        <w:tc>
          <w:tcPr>
            <w:tcW w:w="1433" w:type="dxa"/>
            <w:vMerge w:val="restart"/>
            <w:shd w:val="clear" w:color="auto" w:fill="auto"/>
            <w:noWrap/>
          </w:tcPr>
          <w:p w:rsidR="00056904" w:rsidRPr="008B2F2A" w:rsidRDefault="00056904" w:rsidP="00C73F47">
            <w:pPr>
              <w:pStyle w:val="TableText"/>
              <w:rPr>
                <w:lang w:eastAsia="en-NZ"/>
              </w:rPr>
            </w:pPr>
            <w:r w:rsidRPr="008B2F2A">
              <w:rPr>
                <w:lang w:eastAsia="en-NZ"/>
              </w:rPr>
              <w:t>Central</w:t>
            </w:r>
          </w:p>
        </w:tc>
        <w:tc>
          <w:tcPr>
            <w:tcW w:w="1161" w:type="dxa"/>
            <w:shd w:val="clear" w:color="auto" w:fill="auto"/>
            <w:noWrap/>
          </w:tcPr>
          <w:p w:rsidR="00056904" w:rsidRPr="008B2F2A" w:rsidRDefault="00056904" w:rsidP="00C73F47">
            <w:pPr>
              <w:pStyle w:val="TableText"/>
              <w:rPr>
                <w:lang w:eastAsia="en-NZ"/>
              </w:rPr>
            </w:pPr>
            <w:r w:rsidRPr="008B2F2A">
              <w:rPr>
                <w:lang w:eastAsia="en-NZ"/>
              </w:rPr>
              <w:t>M</w:t>
            </w:r>
            <w:r>
              <w:rPr>
                <w:lang w:eastAsia="en-NZ"/>
              </w:rPr>
              <w:t>DHB</w:t>
            </w:r>
          </w:p>
        </w:tc>
        <w:tc>
          <w:tcPr>
            <w:tcW w:w="753" w:type="dxa"/>
            <w:tcBorders>
              <w:bottom w:val="single" w:sz="4" w:space="0" w:color="A6A6A6"/>
              <w:right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left w:val="single" w:sz="4" w:space="0" w:color="A6A6A6"/>
              <w:bottom w:val="single" w:sz="4" w:space="0" w:color="A6A6A6"/>
              <w:right w:val="single" w:sz="4" w:space="0" w:color="A6A6A6"/>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left w:val="single" w:sz="4" w:space="0" w:color="A6A6A6"/>
              <w:bottom w:val="single" w:sz="4" w:space="0" w:color="A6A6A6"/>
              <w:right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left w:val="single" w:sz="4" w:space="0" w:color="A6A6A6"/>
              <w:bottom w:val="single" w:sz="4" w:space="0" w:color="A6A6A6"/>
              <w:right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left w:val="single" w:sz="4" w:space="0" w:color="A6A6A6"/>
              <w:bottom w:val="single" w:sz="4" w:space="0" w:color="A6A6A6"/>
              <w:right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left w:val="single" w:sz="4" w:space="0" w:color="A6A6A6"/>
              <w:bottom w:val="single" w:sz="4" w:space="0" w:color="A6A6A6"/>
              <w:righ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left w:val="nil"/>
              <w:bottom w:val="single" w:sz="4" w:space="0" w:color="A6A6A6"/>
              <w:right w:val="single" w:sz="4" w:space="0" w:color="A6A6A6"/>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left w:val="single" w:sz="4" w:space="0" w:color="A6A6A6"/>
              <w:bottom w:val="single" w:sz="4" w:space="0" w:color="A6A6A6"/>
              <w:right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left w:val="single" w:sz="4" w:space="0" w:color="A6A6A6"/>
              <w:bottom w:val="single" w:sz="4" w:space="0" w:color="A6A6A6"/>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r>
      <w:tr w:rsidR="00056904" w:rsidRPr="008B2F2A" w:rsidTr="00056904">
        <w:trPr>
          <w:cantSplit/>
        </w:trPr>
        <w:tc>
          <w:tcPr>
            <w:tcW w:w="1433" w:type="dxa"/>
            <w:vMerge/>
            <w:shd w:val="clear" w:color="auto" w:fill="auto"/>
            <w:noWrap/>
          </w:tcPr>
          <w:p w:rsidR="00056904" w:rsidRPr="008B2F2A" w:rsidRDefault="00056904" w:rsidP="00C73F47">
            <w:pPr>
              <w:pStyle w:val="TableText"/>
              <w:rPr>
                <w:lang w:eastAsia="en-NZ"/>
              </w:rPr>
            </w:pPr>
          </w:p>
        </w:tc>
        <w:tc>
          <w:tcPr>
            <w:tcW w:w="1161" w:type="dxa"/>
            <w:shd w:val="clear" w:color="auto" w:fill="auto"/>
            <w:noWrap/>
          </w:tcPr>
          <w:p w:rsidR="00056904" w:rsidRPr="008B2F2A" w:rsidRDefault="00056904" w:rsidP="00C73F47">
            <w:pPr>
              <w:pStyle w:val="TableText"/>
              <w:rPr>
                <w:lang w:eastAsia="en-NZ"/>
              </w:rPr>
            </w:pPr>
            <w:r w:rsidRPr="008B2F2A">
              <w:rPr>
                <w:lang w:eastAsia="en-NZ"/>
              </w:rPr>
              <w:t>CC</w:t>
            </w:r>
            <w:r>
              <w:rPr>
                <w:lang w:eastAsia="en-NZ"/>
              </w:rPr>
              <w:t>DHB</w:t>
            </w:r>
          </w:p>
        </w:tc>
        <w:tc>
          <w:tcPr>
            <w:tcW w:w="753" w:type="dxa"/>
            <w:tcBorders>
              <w:top w:val="single" w:sz="4" w:space="0" w:color="A6A6A6"/>
              <w:bottom w:val="single" w:sz="4" w:space="0" w:color="A6A6A6"/>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top w:val="single" w:sz="4" w:space="0" w:color="A6A6A6"/>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top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top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top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top w:val="single" w:sz="4" w:space="0" w:color="A6A6A6"/>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top w:val="single" w:sz="4" w:space="0" w:color="A6A6A6"/>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top w:val="single" w:sz="4" w:space="0" w:color="A6A6A6"/>
              <w:bottom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top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r>
      <w:tr w:rsidR="00056904" w:rsidRPr="008B2F2A" w:rsidTr="00056904">
        <w:trPr>
          <w:cantSplit/>
        </w:trPr>
        <w:tc>
          <w:tcPr>
            <w:tcW w:w="1433" w:type="dxa"/>
            <w:vMerge w:val="restart"/>
            <w:shd w:val="clear" w:color="auto" w:fill="auto"/>
            <w:noWrap/>
          </w:tcPr>
          <w:p w:rsidR="00056904" w:rsidRPr="008B2F2A" w:rsidRDefault="00056904" w:rsidP="00C73F47">
            <w:pPr>
              <w:pStyle w:val="TableText"/>
              <w:rPr>
                <w:lang w:eastAsia="en-NZ"/>
              </w:rPr>
            </w:pPr>
            <w:r w:rsidRPr="008B2F2A">
              <w:rPr>
                <w:lang w:eastAsia="en-NZ"/>
              </w:rPr>
              <w:t>South</w:t>
            </w:r>
            <w:r>
              <w:rPr>
                <w:lang w:eastAsia="en-NZ"/>
              </w:rPr>
              <w:t xml:space="preserve"> Island</w:t>
            </w:r>
          </w:p>
        </w:tc>
        <w:tc>
          <w:tcPr>
            <w:tcW w:w="1161" w:type="dxa"/>
            <w:shd w:val="clear" w:color="auto" w:fill="auto"/>
            <w:noWrap/>
          </w:tcPr>
          <w:p w:rsidR="00056904" w:rsidRPr="008B2F2A" w:rsidRDefault="00056904" w:rsidP="00C73F47">
            <w:pPr>
              <w:pStyle w:val="TableText"/>
              <w:rPr>
                <w:lang w:eastAsia="en-NZ"/>
              </w:rPr>
            </w:pPr>
            <w:r w:rsidRPr="008B2F2A">
              <w:rPr>
                <w:lang w:eastAsia="en-NZ"/>
              </w:rPr>
              <w:t>C</w:t>
            </w:r>
            <w:r>
              <w:rPr>
                <w:lang w:eastAsia="en-NZ"/>
              </w:rPr>
              <w:t>DHB</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top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+2</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r>
      <w:tr w:rsidR="00056904" w:rsidRPr="008B2F2A" w:rsidTr="00056904">
        <w:trPr>
          <w:cantSplit/>
        </w:trPr>
        <w:tc>
          <w:tcPr>
            <w:tcW w:w="1433" w:type="dxa"/>
            <w:vMerge/>
            <w:shd w:val="clear" w:color="auto" w:fill="auto"/>
            <w:noWrap/>
          </w:tcPr>
          <w:p w:rsidR="00056904" w:rsidRPr="008B2F2A" w:rsidRDefault="00056904" w:rsidP="00C73F47">
            <w:pPr>
              <w:pStyle w:val="TableText"/>
              <w:rPr>
                <w:lang w:eastAsia="en-NZ"/>
              </w:rPr>
            </w:pPr>
          </w:p>
        </w:tc>
        <w:tc>
          <w:tcPr>
            <w:tcW w:w="1161" w:type="dxa"/>
            <w:shd w:val="clear" w:color="auto" w:fill="auto"/>
            <w:noWrap/>
          </w:tcPr>
          <w:p w:rsidR="00056904" w:rsidRPr="008B2F2A" w:rsidRDefault="00056904" w:rsidP="00C73F47">
            <w:pPr>
              <w:pStyle w:val="TableText"/>
              <w:rPr>
                <w:lang w:eastAsia="en-NZ"/>
              </w:rPr>
            </w:pPr>
            <w:r w:rsidRPr="008B2F2A">
              <w:rPr>
                <w:lang w:eastAsia="en-NZ"/>
              </w:rPr>
              <w:t>SGC</w:t>
            </w:r>
          </w:p>
        </w:tc>
        <w:tc>
          <w:tcPr>
            <w:tcW w:w="753" w:type="dxa"/>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w:t>
            </w:r>
          </w:p>
        </w:tc>
      </w:tr>
      <w:tr w:rsidR="00056904" w:rsidRPr="008B2F2A" w:rsidTr="00056904">
        <w:trPr>
          <w:cantSplit/>
        </w:trPr>
        <w:tc>
          <w:tcPr>
            <w:tcW w:w="1433" w:type="dxa"/>
            <w:vMerge/>
            <w:shd w:val="clear" w:color="auto" w:fill="auto"/>
            <w:noWrap/>
          </w:tcPr>
          <w:p w:rsidR="00056904" w:rsidRPr="008B2F2A" w:rsidRDefault="00056904" w:rsidP="00C73F47">
            <w:pPr>
              <w:pStyle w:val="TableText"/>
              <w:rPr>
                <w:lang w:eastAsia="en-NZ"/>
              </w:rPr>
            </w:pPr>
          </w:p>
        </w:tc>
        <w:tc>
          <w:tcPr>
            <w:tcW w:w="1161" w:type="dxa"/>
            <w:shd w:val="clear" w:color="auto" w:fill="auto"/>
            <w:noWrap/>
          </w:tcPr>
          <w:p w:rsidR="00056904" w:rsidRPr="008B2F2A" w:rsidRDefault="00056904" w:rsidP="00C73F47">
            <w:pPr>
              <w:pStyle w:val="TableText"/>
              <w:rPr>
                <w:lang w:eastAsia="en-NZ"/>
              </w:rPr>
            </w:pPr>
            <w:r w:rsidRPr="008B2F2A">
              <w:rPr>
                <w:lang w:eastAsia="en-NZ"/>
              </w:rPr>
              <w:t>S</w:t>
            </w:r>
            <w:r>
              <w:rPr>
                <w:lang w:eastAsia="en-NZ"/>
              </w:rPr>
              <w:t>DHB</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+2</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bottom w:val="single" w:sz="4" w:space="0" w:color="A6A6A6"/>
            </w:tcBorders>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r>
      <w:tr w:rsidR="00056904" w:rsidRPr="008B2F2A" w:rsidTr="00056904">
        <w:trPr>
          <w:cantSplit/>
        </w:trPr>
        <w:tc>
          <w:tcPr>
            <w:tcW w:w="2594" w:type="dxa"/>
            <w:gridSpan w:val="2"/>
            <w:shd w:val="clear" w:color="auto" w:fill="auto"/>
            <w:noWrap/>
          </w:tcPr>
          <w:p w:rsidR="00056904" w:rsidRPr="00523384" w:rsidRDefault="00056904" w:rsidP="00C73F47">
            <w:pPr>
              <w:pStyle w:val="TableText"/>
              <w:rPr>
                <w:b/>
                <w:lang w:eastAsia="en-NZ"/>
              </w:rPr>
            </w:pPr>
            <w:r w:rsidRPr="00523384">
              <w:rPr>
                <w:b/>
                <w:lang w:eastAsia="en-NZ"/>
              </w:rPr>
              <w:t>Cumulative total NZ</w:t>
            </w:r>
          </w:p>
        </w:tc>
        <w:tc>
          <w:tcPr>
            <w:tcW w:w="753" w:type="dxa"/>
            <w:tcBorders>
              <w:righ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+3</w:t>
            </w:r>
          </w:p>
        </w:tc>
        <w:tc>
          <w:tcPr>
            <w:tcW w:w="753" w:type="dxa"/>
            <w:tcBorders>
              <w:lef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+6</w:t>
            </w:r>
          </w:p>
        </w:tc>
        <w:tc>
          <w:tcPr>
            <w:tcW w:w="753" w:type="dxa"/>
            <w:shd w:val="clear" w:color="auto" w:fill="auto"/>
            <w:noWrap/>
            <w:vAlign w:val="bottom"/>
          </w:tcPr>
          <w:p w:rsidR="00056904" w:rsidRPr="00C73F47" w:rsidRDefault="00056904" w:rsidP="00C73F47">
            <w:pPr>
              <w:pStyle w:val="TableText"/>
              <w:jc w:val="center"/>
              <w:rPr>
                <w:color w:val="FFFFFF"/>
                <w:lang w:eastAsia="en-NZ"/>
              </w:rPr>
            </w:pPr>
            <w:r w:rsidRPr="00C73F47">
              <w:rPr>
                <w:color w:val="FFFFFF"/>
                <w:lang w:eastAsia="en-NZ"/>
              </w:rPr>
              <w:t>+0</w:t>
            </w:r>
          </w:p>
        </w:tc>
        <w:tc>
          <w:tcPr>
            <w:tcW w:w="753" w:type="dxa"/>
            <w:tcBorders>
              <w:righ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+8</w:t>
            </w:r>
          </w:p>
        </w:tc>
        <w:tc>
          <w:tcPr>
            <w:tcW w:w="753" w:type="dxa"/>
            <w:tcBorders>
              <w:left w:val="nil"/>
              <w:righ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+12</w:t>
            </w:r>
          </w:p>
        </w:tc>
        <w:tc>
          <w:tcPr>
            <w:tcW w:w="753" w:type="dxa"/>
            <w:tcBorders>
              <w:left w:val="nil"/>
              <w:righ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+15</w:t>
            </w:r>
          </w:p>
        </w:tc>
        <w:tc>
          <w:tcPr>
            <w:tcW w:w="753" w:type="dxa"/>
            <w:tcBorders>
              <w:left w:val="nil"/>
              <w:righ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+22</w:t>
            </w:r>
          </w:p>
        </w:tc>
        <w:tc>
          <w:tcPr>
            <w:tcW w:w="753" w:type="dxa"/>
            <w:tcBorders>
              <w:left w:val="nil"/>
              <w:righ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+26</w:t>
            </w:r>
          </w:p>
        </w:tc>
        <w:tc>
          <w:tcPr>
            <w:tcW w:w="753" w:type="dxa"/>
            <w:tcBorders>
              <w:left w:val="nil"/>
            </w:tcBorders>
            <w:shd w:val="clear" w:color="auto" w:fill="963634"/>
            <w:noWrap/>
            <w:vAlign w:val="bottom"/>
          </w:tcPr>
          <w:p w:rsidR="00056904" w:rsidRPr="00C73F47" w:rsidRDefault="00056904" w:rsidP="00C73F47">
            <w:pPr>
              <w:pStyle w:val="TableText"/>
              <w:jc w:val="center"/>
              <w:rPr>
                <w:color w:val="FFFFFF"/>
                <w:lang w:eastAsia="en-NZ"/>
              </w:rPr>
            </w:pPr>
            <w:r w:rsidRPr="00C73F47">
              <w:rPr>
                <w:color w:val="FFFFFF"/>
                <w:lang w:eastAsia="en-NZ"/>
              </w:rPr>
              <w:t>+28</w:t>
            </w:r>
          </w:p>
        </w:tc>
      </w:tr>
    </w:tbl>
    <w:p w:rsidR="008C1C05" w:rsidRPr="00F425CB" w:rsidRDefault="008C1C05" w:rsidP="00177741"/>
    <w:sectPr w:rsidR="008C1C05" w:rsidRPr="00F425CB" w:rsidSect="0047191A">
      <w:footerReference w:type="default" r:id="rId30"/>
      <w:pgSz w:w="11907" w:h="16834" w:code="9"/>
      <w:pgMar w:top="1418" w:right="1134" w:bottom="1418" w:left="1134" w:header="425"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59" w:rsidRDefault="00937559">
      <w:pPr>
        <w:spacing w:line="240" w:lineRule="auto"/>
      </w:pPr>
      <w:r>
        <w:separator/>
      </w:r>
    </w:p>
  </w:endnote>
  <w:endnote w:type="continuationSeparator" w:id="0">
    <w:p w:rsidR="00937559" w:rsidRDefault="00937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Pr="003648EF" w:rsidRDefault="00937559" w:rsidP="003648EF">
    <w:pPr>
      <w:pStyle w:val="Footer"/>
      <w:pBdr>
        <w:bottom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Default="00937559" w:rsidP="001F21CA">
    <w:pPr>
      <w:pStyle w:val="RectoFooter"/>
      <w:tabs>
        <w:tab w:val="clear" w:pos="8647"/>
        <w:tab w:val="clear" w:pos="9356"/>
        <w:tab w:val="right" w:pos="13892"/>
        <w:tab w:val="right" w:pos="14601"/>
      </w:tabs>
    </w:pPr>
    <w:r>
      <w:tab/>
      <w:t>Radiation Oncology National Linear Accelerator and Workforce Plan</w:t>
    </w:r>
    <w:r>
      <w:tab/>
    </w:r>
    <w:r>
      <w:rPr>
        <w:rStyle w:val="PageNumber"/>
      </w:rPr>
      <w:fldChar w:fldCharType="begin"/>
    </w:r>
    <w:r>
      <w:rPr>
        <w:rStyle w:val="PageNumber"/>
      </w:rPr>
      <w:instrText xml:space="preserve"> PAGE </w:instrText>
    </w:r>
    <w:r>
      <w:rPr>
        <w:rStyle w:val="PageNumber"/>
      </w:rPr>
      <w:fldChar w:fldCharType="separate"/>
    </w:r>
    <w:r w:rsidR="001433CE">
      <w:rPr>
        <w:rStyle w:val="PageNumber"/>
        <w:noProof/>
      </w:rPr>
      <w:t>51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Default="00937559" w:rsidP="00533B90">
    <w:pPr>
      <w:pStyle w:val="RectoFooter"/>
    </w:pPr>
    <w:r>
      <w:tab/>
      <w:t>Radiation Oncology National Linear Accelerator and Workforce Plan</w:t>
    </w:r>
    <w:r>
      <w:tab/>
    </w:r>
    <w:r>
      <w:rPr>
        <w:rStyle w:val="PageNumber"/>
      </w:rPr>
      <w:fldChar w:fldCharType="begin"/>
    </w:r>
    <w:r>
      <w:rPr>
        <w:rStyle w:val="PageNumber"/>
      </w:rPr>
      <w:instrText xml:space="preserve"> PAGE </w:instrText>
    </w:r>
    <w:r>
      <w:rPr>
        <w:rStyle w:val="PageNumber"/>
      </w:rPr>
      <w:fldChar w:fldCharType="separate"/>
    </w:r>
    <w:r w:rsidR="001433CE">
      <w:rPr>
        <w:rStyle w:val="PageNumber"/>
        <w:noProof/>
      </w:rPr>
      <w:t>63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Default="00937559"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Default="009375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Pr="007E7990" w:rsidRDefault="00937559" w:rsidP="00FC46E7">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433CE">
      <w:rPr>
        <w:rStyle w:val="PageNumber"/>
        <w:noProof/>
      </w:rPr>
      <w:t>iv</w:t>
    </w:r>
    <w:r w:rsidRPr="00FC46E7">
      <w:rPr>
        <w:rStyle w:val="PageNumber"/>
      </w:rPr>
      <w:fldChar w:fldCharType="end"/>
    </w:r>
    <w:r>
      <w:tab/>
      <w:t>Radiation Oncology National Linear Accelerator and Workforce Plan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Default="00937559" w:rsidP="00533B90">
    <w:pPr>
      <w:pStyle w:val="RectoFooter"/>
    </w:pPr>
    <w:r>
      <w:tab/>
    </w:r>
    <w:r w:rsidRPr="008C1D1C">
      <w:t>Radiation Oncology National Linear Accelerator</w:t>
    </w:r>
    <w:r>
      <w:t xml:space="preserve"> and Workforce Plan</w:t>
    </w:r>
    <w:r w:rsidRPr="008C1D1C">
      <w:tab/>
    </w:r>
    <w:r>
      <w:rPr>
        <w:rStyle w:val="PageNumber"/>
      </w:rPr>
      <w:fldChar w:fldCharType="begin"/>
    </w:r>
    <w:r>
      <w:rPr>
        <w:rStyle w:val="PageNumber"/>
      </w:rPr>
      <w:instrText xml:space="preserve"> PAGE </w:instrText>
    </w:r>
    <w:r>
      <w:rPr>
        <w:rStyle w:val="PageNumber"/>
      </w:rPr>
      <w:fldChar w:fldCharType="separate"/>
    </w:r>
    <w:r w:rsidR="001433CE">
      <w:rPr>
        <w:rStyle w:val="PageNumber"/>
        <w:noProof/>
      </w:rPr>
      <w:t>21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Pr="00410912" w:rsidRDefault="00937559" w:rsidP="00410912">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Pr="007E7990" w:rsidRDefault="00937559" w:rsidP="00FC46E7">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433CE">
      <w:rPr>
        <w:rStyle w:val="PageNumber"/>
        <w:noProof/>
      </w:rPr>
      <w:t>64</w:t>
    </w:r>
    <w:r w:rsidRPr="00FC46E7">
      <w:rPr>
        <w:rStyle w:val="PageNumber"/>
      </w:rPr>
      <w:fldChar w:fldCharType="end"/>
    </w:r>
    <w:r>
      <w:tab/>
      <w:t>Radiation Oncology National Linear Accelerator and Workforce Plan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Default="00937559" w:rsidP="00021C7F">
    <w:pPr>
      <w:pStyle w:val="RectoFooter"/>
      <w:tabs>
        <w:tab w:val="clear" w:pos="8647"/>
        <w:tab w:val="clear" w:pos="9356"/>
        <w:tab w:val="right" w:pos="13750"/>
        <w:tab w:val="right" w:pos="14601"/>
      </w:tabs>
    </w:pPr>
    <w:r>
      <w:tab/>
      <w:t>Radiation Oncology National Linear Accelerator and Workforce Plan</w:t>
    </w:r>
    <w:r>
      <w:tab/>
    </w:r>
    <w:r>
      <w:rPr>
        <w:rStyle w:val="PageNumber"/>
      </w:rPr>
      <w:fldChar w:fldCharType="begin"/>
    </w:r>
    <w:r>
      <w:rPr>
        <w:rStyle w:val="PageNumber"/>
      </w:rPr>
      <w:instrText xml:space="preserve"> PAGE </w:instrText>
    </w:r>
    <w:r>
      <w:rPr>
        <w:rStyle w:val="PageNumber"/>
      </w:rPr>
      <w:fldChar w:fldCharType="separate"/>
    </w:r>
    <w:r w:rsidR="001433CE">
      <w:rPr>
        <w:rStyle w:val="PageNumber"/>
        <w:noProof/>
      </w:rPr>
      <w:t>23</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Default="00937559" w:rsidP="00533B90">
    <w:pPr>
      <w:pStyle w:val="RectoFooter"/>
    </w:pPr>
    <w:r>
      <w:tab/>
      <w:t>Radiation Oncology National Linear Accelerator and Workforce Plan</w:t>
    </w:r>
    <w:r>
      <w:tab/>
    </w:r>
    <w:r>
      <w:rPr>
        <w:rStyle w:val="PageNumber"/>
      </w:rPr>
      <w:fldChar w:fldCharType="begin"/>
    </w:r>
    <w:r>
      <w:rPr>
        <w:rStyle w:val="PageNumber"/>
      </w:rPr>
      <w:instrText xml:space="preserve"> PAGE </w:instrText>
    </w:r>
    <w:r>
      <w:rPr>
        <w:rStyle w:val="PageNumber"/>
      </w:rPr>
      <w:fldChar w:fldCharType="separate"/>
    </w:r>
    <w:r w:rsidR="001433CE">
      <w:rPr>
        <w:rStyle w:val="PageNumber"/>
        <w:noProof/>
      </w:rPr>
      <w:t>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59" w:rsidRPr="00E460B6" w:rsidRDefault="00937559" w:rsidP="00E460B6">
      <w:pPr>
        <w:pBdr>
          <w:top w:val="single" w:sz="4" w:space="1" w:color="auto"/>
        </w:pBdr>
        <w:spacing w:line="240" w:lineRule="auto"/>
        <w:ind w:right="4820"/>
        <w:rPr>
          <w:color w:val="D9D9D9"/>
          <w:sz w:val="6"/>
          <w:szCs w:val="6"/>
        </w:rPr>
      </w:pPr>
    </w:p>
  </w:footnote>
  <w:footnote w:type="continuationSeparator" w:id="0">
    <w:p w:rsidR="00937559" w:rsidRDefault="00937559">
      <w:pPr>
        <w:spacing w:line="240" w:lineRule="auto"/>
      </w:pPr>
      <w:r>
        <w:continuationSeparator/>
      </w:r>
    </w:p>
  </w:footnote>
  <w:footnote w:id="1">
    <w:p w:rsidR="00937559" w:rsidRDefault="00937559" w:rsidP="007E7990">
      <w:pPr>
        <w:pStyle w:val="FootnoteText"/>
      </w:pPr>
      <w:r w:rsidRPr="007E7990">
        <w:rPr>
          <w:rStyle w:val="FootnoteReference"/>
        </w:rPr>
        <w:footnoteRef/>
      </w:r>
      <w:r>
        <w:tab/>
      </w:r>
      <w:r w:rsidRPr="00E966BB">
        <w:t>See Section 4.1 for further discussion of the Model, its functionality and limitations</w:t>
      </w:r>
      <w:r>
        <w:t>.</w:t>
      </w:r>
    </w:p>
  </w:footnote>
  <w:footnote w:id="2">
    <w:p w:rsidR="00937559" w:rsidRDefault="00937559" w:rsidP="00746944">
      <w:pPr>
        <w:pStyle w:val="FootnoteText"/>
      </w:pPr>
      <w:r w:rsidRPr="00746944">
        <w:rPr>
          <w:rStyle w:val="FootnoteReference"/>
        </w:rPr>
        <w:footnoteRef/>
      </w:r>
      <w:r>
        <w:tab/>
      </w:r>
      <w:r w:rsidRPr="00746944">
        <w:rPr>
          <w:i/>
        </w:rPr>
        <w:t>Northern Cancer Network Linear Accelerator Modelling – 2012 to 2020</w:t>
      </w:r>
      <w:r w:rsidRPr="003C6296">
        <w:t xml:space="preserve">. </w:t>
      </w:r>
      <w:proofErr w:type="gramStart"/>
      <w:r w:rsidRPr="003C6296">
        <w:t>Northern Cancer Network</w:t>
      </w:r>
      <w:r>
        <w:t xml:space="preserve">, </w:t>
      </w:r>
      <w:r w:rsidRPr="003C6296">
        <w:t>2012.</w:t>
      </w:r>
      <w:proofErr w:type="gramEnd"/>
      <w:r>
        <w:t xml:space="preserve"> </w:t>
      </w:r>
      <w:proofErr w:type="gramStart"/>
      <w:r w:rsidRPr="00746944">
        <w:rPr>
          <w:i/>
        </w:rPr>
        <w:t>Midland Radiation Oncology Demand and Capacity Modelling 2012</w:t>
      </w:r>
      <w:r>
        <w:rPr>
          <w:i/>
        </w:rPr>
        <w:t>–</w:t>
      </w:r>
      <w:r w:rsidRPr="00746944">
        <w:rPr>
          <w:i/>
        </w:rPr>
        <w:t>2020</w:t>
      </w:r>
      <w:r w:rsidRPr="003C6296">
        <w:t>.</w:t>
      </w:r>
      <w:proofErr w:type="gramEnd"/>
      <w:r w:rsidRPr="003C6296">
        <w:t xml:space="preserve"> </w:t>
      </w:r>
      <w:proofErr w:type="gramStart"/>
      <w:r w:rsidRPr="003C6296">
        <w:t>Midland Cancer Network</w:t>
      </w:r>
      <w:r>
        <w:t>,</w:t>
      </w:r>
      <w:r w:rsidRPr="003C6296">
        <w:t xml:space="preserve"> 2012.</w:t>
      </w:r>
      <w:proofErr w:type="gramEnd"/>
      <w:r>
        <w:t xml:space="preserve"> </w:t>
      </w:r>
      <w:r w:rsidRPr="00746944">
        <w:rPr>
          <w:i/>
        </w:rPr>
        <w:t>Central Cancer Network Linear Accelerator Modelling – 2012 to 2020</w:t>
      </w:r>
      <w:r w:rsidRPr="003C6296">
        <w:t xml:space="preserve">. </w:t>
      </w:r>
      <w:proofErr w:type="gramStart"/>
      <w:r w:rsidRPr="003C6296">
        <w:t>Central Cancer Network</w:t>
      </w:r>
      <w:r>
        <w:t>,</w:t>
      </w:r>
      <w:r w:rsidRPr="003C6296">
        <w:t xml:space="preserve"> 2012.</w:t>
      </w:r>
      <w:proofErr w:type="gramEnd"/>
      <w:r>
        <w:t xml:space="preserve"> </w:t>
      </w:r>
      <w:r w:rsidRPr="00746944">
        <w:rPr>
          <w:i/>
        </w:rPr>
        <w:t xml:space="preserve">South Island Radiation Oncology </w:t>
      </w:r>
      <w:r>
        <w:rPr>
          <w:i/>
        </w:rPr>
        <w:t>M</w:t>
      </w:r>
      <w:r w:rsidRPr="00746944">
        <w:rPr>
          <w:i/>
        </w:rPr>
        <w:t>odelling – 2013 to 2022</w:t>
      </w:r>
      <w:r w:rsidRPr="003C6296">
        <w:t xml:space="preserve">. </w:t>
      </w:r>
      <w:proofErr w:type="gramStart"/>
      <w:r w:rsidRPr="003C6296">
        <w:t>Southern Cancer Network</w:t>
      </w:r>
      <w:r>
        <w:t>,</w:t>
      </w:r>
      <w:r w:rsidRPr="003C6296">
        <w:t xml:space="preserve"> 2012</w:t>
      </w:r>
      <w:r>
        <w:t>.</w:t>
      </w:r>
      <w:proofErr w:type="gramEnd"/>
    </w:p>
  </w:footnote>
  <w:footnote w:id="3">
    <w:p w:rsidR="00937559" w:rsidRDefault="00937559" w:rsidP="00746944">
      <w:pPr>
        <w:pStyle w:val="FootnoteText"/>
      </w:pPr>
      <w:r w:rsidRPr="00746944">
        <w:rPr>
          <w:rStyle w:val="FootnoteReference"/>
        </w:rPr>
        <w:footnoteRef/>
      </w:r>
      <w:r>
        <w:tab/>
      </w:r>
      <w:r w:rsidRPr="00746944">
        <w:rPr>
          <w:i/>
        </w:rPr>
        <w:t xml:space="preserve">Improving </w:t>
      </w:r>
      <w:r>
        <w:rPr>
          <w:i/>
        </w:rPr>
        <w:t>N</w:t>
      </w:r>
      <w:r w:rsidRPr="00746944">
        <w:rPr>
          <w:i/>
        </w:rPr>
        <w:t xml:space="preserve">on-surgical </w:t>
      </w:r>
      <w:r>
        <w:rPr>
          <w:i/>
        </w:rPr>
        <w:t>C</w:t>
      </w:r>
      <w:r w:rsidRPr="00746944">
        <w:rPr>
          <w:i/>
        </w:rPr>
        <w:t xml:space="preserve">ancer </w:t>
      </w:r>
      <w:r>
        <w:rPr>
          <w:i/>
        </w:rPr>
        <w:t>T</w:t>
      </w:r>
      <w:r w:rsidRPr="00746944">
        <w:rPr>
          <w:i/>
        </w:rPr>
        <w:t xml:space="preserve">reatment </w:t>
      </w:r>
      <w:r>
        <w:rPr>
          <w:i/>
        </w:rPr>
        <w:t>S</w:t>
      </w:r>
      <w:r w:rsidRPr="00746944">
        <w:rPr>
          <w:i/>
        </w:rPr>
        <w:t xml:space="preserve">ervices </w:t>
      </w:r>
      <w:proofErr w:type="gramStart"/>
      <w:r w:rsidRPr="00746944">
        <w:rPr>
          <w:i/>
        </w:rPr>
        <w:t>In</w:t>
      </w:r>
      <w:proofErr w:type="gramEnd"/>
      <w:r w:rsidRPr="00746944">
        <w:rPr>
          <w:i/>
        </w:rPr>
        <w:t xml:space="preserve"> New Zealand</w:t>
      </w:r>
      <w:r w:rsidRPr="002B6648">
        <w:t xml:space="preserve">. </w:t>
      </w:r>
      <w:proofErr w:type="gramStart"/>
      <w:r w:rsidRPr="002B6648">
        <w:t>Ministry of Health</w:t>
      </w:r>
      <w:r>
        <w:t>,</w:t>
      </w:r>
      <w:r w:rsidRPr="002B6648">
        <w:t xml:space="preserve"> 2001</w:t>
      </w:r>
      <w:r>
        <w:t>.</w:t>
      </w:r>
      <w:proofErr w:type="gramEnd"/>
    </w:p>
  </w:footnote>
  <w:footnote w:id="4">
    <w:p w:rsidR="00937559" w:rsidRDefault="00937559" w:rsidP="005133E9">
      <w:pPr>
        <w:pStyle w:val="FootnoteText"/>
      </w:pPr>
      <w:r w:rsidRPr="005133E9">
        <w:rPr>
          <w:rStyle w:val="FootnoteReference"/>
        </w:rPr>
        <w:footnoteRef/>
      </w:r>
      <w:r>
        <w:tab/>
      </w:r>
      <w:proofErr w:type="gramStart"/>
      <w:r w:rsidRPr="00A70BD8">
        <w:t>Ministry of Health.</w:t>
      </w:r>
      <w:proofErr w:type="gramEnd"/>
      <w:r w:rsidRPr="00A70BD8">
        <w:t xml:space="preserve"> 2013. </w:t>
      </w:r>
      <w:r w:rsidRPr="00A70BD8">
        <w:rPr>
          <w:i/>
          <w:iCs/>
        </w:rPr>
        <w:t xml:space="preserve">Cancer: New registrations and deaths 2010. </w:t>
      </w:r>
      <w:r w:rsidRPr="00A70BD8">
        <w:t>Wellington: Ministry of Health</w:t>
      </w:r>
      <w:r>
        <w:t>, August 2013.</w:t>
      </w:r>
    </w:p>
  </w:footnote>
  <w:footnote w:id="5">
    <w:p w:rsidR="00937559" w:rsidRDefault="00937559" w:rsidP="005133E9">
      <w:pPr>
        <w:pStyle w:val="FootnoteText"/>
      </w:pPr>
      <w:r w:rsidRPr="005133E9">
        <w:rPr>
          <w:rStyle w:val="FootnoteReference"/>
        </w:rPr>
        <w:footnoteRef/>
      </w:r>
      <w:r>
        <w:tab/>
      </w:r>
      <w:r w:rsidRPr="00E023D5">
        <w:t>This forecast does not include consideration of the impacts of new technologies, improved survival, reduced mortality, or earlier detection. As a result the estimated expenditure for 2021 is likely to be an underestimation.</w:t>
      </w:r>
    </w:p>
  </w:footnote>
  <w:footnote w:id="6">
    <w:p w:rsidR="00937559" w:rsidRDefault="00937559" w:rsidP="005157C2">
      <w:pPr>
        <w:pStyle w:val="FootnoteText"/>
      </w:pPr>
      <w:r w:rsidRPr="005157C2">
        <w:rPr>
          <w:rStyle w:val="FootnoteReference"/>
        </w:rPr>
        <w:footnoteRef/>
      </w:r>
      <w:r>
        <w:tab/>
        <w:t xml:space="preserve">The </w:t>
      </w:r>
      <w:r w:rsidRPr="003C6296">
        <w:rPr>
          <w:i/>
          <w:iCs/>
        </w:rPr>
        <w:t>Public/private radiotherapy protocol</w:t>
      </w:r>
      <w:r w:rsidRPr="003C6296">
        <w:t xml:space="preserve"> and </w:t>
      </w:r>
      <w:r w:rsidRPr="003C6296">
        <w:rPr>
          <w:i/>
          <w:iCs/>
        </w:rPr>
        <w:t>Public capacity sharing protocol</w:t>
      </w:r>
      <w:r>
        <w:t xml:space="preserve"> are both published in the Reference Material section of the Specialist Medical and Surgical Service Specifications, available at </w:t>
      </w:r>
      <w:hyperlink r:id="rId1" w:history="1">
        <w:r w:rsidRPr="00224843">
          <w:rPr>
            <w:rStyle w:val="Hyperlink"/>
            <w:szCs w:val="18"/>
          </w:rPr>
          <w:t>http://www.nsfl.health.govt.nz/apps/nsfl.nsf/pagesmh/300</w:t>
        </w:r>
      </w:hyperlink>
      <w:r>
        <w:t xml:space="preserve"> </w:t>
      </w:r>
    </w:p>
  </w:footnote>
  <w:footnote w:id="7">
    <w:p w:rsidR="00937559" w:rsidRDefault="00937559" w:rsidP="005157C2">
      <w:pPr>
        <w:pStyle w:val="FootnoteText"/>
      </w:pPr>
      <w:r w:rsidRPr="005157C2">
        <w:rPr>
          <w:rStyle w:val="FootnoteReference"/>
        </w:rPr>
        <w:footnoteRef/>
      </w:r>
      <w:r>
        <w:tab/>
      </w:r>
      <w:r w:rsidRPr="00E023D5">
        <w:t xml:space="preserve">The Northern region has progressed service planning to the greatest extent, producing their </w:t>
      </w:r>
      <w:r w:rsidRPr="007E7990">
        <w:rPr>
          <w:i/>
          <w:iCs/>
        </w:rPr>
        <w:t>Regional Strategic Plan: Sustainable Delivery of Radiation Therapy in the Northern Region – 2019</w:t>
      </w:r>
      <w:r w:rsidRPr="007E7990">
        <w:t xml:space="preserve"> in June 2010.</w:t>
      </w:r>
    </w:p>
  </w:footnote>
  <w:footnote w:id="8">
    <w:p w:rsidR="00937559" w:rsidRDefault="00937559" w:rsidP="00794C8B">
      <w:pPr>
        <w:pStyle w:val="FootnoteText"/>
      </w:pPr>
      <w:r w:rsidRPr="00794C8B">
        <w:rPr>
          <w:rStyle w:val="FootnoteReference"/>
        </w:rPr>
        <w:footnoteRef/>
      </w:r>
      <w:r>
        <w:tab/>
      </w:r>
      <w:proofErr w:type="gramStart"/>
      <w:r w:rsidRPr="00794C8B">
        <w:rPr>
          <w:i/>
        </w:rPr>
        <w:t>RANZCR.</w:t>
      </w:r>
      <w:proofErr w:type="gramEnd"/>
      <w:r w:rsidRPr="00794C8B">
        <w:rPr>
          <w:i/>
        </w:rPr>
        <w:t xml:space="preserve"> </w:t>
      </w:r>
      <w:proofErr w:type="gramStart"/>
      <w:r w:rsidRPr="00794C8B">
        <w:rPr>
          <w:i/>
        </w:rPr>
        <w:t>Planning for the Best: Tripartite National Strategic Plan for Radiation Oncology 2012</w:t>
      </w:r>
      <w:r>
        <w:rPr>
          <w:i/>
        </w:rPr>
        <w:t>–</w:t>
      </w:r>
      <w:r w:rsidRPr="00794C8B">
        <w:rPr>
          <w:i/>
        </w:rPr>
        <w:t>2022</w:t>
      </w:r>
      <w:r w:rsidRPr="007E03B1">
        <w:t>, version 1</w:t>
      </w:r>
      <w:r>
        <w:t>.</w:t>
      </w:r>
      <w:proofErr w:type="gramEnd"/>
      <w:r>
        <w:t xml:space="preserve"> </w:t>
      </w:r>
      <w:r w:rsidDel="00EB7826">
        <w:t xml:space="preserve">Sydney: </w:t>
      </w:r>
      <w:r>
        <w:t>RANZCR (2012), page 80.</w:t>
      </w:r>
    </w:p>
  </w:footnote>
  <w:footnote w:id="9">
    <w:p w:rsidR="00937559" w:rsidRPr="00AE5888" w:rsidRDefault="00937559" w:rsidP="00F425CB">
      <w:pPr>
        <w:pStyle w:val="FootnoteText"/>
        <w:rPr>
          <w:szCs w:val="18"/>
        </w:rPr>
      </w:pPr>
      <w:r w:rsidRPr="00794C8B">
        <w:rPr>
          <w:rStyle w:val="FootnoteReference"/>
        </w:rPr>
        <w:footnoteRef/>
      </w:r>
      <w:r>
        <w:rPr>
          <w:szCs w:val="18"/>
        </w:rPr>
        <w:tab/>
      </w:r>
      <w:r w:rsidRPr="00AE5888">
        <w:rPr>
          <w:szCs w:val="18"/>
        </w:rPr>
        <w:t xml:space="preserve">A note on terminology – in the past the attendances that make up a course have </w:t>
      </w:r>
      <w:r>
        <w:rPr>
          <w:szCs w:val="18"/>
        </w:rPr>
        <w:t xml:space="preserve">sometimes </w:t>
      </w:r>
      <w:r w:rsidRPr="00AE5888">
        <w:rPr>
          <w:szCs w:val="18"/>
        </w:rPr>
        <w:t xml:space="preserve">been </w:t>
      </w:r>
      <w:r>
        <w:rPr>
          <w:szCs w:val="18"/>
        </w:rPr>
        <w:t>counted in</w:t>
      </w:r>
      <w:r w:rsidRPr="00AE5888">
        <w:rPr>
          <w:szCs w:val="18"/>
        </w:rPr>
        <w:t xml:space="preserve"> </w:t>
      </w:r>
      <w:r>
        <w:rPr>
          <w:szCs w:val="18"/>
        </w:rPr>
        <w:t>‘</w:t>
      </w:r>
      <w:r w:rsidRPr="00AE5888">
        <w:rPr>
          <w:szCs w:val="18"/>
        </w:rPr>
        <w:t>fractions</w:t>
      </w:r>
      <w:r>
        <w:rPr>
          <w:szCs w:val="18"/>
        </w:rPr>
        <w:t>’</w:t>
      </w:r>
      <w:r w:rsidRPr="00AE5888">
        <w:rPr>
          <w:szCs w:val="18"/>
        </w:rPr>
        <w:t>,</w:t>
      </w:r>
      <w:r>
        <w:rPr>
          <w:szCs w:val="18"/>
        </w:rPr>
        <w:t xml:space="preserve"> whereas</w:t>
      </w:r>
      <w:r w:rsidRPr="00AE5888">
        <w:rPr>
          <w:szCs w:val="18"/>
        </w:rPr>
        <w:t xml:space="preserve"> the </w:t>
      </w:r>
      <w:r>
        <w:rPr>
          <w:szCs w:val="18"/>
        </w:rPr>
        <w:t xml:space="preserve">more easily defined </w:t>
      </w:r>
      <w:r w:rsidRPr="00AE5888">
        <w:rPr>
          <w:szCs w:val="18"/>
        </w:rPr>
        <w:t xml:space="preserve">visit-based </w:t>
      </w:r>
      <w:r>
        <w:rPr>
          <w:szCs w:val="18"/>
        </w:rPr>
        <w:t>‘</w:t>
      </w:r>
      <w:r w:rsidRPr="00AE5888">
        <w:rPr>
          <w:szCs w:val="18"/>
        </w:rPr>
        <w:t>attendance</w:t>
      </w:r>
      <w:r>
        <w:rPr>
          <w:szCs w:val="18"/>
        </w:rPr>
        <w:t>’</w:t>
      </w:r>
      <w:r w:rsidRPr="00AE5888">
        <w:rPr>
          <w:szCs w:val="18"/>
        </w:rPr>
        <w:t xml:space="preserve"> is used </w:t>
      </w:r>
      <w:r>
        <w:rPr>
          <w:szCs w:val="18"/>
        </w:rPr>
        <w:t>in</w:t>
      </w:r>
      <w:r w:rsidRPr="00AE5888">
        <w:rPr>
          <w:szCs w:val="18"/>
        </w:rPr>
        <w:t xml:space="preserve"> this document.</w:t>
      </w:r>
    </w:p>
  </w:footnote>
  <w:footnote w:id="10">
    <w:p w:rsidR="00937559" w:rsidRDefault="00937559" w:rsidP="00794C8B">
      <w:pPr>
        <w:pStyle w:val="FootnoteText"/>
      </w:pPr>
      <w:r w:rsidRPr="00794C8B">
        <w:rPr>
          <w:rStyle w:val="FootnoteReference"/>
        </w:rPr>
        <w:footnoteRef/>
      </w:r>
      <w:r>
        <w:rPr>
          <w:i/>
        </w:rPr>
        <w:tab/>
      </w:r>
      <w:r w:rsidRPr="009F15D9">
        <w:rPr>
          <w:i/>
        </w:rPr>
        <w:t>RANZCR</w:t>
      </w:r>
      <w:r>
        <w:rPr>
          <w:szCs w:val="18"/>
        </w:rPr>
        <w:t xml:space="preserve"> page 79.</w:t>
      </w:r>
    </w:p>
  </w:footnote>
  <w:footnote w:id="11">
    <w:p w:rsidR="00937559" w:rsidRDefault="00937559" w:rsidP="00794C8B">
      <w:pPr>
        <w:pStyle w:val="FootnoteText"/>
      </w:pPr>
      <w:r w:rsidRPr="00794C8B">
        <w:rPr>
          <w:rStyle w:val="FootnoteReference"/>
        </w:rPr>
        <w:footnoteRef/>
      </w:r>
      <w:r>
        <w:tab/>
      </w:r>
      <w:proofErr w:type="gramStart"/>
      <w:r w:rsidRPr="00794C8B">
        <w:rPr>
          <w:i/>
        </w:rPr>
        <w:t>NRAG.</w:t>
      </w:r>
      <w:proofErr w:type="gramEnd"/>
      <w:r w:rsidRPr="00794C8B">
        <w:rPr>
          <w:i/>
        </w:rPr>
        <w:t xml:space="preserve"> </w:t>
      </w:r>
      <w:proofErr w:type="gramStart"/>
      <w:r w:rsidRPr="00794C8B">
        <w:rPr>
          <w:i/>
        </w:rPr>
        <w:t>Radiotherapy Services in England 2012</w:t>
      </w:r>
      <w:r>
        <w:t>.</w:t>
      </w:r>
      <w:proofErr w:type="gramEnd"/>
      <w:r>
        <w:t xml:space="preserve"> </w:t>
      </w:r>
      <w:r w:rsidDel="005F5FBC">
        <w:t>London:</w:t>
      </w:r>
      <w:r>
        <w:t xml:space="preserve"> Department of Health, 2012.</w:t>
      </w:r>
    </w:p>
  </w:footnote>
  <w:footnote w:id="12">
    <w:p w:rsidR="00937559" w:rsidRDefault="00937559" w:rsidP="00553048">
      <w:pPr>
        <w:pStyle w:val="FootnoteText"/>
      </w:pPr>
      <w:r w:rsidRPr="00553048">
        <w:rPr>
          <w:rStyle w:val="FootnoteReference"/>
        </w:rPr>
        <w:footnoteRef/>
      </w:r>
      <w:r>
        <w:tab/>
        <w:t xml:space="preserve">See for example </w:t>
      </w:r>
      <w:r w:rsidRPr="00AB5623">
        <w:rPr>
          <w:i/>
          <w:iCs/>
        </w:rPr>
        <w:t xml:space="preserve">Regional Strategic Plan: Sustainable delivery of radiation therapy in the Northern Region – 2019. </w:t>
      </w:r>
      <w:proofErr w:type="gramStart"/>
      <w:r w:rsidRPr="00AB5623">
        <w:t>Northern Cancer Network (2010).</w:t>
      </w:r>
      <w:proofErr w:type="gramEnd"/>
      <w:r>
        <w:t xml:space="preserve"> </w:t>
      </w:r>
      <w:r w:rsidRPr="00AB5623">
        <w:t>App</w:t>
      </w:r>
      <w:r>
        <w:t xml:space="preserve">endix II has some DHB IR estimates </w:t>
      </w:r>
      <w:r w:rsidRPr="00AB5623">
        <w:t xml:space="preserve">based on </w:t>
      </w:r>
      <w:r>
        <w:t xml:space="preserve">total courses, using </w:t>
      </w:r>
      <w:r w:rsidRPr="00AB5623">
        <w:t xml:space="preserve">an estimated </w:t>
      </w:r>
      <w:r>
        <w:t>retreatment rate</w:t>
      </w:r>
      <w:r w:rsidRPr="00AB5623">
        <w:t xml:space="preserve"> of 25%. In 2006 </w:t>
      </w:r>
      <w:r>
        <w:t xml:space="preserve">the overall </w:t>
      </w:r>
      <w:r w:rsidRPr="00AB5623">
        <w:t>New Zealand IR was estimated at 35%.</w:t>
      </w:r>
    </w:p>
  </w:footnote>
  <w:footnote w:id="13">
    <w:p w:rsidR="00937559" w:rsidRDefault="00937559" w:rsidP="00553048">
      <w:pPr>
        <w:pStyle w:val="FootnoteText"/>
      </w:pPr>
      <w:r w:rsidRPr="00553048">
        <w:rPr>
          <w:rStyle w:val="FootnoteReference"/>
        </w:rPr>
        <w:footnoteRef/>
      </w:r>
      <w:r>
        <w:tab/>
      </w:r>
      <w:r w:rsidRPr="00553048">
        <w:rPr>
          <w:i/>
        </w:rPr>
        <w:t>The Radiation Oncology Workforce in New Zealand: Projecting Supply and Demand 2012</w:t>
      </w:r>
      <w:r>
        <w:rPr>
          <w:i/>
        </w:rPr>
        <w:t>–</w:t>
      </w:r>
      <w:r w:rsidRPr="00553048">
        <w:rPr>
          <w:i/>
        </w:rPr>
        <w:t>2022</w:t>
      </w:r>
      <w:r>
        <w:t xml:space="preserve">. </w:t>
      </w:r>
      <w:proofErr w:type="gramStart"/>
      <w:r>
        <w:t>RANZCR, 2013.</w:t>
      </w:r>
      <w:proofErr w:type="gramEnd"/>
    </w:p>
  </w:footnote>
  <w:footnote w:id="14">
    <w:p w:rsidR="00937559" w:rsidRDefault="00937559" w:rsidP="00553048">
      <w:pPr>
        <w:pStyle w:val="FootnoteText"/>
      </w:pPr>
      <w:r w:rsidRPr="00553048">
        <w:rPr>
          <w:rStyle w:val="FootnoteReference"/>
        </w:rPr>
        <w:footnoteRef/>
      </w:r>
      <w:r>
        <w:rPr>
          <w:lang w:eastAsia="en-NZ"/>
        </w:rPr>
        <w:tab/>
      </w:r>
      <w:proofErr w:type="gramStart"/>
      <w:r w:rsidRPr="003C6296">
        <w:rPr>
          <w:lang w:eastAsia="en-NZ"/>
        </w:rPr>
        <w:t>Personal communication.</w:t>
      </w:r>
      <w:proofErr w:type="gramEnd"/>
      <w:r w:rsidRPr="003C6296">
        <w:rPr>
          <w:lang w:eastAsia="en-NZ"/>
        </w:rPr>
        <w:t xml:space="preserve"> Lynne </w:t>
      </w:r>
      <w:proofErr w:type="spellStart"/>
      <w:r w:rsidRPr="003C6296">
        <w:rPr>
          <w:lang w:eastAsia="en-NZ"/>
        </w:rPr>
        <w:t>Greig</w:t>
      </w:r>
      <w:proofErr w:type="spellEnd"/>
      <w:r>
        <w:rPr>
          <w:lang w:eastAsia="en-NZ"/>
        </w:rPr>
        <w:t>,</w:t>
      </w:r>
      <w:r w:rsidRPr="003C6296">
        <w:rPr>
          <w:lang w:eastAsia="en-NZ"/>
        </w:rPr>
        <w:t xml:space="preserve"> 2013</w:t>
      </w:r>
      <w:r w:rsidRPr="003C6296">
        <w:t>.</w:t>
      </w:r>
    </w:p>
  </w:footnote>
  <w:footnote w:id="15">
    <w:p w:rsidR="00937559" w:rsidRDefault="00937559" w:rsidP="00553048">
      <w:pPr>
        <w:pStyle w:val="FootnoteText"/>
      </w:pPr>
      <w:r w:rsidRPr="00553048">
        <w:rPr>
          <w:rStyle w:val="FootnoteReference"/>
        </w:rPr>
        <w:footnoteRef/>
      </w:r>
      <w:r>
        <w:rPr>
          <w:i/>
          <w:iCs/>
        </w:rPr>
        <w:tab/>
      </w:r>
      <w:r w:rsidRPr="003C6296">
        <w:rPr>
          <w:i/>
          <w:iCs/>
        </w:rPr>
        <w:t>Radiation therapist workforce survey 2011</w:t>
      </w:r>
      <w:r>
        <w:t xml:space="preserve">. </w:t>
      </w:r>
      <w:proofErr w:type="gramStart"/>
      <w:r w:rsidRPr="00447E01">
        <w:t>Unpublished Excel sheet</w:t>
      </w:r>
      <w:r>
        <w:t>.</w:t>
      </w:r>
      <w:proofErr w:type="gramEnd"/>
      <w:r w:rsidRPr="00447E01">
        <w:t xml:space="preserve"> </w:t>
      </w:r>
      <w:proofErr w:type="spellStart"/>
      <w:r>
        <w:t>Hallinan</w:t>
      </w:r>
      <w:proofErr w:type="spellEnd"/>
      <w:r>
        <w:t xml:space="preserve"> R, </w:t>
      </w:r>
      <w:r w:rsidRPr="00447E01">
        <w:t>2011</w:t>
      </w:r>
      <w:r>
        <w:t>.</w:t>
      </w:r>
    </w:p>
  </w:footnote>
  <w:footnote w:id="16">
    <w:p w:rsidR="00937559" w:rsidRDefault="00937559" w:rsidP="00553048">
      <w:pPr>
        <w:pStyle w:val="FootnoteText"/>
      </w:pPr>
      <w:r w:rsidRPr="00553048">
        <w:rPr>
          <w:rStyle w:val="FootnoteReference"/>
        </w:rPr>
        <w:footnoteRef/>
      </w:r>
      <w:r>
        <w:tab/>
      </w:r>
      <w:r w:rsidRPr="00553048">
        <w:rPr>
          <w:i/>
        </w:rPr>
        <w:t>Radiation therapy student enrolment numbers 1993–2013</w:t>
      </w:r>
      <w:r>
        <w:t xml:space="preserve">. </w:t>
      </w:r>
      <w:proofErr w:type="gramStart"/>
      <w:r w:rsidRPr="00447E01">
        <w:t>Unpublished report</w:t>
      </w:r>
      <w:r>
        <w:t>.</w:t>
      </w:r>
      <w:proofErr w:type="gramEnd"/>
      <w:r w:rsidRPr="00447E01">
        <w:t xml:space="preserve"> </w:t>
      </w:r>
      <w:r>
        <w:t xml:space="preserve">Coleman K, </w:t>
      </w:r>
      <w:r w:rsidRPr="00447E01">
        <w:t>2013</w:t>
      </w:r>
      <w:r>
        <w:t>.</w:t>
      </w:r>
    </w:p>
  </w:footnote>
  <w:footnote w:id="17">
    <w:p w:rsidR="00937559" w:rsidRDefault="00937559" w:rsidP="004C130D">
      <w:pPr>
        <w:pStyle w:val="FootnoteText"/>
      </w:pPr>
      <w:r w:rsidRPr="004C130D">
        <w:rPr>
          <w:rStyle w:val="FootnoteReference"/>
        </w:rPr>
        <w:footnoteRef/>
      </w:r>
      <w:r>
        <w:rPr>
          <w:i/>
          <w:iCs/>
        </w:rPr>
        <w:tab/>
      </w:r>
      <w:r w:rsidRPr="003C6296">
        <w:rPr>
          <w:i/>
          <w:iCs/>
        </w:rPr>
        <w:t>Workforce f</w:t>
      </w:r>
      <w:r>
        <w:rPr>
          <w:i/>
          <w:iCs/>
        </w:rPr>
        <w:t>orecasting:</w:t>
      </w:r>
      <w:r w:rsidRPr="003C6296">
        <w:rPr>
          <w:i/>
          <w:iCs/>
        </w:rPr>
        <w:t xml:space="preserve"> radiation therapists.</w:t>
      </w:r>
      <w:r w:rsidRPr="00447E01">
        <w:t xml:space="preserve"> Unpublished report draft version </w:t>
      </w:r>
      <w:r>
        <w:t xml:space="preserve">2. </w:t>
      </w:r>
      <w:proofErr w:type="gramStart"/>
      <w:r>
        <w:t xml:space="preserve">HWNZ, </w:t>
      </w:r>
      <w:r w:rsidRPr="00447E01">
        <w:t>2011</w:t>
      </w:r>
      <w:r>
        <w:t>.</w:t>
      </w:r>
      <w:proofErr w:type="gramEnd"/>
    </w:p>
  </w:footnote>
  <w:footnote w:id="18">
    <w:p w:rsidR="00937559" w:rsidRDefault="00937559" w:rsidP="00A7634B">
      <w:pPr>
        <w:pStyle w:val="FootnoteText"/>
      </w:pPr>
      <w:r w:rsidRPr="00A7634B">
        <w:rPr>
          <w:rStyle w:val="FootnoteReference"/>
        </w:rPr>
        <w:footnoteRef/>
      </w:r>
      <w:r>
        <w:tab/>
      </w:r>
      <w:r w:rsidRPr="00A7634B">
        <w:rPr>
          <w:i/>
        </w:rPr>
        <w:t>Cancer Projections: Incidence 2004–08 to 2014–18</w:t>
      </w:r>
      <w:r w:rsidRPr="00350DDD">
        <w:t>.</w:t>
      </w:r>
      <w:r>
        <w:t xml:space="preserve"> Wellington: </w:t>
      </w:r>
      <w:r w:rsidRPr="00350DDD">
        <w:t>Ministry of Health</w:t>
      </w:r>
      <w:r>
        <w:t>, 2010.</w:t>
      </w:r>
    </w:p>
  </w:footnote>
  <w:footnote w:id="19">
    <w:p w:rsidR="00937559" w:rsidRDefault="00937559" w:rsidP="00A7634B">
      <w:pPr>
        <w:pStyle w:val="FootnoteText"/>
      </w:pPr>
      <w:r w:rsidRPr="00A7634B">
        <w:rPr>
          <w:rStyle w:val="FootnoteReference"/>
        </w:rPr>
        <w:footnoteRef/>
      </w:r>
      <w:r>
        <w:tab/>
      </w:r>
      <w:r w:rsidRPr="00350DDD">
        <w:t xml:space="preserve">Population </w:t>
      </w:r>
      <w:r>
        <w:t>p</w:t>
      </w:r>
      <w:r w:rsidRPr="00350DDD">
        <w:t>rojections commissioned from Statistics New Zealand.</w:t>
      </w:r>
      <w:r>
        <w:t xml:space="preserve"> </w:t>
      </w:r>
      <w:proofErr w:type="gramStart"/>
      <w:r w:rsidRPr="00350DDD">
        <w:t>Unpublished Excel spreadsheet.</w:t>
      </w:r>
      <w:proofErr w:type="gramEnd"/>
      <w:r w:rsidRPr="00E463D4">
        <w:t xml:space="preserve"> </w:t>
      </w:r>
      <w:proofErr w:type="gramStart"/>
      <w:r>
        <w:t>Ministry of Health.</w:t>
      </w:r>
      <w:proofErr w:type="gramEnd"/>
    </w:p>
  </w:footnote>
  <w:footnote w:id="20">
    <w:p w:rsidR="00937559" w:rsidRDefault="00937559" w:rsidP="00A7634B">
      <w:pPr>
        <w:pStyle w:val="FootnoteText"/>
      </w:pPr>
      <w:r w:rsidRPr="00A7634B">
        <w:rPr>
          <w:rStyle w:val="FootnoteReference"/>
        </w:rPr>
        <w:footnoteRef/>
      </w:r>
      <w:r>
        <w:tab/>
      </w:r>
      <w:proofErr w:type="gramStart"/>
      <w:r w:rsidRPr="00A7634B">
        <w:rPr>
          <w:i/>
        </w:rPr>
        <w:t>Report to the Ministry of Health: New models of care for medical oncology</w:t>
      </w:r>
      <w:r w:rsidRPr="00350DDD">
        <w:t>.</w:t>
      </w:r>
      <w:proofErr w:type="gramEnd"/>
      <w:r w:rsidRPr="00350DDD">
        <w:t xml:space="preserve"> </w:t>
      </w:r>
      <w:proofErr w:type="spellStart"/>
      <w:r w:rsidRPr="00350DDD">
        <w:t>Cranleigh</w:t>
      </w:r>
      <w:proofErr w:type="spellEnd"/>
      <w:r w:rsidRPr="00350DDD">
        <w:t xml:space="preserve"> Health</w:t>
      </w:r>
      <w:r>
        <w:t>, 2011.</w:t>
      </w:r>
    </w:p>
  </w:footnote>
  <w:footnote w:id="21">
    <w:p w:rsidR="00937559" w:rsidRPr="00A75DAE" w:rsidRDefault="00937559" w:rsidP="00A7634B">
      <w:pPr>
        <w:pStyle w:val="FootnoteText"/>
      </w:pPr>
      <w:r w:rsidRPr="00A7634B">
        <w:rPr>
          <w:rStyle w:val="FootnoteReference"/>
        </w:rPr>
        <w:footnoteRef/>
      </w:r>
      <w:r>
        <w:tab/>
      </w:r>
      <w:r w:rsidRPr="00A75DAE">
        <w:t xml:space="preserve">As </w:t>
      </w:r>
      <w:r>
        <w:t>more monthly volume</w:t>
      </w:r>
      <w:r w:rsidRPr="00A75DAE">
        <w:t xml:space="preserve"> data becomes available </w:t>
      </w:r>
      <w:r>
        <w:t xml:space="preserve">over time, </w:t>
      </w:r>
      <w:r w:rsidRPr="00A75DAE">
        <w:t>a more empirical time trend analysis will become pos</w:t>
      </w:r>
      <w:r>
        <w:t>sible, allowing further refin</w:t>
      </w:r>
      <w:r w:rsidRPr="00A75DAE">
        <w:t>ements</w:t>
      </w:r>
      <w:r>
        <w:t xml:space="preserve"> of</w:t>
      </w:r>
      <w:r w:rsidRPr="00A75DAE">
        <w:t xml:space="preserve"> this </w:t>
      </w:r>
      <w:r>
        <w:t>methodology.</w:t>
      </w:r>
    </w:p>
  </w:footnote>
  <w:footnote w:id="22">
    <w:p w:rsidR="00937559" w:rsidRDefault="00937559" w:rsidP="00A7634B">
      <w:pPr>
        <w:pStyle w:val="FootnoteText"/>
      </w:pPr>
      <w:r w:rsidRPr="00A7634B">
        <w:rPr>
          <w:rStyle w:val="FootnoteReference"/>
        </w:rPr>
        <w:footnoteRef/>
      </w:r>
      <w:r>
        <w:tab/>
      </w:r>
      <w:proofErr w:type="gramStart"/>
      <w:r w:rsidRPr="00A7634B">
        <w:rPr>
          <w:i/>
        </w:rPr>
        <w:t>National Cancer Workforce Strategic Framework</w:t>
      </w:r>
      <w:r w:rsidRPr="003C6296">
        <w:t>.</w:t>
      </w:r>
      <w:proofErr w:type="gramEnd"/>
      <w:r w:rsidRPr="00447E01">
        <w:t xml:space="preserve"> </w:t>
      </w:r>
      <w:proofErr w:type="gramStart"/>
      <w:r w:rsidRPr="00447E01">
        <w:t>Health Workforce Australia</w:t>
      </w:r>
      <w:r>
        <w:t>,</w:t>
      </w:r>
      <w:r w:rsidRPr="00447E01">
        <w:t xml:space="preserve"> 2013.</w:t>
      </w:r>
      <w:proofErr w:type="gramEnd"/>
    </w:p>
  </w:footnote>
  <w:footnote w:id="23">
    <w:p w:rsidR="00937559" w:rsidRDefault="00937559" w:rsidP="00A7634B">
      <w:pPr>
        <w:pStyle w:val="FootnoteText"/>
      </w:pPr>
      <w:r w:rsidRPr="00A7634B">
        <w:rPr>
          <w:rStyle w:val="FootnoteReference"/>
        </w:rPr>
        <w:footnoteRef/>
      </w:r>
      <w:r>
        <w:rPr>
          <w:i/>
          <w:iCs/>
        </w:rPr>
        <w:tab/>
      </w:r>
      <w:proofErr w:type="gramStart"/>
      <w:r w:rsidRPr="00447E01">
        <w:rPr>
          <w:i/>
          <w:iCs/>
        </w:rPr>
        <w:t>Radiotherapy Services in England 2012</w:t>
      </w:r>
      <w:r w:rsidRPr="00447E01">
        <w:t>.</w:t>
      </w:r>
      <w:proofErr w:type="gramEnd"/>
      <w:r>
        <w:t xml:space="preserve"> </w:t>
      </w:r>
      <w:proofErr w:type="gramStart"/>
      <w:r>
        <w:t>NRIG</w:t>
      </w:r>
      <w:r w:rsidRPr="00447E01">
        <w:t>.</w:t>
      </w:r>
      <w:proofErr w:type="gramEnd"/>
      <w:r>
        <w:t xml:space="preserve"> </w:t>
      </w:r>
      <w:proofErr w:type="gramStart"/>
      <w:r w:rsidRPr="00447E01">
        <w:t>Department of Health ref 18206</w:t>
      </w:r>
      <w:r>
        <w:t>, 2012</w:t>
      </w:r>
      <w:r w:rsidRPr="00447E01">
        <w:t>.</w:t>
      </w:r>
      <w:proofErr w:type="gramEnd"/>
    </w:p>
  </w:footnote>
  <w:footnote w:id="24">
    <w:p w:rsidR="00937559" w:rsidRDefault="00937559" w:rsidP="00560F3C">
      <w:pPr>
        <w:pStyle w:val="FootnoteText"/>
      </w:pPr>
      <w:r w:rsidRPr="00560F3C">
        <w:rPr>
          <w:rStyle w:val="FootnoteReference"/>
        </w:rPr>
        <w:footnoteRef/>
      </w:r>
      <w:r>
        <w:tab/>
        <w:t>F</w:t>
      </w:r>
      <w:r w:rsidRPr="00C53DAB">
        <w:t>or radiation oncologist, medical physicist, and radiation therapist unit costs, Auckland</w:t>
      </w:r>
      <w:r>
        <w:t xml:space="preserve"> DHB was</w:t>
      </w:r>
      <w:r w:rsidRPr="00C53DAB">
        <w:t xml:space="preserve"> not included in the average given </w:t>
      </w:r>
      <w:r>
        <w:t>some</w:t>
      </w:r>
      <w:r w:rsidRPr="00C53DAB">
        <w:t xml:space="preserve"> differ</w:t>
      </w:r>
      <w:r>
        <w:t>ing</w:t>
      </w:r>
      <w:r w:rsidRPr="00C53DAB">
        <w:t xml:space="preserve"> MECA rates between Auckland and the other centres.</w:t>
      </w:r>
    </w:p>
  </w:footnote>
  <w:footnote w:id="25">
    <w:p w:rsidR="00937559" w:rsidRPr="00CB4BF7" w:rsidRDefault="00937559" w:rsidP="00E5110C">
      <w:pPr>
        <w:pStyle w:val="FootnoteText"/>
      </w:pPr>
      <w:r w:rsidRPr="00E5110C">
        <w:rPr>
          <w:rStyle w:val="FootnoteReference"/>
        </w:rPr>
        <w:footnoteRef/>
      </w:r>
      <w:r>
        <w:tab/>
      </w:r>
      <w:r w:rsidRPr="00CB4BF7">
        <w:t xml:space="preserve">Each staff member at Waikato still works a </w:t>
      </w:r>
      <w:r>
        <w:t xml:space="preserve">base </w:t>
      </w:r>
      <w:r w:rsidRPr="00CB4BF7">
        <w:t>40</w:t>
      </w:r>
      <w:r>
        <w:t>-</w:t>
      </w:r>
      <w:r w:rsidRPr="00CB4BF7">
        <w:t xml:space="preserve">hour week, </w:t>
      </w:r>
      <w:r>
        <w:t>but in the form of</w:t>
      </w:r>
      <w:r w:rsidRPr="00CB4BF7">
        <w:t xml:space="preserve"> a 4</w:t>
      </w:r>
      <w:r>
        <w:t>-</w:t>
      </w:r>
      <w:r w:rsidRPr="00CB4BF7">
        <w:t>day week of 10 hours per day</w:t>
      </w:r>
      <w:r>
        <w:t xml:space="preserve"> rather than 5 days at 8 hours</w:t>
      </w:r>
      <w:r w:rsidRPr="00CB4BF7">
        <w:t>.</w:t>
      </w:r>
    </w:p>
  </w:footnote>
  <w:footnote w:id="26">
    <w:p w:rsidR="00937559" w:rsidRPr="00A75DAE" w:rsidRDefault="00937559" w:rsidP="00C10298">
      <w:pPr>
        <w:pStyle w:val="FootnoteText"/>
      </w:pPr>
      <w:r w:rsidRPr="00C10298">
        <w:rPr>
          <w:rStyle w:val="FootnoteReference"/>
        </w:rPr>
        <w:footnoteRef/>
      </w:r>
      <w:r>
        <w:tab/>
      </w:r>
      <w:r w:rsidRPr="00A75DAE">
        <w:t xml:space="preserve">Using particularly the example of Waikato Cancer Centre, which seems to have similar operating costs to the other centres despite using a 10 hour working day – </w:t>
      </w:r>
      <w:proofErr w:type="gramStart"/>
      <w:r w:rsidRPr="00A75DAE">
        <w:t>staff still have</w:t>
      </w:r>
      <w:proofErr w:type="gramEnd"/>
      <w:r w:rsidRPr="00A75DAE">
        <w:t xml:space="preserve"> a base 40 hour week th</w:t>
      </w:r>
      <w:r>
        <w:t>o</w:t>
      </w:r>
      <w:r w:rsidRPr="00A75DAE">
        <w:t>ugh</w:t>
      </w:r>
      <w:r>
        <w:t>.</w:t>
      </w:r>
    </w:p>
  </w:footnote>
  <w:footnote w:id="27">
    <w:p w:rsidR="00937559" w:rsidRDefault="00937559" w:rsidP="00FD59B9">
      <w:pPr>
        <w:pStyle w:val="FootnoteText"/>
      </w:pPr>
      <w:r w:rsidRPr="00FD59B9">
        <w:rPr>
          <w:rStyle w:val="FootnoteReference"/>
        </w:rPr>
        <w:footnoteRef/>
      </w:r>
      <w:r>
        <w:tab/>
      </w:r>
      <w:r w:rsidRPr="000971EF">
        <w:t>Referral rate may also be a useful measure.</w:t>
      </w:r>
      <w:r>
        <w:t xml:space="preserve"> </w:t>
      </w:r>
      <w:r w:rsidRPr="000971EF">
        <w:t>Referral rate measures patient and clinician choices outside the cancer centre, while IR is a combination of referral choices, plus treatment choices by patients and clinicians within the cancer service.</w:t>
      </w:r>
    </w:p>
  </w:footnote>
  <w:footnote w:id="28">
    <w:p w:rsidR="00937559" w:rsidRDefault="00937559" w:rsidP="00FD59B9">
      <w:pPr>
        <w:pStyle w:val="FootnoteText"/>
      </w:pPr>
      <w:r w:rsidRPr="00FD59B9">
        <w:rPr>
          <w:rStyle w:val="FootnoteReference"/>
        </w:rPr>
        <w:footnoteRef/>
      </w:r>
      <w:r>
        <w:tab/>
      </w:r>
      <w:r w:rsidRPr="009113A9">
        <w:t>The current IR is based on 2012 courses of treatment, with modelled projected cancer registrations from a base of 2007</w:t>
      </w:r>
      <w:r>
        <w:t>–</w:t>
      </w:r>
      <w:r w:rsidRPr="009113A9">
        <w:t>09 registration data as a denominator.</w:t>
      </w:r>
      <w:r>
        <w:t xml:space="preserve"> </w:t>
      </w:r>
      <w:r w:rsidRPr="009113A9">
        <w:t>The true IR for 2012 will not be known until all cancer registration data is compiled – likely to be around 2015.</w:t>
      </w:r>
    </w:p>
  </w:footnote>
  <w:footnote w:id="29">
    <w:p w:rsidR="00937559" w:rsidRDefault="00937559" w:rsidP="00FD59B9">
      <w:pPr>
        <w:pStyle w:val="FootnoteText"/>
      </w:pPr>
      <w:r w:rsidRPr="00FD59B9">
        <w:rPr>
          <w:rStyle w:val="FootnoteReference"/>
        </w:rPr>
        <w:footnoteRef/>
      </w:r>
      <w:r>
        <w:rPr>
          <w:i/>
          <w:iCs/>
        </w:rPr>
        <w:tab/>
      </w:r>
      <w:r w:rsidRPr="003C6296">
        <w:rPr>
          <w:i/>
          <w:iCs/>
        </w:rPr>
        <w:t>Radiotherapy volumes report 2013</w:t>
      </w:r>
      <w:r w:rsidRPr="00CA27F4">
        <w:t xml:space="preserve">. </w:t>
      </w:r>
      <w:proofErr w:type="gramStart"/>
      <w:r w:rsidRPr="00CA27F4">
        <w:t>NSW Health</w:t>
      </w:r>
      <w:r>
        <w:t>, 2013</w:t>
      </w:r>
      <w:r w:rsidRPr="00CA27F4">
        <w:t>.</w:t>
      </w:r>
      <w:proofErr w:type="gramEnd"/>
      <w:r>
        <w:t xml:space="preserve"> </w:t>
      </w:r>
      <w:proofErr w:type="gramStart"/>
      <w:r w:rsidRPr="00CA27F4">
        <w:t>Analysis by H</w:t>
      </w:r>
      <w:r>
        <w:t>ealth Partners Consulting Group.</w:t>
      </w:r>
      <w:proofErr w:type="gramEnd"/>
    </w:p>
  </w:footnote>
  <w:footnote w:id="30">
    <w:p w:rsidR="00937559" w:rsidRDefault="00937559" w:rsidP="00FD59B9">
      <w:pPr>
        <w:pStyle w:val="FootnoteText"/>
      </w:pPr>
      <w:r w:rsidRPr="00FD59B9">
        <w:rPr>
          <w:rStyle w:val="FootnoteReference"/>
        </w:rPr>
        <w:footnoteRef/>
      </w:r>
      <w:r>
        <w:tab/>
      </w:r>
      <w:r w:rsidRPr="00CA27F4">
        <w:t>Williams MV, Drinkwater KJ</w:t>
      </w:r>
      <w:r>
        <w:t xml:space="preserve">. </w:t>
      </w:r>
      <w:r w:rsidRPr="003C6296">
        <w:t>Geographical variation in radiotherapy services across the UK in 2007 and the effect of deprivation</w:t>
      </w:r>
      <w:r w:rsidRPr="00CA27F4">
        <w:t>.</w:t>
      </w:r>
      <w:r>
        <w:t xml:space="preserve"> </w:t>
      </w:r>
      <w:proofErr w:type="spellStart"/>
      <w:r w:rsidRPr="00FD59B9">
        <w:rPr>
          <w:i/>
        </w:rPr>
        <w:t>Clin</w:t>
      </w:r>
      <w:proofErr w:type="spellEnd"/>
      <w:r w:rsidRPr="00FD59B9">
        <w:rPr>
          <w:i/>
        </w:rPr>
        <w:t xml:space="preserve"> Oncology</w:t>
      </w:r>
      <w:r w:rsidRPr="00CA27F4">
        <w:t xml:space="preserve"> 2009</w:t>
      </w:r>
      <w:r>
        <w:t>;</w:t>
      </w:r>
      <w:r w:rsidRPr="00CA27F4">
        <w:t xml:space="preserve"> 21:</w:t>
      </w:r>
      <w:r>
        <w:t xml:space="preserve"> </w:t>
      </w:r>
      <w:r w:rsidRPr="00CA27F4">
        <w:t>431</w:t>
      </w:r>
      <w:r>
        <w:t>–</w:t>
      </w:r>
      <w:r w:rsidRPr="00CA27F4">
        <w:t>30</w:t>
      </w:r>
      <w:r>
        <w:t>.</w:t>
      </w:r>
    </w:p>
  </w:footnote>
  <w:footnote w:id="31">
    <w:p w:rsidR="00937559" w:rsidRDefault="00937559" w:rsidP="00FD59B9">
      <w:pPr>
        <w:pStyle w:val="FootnoteText"/>
      </w:pPr>
      <w:r w:rsidRPr="00FD59B9">
        <w:rPr>
          <w:rStyle w:val="FootnoteReference"/>
        </w:rPr>
        <w:footnoteRef/>
      </w:r>
      <w:r>
        <w:rPr>
          <w:i/>
          <w:iCs/>
        </w:rPr>
        <w:tab/>
      </w:r>
      <w:proofErr w:type="gramStart"/>
      <w:r w:rsidRPr="00976048">
        <w:rPr>
          <w:i/>
          <w:iCs/>
        </w:rPr>
        <w:t>Factors that impact on referral rates for radiotherapy</w:t>
      </w:r>
      <w:r w:rsidRPr="00976048">
        <w:t>.</w:t>
      </w:r>
      <w:proofErr w:type="gramEnd"/>
      <w:r w:rsidRPr="00976048">
        <w:t xml:space="preserve"> </w:t>
      </w:r>
      <w:proofErr w:type="gramStart"/>
      <w:r w:rsidRPr="00976048">
        <w:t>NSW Health</w:t>
      </w:r>
      <w:r>
        <w:t>,</w:t>
      </w:r>
      <w:r w:rsidRPr="00976048">
        <w:t xml:space="preserve"> 2011.</w:t>
      </w:r>
      <w:proofErr w:type="gramEnd"/>
      <w:r w:rsidRPr="00976048">
        <w:t xml:space="preserve"> Available at: </w:t>
      </w:r>
      <w:hyperlink r:id="rId2" w:history="1">
        <w:r w:rsidRPr="00527EC2">
          <w:rPr>
            <w:rStyle w:val="Hyperlink"/>
            <w:szCs w:val="18"/>
          </w:rPr>
          <w:t>http://www0.health.nsw.gov.au/resources/pdf/factors_impact_referral_r.pdf</w:t>
        </w:r>
      </w:hyperlink>
    </w:p>
  </w:footnote>
  <w:footnote w:id="32">
    <w:p w:rsidR="00937559" w:rsidRDefault="00937559" w:rsidP="0036452E">
      <w:pPr>
        <w:pStyle w:val="FootnoteText"/>
      </w:pPr>
      <w:r w:rsidRPr="0036452E">
        <w:rPr>
          <w:rStyle w:val="FootnoteReference"/>
        </w:rPr>
        <w:footnoteRef/>
      </w:r>
      <w:r>
        <w:tab/>
      </w:r>
      <w:r w:rsidRPr="00041543">
        <w:t xml:space="preserve">Delaney GP, Jacob S, Featherstone C, Barton MB. </w:t>
      </w:r>
      <w:r>
        <w:t xml:space="preserve">2012 </w:t>
      </w:r>
      <w:r w:rsidRPr="00041543">
        <w:rPr>
          <w:i/>
          <w:iCs/>
        </w:rPr>
        <w:t>Radiotherapy in cancer care: estimating optimal utilisation from a review of evidence-based clinical guidelines</w:t>
      </w:r>
      <w:r w:rsidRPr="00041543">
        <w:t xml:space="preserve">. </w:t>
      </w:r>
      <w:hyperlink r:id="rId3" w:history="1">
        <w:r w:rsidRPr="00A2040B">
          <w:rPr>
            <w:rStyle w:val="Hyperlink"/>
            <w:szCs w:val="18"/>
          </w:rPr>
          <w:t>www.ncci.org.au</w:t>
        </w:r>
      </w:hyperlink>
      <w:r w:rsidRPr="00041543">
        <w:t>. 2003.</w:t>
      </w:r>
    </w:p>
  </w:footnote>
  <w:footnote w:id="33">
    <w:p w:rsidR="00937559" w:rsidRDefault="00937559" w:rsidP="0036452E">
      <w:pPr>
        <w:pStyle w:val="FootnoteText"/>
      </w:pPr>
      <w:r w:rsidRPr="0036452E">
        <w:rPr>
          <w:rStyle w:val="FootnoteReference"/>
        </w:rPr>
        <w:footnoteRef/>
      </w:r>
      <w:r>
        <w:tab/>
      </w:r>
      <w:r w:rsidRPr="00CA27F4">
        <w:t>Williams MV, Drinkwater KJ</w:t>
      </w:r>
      <w:r>
        <w:t xml:space="preserve">. </w:t>
      </w:r>
      <w:r w:rsidRPr="003C6296">
        <w:t>Geographical variation in radiotherapy services across the UK in 2007 and the effect of deprivation</w:t>
      </w:r>
      <w:r w:rsidRPr="00CA27F4">
        <w:t>.</w:t>
      </w:r>
      <w:r>
        <w:t xml:space="preserve"> </w:t>
      </w:r>
      <w:proofErr w:type="spellStart"/>
      <w:r w:rsidRPr="0036452E">
        <w:rPr>
          <w:i/>
        </w:rPr>
        <w:t>Clin</w:t>
      </w:r>
      <w:proofErr w:type="spellEnd"/>
      <w:r w:rsidRPr="0036452E">
        <w:rPr>
          <w:i/>
        </w:rPr>
        <w:t xml:space="preserve"> Oncology</w:t>
      </w:r>
      <w:r w:rsidRPr="00CA27F4">
        <w:t xml:space="preserve"> 2009</w:t>
      </w:r>
      <w:r>
        <w:t>;</w:t>
      </w:r>
      <w:r w:rsidRPr="00CA27F4">
        <w:t xml:space="preserve"> 21:</w:t>
      </w:r>
      <w:r>
        <w:t xml:space="preserve"> </w:t>
      </w:r>
      <w:r w:rsidRPr="00CA27F4">
        <w:t>431</w:t>
      </w:r>
      <w:r>
        <w:t>–</w:t>
      </w:r>
      <w:r w:rsidRPr="00CA27F4">
        <w:t>30</w:t>
      </w:r>
      <w:r>
        <w:t>.</w:t>
      </w:r>
    </w:p>
  </w:footnote>
  <w:footnote w:id="34">
    <w:p w:rsidR="00937559" w:rsidRDefault="00937559" w:rsidP="0036452E">
      <w:pPr>
        <w:pStyle w:val="FootnoteText"/>
      </w:pPr>
      <w:r w:rsidRPr="0036452E">
        <w:rPr>
          <w:rStyle w:val="FootnoteReference"/>
        </w:rPr>
        <w:footnoteRef/>
      </w:r>
      <w:r>
        <w:tab/>
      </w:r>
      <w:r w:rsidRPr="008A111F">
        <w:t xml:space="preserve">Barton M, Jacob S, </w:t>
      </w:r>
      <w:proofErr w:type="spellStart"/>
      <w:r w:rsidRPr="008A111F">
        <w:t>Shafiq</w:t>
      </w:r>
      <w:proofErr w:type="spellEnd"/>
      <w:r w:rsidRPr="008A111F">
        <w:t xml:space="preserve"> J</w:t>
      </w:r>
      <w:r>
        <w:t>,</w:t>
      </w:r>
      <w:r w:rsidRPr="008A111F">
        <w:t xml:space="preserve"> et al.</w:t>
      </w:r>
      <w:r>
        <w:t xml:space="preserve"> </w:t>
      </w:r>
      <w:r w:rsidRPr="008A111F">
        <w:t xml:space="preserve">2013 </w:t>
      </w:r>
      <w:r w:rsidRPr="0036452E">
        <w:rPr>
          <w:i/>
        </w:rPr>
        <w:t xml:space="preserve">Review of </w:t>
      </w:r>
      <w:r>
        <w:rPr>
          <w:i/>
        </w:rPr>
        <w:t>O</w:t>
      </w:r>
      <w:r w:rsidRPr="0036452E">
        <w:rPr>
          <w:i/>
        </w:rPr>
        <w:t xml:space="preserve">ptimal </w:t>
      </w:r>
      <w:r>
        <w:rPr>
          <w:i/>
        </w:rPr>
        <w:t>R</w:t>
      </w:r>
      <w:r w:rsidRPr="0036452E">
        <w:rPr>
          <w:i/>
        </w:rPr>
        <w:t xml:space="preserve">adiotherapy </w:t>
      </w:r>
      <w:r>
        <w:rPr>
          <w:i/>
        </w:rPr>
        <w:t>U</w:t>
      </w:r>
      <w:r w:rsidRPr="0036452E">
        <w:rPr>
          <w:i/>
        </w:rPr>
        <w:t xml:space="preserve">tilisation </w:t>
      </w:r>
      <w:r>
        <w:rPr>
          <w:i/>
        </w:rPr>
        <w:t>R</w:t>
      </w:r>
      <w:r w:rsidRPr="0036452E">
        <w:rPr>
          <w:i/>
        </w:rPr>
        <w:t xml:space="preserve">ates: </w:t>
      </w:r>
      <w:r>
        <w:rPr>
          <w:i/>
        </w:rPr>
        <w:t>R</w:t>
      </w:r>
      <w:r w:rsidRPr="0036452E">
        <w:rPr>
          <w:i/>
        </w:rPr>
        <w:t>eport for Department of Health and Ageing, Australia</w:t>
      </w:r>
      <w:r w:rsidRPr="008A111F">
        <w:t xml:space="preserve">. Sydney: </w:t>
      </w:r>
      <w:proofErr w:type="spellStart"/>
      <w:r w:rsidRPr="008A111F">
        <w:t>Ingham</w:t>
      </w:r>
      <w:proofErr w:type="spellEnd"/>
      <w:r w:rsidRPr="008A111F">
        <w:t xml:space="preserve"> Institute.</w:t>
      </w:r>
    </w:p>
  </w:footnote>
  <w:footnote w:id="35">
    <w:p w:rsidR="00937559" w:rsidRDefault="00937559" w:rsidP="0036452E">
      <w:pPr>
        <w:pStyle w:val="FootnoteText"/>
      </w:pPr>
      <w:r w:rsidRPr="0036452E">
        <w:rPr>
          <w:rStyle w:val="FootnoteReference"/>
        </w:rPr>
        <w:footnoteRef/>
      </w:r>
      <w:r>
        <w:tab/>
      </w:r>
      <w:proofErr w:type="gramStart"/>
      <w:r w:rsidRPr="0036452E">
        <w:rPr>
          <w:i/>
        </w:rPr>
        <w:t>RANZCR.</w:t>
      </w:r>
      <w:proofErr w:type="gramEnd"/>
      <w:r w:rsidRPr="0036452E">
        <w:rPr>
          <w:i/>
        </w:rPr>
        <w:t xml:space="preserve"> </w:t>
      </w:r>
      <w:proofErr w:type="gramStart"/>
      <w:r w:rsidRPr="0036452E">
        <w:rPr>
          <w:i/>
        </w:rPr>
        <w:t>Planning for the Best: Tripartite National Strategic Plan for Radiation Oncology 2012</w:t>
      </w:r>
      <w:r>
        <w:rPr>
          <w:i/>
        </w:rPr>
        <w:t>–</w:t>
      </w:r>
      <w:r w:rsidRPr="0036452E">
        <w:rPr>
          <w:i/>
        </w:rPr>
        <w:t>2022, version 1</w:t>
      </w:r>
      <w:r>
        <w:t>.</w:t>
      </w:r>
      <w:proofErr w:type="gramEnd"/>
      <w:r>
        <w:t xml:space="preserve"> </w:t>
      </w:r>
      <w:r w:rsidDel="00EB7826">
        <w:t xml:space="preserve">Sydney: </w:t>
      </w:r>
      <w:r>
        <w:t>RANZCR, 2012.</w:t>
      </w:r>
    </w:p>
  </w:footnote>
  <w:footnote w:id="36">
    <w:p w:rsidR="00937559" w:rsidRDefault="00937559" w:rsidP="0036452E">
      <w:pPr>
        <w:pStyle w:val="FootnoteText"/>
      </w:pPr>
      <w:r w:rsidRPr="0036452E">
        <w:rPr>
          <w:rStyle w:val="FootnoteReference"/>
        </w:rPr>
        <w:footnoteRef/>
      </w:r>
      <w:r>
        <w:tab/>
      </w:r>
      <w:r w:rsidRPr="0036452E">
        <w:rPr>
          <w:i/>
        </w:rPr>
        <w:t xml:space="preserve">Cancer </w:t>
      </w:r>
      <w:proofErr w:type="gramStart"/>
      <w:r w:rsidRPr="0036452E">
        <w:rPr>
          <w:i/>
        </w:rPr>
        <w:t>In</w:t>
      </w:r>
      <w:proofErr w:type="gramEnd"/>
      <w:r w:rsidRPr="0036452E">
        <w:rPr>
          <w:i/>
        </w:rPr>
        <w:t xml:space="preserve"> Scotland: Radiotherapy Activity Planning for Scotland 2011</w:t>
      </w:r>
      <w:r>
        <w:rPr>
          <w:i/>
        </w:rPr>
        <w:t>–</w:t>
      </w:r>
      <w:r w:rsidRPr="0036452E">
        <w:rPr>
          <w:i/>
        </w:rPr>
        <w:t>2015</w:t>
      </w:r>
      <w:r>
        <w:t xml:space="preserve">. </w:t>
      </w:r>
      <w:proofErr w:type="gramStart"/>
      <w:r>
        <w:t>Scottish Executive Health Department, 2005.</w:t>
      </w:r>
      <w:proofErr w:type="gramEnd"/>
    </w:p>
  </w:footnote>
  <w:footnote w:id="37">
    <w:p w:rsidR="00937559" w:rsidRDefault="00937559" w:rsidP="0036452E">
      <w:pPr>
        <w:pStyle w:val="FootnoteText"/>
      </w:pPr>
      <w:r w:rsidRPr="0036452E">
        <w:rPr>
          <w:rStyle w:val="FootnoteReference"/>
        </w:rPr>
        <w:footnoteRef/>
      </w:r>
      <w:r>
        <w:tab/>
      </w:r>
      <w:proofErr w:type="gramStart"/>
      <w:r w:rsidRPr="0036452E">
        <w:rPr>
          <w:i/>
        </w:rPr>
        <w:t>NRAG.</w:t>
      </w:r>
      <w:proofErr w:type="gramEnd"/>
      <w:r w:rsidRPr="0036452E">
        <w:rPr>
          <w:i/>
        </w:rPr>
        <w:t xml:space="preserve"> </w:t>
      </w:r>
      <w:proofErr w:type="gramStart"/>
      <w:r w:rsidRPr="0036452E">
        <w:rPr>
          <w:i/>
        </w:rPr>
        <w:t>Radiotherapy Services in England 2012</w:t>
      </w:r>
      <w:r>
        <w:t>.</w:t>
      </w:r>
      <w:proofErr w:type="gramEnd"/>
      <w:r>
        <w:t xml:space="preserve"> </w:t>
      </w:r>
      <w:r w:rsidDel="005F5FBC">
        <w:t>London:</w:t>
      </w:r>
      <w:r>
        <w:t xml:space="preserve"> Department of Health, 2012.</w:t>
      </w:r>
    </w:p>
  </w:footnote>
  <w:footnote w:id="38">
    <w:p w:rsidR="00937559" w:rsidRDefault="00937559" w:rsidP="0036452E">
      <w:pPr>
        <w:pStyle w:val="FootnoteText"/>
      </w:pPr>
      <w:r w:rsidRPr="0036452E">
        <w:rPr>
          <w:rStyle w:val="FootnoteReference"/>
        </w:rPr>
        <w:footnoteRef/>
      </w:r>
      <w:r>
        <w:tab/>
      </w:r>
      <w:r w:rsidRPr="00F220D7">
        <w:t>In 2010 the Northern Cancer Network applied the Scottish and Australian models to New Zealand cancer registrations, and found that these would set a New Zealand national rate of 52.3% (Australian), and 41.7% to 45.4% (Scottish).</w:t>
      </w:r>
    </w:p>
  </w:footnote>
  <w:footnote w:id="39">
    <w:p w:rsidR="00937559" w:rsidRDefault="00937559" w:rsidP="0047191A">
      <w:pPr>
        <w:pStyle w:val="FootnoteText"/>
      </w:pPr>
      <w:r w:rsidRPr="0047191A">
        <w:rPr>
          <w:rStyle w:val="FootnoteReference"/>
        </w:rPr>
        <w:footnoteRef/>
      </w:r>
      <w:r>
        <w:tab/>
      </w:r>
      <w:r w:rsidRPr="00391B70">
        <w:t xml:space="preserve">Correspondence from Dr John Childs, at that time clinical director of the National Cancer Programme, quoted in </w:t>
      </w:r>
      <w:r w:rsidRPr="00391B70">
        <w:rPr>
          <w:i/>
          <w:iCs/>
        </w:rPr>
        <w:t>Central Cancer Network Linear Accelerator Modelling – 2012 to 2020.</w:t>
      </w:r>
    </w:p>
  </w:footnote>
  <w:footnote w:id="40">
    <w:p w:rsidR="00937559" w:rsidRDefault="00937559" w:rsidP="0047191A">
      <w:pPr>
        <w:pStyle w:val="FootnoteText"/>
      </w:pPr>
      <w:r w:rsidRPr="0047191A">
        <w:rPr>
          <w:rStyle w:val="FootnoteReference"/>
        </w:rPr>
        <w:footnoteRef/>
      </w:r>
      <w:r>
        <w:tab/>
      </w:r>
      <w:r w:rsidRPr="003C6296">
        <w:t xml:space="preserve">In reality a national average of 45% will see DHBs in a </w:t>
      </w:r>
      <w:r>
        <w:t>range</w:t>
      </w:r>
      <w:r w:rsidRPr="003C6296">
        <w:t xml:space="preserve"> around that</w:t>
      </w:r>
      <w:r>
        <w:t xml:space="preserve"> rate</w:t>
      </w:r>
      <w:r w:rsidRPr="003C6296">
        <w:t xml:space="preserve">, so individual </w:t>
      </w:r>
      <w:r>
        <w:t>DHB expenditure</w:t>
      </w:r>
      <w:r w:rsidRPr="003C6296">
        <w:t xml:space="preserve"> will vary.</w:t>
      </w:r>
    </w:p>
  </w:footnote>
  <w:footnote w:id="41">
    <w:p w:rsidR="00937559" w:rsidRDefault="00937559" w:rsidP="0047191A">
      <w:pPr>
        <w:pStyle w:val="FootnoteText"/>
      </w:pPr>
      <w:r w:rsidRPr="0047191A">
        <w:rPr>
          <w:rStyle w:val="FootnoteReference"/>
        </w:rPr>
        <w:footnoteRef/>
      </w:r>
      <w:r>
        <w:tab/>
      </w:r>
      <w:r w:rsidRPr="0047191A">
        <w:rPr>
          <w:i/>
        </w:rPr>
        <w:t xml:space="preserve">Guidance for </w:t>
      </w:r>
      <w:r>
        <w:rPr>
          <w:i/>
        </w:rPr>
        <w:t>I</w:t>
      </w:r>
      <w:r w:rsidRPr="0047191A">
        <w:rPr>
          <w:i/>
        </w:rPr>
        <w:t xml:space="preserve">mplementing </w:t>
      </w:r>
      <w:r>
        <w:rPr>
          <w:i/>
        </w:rPr>
        <w:t>H</w:t>
      </w:r>
      <w:r w:rsidRPr="0047191A">
        <w:rPr>
          <w:i/>
        </w:rPr>
        <w:t xml:space="preserve">igh-quality </w:t>
      </w:r>
      <w:r>
        <w:rPr>
          <w:i/>
        </w:rPr>
        <w:t>M</w:t>
      </w:r>
      <w:r w:rsidRPr="0047191A">
        <w:rPr>
          <w:i/>
        </w:rPr>
        <w:t xml:space="preserve">ultidisciplinary </w:t>
      </w:r>
      <w:r>
        <w:rPr>
          <w:i/>
        </w:rPr>
        <w:t>M</w:t>
      </w:r>
      <w:r w:rsidRPr="0047191A">
        <w:rPr>
          <w:i/>
        </w:rPr>
        <w:t xml:space="preserve">eetings: </w:t>
      </w:r>
      <w:r>
        <w:rPr>
          <w:i/>
        </w:rPr>
        <w:t>A</w:t>
      </w:r>
      <w:r w:rsidRPr="0047191A">
        <w:rPr>
          <w:i/>
        </w:rPr>
        <w:t>chieving best practice cancer care</w:t>
      </w:r>
      <w:r w:rsidRPr="007E03B1">
        <w:t>.</w:t>
      </w:r>
      <w:r>
        <w:t xml:space="preserve"> </w:t>
      </w:r>
      <w:proofErr w:type="gramStart"/>
      <w:r w:rsidRPr="003C6296">
        <w:t>Ministry of Health</w:t>
      </w:r>
      <w:r>
        <w:t xml:space="preserve">, </w:t>
      </w:r>
      <w:r w:rsidRPr="003C6296">
        <w:t>2012.</w:t>
      </w:r>
      <w:proofErr w:type="gramEnd"/>
    </w:p>
  </w:footnote>
  <w:footnote w:id="42">
    <w:p w:rsidR="00937559" w:rsidRPr="00490543" w:rsidRDefault="00937559" w:rsidP="0047191A">
      <w:pPr>
        <w:pStyle w:val="FootnoteText"/>
      </w:pPr>
      <w:r w:rsidRPr="0047191A">
        <w:rPr>
          <w:rStyle w:val="FootnoteReference"/>
        </w:rPr>
        <w:footnoteRef/>
      </w:r>
      <w:r>
        <w:tab/>
      </w:r>
      <w:r w:rsidRPr="00490543">
        <w:t>Available on the Ministry of Health website at</w:t>
      </w:r>
      <w:r>
        <w:t>:</w:t>
      </w:r>
      <w:r w:rsidRPr="00490543">
        <w:t xml:space="preserve"> http://www.health.govt.nz/our-work/diseases-and-conditions/cancer-programme/faster-cancer-treatment-programme/tumour-standards</w:t>
      </w:r>
    </w:p>
  </w:footnote>
  <w:footnote w:id="43">
    <w:p w:rsidR="00937559" w:rsidRDefault="00937559" w:rsidP="0047191A">
      <w:pPr>
        <w:pStyle w:val="FootnoteText"/>
      </w:pPr>
      <w:r w:rsidRPr="0047191A">
        <w:rPr>
          <w:rStyle w:val="FootnoteReference"/>
        </w:rPr>
        <w:footnoteRef/>
      </w:r>
      <w:r>
        <w:tab/>
      </w:r>
      <w:r w:rsidRPr="00E44CBE">
        <w:t>The horizon scan is based on work by the Faculty of Radiation Oncology of the Royal Australian and New Zealand College of Radiologists.</w:t>
      </w:r>
    </w:p>
  </w:footnote>
  <w:footnote w:id="44">
    <w:p w:rsidR="00937559" w:rsidRDefault="00937559" w:rsidP="0047191A">
      <w:pPr>
        <w:pStyle w:val="FootnoteText"/>
      </w:pPr>
      <w:r w:rsidRPr="0047191A">
        <w:rPr>
          <w:rStyle w:val="FootnoteReference"/>
        </w:rPr>
        <w:footnoteRef/>
      </w:r>
      <w:r>
        <w:tab/>
      </w:r>
      <w:r w:rsidRPr="00962655">
        <w:t>Areas of consensus include paediatric cancers and stereotactic treatment for benign intr</w:t>
      </w:r>
      <w:r>
        <w:t>a</w:t>
      </w:r>
      <w:r w:rsidRPr="00962655">
        <w:t>cranial tumours. Some progress has also been made with HDR brachytherapy.</w:t>
      </w:r>
    </w:p>
  </w:footnote>
  <w:footnote w:id="45">
    <w:p w:rsidR="00937559" w:rsidRDefault="00937559" w:rsidP="00A87E6C">
      <w:pPr>
        <w:pStyle w:val="FootnoteText"/>
      </w:pPr>
      <w:r w:rsidRPr="00A87E6C">
        <w:rPr>
          <w:rStyle w:val="FootnoteReference"/>
        </w:rPr>
        <w:footnoteRef/>
      </w:r>
      <w:r>
        <w:tab/>
      </w:r>
      <w:r w:rsidRPr="000A4A16">
        <w:t>CIC needs to approve any capital investment over $10</w:t>
      </w:r>
      <w:r>
        <w:t xml:space="preserve"> </w:t>
      </w:r>
      <w:r w:rsidRPr="000A4A16">
        <w:t>m</w:t>
      </w:r>
      <w:r>
        <w:t>illion. Individual</w:t>
      </w:r>
      <w:r w:rsidRPr="000A4A16">
        <w:t xml:space="preserve"> linac capital costs tend to be in the $4</w:t>
      </w:r>
      <w:r>
        <w:t>–</w:t>
      </w:r>
      <w:r w:rsidRPr="000A4A16">
        <w:t>6</w:t>
      </w:r>
      <w:r>
        <w:t xml:space="preserve"> </w:t>
      </w:r>
      <w:r w:rsidRPr="000A4A16">
        <w:t>m</w:t>
      </w:r>
      <w:r>
        <w:t>illion</w:t>
      </w:r>
      <w:r w:rsidRPr="000A4A16">
        <w:t xml:space="preserve"> range, depending on the extent of facility development required</w:t>
      </w:r>
      <w:r>
        <w:t>.</w:t>
      </w:r>
    </w:p>
  </w:footnote>
  <w:footnote w:id="46">
    <w:p w:rsidR="00937559" w:rsidRDefault="00937559" w:rsidP="00A87E6C">
      <w:pPr>
        <w:pStyle w:val="FootnoteText"/>
      </w:pPr>
      <w:r w:rsidRPr="00A87E6C">
        <w:rPr>
          <w:rStyle w:val="FootnoteReference"/>
        </w:rPr>
        <w:footnoteRef/>
      </w:r>
      <w:r>
        <w:tab/>
      </w:r>
      <w:r w:rsidRPr="003C6296">
        <w:t>PHARMAC has consulted DHBs on the priorities for the initial phase of work on medical devices over the next 12</w:t>
      </w:r>
      <w:r>
        <w:t>–</w:t>
      </w:r>
      <w:r w:rsidRPr="003C6296">
        <w:t xml:space="preserve">18 months. The DHBs were also asked to identify any other categories that they considered of importance that they </w:t>
      </w:r>
      <w:r>
        <w:t xml:space="preserve">would like PHARMAC to work on. </w:t>
      </w:r>
      <w:r w:rsidRPr="003C6296">
        <w:t xml:space="preserve">Linacs have not been identified at this stage, with the categories selected being a mixture of consumables and some smaller capital hardware, but not more specialised </w:t>
      </w:r>
      <w:r>
        <w:t xml:space="preserve">and higher cost </w:t>
      </w:r>
      <w:r w:rsidRPr="003C6296">
        <w:t>capital equipment such as linacs</w:t>
      </w:r>
      <w:r>
        <w:t>.</w:t>
      </w:r>
    </w:p>
  </w:footnote>
  <w:footnote w:id="47">
    <w:p w:rsidR="00937559" w:rsidRDefault="00937559" w:rsidP="00C11659">
      <w:pPr>
        <w:pStyle w:val="FootnoteText"/>
      </w:pPr>
      <w:r w:rsidRPr="00C11659">
        <w:rPr>
          <w:rStyle w:val="FootnoteReference"/>
        </w:rPr>
        <w:footnoteRef/>
      </w:r>
      <w:r>
        <w:tab/>
      </w:r>
      <w:r w:rsidRPr="00C11659">
        <w:rPr>
          <w:i/>
        </w:rPr>
        <w:t>Cancer Projections: Incidence 2004–08 to 2014–18</w:t>
      </w:r>
      <w:r w:rsidRPr="00350DDD">
        <w:t>.</w:t>
      </w:r>
      <w:r>
        <w:t xml:space="preserve"> Wellington: </w:t>
      </w:r>
      <w:r w:rsidRPr="00350DDD">
        <w:t>Ministry of Health</w:t>
      </w:r>
      <w:r>
        <w:t>, 2010.</w:t>
      </w:r>
    </w:p>
  </w:footnote>
  <w:footnote w:id="48">
    <w:p w:rsidR="00937559" w:rsidRPr="00057C0E" w:rsidRDefault="00937559" w:rsidP="00C11659">
      <w:pPr>
        <w:pStyle w:val="FootnoteText"/>
      </w:pPr>
      <w:r w:rsidRPr="00C11659">
        <w:rPr>
          <w:rStyle w:val="FootnoteReference"/>
        </w:rPr>
        <w:footnoteRef/>
      </w:r>
      <w:r>
        <w:tab/>
      </w:r>
      <w:r w:rsidRPr="00057C0E">
        <w:t>2010 registration data arrived too late for inclusion.</w:t>
      </w:r>
      <w:r>
        <w:t xml:space="preserve"> </w:t>
      </w:r>
      <w:r w:rsidRPr="00057C0E">
        <w:t xml:space="preserve">The overall total </w:t>
      </w:r>
      <w:r>
        <w:t xml:space="preserve">for 2010 </w:t>
      </w:r>
      <w:r w:rsidRPr="00057C0E">
        <w:t>was within 50 cases of the projected total, so updating is unlikely to be discernable in the Model.</w:t>
      </w:r>
      <w:r>
        <w:t xml:space="preserve"> More recent </w:t>
      </w:r>
      <w:r w:rsidRPr="00057C0E">
        <w:t xml:space="preserve">provisional data </w:t>
      </w:r>
      <w:r>
        <w:t xml:space="preserve">is </w:t>
      </w:r>
      <w:r w:rsidRPr="00057C0E">
        <w:t xml:space="preserve">available for some cancers, </w:t>
      </w:r>
      <w:r>
        <w:t>but</w:t>
      </w:r>
      <w:r w:rsidRPr="00057C0E">
        <w:t xml:space="preserve"> these are not considered complete</w:t>
      </w:r>
      <w:r>
        <w:t>, so are less useful for IR calculations and demand projections.</w:t>
      </w:r>
    </w:p>
  </w:footnote>
  <w:footnote w:id="49">
    <w:p w:rsidR="00937559" w:rsidRDefault="00937559" w:rsidP="00C11659">
      <w:pPr>
        <w:pStyle w:val="FootnoteText"/>
      </w:pPr>
      <w:r w:rsidRPr="00C11659">
        <w:rPr>
          <w:rStyle w:val="FootnoteReference"/>
        </w:rPr>
        <w:footnoteRef/>
      </w:r>
      <w:r>
        <w:tab/>
      </w:r>
      <w:r w:rsidRPr="00350DDD">
        <w:t xml:space="preserve">Population </w:t>
      </w:r>
      <w:r>
        <w:t>p</w:t>
      </w:r>
      <w:r w:rsidRPr="00350DDD">
        <w:t>rojections commissione</w:t>
      </w:r>
      <w:r>
        <w:t xml:space="preserve">d from Statistics New Zealand. </w:t>
      </w:r>
      <w:proofErr w:type="gramStart"/>
      <w:r w:rsidRPr="00350DDD">
        <w:t>Unpublished Excel spreadsheet.</w:t>
      </w:r>
      <w:proofErr w:type="gramEnd"/>
      <w:r w:rsidRPr="00E463D4">
        <w:t xml:space="preserve"> </w:t>
      </w:r>
      <w:proofErr w:type="gramStart"/>
      <w:r>
        <w:t>Ministry of Health,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Default="00937559" w:rsidP="001B627E">
    <w:pPr>
      <w:pStyle w:val="Evenheader"/>
    </w:pPr>
    <w:r>
      <w:t>Version 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Default="00937559" w:rsidP="00105541">
    <w:pPr>
      <w:pStyle w:val="Odd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Pr="00105541" w:rsidRDefault="00937559" w:rsidP="001055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Default="00937559" w:rsidP="001B627E">
    <w:pPr>
      <w:pStyle w:val="Even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Pr="0010690F" w:rsidRDefault="00937559" w:rsidP="001069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59" w:rsidRDefault="00937559" w:rsidP="001B627E">
    <w:pPr>
      <w:pStyle w:val="Odd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0543F87"/>
    <w:multiLevelType w:val="hybridMultilevel"/>
    <w:tmpl w:val="F1D87034"/>
    <w:lvl w:ilvl="0" w:tplc="53DCA75A">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BF60754"/>
    <w:multiLevelType w:val="hybridMultilevel"/>
    <w:tmpl w:val="8930A15A"/>
    <w:lvl w:ilvl="0" w:tplc="90E2D6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D3F1E"/>
    <w:multiLevelType w:val="hybridMultilevel"/>
    <w:tmpl w:val="41249536"/>
    <w:lvl w:ilvl="0" w:tplc="6BB6991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96D3212"/>
    <w:multiLevelType w:val="hybridMultilevel"/>
    <w:tmpl w:val="11A8CE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5085894"/>
    <w:multiLevelType w:val="multilevel"/>
    <w:tmpl w:val="117C2D82"/>
    <w:lvl w:ilvl="0">
      <w:start w:val="3"/>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5252754"/>
    <w:multiLevelType w:val="hybridMultilevel"/>
    <w:tmpl w:val="EABA7C54"/>
    <w:lvl w:ilvl="0" w:tplc="B28E93D8">
      <w:start w:val="1"/>
      <w:numFmt w:val="decimal"/>
      <w:lvlText w:val="Figure %1:   "/>
      <w:lvlJc w:val="left"/>
      <w:pPr>
        <w:ind w:left="720" w:hanging="360"/>
      </w:pPr>
      <w:rPr>
        <w:rFonts w:ascii="Arial" w:hAnsi="Arial" w:cs="Arial" w:hint="default"/>
        <w:b/>
        <w:bCs/>
        <w:i w:val="0"/>
        <w:i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5315C9"/>
    <w:multiLevelType w:val="hybridMultilevel"/>
    <w:tmpl w:val="0E20283E"/>
    <w:lvl w:ilvl="0" w:tplc="53DCA75A">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034C7"/>
    <w:multiLevelType w:val="hybridMultilevel"/>
    <w:tmpl w:val="36BE6022"/>
    <w:lvl w:ilvl="0" w:tplc="74DA3A4A">
      <w:start w:val="1"/>
      <w:numFmt w:val="upperLetter"/>
      <w:lvlText w:val="%1."/>
      <w:lvlJc w:val="left"/>
      <w:pPr>
        <w:ind w:left="453" w:hanging="360"/>
      </w:pPr>
      <w:rPr>
        <w:rFonts w:hint="default"/>
        <w:b/>
      </w:rPr>
    </w:lvl>
    <w:lvl w:ilvl="1" w:tplc="14090019" w:tentative="1">
      <w:start w:val="1"/>
      <w:numFmt w:val="lowerLetter"/>
      <w:lvlText w:val="%2."/>
      <w:lvlJc w:val="left"/>
      <w:pPr>
        <w:ind w:left="1173" w:hanging="360"/>
      </w:pPr>
    </w:lvl>
    <w:lvl w:ilvl="2" w:tplc="1409001B" w:tentative="1">
      <w:start w:val="1"/>
      <w:numFmt w:val="lowerRoman"/>
      <w:lvlText w:val="%3."/>
      <w:lvlJc w:val="right"/>
      <w:pPr>
        <w:ind w:left="1893" w:hanging="180"/>
      </w:pPr>
    </w:lvl>
    <w:lvl w:ilvl="3" w:tplc="1409000F" w:tentative="1">
      <w:start w:val="1"/>
      <w:numFmt w:val="decimal"/>
      <w:lvlText w:val="%4."/>
      <w:lvlJc w:val="left"/>
      <w:pPr>
        <w:ind w:left="2613" w:hanging="360"/>
      </w:pPr>
    </w:lvl>
    <w:lvl w:ilvl="4" w:tplc="14090019" w:tentative="1">
      <w:start w:val="1"/>
      <w:numFmt w:val="lowerLetter"/>
      <w:lvlText w:val="%5."/>
      <w:lvlJc w:val="left"/>
      <w:pPr>
        <w:ind w:left="3333" w:hanging="360"/>
      </w:pPr>
    </w:lvl>
    <w:lvl w:ilvl="5" w:tplc="1409001B" w:tentative="1">
      <w:start w:val="1"/>
      <w:numFmt w:val="lowerRoman"/>
      <w:lvlText w:val="%6."/>
      <w:lvlJc w:val="right"/>
      <w:pPr>
        <w:ind w:left="4053" w:hanging="180"/>
      </w:pPr>
    </w:lvl>
    <w:lvl w:ilvl="6" w:tplc="1409000F" w:tentative="1">
      <w:start w:val="1"/>
      <w:numFmt w:val="decimal"/>
      <w:lvlText w:val="%7."/>
      <w:lvlJc w:val="left"/>
      <w:pPr>
        <w:ind w:left="4773" w:hanging="360"/>
      </w:pPr>
    </w:lvl>
    <w:lvl w:ilvl="7" w:tplc="14090019" w:tentative="1">
      <w:start w:val="1"/>
      <w:numFmt w:val="lowerLetter"/>
      <w:lvlText w:val="%8."/>
      <w:lvlJc w:val="left"/>
      <w:pPr>
        <w:ind w:left="5493" w:hanging="360"/>
      </w:pPr>
    </w:lvl>
    <w:lvl w:ilvl="8" w:tplc="1409001B" w:tentative="1">
      <w:start w:val="1"/>
      <w:numFmt w:val="lowerRoman"/>
      <w:lvlText w:val="%9."/>
      <w:lvlJc w:val="right"/>
      <w:pPr>
        <w:ind w:left="6213" w:hanging="180"/>
      </w:pPr>
    </w:lvl>
  </w:abstractNum>
  <w:abstractNum w:abstractNumId="13">
    <w:nsid w:val="3518093E"/>
    <w:multiLevelType w:val="hybridMultilevel"/>
    <w:tmpl w:val="A4F4D77C"/>
    <w:lvl w:ilvl="0" w:tplc="4FEA1D9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9396C93"/>
    <w:multiLevelType w:val="hybridMultilevel"/>
    <w:tmpl w:val="117C2D82"/>
    <w:lvl w:ilvl="0" w:tplc="55945E82">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F14A7A"/>
    <w:multiLevelType w:val="hybridMultilevel"/>
    <w:tmpl w:val="D08C15D6"/>
    <w:lvl w:ilvl="0" w:tplc="1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5D4D3B"/>
    <w:multiLevelType w:val="hybridMultilevel"/>
    <w:tmpl w:val="171E5126"/>
    <w:lvl w:ilvl="0" w:tplc="6BB69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7362624"/>
    <w:multiLevelType w:val="multilevel"/>
    <w:tmpl w:val="F0385412"/>
    <w:lvl w:ilvl="0">
      <w:start w:val="1"/>
      <w:numFmt w:val="decimal"/>
      <w:lvlText w:val="%1."/>
      <w:lvlJc w:val="left"/>
      <w:pPr>
        <w:ind w:left="36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0D2766"/>
    <w:multiLevelType w:val="multilevel"/>
    <w:tmpl w:val="0E20283E"/>
    <w:lvl w:ilvl="0">
      <w:start w:val="1"/>
      <w:numFmt w:val="decimal"/>
      <w:lvlText w:val="%1."/>
      <w:lvlJc w:val="left"/>
      <w:pPr>
        <w:ind w:left="36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6F5E70"/>
    <w:multiLevelType w:val="hybridMultilevel"/>
    <w:tmpl w:val="717070C2"/>
    <w:lvl w:ilvl="0" w:tplc="6BB6991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0E364D8"/>
    <w:multiLevelType w:val="multilevel"/>
    <w:tmpl w:val="04F6A3DA"/>
    <w:lvl w:ilvl="0">
      <w:start w:val="1"/>
      <w:numFmt w:val="decimal"/>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1283D09"/>
    <w:multiLevelType w:val="hybridMultilevel"/>
    <w:tmpl w:val="691E0F22"/>
    <w:lvl w:ilvl="0" w:tplc="05A4E898">
      <w:start w:val="1"/>
      <w:numFmt w:val="decimal"/>
      <w:pStyle w:val="Numb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1DF316B"/>
    <w:multiLevelType w:val="multilevel"/>
    <w:tmpl w:val="D68E9D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3F63EA2"/>
    <w:multiLevelType w:val="hybridMultilevel"/>
    <w:tmpl w:val="30BADC46"/>
    <w:lvl w:ilvl="0" w:tplc="84F40A18">
      <w:start w:val="1"/>
      <w:numFmt w:val="decimal"/>
      <w:pStyle w:val="Boxnumber"/>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7">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5CAC6E05"/>
    <w:multiLevelType w:val="hybridMultilevel"/>
    <w:tmpl w:val="2048B482"/>
    <w:lvl w:ilvl="0" w:tplc="6BB6991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00B5417"/>
    <w:multiLevelType w:val="hybridMultilevel"/>
    <w:tmpl w:val="67AEF61E"/>
    <w:lvl w:ilvl="0" w:tplc="90E2D6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829CF"/>
    <w:multiLevelType w:val="hybridMultilevel"/>
    <w:tmpl w:val="2FA075E6"/>
    <w:lvl w:ilvl="0" w:tplc="6BB69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A57B7"/>
    <w:multiLevelType w:val="hybridMultilevel"/>
    <w:tmpl w:val="C2C6CBA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32">
    <w:nsid w:val="674C2333"/>
    <w:multiLevelType w:val="hybridMultilevel"/>
    <w:tmpl w:val="62223A9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4">
    <w:nsid w:val="70EC66A6"/>
    <w:multiLevelType w:val="hybridMultilevel"/>
    <w:tmpl w:val="543CEBCC"/>
    <w:lvl w:ilvl="0" w:tplc="14090001">
      <w:start w:val="1"/>
      <w:numFmt w:val="bullet"/>
      <w:lvlText w:val=""/>
      <w:lvlJc w:val="left"/>
      <w:pPr>
        <w:ind w:left="1440" w:hanging="360"/>
      </w:pPr>
      <w:rPr>
        <w:rFonts w:ascii="Symbol" w:hAnsi="Symbol" w:cs="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cs="Wingdings" w:hint="default"/>
      </w:rPr>
    </w:lvl>
    <w:lvl w:ilvl="3" w:tplc="14090001">
      <w:start w:val="1"/>
      <w:numFmt w:val="bullet"/>
      <w:lvlText w:val=""/>
      <w:lvlJc w:val="left"/>
      <w:pPr>
        <w:ind w:left="3600" w:hanging="360"/>
      </w:pPr>
      <w:rPr>
        <w:rFonts w:ascii="Symbol" w:hAnsi="Symbol" w:cs="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cs="Wingdings" w:hint="default"/>
      </w:rPr>
    </w:lvl>
    <w:lvl w:ilvl="6" w:tplc="14090001">
      <w:start w:val="1"/>
      <w:numFmt w:val="bullet"/>
      <w:lvlText w:val=""/>
      <w:lvlJc w:val="left"/>
      <w:pPr>
        <w:ind w:left="5760" w:hanging="360"/>
      </w:pPr>
      <w:rPr>
        <w:rFonts w:ascii="Symbol" w:hAnsi="Symbol" w:cs="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cs="Wingdings" w:hint="default"/>
      </w:rPr>
    </w:lvl>
  </w:abstractNum>
  <w:abstractNum w:abstractNumId="35">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6">
    <w:nsid w:val="78994799"/>
    <w:multiLevelType w:val="hybridMultilevel"/>
    <w:tmpl w:val="F0385412"/>
    <w:lvl w:ilvl="0" w:tplc="53DCA75A">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8">
    <w:nsid w:val="7E265E79"/>
    <w:multiLevelType w:val="hybridMultilevel"/>
    <w:tmpl w:val="34BA2DD6"/>
    <w:lvl w:ilvl="0" w:tplc="6BB69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9022F"/>
    <w:multiLevelType w:val="hybridMultilevel"/>
    <w:tmpl w:val="FCF048A2"/>
    <w:lvl w:ilvl="0" w:tplc="53DCA75A">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3"/>
  </w:num>
  <w:num w:numId="3">
    <w:abstractNumId w:val="16"/>
  </w:num>
  <w:num w:numId="4">
    <w:abstractNumId w:val="18"/>
  </w:num>
  <w:num w:numId="5">
    <w:abstractNumId w:val="2"/>
  </w:num>
  <w:num w:numId="6">
    <w:abstractNumId w:val="27"/>
  </w:num>
  <w:num w:numId="7">
    <w:abstractNumId w:val="7"/>
  </w:num>
  <w:num w:numId="8">
    <w:abstractNumId w:val="35"/>
  </w:num>
  <w:num w:numId="9">
    <w:abstractNumId w:val="5"/>
  </w:num>
  <w:num w:numId="10">
    <w:abstractNumId w:val="8"/>
  </w:num>
  <w:num w:numId="11">
    <w:abstractNumId w:val="19"/>
  </w:num>
  <w:num w:numId="12">
    <w:abstractNumId w:val="0"/>
  </w:num>
  <w:num w:numId="13">
    <w:abstractNumId w:val="4"/>
  </w:num>
  <w:num w:numId="14">
    <w:abstractNumId w:val="38"/>
  </w:num>
  <w:num w:numId="15">
    <w:abstractNumId w:val="17"/>
  </w:num>
  <w:num w:numId="16">
    <w:abstractNumId w:val="13"/>
  </w:num>
  <w:num w:numId="17">
    <w:abstractNumId w:val="10"/>
  </w:num>
  <w:num w:numId="18">
    <w:abstractNumId w:val="34"/>
  </w:num>
  <w:num w:numId="19">
    <w:abstractNumId w:val="28"/>
  </w:num>
  <w:num w:numId="20">
    <w:abstractNumId w:val="31"/>
  </w:num>
  <w:num w:numId="21">
    <w:abstractNumId w:val="22"/>
  </w:num>
  <w:num w:numId="22">
    <w:abstractNumId w:val="6"/>
  </w:num>
  <w:num w:numId="23">
    <w:abstractNumId w:val="30"/>
  </w:num>
  <w:num w:numId="24">
    <w:abstractNumId w:val="32"/>
  </w:num>
  <w:num w:numId="25">
    <w:abstractNumId w:val="12"/>
  </w:num>
  <w:num w:numId="26">
    <w:abstractNumId w:val="29"/>
  </w:num>
  <w:num w:numId="27">
    <w:abstractNumId w:val="3"/>
  </w:num>
  <w:num w:numId="28">
    <w:abstractNumId w:val="15"/>
  </w:num>
  <w:num w:numId="29">
    <w:abstractNumId w:val="1"/>
  </w:num>
  <w:num w:numId="30">
    <w:abstractNumId w:val="14"/>
  </w:num>
  <w:num w:numId="31">
    <w:abstractNumId w:val="9"/>
  </w:num>
  <w:num w:numId="32">
    <w:abstractNumId w:val="25"/>
  </w:num>
  <w:num w:numId="33">
    <w:abstractNumId w:val="23"/>
  </w:num>
  <w:num w:numId="34">
    <w:abstractNumId w:val="39"/>
  </w:num>
  <w:num w:numId="35">
    <w:abstractNumId w:val="11"/>
  </w:num>
  <w:num w:numId="36">
    <w:abstractNumId w:val="21"/>
  </w:num>
  <w:num w:numId="37">
    <w:abstractNumId w:val="36"/>
  </w:num>
  <w:num w:numId="38">
    <w:abstractNumId w:val="20"/>
  </w:num>
  <w:num w:numId="39">
    <w:abstractNumId w:val="24"/>
  </w:num>
  <w:num w:numId="4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1C7F"/>
    <w:rsid w:val="00030B26"/>
    <w:rsid w:val="00045EDA"/>
    <w:rsid w:val="00056904"/>
    <w:rsid w:val="0006228D"/>
    <w:rsid w:val="0007247E"/>
    <w:rsid w:val="00072BD6"/>
    <w:rsid w:val="00075B78"/>
    <w:rsid w:val="00082CD6"/>
    <w:rsid w:val="00085AFE"/>
    <w:rsid w:val="000A4D1A"/>
    <w:rsid w:val="000A4F53"/>
    <w:rsid w:val="000B0730"/>
    <w:rsid w:val="000F2AE2"/>
    <w:rsid w:val="00102063"/>
    <w:rsid w:val="0010541C"/>
    <w:rsid w:val="00105541"/>
    <w:rsid w:val="0010690F"/>
    <w:rsid w:val="00106F93"/>
    <w:rsid w:val="001111C6"/>
    <w:rsid w:val="00111D50"/>
    <w:rsid w:val="00113B8E"/>
    <w:rsid w:val="00120A4F"/>
    <w:rsid w:val="001342C7"/>
    <w:rsid w:val="0013585C"/>
    <w:rsid w:val="00142954"/>
    <w:rsid w:val="001433CE"/>
    <w:rsid w:val="001460E0"/>
    <w:rsid w:val="00147F71"/>
    <w:rsid w:val="00150A6E"/>
    <w:rsid w:val="0016468A"/>
    <w:rsid w:val="0016725D"/>
    <w:rsid w:val="00177741"/>
    <w:rsid w:val="00177F46"/>
    <w:rsid w:val="0018347E"/>
    <w:rsid w:val="001A5CF5"/>
    <w:rsid w:val="001B39D2"/>
    <w:rsid w:val="001B627E"/>
    <w:rsid w:val="001C4326"/>
    <w:rsid w:val="001D3541"/>
    <w:rsid w:val="001F21CA"/>
    <w:rsid w:val="001F41AD"/>
    <w:rsid w:val="00201A01"/>
    <w:rsid w:val="002104D3"/>
    <w:rsid w:val="00213A33"/>
    <w:rsid w:val="0021763B"/>
    <w:rsid w:val="00246DB1"/>
    <w:rsid w:val="002476B5"/>
    <w:rsid w:val="00253ECF"/>
    <w:rsid w:val="002546A1"/>
    <w:rsid w:val="00275D08"/>
    <w:rsid w:val="0028130D"/>
    <w:rsid w:val="002858E3"/>
    <w:rsid w:val="0029190A"/>
    <w:rsid w:val="00292C5A"/>
    <w:rsid w:val="00295241"/>
    <w:rsid w:val="002B047D"/>
    <w:rsid w:val="002B619A"/>
    <w:rsid w:val="002B732B"/>
    <w:rsid w:val="002C2219"/>
    <w:rsid w:val="002D0DF2"/>
    <w:rsid w:val="002D23BD"/>
    <w:rsid w:val="002E0B47"/>
    <w:rsid w:val="002F3CF6"/>
    <w:rsid w:val="002F7213"/>
    <w:rsid w:val="0030382F"/>
    <w:rsid w:val="003060E4"/>
    <w:rsid w:val="0031479E"/>
    <w:rsid w:val="003160E7"/>
    <w:rsid w:val="0031739E"/>
    <w:rsid w:val="003325AB"/>
    <w:rsid w:val="0033412B"/>
    <w:rsid w:val="00335E73"/>
    <w:rsid w:val="00343365"/>
    <w:rsid w:val="00353501"/>
    <w:rsid w:val="003606F8"/>
    <w:rsid w:val="0036452E"/>
    <w:rsid w:val="003648EF"/>
    <w:rsid w:val="003673E6"/>
    <w:rsid w:val="00377264"/>
    <w:rsid w:val="00381906"/>
    <w:rsid w:val="00385485"/>
    <w:rsid w:val="003932F9"/>
    <w:rsid w:val="00393E53"/>
    <w:rsid w:val="003A26A5"/>
    <w:rsid w:val="003A3761"/>
    <w:rsid w:val="003A5FEA"/>
    <w:rsid w:val="003B1D10"/>
    <w:rsid w:val="003C76D4"/>
    <w:rsid w:val="003E3AAB"/>
    <w:rsid w:val="003E7C46"/>
    <w:rsid w:val="003F2BCD"/>
    <w:rsid w:val="003F52A7"/>
    <w:rsid w:val="003F5EB0"/>
    <w:rsid w:val="0040240C"/>
    <w:rsid w:val="00410912"/>
    <w:rsid w:val="00413021"/>
    <w:rsid w:val="00440BE0"/>
    <w:rsid w:val="0044584B"/>
    <w:rsid w:val="00447CB7"/>
    <w:rsid w:val="00460826"/>
    <w:rsid w:val="00460EA7"/>
    <w:rsid w:val="0046195B"/>
    <w:rsid w:val="0046596D"/>
    <w:rsid w:val="0047191A"/>
    <w:rsid w:val="00473828"/>
    <w:rsid w:val="00487C04"/>
    <w:rsid w:val="004907E1"/>
    <w:rsid w:val="004A035B"/>
    <w:rsid w:val="004A778C"/>
    <w:rsid w:val="004C130D"/>
    <w:rsid w:val="004C2E6A"/>
    <w:rsid w:val="004D2A2D"/>
    <w:rsid w:val="004D6689"/>
    <w:rsid w:val="004E1D1D"/>
    <w:rsid w:val="004E7AC8"/>
    <w:rsid w:val="004F0C94"/>
    <w:rsid w:val="005019AE"/>
    <w:rsid w:val="00503749"/>
    <w:rsid w:val="00504426"/>
    <w:rsid w:val="00504CF4"/>
    <w:rsid w:val="0050635B"/>
    <w:rsid w:val="005133E9"/>
    <w:rsid w:val="005157C2"/>
    <w:rsid w:val="00523384"/>
    <w:rsid w:val="0053199F"/>
    <w:rsid w:val="00533B90"/>
    <w:rsid w:val="00536CC7"/>
    <w:rsid w:val="005410F8"/>
    <w:rsid w:val="005448EC"/>
    <w:rsid w:val="00545963"/>
    <w:rsid w:val="00550256"/>
    <w:rsid w:val="00553048"/>
    <w:rsid w:val="00553958"/>
    <w:rsid w:val="0055763D"/>
    <w:rsid w:val="00560F3C"/>
    <w:rsid w:val="00567B58"/>
    <w:rsid w:val="005763E0"/>
    <w:rsid w:val="00590B5D"/>
    <w:rsid w:val="005A0299"/>
    <w:rsid w:val="005A27CA"/>
    <w:rsid w:val="005A43BD"/>
    <w:rsid w:val="005E226E"/>
    <w:rsid w:val="005F6748"/>
    <w:rsid w:val="006015D7"/>
    <w:rsid w:val="00601B21"/>
    <w:rsid w:val="00626CF8"/>
    <w:rsid w:val="00636D7D"/>
    <w:rsid w:val="0064180E"/>
    <w:rsid w:val="00642868"/>
    <w:rsid w:val="0065097C"/>
    <w:rsid w:val="006512BC"/>
    <w:rsid w:val="00653A5A"/>
    <w:rsid w:val="006575F4"/>
    <w:rsid w:val="006579E6"/>
    <w:rsid w:val="00660FA3"/>
    <w:rsid w:val="00663EDC"/>
    <w:rsid w:val="006664E6"/>
    <w:rsid w:val="00680A04"/>
    <w:rsid w:val="006842B7"/>
    <w:rsid w:val="00686D80"/>
    <w:rsid w:val="00687614"/>
    <w:rsid w:val="00694895"/>
    <w:rsid w:val="006973BA"/>
    <w:rsid w:val="00697E2E"/>
    <w:rsid w:val="006B0E73"/>
    <w:rsid w:val="006B4A4D"/>
    <w:rsid w:val="006B5695"/>
    <w:rsid w:val="006B703A"/>
    <w:rsid w:val="006C78EB"/>
    <w:rsid w:val="006D1660"/>
    <w:rsid w:val="006F1B67"/>
    <w:rsid w:val="006F2148"/>
    <w:rsid w:val="0070091D"/>
    <w:rsid w:val="00702854"/>
    <w:rsid w:val="00707479"/>
    <w:rsid w:val="007173E0"/>
    <w:rsid w:val="0071741C"/>
    <w:rsid w:val="007243B8"/>
    <w:rsid w:val="00742B90"/>
    <w:rsid w:val="0074434D"/>
    <w:rsid w:val="00746944"/>
    <w:rsid w:val="00752E94"/>
    <w:rsid w:val="00771B1E"/>
    <w:rsid w:val="00773C95"/>
    <w:rsid w:val="0078171E"/>
    <w:rsid w:val="00783397"/>
    <w:rsid w:val="00790E10"/>
    <w:rsid w:val="00794C8B"/>
    <w:rsid w:val="00795B34"/>
    <w:rsid w:val="007B1770"/>
    <w:rsid w:val="007B7C70"/>
    <w:rsid w:val="007D2151"/>
    <w:rsid w:val="007D24F5"/>
    <w:rsid w:val="007D42CC"/>
    <w:rsid w:val="007D5DE4"/>
    <w:rsid w:val="007E1341"/>
    <w:rsid w:val="007E1B41"/>
    <w:rsid w:val="007E30B9"/>
    <w:rsid w:val="007E7990"/>
    <w:rsid w:val="007F0F0C"/>
    <w:rsid w:val="007F1288"/>
    <w:rsid w:val="007F4C55"/>
    <w:rsid w:val="00800A8A"/>
    <w:rsid w:val="0080155C"/>
    <w:rsid w:val="008052E1"/>
    <w:rsid w:val="00822F2C"/>
    <w:rsid w:val="008305E8"/>
    <w:rsid w:val="00860826"/>
    <w:rsid w:val="00860E21"/>
    <w:rsid w:val="00862AEF"/>
    <w:rsid w:val="0086388B"/>
    <w:rsid w:val="008642E5"/>
    <w:rsid w:val="00872D93"/>
    <w:rsid w:val="00880470"/>
    <w:rsid w:val="00880D94"/>
    <w:rsid w:val="008A0584"/>
    <w:rsid w:val="008A3755"/>
    <w:rsid w:val="008B264F"/>
    <w:rsid w:val="008B6F83"/>
    <w:rsid w:val="008C1C05"/>
    <w:rsid w:val="008C1D1C"/>
    <w:rsid w:val="008C2973"/>
    <w:rsid w:val="008D74D5"/>
    <w:rsid w:val="008F29BE"/>
    <w:rsid w:val="008F4AE5"/>
    <w:rsid w:val="008F51EB"/>
    <w:rsid w:val="00900197"/>
    <w:rsid w:val="00902F55"/>
    <w:rsid w:val="0090582B"/>
    <w:rsid w:val="009060C0"/>
    <w:rsid w:val="009133F5"/>
    <w:rsid w:val="00920A27"/>
    <w:rsid w:val="00921216"/>
    <w:rsid w:val="00932D69"/>
    <w:rsid w:val="00937559"/>
    <w:rsid w:val="00944647"/>
    <w:rsid w:val="009659E7"/>
    <w:rsid w:val="00977B8A"/>
    <w:rsid w:val="00982971"/>
    <w:rsid w:val="009845AD"/>
    <w:rsid w:val="009A418B"/>
    <w:rsid w:val="009A4473"/>
    <w:rsid w:val="009A5975"/>
    <w:rsid w:val="009C151C"/>
    <w:rsid w:val="009D5125"/>
    <w:rsid w:val="009D60B8"/>
    <w:rsid w:val="009D7D4B"/>
    <w:rsid w:val="009E36ED"/>
    <w:rsid w:val="009F460A"/>
    <w:rsid w:val="00A043FB"/>
    <w:rsid w:val="00A0729C"/>
    <w:rsid w:val="00A07779"/>
    <w:rsid w:val="00A11198"/>
    <w:rsid w:val="00A20B2E"/>
    <w:rsid w:val="00A3145B"/>
    <w:rsid w:val="00A339D0"/>
    <w:rsid w:val="00A4201A"/>
    <w:rsid w:val="00A553CE"/>
    <w:rsid w:val="00A5677A"/>
    <w:rsid w:val="00A57EAE"/>
    <w:rsid w:val="00A63022"/>
    <w:rsid w:val="00A6490D"/>
    <w:rsid w:val="00A67C88"/>
    <w:rsid w:val="00A7634B"/>
    <w:rsid w:val="00A80363"/>
    <w:rsid w:val="00A86E22"/>
    <w:rsid w:val="00A87E6C"/>
    <w:rsid w:val="00A9169D"/>
    <w:rsid w:val="00AD4CF1"/>
    <w:rsid w:val="00AD4DC9"/>
    <w:rsid w:val="00AD5988"/>
    <w:rsid w:val="00AF7800"/>
    <w:rsid w:val="00AF7C46"/>
    <w:rsid w:val="00B072E0"/>
    <w:rsid w:val="00B13716"/>
    <w:rsid w:val="00B253F6"/>
    <w:rsid w:val="00B332F8"/>
    <w:rsid w:val="00B3492B"/>
    <w:rsid w:val="00B4646F"/>
    <w:rsid w:val="00B546CB"/>
    <w:rsid w:val="00B5531A"/>
    <w:rsid w:val="00B55C7D"/>
    <w:rsid w:val="00B63038"/>
    <w:rsid w:val="00B64BD8"/>
    <w:rsid w:val="00B701D1"/>
    <w:rsid w:val="00B73AF2"/>
    <w:rsid w:val="00B7551A"/>
    <w:rsid w:val="00B82413"/>
    <w:rsid w:val="00BB47F0"/>
    <w:rsid w:val="00BC59F1"/>
    <w:rsid w:val="00BE23DD"/>
    <w:rsid w:val="00BF3DE1"/>
    <w:rsid w:val="00BF4843"/>
    <w:rsid w:val="00BF4B05"/>
    <w:rsid w:val="00BF5205"/>
    <w:rsid w:val="00C10298"/>
    <w:rsid w:val="00C11659"/>
    <w:rsid w:val="00C12508"/>
    <w:rsid w:val="00C45AA2"/>
    <w:rsid w:val="00C73F47"/>
    <w:rsid w:val="00C77282"/>
    <w:rsid w:val="00C84DE5"/>
    <w:rsid w:val="00C86248"/>
    <w:rsid w:val="00CA4C33"/>
    <w:rsid w:val="00CA6F4A"/>
    <w:rsid w:val="00CD2119"/>
    <w:rsid w:val="00CD36AC"/>
    <w:rsid w:val="00CF1747"/>
    <w:rsid w:val="00D04A5B"/>
    <w:rsid w:val="00D04BAB"/>
    <w:rsid w:val="00D2392A"/>
    <w:rsid w:val="00D25FFE"/>
    <w:rsid w:val="00D4476F"/>
    <w:rsid w:val="00D52BFE"/>
    <w:rsid w:val="00D54D50"/>
    <w:rsid w:val="00D62047"/>
    <w:rsid w:val="00D66797"/>
    <w:rsid w:val="00D7087C"/>
    <w:rsid w:val="00D70C3C"/>
    <w:rsid w:val="00D723CA"/>
    <w:rsid w:val="00D72BE5"/>
    <w:rsid w:val="00D82F26"/>
    <w:rsid w:val="00D863D0"/>
    <w:rsid w:val="00D87C87"/>
    <w:rsid w:val="00DA774F"/>
    <w:rsid w:val="00DB39CF"/>
    <w:rsid w:val="00DC3CE0"/>
    <w:rsid w:val="00DD447A"/>
    <w:rsid w:val="00DE6C94"/>
    <w:rsid w:val="00DE6FD7"/>
    <w:rsid w:val="00E23271"/>
    <w:rsid w:val="00E24F80"/>
    <w:rsid w:val="00E4486C"/>
    <w:rsid w:val="00E460B6"/>
    <w:rsid w:val="00E5110C"/>
    <w:rsid w:val="00E511D5"/>
    <w:rsid w:val="00E60ABA"/>
    <w:rsid w:val="00E631D5"/>
    <w:rsid w:val="00E65269"/>
    <w:rsid w:val="00E655A1"/>
    <w:rsid w:val="00E80C91"/>
    <w:rsid w:val="00E83DC6"/>
    <w:rsid w:val="00EA796A"/>
    <w:rsid w:val="00EB1856"/>
    <w:rsid w:val="00EC50CE"/>
    <w:rsid w:val="00EC5B34"/>
    <w:rsid w:val="00EE4ADE"/>
    <w:rsid w:val="00EE5CB7"/>
    <w:rsid w:val="00F024FE"/>
    <w:rsid w:val="00F05AD4"/>
    <w:rsid w:val="00F37BF9"/>
    <w:rsid w:val="00F425CB"/>
    <w:rsid w:val="00F509F2"/>
    <w:rsid w:val="00F67496"/>
    <w:rsid w:val="00F726B2"/>
    <w:rsid w:val="00F77131"/>
    <w:rsid w:val="00F801BA"/>
    <w:rsid w:val="00F946C9"/>
    <w:rsid w:val="00FA74EE"/>
    <w:rsid w:val="00FC46E7"/>
    <w:rsid w:val="00FC5D25"/>
    <w:rsid w:val="00FD0D7E"/>
    <w:rsid w:val="00FD59B9"/>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header" w:qFormat="1"/>
    <w:lsdException w:name="footer" w:qFormat="1"/>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57C2"/>
    <w:pPr>
      <w:spacing w:line="288" w:lineRule="auto"/>
    </w:pPr>
    <w:rPr>
      <w:rFonts w:ascii="Arial" w:hAnsi="Arial"/>
      <w:sz w:val="22"/>
      <w:lang w:eastAsia="en-GB"/>
    </w:rPr>
  </w:style>
  <w:style w:type="paragraph" w:styleId="Heading1">
    <w:name w:val="heading 1"/>
    <w:basedOn w:val="Normal"/>
    <w:next w:val="Normal"/>
    <w:link w:val="Heading1Char"/>
    <w:uiPriority w:val="99"/>
    <w:qFormat/>
    <w:rsid w:val="007E7990"/>
    <w:pPr>
      <w:spacing w:after="360"/>
      <w:ind w:left="851" w:hanging="851"/>
      <w:outlineLvl w:val="0"/>
    </w:pPr>
    <w:rPr>
      <w:b/>
      <w:color w:val="003359"/>
      <w:sz w:val="36"/>
    </w:rPr>
  </w:style>
  <w:style w:type="paragraph" w:styleId="Heading2">
    <w:name w:val="heading 2"/>
    <w:basedOn w:val="Normal"/>
    <w:next w:val="Normal"/>
    <w:link w:val="Heading2Char"/>
    <w:uiPriority w:val="99"/>
    <w:qFormat/>
    <w:rsid w:val="00746944"/>
    <w:pPr>
      <w:keepNext/>
      <w:spacing w:before="240" w:after="120"/>
      <w:ind w:left="851" w:hanging="851"/>
      <w:outlineLvl w:val="1"/>
    </w:pPr>
    <w:rPr>
      <w:b/>
      <w:color w:val="003359"/>
      <w:sz w:val="28"/>
    </w:rPr>
  </w:style>
  <w:style w:type="paragraph" w:styleId="Heading3">
    <w:name w:val="heading 3"/>
    <w:basedOn w:val="Normal"/>
    <w:next w:val="Normal"/>
    <w:link w:val="Heading3Char"/>
    <w:uiPriority w:val="99"/>
    <w:qFormat/>
    <w:rsid w:val="005133E9"/>
    <w:pPr>
      <w:keepNext/>
      <w:spacing w:before="120" w:after="120"/>
      <w:ind w:left="851" w:hanging="851"/>
      <w:outlineLvl w:val="2"/>
    </w:pPr>
    <w:rPr>
      <w:b/>
      <w:color w:val="003359"/>
      <w:sz w:val="24"/>
    </w:rPr>
  </w:style>
  <w:style w:type="paragraph" w:styleId="Heading4">
    <w:name w:val="heading 4"/>
    <w:basedOn w:val="Normal"/>
    <w:next w:val="Normal"/>
    <w:qFormat/>
    <w:rsid w:val="0047191A"/>
    <w:pPr>
      <w:keepNext/>
      <w:spacing w:before="120" w:after="120"/>
      <w:outlineLvl w:val="3"/>
    </w:pPr>
    <w:rPr>
      <w:b/>
      <w:color w:val="003359"/>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E7990"/>
    <w:rPr>
      <w:rFonts w:ascii="Arial" w:hAnsi="Arial"/>
      <w:b/>
      <w:color w:val="003359"/>
      <w:sz w:val="36"/>
      <w:lang w:eastAsia="en-GB"/>
    </w:rPr>
  </w:style>
  <w:style w:type="character" w:customStyle="1" w:styleId="Heading2Char">
    <w:name w:val="Heading 2 Char"/>
    <w:link w:val="Heading2"/>
    <w:uiPriority w:val="99"/>
    <w:rsid w:val="00746944"/>
    <w:rPr>
      <w:rFonts w:ascii="Arial" w:hAnsi="Arial"/>
      <w:b/>
      <w:color w:val="003359"/>
      <w:sz w:val="28"/>
      <w:lang w:eastAsia="en-GB"/>
    </w:rPr>
  </w:style>
  <w:style w:type="character" w:customStyle="1" w:styleId="Heading3Char">
    <w:name w:val="Heading 3 Char"/>
    <w:link w:val="Heading3"/>
    <w:uiPriority w:val="99"/>
    <w:rsid w:val="005133E9"/>
    <w:rPr>
      <w:rFonts w:ascii="Arial" w:hAnsi="Arial"/>
      <w:b/>
      <w:color w:val="003359"/>
      <w:sz w:val="24"/>
      <w:lang w:eastAsia="en-GB"/>
    </w:rPr>
  </w:style>
  <w:style w:type="paragraph" w:styleId="TOC1">
    <w:name w:val="toc 1"/>
    <w:basedOn w:val="Normal"/>
    <w:next w:val="Normal"/>
    <w:uiPriority w:val="39"/>
    <w:rsid w:val="00177741"/>
    <w:pPr>
      <w:tabs>
        <w:tab w:val="right" w:pos="9356"/>
      </w:tabs>
      <w:spacing w:before="300"/>
      <w:ind w:left="567" w:right="567" w:hanging="567"/>
    </w:pPr>
    <w:rPr>
      <w:b/>
    </w:rPr>
  </w:style>
  <w:style w:type="paragraph" w:styleId="TOC2">
    <w:name w:val="toc 2"/>
    <w:basedOn w:val="Normal"/>
    <w:next w:val="Normal"/>
    <w:uiPriority w:val="39"/>
    <w:rsid w:val="00177741"/>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rsid w:val="0047191A"/>
    <w:pPr>
      <w:spacing w:before="120" w:line="264" w:lineRule="auto"/>
      <w:ind w:left="567" w:right="567"/>
    </w:pPr>
    <w:rPr>
      <w:i/>
      <w:sz w:val="21"/>
    </w:r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A67C88"/>
    <w:pPr>
      <w:spacing w:after="480"/>
      <w:jc w:val="center"/>
    </w:pPr>
    <w:rPr>
      <w:b/>
      <w:sz w:val="48"/>
    </w:rPr>
  </w:style>
  <w:style w:type="paragraph" w:customStyle="1" w:styleId="Imprint">
    <w:name w:val="Imprint"/>
    <w:basedOn w:val="Normal"/>
    <w:next w:val="Normal"/>
    <w:qFormat/>
    <w:rsid w:val="00A67C88"/>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7E7990"/>
    <w:rPr>
      <w:rFonts w:ascii="Arial" w:hAnsi="Arial"/>
      <w:b w:val="0"/>
      <w:sz w:val="24"/>
    </w:rPr>
  </w:style>
  <w:style w:type="paragraph" w:customStyle="1" w:styleId="VersoFooter">
    <w:name w:val="Verso Footer"/>
    <w:basedOn w:val="Footer"/>
    <w:rsid w:val="006F2148"/>
    <w:pPr>
      <w:pBdr>
        <w:top w:val="single" w:sz="4" w:space="4" w:color="A6A6A6"/>
        <w:bottom w:val="none" w:sz="0" w:space="0" w:color="auto"/>
      </w:pBdr>
      <w:spacing w:line="240" w:lineRule="auto"/>
      <w:ind w:left="709" w:hanging="709"/>
    </w:pPr>
    <w:rPr>
      <w:color w:val="003359"/>
      <w:sz w:val="18"/>
    </w:rPr>
  </w:style>
  <w:style w:type="paragraph" w:customStyle="1" w:styleId="RectoFooter">
    <w:name w:val="Recto Footer"/>
    <w:basedOn w:val="Footer"/>
    <w:rsid w:val="006F2148"/>
    <w:pPr>
      <w:pBdr>
        <w:top w:val="single" w:sz="4" w:space="4" w:color="A6A6A6"/>
        <w:bottom w:val="none" w:sz="0" w:space="0" w:color="auto"/>
      </w:pBdr>
      <w:tabs>
        <w:tab w:val="right" w:pos="8647"/>
        <w:tab w:val="right" w:pos="9356"/>
      </w:tabs>
      <w:spacing w:line="240" w:lineRule="auto"/>
    </w:pPr>
    <w:rPr>
      <w:color w:val="003359"/>
      <w:sz w:val="18"/>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862AEF"/>
    <w:pPr>
      <w:pBdr>
        <w:top w:val="single" w:sz="4" w:space="12" w:color="003359"/>
        <w:left w:val="single" w:sz="4" w:space="12" w:color="003359"/>
        <w:bottom w:val="single" w:sz="4" w:space="12" w:color="003359"/>
        <w:right w:val="single" w:sz="4" w:space="12" w:color="003359"/>
      </w:pBdr>
      <w:spacing w:before="120"/>
      <w:ind w:left="284" w:right="284"/>
    </w:pPr>
    <w:rPr>
      <w:sz w:val="21"/>
    </w:rPr>
  </w:style>
  <w:style w:type="paragraph" w:customStyle="1" w:styleId="BoxHeading">
    <w:name w:val="BoxHeading"/>
    <w:basedOn w:val="Box"/>
    <w:qFormat/>
    <w:rsid w:val="00862AEF"/>
    <w:rPr>
      <w:b/>
      <w:color w:val="003359"/>
      <w:sz w:val="22"/>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FD59B9"/>
    <w:pPr>
      <w:spacing w:before="60"/>
    </w:pPr>
  </w:style>
  <w:style w:type="paragraph" w:customStyle="1" w:styleId="Note">
    <w:name w:val="Note"/>
    <w:basedOn w:val="Normal"/>
    <w:next w:val="Normal"/>
    <w:link w:val="NoteChar"/>
    <w:qFormat/>
    <w:rsid w:val="00590B5D"/>
    <w:pPr>
      <w:spacing w:before="80" w:line="240" w:lineRule="auto"/>
    </w:pPr>
    <w:rPr>
      <w:i/>
      <w:sz w:val="18"/>
    </w:rPr>
  </w:style>
  <w:style w:type="character" w:customStyle="1" w:styleId="NoteChar">
    <w:name w:val="Note Char"/>
    <w:link w:val="Note"/>
    <w:rsid w:val="00590B5D"/>
    <w:rPr>
      <w:rFonts w:ascii="Arial" w:hAnsi="Arial"/>
      <w:i/>
      <w:sz w:val="18"/>
      <w:lang w:eastAsia="en-GB"/>
    </w:rPr>
  </w:style>
  <w:style w:type="paragraph" w:customStyle="1" w:styleId="Subhead">
    <w:name w:val="Subhead"/>
    <w:basedOn w:val="Normal"/>
    <w:next w:val="Normal"/>
    <w:qFormat/>
    <w:rsid w:val="00A67C88"/>
    <w:pPr>
      <w:spacing w:before="180"/>
      <w:jc w:val="center"/>
    </w:pPr>
    <w:rPr>
      <w:b/>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customStyle="1" w:styleId="Number">
    <w:name w:val="Number"/>
    <w:basedOn w:val="Normal"/>
    <w:qFormat/>
    <w:rsid w:val="003F5EB0"/>
    <w:pPr>
      <w:numPr>
        <w:numId w:val="39"/>
      </w:numPr>
      <w:spacing w:before="220"/>
      <w:ind w:left="567" w:hanging="567"/>
    </w:pPr>
  </w:style>
  <w:style w:type="paragraph" w:customStyle="1" w:styleId="Boxnumber">
    <w:name w:val="Box number"/>
    <w:basedOn w:val="Box"/>
    <w:qFormat/>
    <w:rsid w:val="00746944"/>
    <w:pPr>
      <w:numPr>
        <w:numId w:val="40"/>
      </w:numPr>
      <w:tabs>
        <w:tab w:val="left" w:pos="851"/>
      </w:tabs>
      <w:ind w:left="851" w:hanging="567"/>
    </w:p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Evenheader">
    <w:name w:val="Even header"/>
    <w:basedOn w:val="Normal"/>
    <w:qFormat/>
    <w:rsid w:val="001B627E"/>
    <w:rPr>
      <w:b/>
      <w:color w:val="A6A6A6"/>
      <w:sz w:val="24"/>
    </w:rPr>
  </w:style>
  <w:style w:type="paragraph" w:customStyle="1" w:styleId="Oddheader">
    <w:name w:val="Odd header"/>
    <w:basedOn w:val="Normal"/>
    <w:qFormat/>
    <w:rsid w:val="001B627E"/>
    <w:pPr>
      <w:jc w:val="right"/>
    </w:pPr>
    <w:rPr>
      <w:b/>
      <w:color w:val="A6A6A6"/>
      <w:sz w:val="24"/>
    </w:rPr>
  </w:style>
  <w:style w:type="paragraph" w:styleId="BalloonText">
    <w:name w:val="Balloon Text"/>
    <w:basedOn w:val="Normal"/>
    <w:link w:val="BalloonTextChar"/>
    <w:uiPriority w:val="99"/>
    <w:semiHidden/>
    <w:unhideWhenUsed/>
    <w:rsid w:val="00393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5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header" w:qFormat="1"/>
    <w:lsdException w:name="footer" w:qFormat="1"/>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57C2"/>
    <w:pPr>
      <w:spacing w:line="288" w:lineRule="auto"/>
    </w:pPr>
    <w:rPr>
      <w:rFonts w:ascii="Arial" w:hAnsi="Arial"/>
      <w:sz w:val="22"/>
      <w:lang w:eastAsia="en-GB"/>
    </w:rPr>
  </w:style>
  <w:style w:type="paragraph" w:styleId="Heading1">
    <w:name w:val="heading 1"/>
    <w:basedOn w:val="Normal"/>
    <w:next w:val="Normal"/>
    <w:link w:val="Heading1Char"/>
    <w:uiPriority w:val="99"/>
    <w:qFormat/>
    <w:rsid w:val="007E7990"/>
    <w:pPr>
      <w:spacing w:after="360"/>
      <w:ind w:left="851" w:hanging="851"/>
      <w:outlineLvl w:val="0"/>
    </w:pPr>
    <w:rPr>
      <w:b/>
      <w:color w:val="003359"/>
      <w:sz w:val="36"/>
    </w:rPr>
  </w:style>
  <w:style w:type="paragraph" w:styleId="Heading2">
    <w:name w:val="heading 2"/>
    <w:basedOn w:val="Normal"/>
    <w:next w:val="Normal"/>
    <w:link w:val="Heading2Char"/>
    <w:uiPriority w:val="99"/>
    <w:qFormat/>
    <w:rsid w:val="00746944"/>
    <w:pPr>
      <w:keepNext/>
      <w:spacing w:before="240" w:after="120"/>
      <w:ind w:left="851" w:hanging="851"/>
      <w:outlineLvl w:val="1"/>
    </w:pPr>
    <w:rPr>
      <w:b/>
      <w:color w:val="003359"/>
      <w:sz w:val="28"/>
    </w:rPr>
  </w:style>
  <w:style w:type="paragraph" w:styleId="Heading3">
    <w:name w:val="heading 3"/>
    <w:basedOn w:val="Normal"/>
    <w:next w:val="Normal"/>
    <w:link w:val="Heading3Char"/>
    <w:uiPriority w:val="99"/>
    <w:qFormat/>
    <w:rsid w:val="005133E9"/>
    <w:pPr>
      <w:keepNext/>
      <w:spacing w:before="120" w:after="120"/>
      <w:ind w:left="851" w:hanging="851"/>
      <w:outlineLvl w:val="2"/>
    </w:pPr>
    <w:rPr>
      <w:b/>
      <w:color w:val="003359"/>
      <w:sz w:val="24"/>
    </w:rPr>
  </w:style>
  <w:style w:type="paragraph" w:styleId="Heading4">
    <w:name w:val="heading 4"/>
    <w:basedOn w:val="Normal"/>
    <w:next w:val="Normal"/>
    <w:qFormat/>
    <w:rsid w:val="0047191A"/>
    <w:pPr>
      <w:keepNext/>
      <w:spacing w:before="120" w:after="120"/>
      <w:outlineLvl w:val="3"/>
    </w:pPr>
    <w:rPr>
      <w:b/>
      <w:color w:val="003359"/>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E7990"/>
    <w:rPr>
      <w:rFonts w:ascii="Arial" w:hAnsi="Arial"/>
      <w:b/>
      <w:color w:val="003359"/>
      <w:sz w:val="36"/>
      <w:lang w:eastAsia="en-GB"/>
    </w:rPr>
  </w:style>
  <w:style w:type="character" w:customStyle="1" w:styleId="Heading2Char">
    <w:name w:val="Heading 2 Char"/>
    <w:link w:val="Heading2"/>
    <w:uiPriority w:val="99"/>
    <w:rsid w:val="00746944"/>
    <w:rPr>
      <w:rFonts w:ascii="Arial" w:hAnsi="Arial"/>
      <w:b/>
      <w:color w:val="003359"/>
      <w:sz w:val="28"/>
      <w:lang w:eastAsia="en-GB"/>
    </w:rPr>
  </w:style>
  <w:style w:type="character" w:customStyle="1" w:styleId="Heading3Char">
    <w:name w:val="Heading 3 Char"/>
    <w:link w:val="Heading3"/>
    <w:uiPriority w:val="99"/>
    <w:rsid w:val="005133E9"/>
    <w:rPr>
      <w:rFonts w:ascii="Arial" w:hAnsi="Arial"/>
      <w:b/>
      <w:color w:val="003359"/>
      <w:sz w:val="24"/>
      <w:lang w:eastAsia="en-GB"/>
    </w:rPr>
  </w:style>
  <w:style w:type="paragraph" w:styleId="TOC1">
    <w:name w:val="toc 1"/>
    <w:basedOn w:val="Normal"/>
    <w:next w:val="Normal"/>
    <w:uiPriority w:val="39"/>
    <w:rsid w:val="00177741"/>
    <w:pPr>
      <w:tabs>
        <w:tab w:val="right" w:pos="9356"/>
      </w:tabs>
      <w:spacing w:before="300"/>
      <w:ind w:left="567" w:right="567" w:hanging="567"/>
    </w:pPr>
    <w:rPr>
      <w:b/>
    </w:rPr>
  </w:style>
  <w:style w:type="paragraph" w:styleId="TOC2">
    <w:name w:val="toc 2"/>
    <w:basedOn w:val="Normal"/>
    <w:next w:val="Normal"/>
    <w:uiPriority w:val="39"/>
    <w:rsid w:val="00177741"/>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rsid w:val="0047191A"/>
    <w:pPr>
      <w:spacing w:before="120" w:line="264" w:lineRule="auto"/>
      <w:ind w:left="567" w:right="567"/>
    </w:pPr>
    <w:rPr>
      <w:i/>
      <w:sz w:val="21"/>
    </w:r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A67C88"/>
    <w:pPr>
      <w:spacing w:after="480"/>
      <w:jc w:val="center"/>
    </w:pPr>
    <w:rPr>
      <w:b/>
      <w:sz w:val="48"/>
    </w:rPr>
  </w:style>
  <w:style w:type="paragraph" w:customStyle="1" w:styleId="Imprint">
    <w:name w:val="Imprint"/>
    <w:basedOn w:val="Normal"/>
    <w:next w:val="Normal"/>
    <w:qFormat/>
    <w:rsid w:val="00A67C88"/>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7E7990"/>
    <w:rPr>
      <w:rFonts w:ascii="Arial" w:hAnsi="Arial"/>
      <w:b w:val="0"/>
      <w:sz w:val="24"/>
    </w:rPr>
  </w:style>
  <w:style w:type="paragraph" w:customStyle="1" w:styleId="VersoFooter">
    <w:name w:val="Verso Footer"/>
    <w:basedOn w:val="Footer"/>
    <w:rsid w:val="006F2148"/>
    <w:pPr>
      <w:pBdr>
        <w:top w:val="single" w:sz="4" w:space="4" w:color="A6A6A6"/>
        <w:bottom w:val="none" w:sz="0" w:space="0" w:color="auto"/>
      </w:pBdr>
      <w:spacing w:line="240" w:lineRule="auto"/>
      <w:ind w:left="709" w:hanging="709"/>
    </w:pPr>
    <w:rPr>
      <w:color w:val="003359"/>
      <w:sz w:val="18"/>
    </w:rPr>
  </w:style>
  <w:style w:type="paragraph" w:customStyle="1" w:styleId="RectoFooter">
    <w:name w:val="Recto Footer"/>
    <w:basedOn w:val="Footer"/>
    <w:rsid w:val="006F2148"/>
    <w:pPr>
      <w:pBdr>
        <w:top w:val="single" w:sz="4" w:space="4" w:color="A6A6A6"/>
        <w:bottom w:val="none" w:sz="0" w:space="0" w:color="auto"/>
      </w:pBdr>
      <w:tabs>
        <w:tab w:val="right" w:pos="8647"/>
        <w:tab w:val="right" w:pos="9356"/>
      </w:tabs>
      <w:spacing w:line="240" w:lineRule="auto"/>
    </w:pPr>
    <w:rPr>
      <w:color w:val="003359"/>
      <w:sz w:val="18"/>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862AEF"/>
    <w:pPr>
      <w:pBdr>
        <w:top w:val="single" w:sz="4" w:space="12" w:color="003359"/>
        <w:left w:val="single" w:sz="4" w:space="12" w:color="003359"/>
        <w:bottom w:val="single" w:sz="4" w:space="12" w:color="003359"/>
        <w:right w:val="single" w:sz="4" w:space="12" w:color="003359"/>
      </w:pBdr>
      <w:spacing w:before="120"/>
      <w:ind w:left="284" w:right="284"/>
    </w:pPr>
    <w:rPr>
      <w:sz w:val="21"/>
    </w:rPr>
  </w:style>
  <w:style w:type="paragraph" w:customStyle="1" w:styleId="BoxHeading">
    <w:name w:val="BoxHeading"/>
    <w:basedOn w:val="Box"/>
    <w:qFormat/>
    <w:rsid w:val="00862AEF"/>
    <w:rPr>
      <w:b/>
      <w:color w:val="003359"/>
      <w:sz w:val="22"/>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FD59B9"/>
    <w:pPr>
      <w:spacing w:before="60"/>
    </w:pPr>
  </w:style>
  <w:style w:type="paragraph" w:customStyle="1" w:styleId="Note">
    <w:name w:val="Note"/>
    <w:basedOn w:val="Normal"/>
    <w:next w:val="Normal"/>
    <w:link w:val="NoteChar"/>
    <w:qFormat/>
    <w:rsid w:val="00590B5D"/>
    <w:pPr>
      <w:spacing w:before="80" w:line="240" w:lineRule="auto"/>
    </w:pPr>
    <w:rPr>
      <w:i/>
      <w:sz w:val="18"/>
    </w:rPr>
  </w:style>
  <w:style w:type="character" w:customStyle="1" w:styleId="NoteChar">
    <w:name w:val="Note Char"/>
    <w:link w:val="Note"/>
    <w:rsid w:val="00590B5D"/>
    <w:rPr>
      <w:rFonts w:ascii="Arial" w:hAnsi="Arial"/>
      <w:i/>
      <w:sz w:val="18"/>
      <w:lang w:eastAsia="en-GB"/>
    </w:rPr>
  </w:style>
  <w:style w:type="paragraph" w:customStyle="1" w:styleId="Subhead">
    <w:name w:val="Subhead"/>
    <w:basedOn w:val="Normal"/>
    <w:next w:val="Normal"/>
    <w:qFormat/>
    <w:rsid w:val="00A67C88"/>
    <w:pPr>
      <w:spacing w:before="180"/>
      <w:jc w:val="center"/>
    </w:pPr>
    <w:rPr>
      <w:b/>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customStyle="1" w:styleId="Number">
    <w:name w:val="Number"/>
    <w:basedOn w:val="Normal"/>
    <w:qFormat/>
    <w:rsid w:val="003F5EB0"/>
    <w:pPr>
      <w:numPr>
        <w:numId w:val="39"/>
      </w:numPr>
      <w:spacing w:before="220"/>
      <w:ind w:left="567" w:hanging="567"/>
    </w:pPr>
  </w:style>
  <w:style w:type="paragraph" w:customStyle="1" w:styleId="Boxnumber">
    <w:name w:val="Box number"/>
    <w:basedOn w:val="Box"/>
    <w:qFormat/>
    <w:rsid w:val="00746944"/>
    <w:pPr>
      <w:numPr>
        <w:numId w:val="40"/>
      </w:numPr>
      <w:tabs>
        <w:tab w:val="left" w:pos="851"/>
      </w:tabs>
      <w:ind w:left="851" w:hanging="567"/>
    </w:p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Evenheader">
    <w:name w:val="Even header"/>
    <w:basedOn w:val="Normal"/>
    <w:qFormat/>
    <w:rsid w:val="001B627E"/>
    <w:rPr>
      <w:b/>
      <w:color w:val="A6A6A6"/>
      <w:sz w:val="24"/>
    </w:rPr>
  </w:style>
  <w:style w:type="paragraph" w:customStyle="1" w:styleId="Oddheader">
    <w:name w:val="Odd header"/>
    <w:basedOn w:val="Normal"/>
    <w:qFormat/>
    <w:rsid w:val="001B627E"/>
    <w:pPr>
      <w:jc w:val="right"/>
    </w:pPr>
    <w:rPr>
      <w:b/>
      <w:color w:val="A6A6A6"/>
      <w:sz w:val="24"/>
    </w:rPr>
  </w:style>
  <w:style w:type="paragraph" w:styleId="BalloonText">
    <w:name w:val="Balloon Text"/>
    <w:basedOn w:val="Normal"/>
    <w:link w:val="BalloonTextChar"/>
    <w:uiPriority w:val="99"/>
    <w:semiHidden/>
    <w:unhideWhenUsed/>
    <w:rsid w:val="00393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5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1.png"/><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6.png"/><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3" Type="http://schemas.openxmlformats.org/officeDocument/2006/relationships/hyperlink" Target="http://www.ncci.org.au" TargetMode="External"/><Relationship Id="rId2" Type="http://schemas.openxmlformats.org/officeDocument/2006/relationships/hyperlink" Target="http://www0.health.nsw.gov.au/resources/pdf/factors_impact_referral_r.pdf" TargetMode="External"/><Relationship Id="rId1" Type="http://schemas.openxmlformats.org/officeDocument/2006/relationships/hyperlink" Target="http://www.nsfl.health.govt.nz/apps/nsfl.nsf/pagesmh/3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7</TotalTime>
  <Pages>76</Pages>
  <Words>23876</Words>
  <Characters>133199</Characters>
  <Application>Microsoft Office Word</Application>
  <DocSecurity>2</DocSecurity>
  <Lines>4296</Lines>
  <Paragraphs>2533</Paragraphs>
  <ScaleCrop>false</ScaleCrop>
  <HeadingPairs>
    <vt:vector size="2" baseType="variant">
      <vt:variant>
        <vt:lpstr>Title</vt:lpstr>
      </vt:variant>
      <vt:variant>
        <vt:i4>1</vt:i4>
      </vt:variant>
    </vt:vector>
  </HeadingPairs>
  <TitlesOfParts>
    <vt:vector size="1" baseType="lpstr">
      <vt:lpstr>Radiation Oncology National Linear Accelerator and Workforce Plan</vt:lpstr>
    </vt:vector>
  </TitlesOfParts>
  <Company>Microsoft</Company>
  <LinksUpToDate>false</LinksUpToDate>
  <CharactersWithSpaces>154542</CharactersWithSpaces>
  <SharedDoc>false</SharedDoc>
  <HLinks>
    <vt:vector size="18" baseType="variant">
      <vt:variant>
        <vt:i4>2162739</vt:i4>
      </vt:variant>
      <vt:variant>
        <vt:i4>6</vt:i4>
      </vt:variant>
      <vt:variant>
        <vt:i4>0</vt:i4>
      </vt:variant>
      <vt:variant>
        <vt:i4>5</vt:i4>
      </vt:variant>
      <vt:variant>
        <vt:lpwstr>http://www.ncci.org.au/</vt:lpwstr>
      </vt:variant>
      <vt:variant>
        <vt:lpwstr/>
      </vt:variant>
      <vt:variant>
        <vt:i4>589862</vt:i4>
      </vt:variant>
      <vt:variant>
        <vt:i4>3</vt:i4>
      </vt:variant>
      <vt:variant>
        <vt:i4>0</vt:i4>
      </vt:variant>
      <vt:variant>
        <vt:i4>5</vt:i4>
      </vt:variant>
      <vt:variant>
        <vt:lpwstr>http://www0.health.nsw.gov.au/resources/pdf/factors_impact_referral_r.pdf</vt:lpwstr>
      </vt:variant>
      <vt:variant>
        <vt:lpwstr/>
      </vt:variant>
      <vt:variant>
        <vt:i4>983113</vt:i4>
      </vt:variant>
      <vt:variant>
        <vt:i4>0</vt:i4>
      </vt:variant>
      <vt:variant>
        <vt:i4>0</vt:i4>
      </vt:variant>
      <vt:variant>
        <vt:i4>5</vt:i4>
      </vt:variant>
      <vt:variant>
        <vt:lpwstr>http://www.nsfl.health.govt.nz/apps/nsfl.nsf/pagesmh/300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Oncology National Linear Accelerator and Workforce Plan</dc:title>
  <dc:creator>Health Partners Consulting Group</dc:creator>
  <cp:lastModifiedBy>Jane Adam</cp:lastModifiedBy>
  <cp:revision>4</cp:revision>
  <cp:lastPrinted>2013-05-22T23:47:00Z</cp:lastPrinted>
  <dcterms:created xsi:type="dcterms:W3CDTF">2014-06-19T22:40:00Z</dcterms:created>
  <dcterms:modified xsi:type="dcterms:W3CDTF">2014-06-19T23:05:00Z</dcterms:modified>
</cp:coreProperties>
</file>