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2676" w14:textId="77777777" w:rsidR="00C86248" w:rsidRPr="00D54D50" w:rsidRDefault="00E85766" w:rsidP="00D54D50">
      <w:pPr>
        <w:pStyle w:val="Title"/>
      </w:pPr>
      <w:r>
        <w:t>The National Radiation Oncology Plan</w:t>
      </w:r>
    </w:p>
    <w:p w14:paraId="0BFB3A50" w14:textId="77777777" w:rsidR="00455CC9" w:rsidRDefault="00E85766" w:rsidP="00455CC9">
      <w:pPr>
        <w:pStyle w:val="Year"/>
      </w:pPr>
      <w:r>
        <w:t>2017–2021</w:t>
      </w:r>
    </w:p>
    <w:p w14:paraId="3FF8C071" w14:textId="77777777" w:rsidR="00C86248" w:rsidRDefault="00C86248" w:rsidP="00343365">
      <w:pPr>
        <w:pStyle w:val="Subhead"/>
      </w:pPr>
    </w:p>
    <w:p w14:paraId="44FB7D6D" w14:textId="77777777"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14:paraId="7F079849" w14:textId="77777777" w:rsidR="00A80363" w:rsidRPr="00442C1C" w:rsidRDefault="00A80363">
      <w:pPr>
        <w:pStyle w:val="Imprint"/>
      </w:pPr>
      <w:r>
        <w:lastRenderedPageBreak/>
        <w:t xml:space="preserve">Citation: </w:t>
      </w:r>
      <w:r w:rsidR="00442C1C">
        <w:t xml:space="preserve">Ministry of Health. </w:t>
      </w:r>
      <w:r w:rsidR="00E85766">
        <w:t xml:space="preserve">2017. </w:t>
      </w:r>
      <w:r w:rsidR="00E85766">
        <w:rPr>
          <w:i/>
        </w:rPr>
        <w:t>The National Radiation Oncology Plan 2017–2021</w:t>
      </w:r>
      <w:r w:rsidR="00442C1C">
        <w:t>. Wellington: Ministry of Health.</w:t>
      </w:r>
    </w:p>
    <w:p w14:paraId="616A129E" w14:textId="2952AD40" w:rsidR="00C86248" w:rsidRDefault="00C86248">
      <w:pPr>
        <w:pStyle w:val="Imprint"/>
      </w:pPr>
      <w:r>
        <w:t xml:space="preserve">Published in </w:t>
      </w:r>
      <w:r w:rsidR="004C21B6">
        <w:t>April</w:t>
      </w:r>
      <w:r w:rsidR="00E85766">
        <w:t xml:space="preserve"> 2017</w:t>
      </w:r>
      <w:r w:rsidR="005019AE">
        <w:br/>
      </w:r>
      <w:r>
        <w:t>by the</w:t>
      </w:r>
      <w:r w:rsidR="00442C1C">
        <w:t xml:space="preserve"> </w:t>
      </w:r>
      <w:r>
        <w:t>Ministry of Health</w:t>
      </w:r>
      <w:r>
        <w:br/>
        <w:t>PO Box 5013, Wellington</w:t>
      </w:r>
      <w:r w:rsidR="00A80363">
        <w:t xml:space="preserve"> 614</w:t>
      </w:r>
      <w:r w:rsidR="006041F0">
        <w:t>0</w:t>
      </w:r>
      <w:r>
        <w:t>, New Zealand</w:t>
      </w:r>
    </w:p>
    <w:p w14:paraId="3D591908" w14:textId="1599A01B" w:rsidR="00082CD6" w:rsidRPr="00230AF2" w:rsidRDefault="00F63781" w:rsidP="00230AF2">
      <w:pPr>
        <w:jc w:val="center"/>
        <w:rPr>
          <w:rFonts w:cs="Arial"/>
          <w:szCs w:val="22"/>
        </w:rPr>
      </w:pPr>
      <w:r w:rsidRPr="00230AF2">
        <w:t xml:space="preserve">ISBN </w:t>
      </w:r>
      <w:r w:rsidR="00230AF2" w:rsidRPr="00230AF2">
        <w:rPr>
          <w:rFonts w:eastAsia="Arial" w:cs="Arial"/>
          <w:color w:val="000000"/>
        </w:rPr>
        <w:t>978-1-98-850223-6</w:t>
      </w:r>
      <w:r w:rsidR="00442C1C" w:rsidRPr="00230AF2">
        <w:t xml:space="preserve"> </w:t>
      </w:r>
      <w:r w:rsidR="00D863D0" w:rsidRPr="00230AF2">
        <w:t>(</w:t>
      </w:r>
      <w:r w:rsidR="00442C1C" w:rsidRPr="00230AF2">
        <w:t>online</w:t>
      </w:r>
      <w:r w:rsidR="00D863D0" w:rsidRPr="00230AF2">
        <w:t>)</w:t>
      </w:r>
      <w:r w:rsidR="00082CD6" w:rsidRPr="00230AF2">
        <w:br/>
      </w:r>
      <w:r w:rsidR="00082CD6" w:rsidRPr="00230AF2">
        <w:rPr>
          <w:szCs w:val="22"/>
        </w:rPr>
        <w:t xml:space="preserve">HP </w:t>
      </w:r>
      <w:r w:rsidR="00230AF2" w:rsidRPr="00230AF2">
        <w:rPr>
          <w:szCs w:val="22"/>
        </w:rPr>
        <w:t>6569</w:t>
      </w:r>
    </w:p>
    <w:p w14:paraId="1E221562" w14:textId="77777777" w:rsidR="00C86248" w:rsidRDefault="00C86248">
      <w:pPr>
        <w:pStyle w:val="Imprint"/>
      </w:pPr>
      <w:r>
        <w:t xml:space="preserve">This document is available </w:t>
      </w:r>
      <w:r w:rsidR="0071741C">
        <w:t>at w</w:t>
      </w:r>
      <w:r>
        <w:t>ww.h</w:t>
      </w:r>
      <w:r w:rsidR="00A80363">
        <w:t>ealth</w:t>
      </w:r>
      <w:r>
        <w:t>.govt.nz</w:t>
      </w:r>
    </w:p>
    <w:p w14:paraId="1C9B2366" w14:textId="77777777" w:rsidR="00C86248" w:rsidRDefault="008C64C4">
      <w:pPr>
        <w:jc w:val="center"/>
      </w:pPr>
      <w:r>
        <w:rPr>
          <w:noProof/>
          <w:lang w:eastAsia="en-NZ"/>
        </w:rPr>
        <w:drawing>
          <wp:inline distT="0" distB="0" distL="0" distR="0" wp14:anchorId="68CA3CF7" wp14:editId="3191C30C">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06A9CEE2" w14:textId="57E72132"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3FF46BBE" wp14:editId="1ED61D5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share</w:t>
      </w:r>
      <w:r w:rsidR="000F17F9">
        <w:rPr>
          <w:sz w:val="18"/>
          <w:szCs w:val="18"/>
        </w:rPr>
        <w:t>,</w:t>
      </w:r>
      <w:r w:rsidRPr="001F45A7">
        <w:rPr>
          <w:sz w:val="18"/>
          <w:szCs w:val="18"/>
        </w:rPr>
        <w:t xml:space="preserv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3B726AE0" w14:textId="77777777"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14:paraId="2F7AE4C0" w14:textId="77777777" w:rsidR="00C86248" w:rsidRDefault="00C86248">
      <w:pPr>
        <w:pStyle w:val="IntroHead"/>
      </w:pPr>
      <w:bookmarkStart w:id="0" w:name="_Toc405792991"/>
      <w:bookmarkStart w:id="1" w:name="_Toc405793224"/>
      <w:r>
        <w:lastRenderedPageBreak/>
        <w:t>Contents</w:t>
      </w:r>
      <w:bookmarkEnd w:id="0"/>
      <w:bookmarkEnd w:id="1"/>
    </w:p>
    <w:p w14:paraId="18A65745" w14:textId="77777777" w:rsidR="005C735F"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5C735F">
        <w:rPr>
          <w:noProof/>
        </w:rPr>
        <w:t>1</w:t>
      </w:r>
      <w:r w:rsidR="005C735F">
        <w:rPr>
          <w:rFonts w:asciiTheme="minorHAnsi" w:eastAsiaTheme="minorEastAsia" w:hAnsiTheme="minorHAnsi" w:cstheme="minorBidi"/>
          <w:b w:val="0"/>
          <w:noProof/>
          <w:szCs w:val="22"/>
          <w:lang w:eastAsia="en-NZ"/>
        </w:rPr>
        <w:tab/>
      </w:r>
      <w:r w:rsidR="005C735F">
        <w:rPr>
          <w:noProof/>
        </w:rPr>
        <w:t>Introduction</w:t>
      </w:r>
      <w:r w:rsidR="005C735F">
        <w:rPr>
          <w:noProof/>
        </w:rPr>
        <w:tab/>
      </w:r>
      <w:r w:rsidR="005C735F">
        <w:rPr>
          <w:noProof/>
        </w:rPr>
        <w:fldChar w:fldCharType="begin"/>
      </w:r>
      <w:r w:rsidR="005C735F">
        <w:rPr>
          <w:noProof/>
        </w:rPr>
        <w:instrText xml:space="preserve"> PAGEREF _Toc475992494 \h </w:instrText>
      </w:r>
      <w:r w:rsidR="005C735F">
        <w:rPr>
          <w:noProof/>
        </w:rPr>
      </w:r>
      <w:r w:rsidR="005C735F">
        <w:rPr>
          <w:noProof/>
        </w:rPr>
        <w:fldChar w:fldCharType="separate"/>
      </w:r>
      <w:r w:rsidR="00E2252F">
        <w:rPr>
          <w:noProof/>
        </w:rPr>
        <w:t>1</w:t>
      </w:r>
      <w:r w:rsidR="005C735F">
        <w:rPr>
          <w:noProof/>
        </w:rPr>
        <w:fldChar w:fldCharType="end"/>
      </w:r>
    </w:p>
    <w:p w14:paraId="406EAA6A"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_Toc475992495 \h </w:instrText>
      </w:r>
      <w:r>
        <w:rPr>
          <w:noProof/>
        </w:rPr>
      </w:r>
      <w:r>
        <w:rPr>
          <w:noProof/>
        </w:rPr>
        <w:fldChar w:fldCharType="separate"/>
      </w:r>
      <w:r w:rsidR="00E2252F">
        <w:rPr>
          <w:noProof/>
        </w:rPr>
        <w:t>1</w:t>
      </w:r>
      <w:r>
        <w:rPr>
          <w:noProof/>
        </w:rPr>
        <w:fldChar w:fldCharType="end"/>
      </w:r>
    </w:p>
    <w:p w14:paraId="708C6EC2"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The National Radiation Oncology Plan 2017–2021</w:t>
      </w:r>
      <w:r>
        <w:rPr>
          <w:noProof/>
        </w:rPr>
        <w:tab/>
      </w:r>
      <w:r>
        <w:rPr>
          <w:noProof/>
        </w:rPr>
        <w:fldChar w:fldCharType="begin"/>
      </w:r>
      <w:r>
        <w:rPr>
          <w:noProof/>
        </w:rPr>
        <w:instrText xml:space="preserve"> PAGEREF _Toc475992496 \h </w:instrText>
      </w:r>
      <w:r>
        <w:rPr>
          <w:noProof/>
        </w:rPr>
      </w:r>
      <w:r>
        <w:rPr>
          <w:noProof/>
        </w:rPr>
        <w:fldChar w:fldCharType="separate"/>
      </w:r>
      <w:r w:rsidR="00E2252F">
        <w:rPr>
          <w:noProof/>
        </w:rPr>
        <w:t>3</w:t>
      </w:r>
      <w:r>
        <w:rPr>
          <w:noProof/>
        </w:rPr>
        <w:fldChar w:fldCharType="end"/>
      </w:r>
    </w:p>
    <w:p w14:paraId="568208E7" w14:textId="77777777" w:rsidR="005C735F" w:rsidRDefault="005C735F">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Context</w:t>
      </w:r>
      <w:r>
        <w:rPr>
          <w:noProof/>
        </w:rPr>
        <w:tab/>
      </w:r>
      <w:r>
        <w:rPr>
          <w:noProof/>
        </w:rPr>
        <w:fldChar w:fldCharType="begin"/>
      </w:r>
      <w:r>
        <w:rPr>
          <w:noProof/>
        </w:rPr>
        <w:instrText xml:space="preserve"> PAGEREF _Toc475992497 \h </w:instrText>
      </w:r>
      <w:r>
        <w:rPr>
          <w:noProof/>
        </w:rPr>
      </w:r>
      <w:r>
        <w:rPr>
          <w:noProof/>
        </w:rPr>
        <w:fldChar w:fldCharType="separate"/>
      </w:r>
      <w:r w:rsidR="00E2252F">
        <w:rPr>
          <w:noProof/>
        </w:rPr>
        <w:t>4</w:t>
      </w:r>
      <w:r>
        <w:rPr>
          <w:noProof/>
        </w:rPr>
        <w:fldChar w:fldCharType="end"/>
      </w:r>
    </w:p>
    <w:p w14:paraId="559C6CA5"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Overview of radiation oncology in New Zealand</w:t>
      </w:r>
      <w:r>
        <w:rPr>
          <w:noProof/>
        </w:rPr>
        <w:tab/>
      </w:r>
      <w:r>
        <w:rPr>
          <w:noProof/>
        </w:rPr>
        <w:fldChar w:fldCharType="begin"/>
      </w:r>
      <w:r>
        <w:rPr>
          <w:noProof/>
        </w:rPr>
        <w:instrText xml:space="preserve"> PAGEREF _Toc475992498 \h </w:instrText>
      </w:r>
      <w:r>
        <w:rPr>
          <w:noProof/>
        </w:rPr>
      </w:r>
      <w:r>
        <w:rPr>
          <w:noProof/>
        </w:rPr>
        <w:fldChar w:fldCharType="separate"/>
      </w:r>
      <w:r w:rsidR="00E2252F">
        <w:rPr>
          <w:noProof/>
        </w:rPr>
        <w:t>4</w:t>
      </w:r>
      <w:r>
        <w:rPr>
          <w:noProof/>
        </w:rPr>
        <w:fldChar w:fldCharType="end"/>
      </w:r>
    </w:p>
    <w:p w14:paraId="6D00D0E7"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Overview of international trends in radiation oncology</w:t>
      </w:r>
      <w:r>
        <w:rPr>
          <w:noProof/>
        </w:rPr>
        <w:tab/>
      </w:r>
      <w:r>
        <w:rPr>
          <w:noProof/>
        </w:rPr>
        <w:fldChar w:fldCharType="begin"/>
      </w:r>
      <w:r>
        <w:rPr>
          <w:noProof/>
        </w:rPr>
        <w:instrText xml:space="preserve"> PAGEREF _Toc475992499 \h </w:instrText>
      </w:r>
      <w:r>
        <w:rPr>
          <w:noProof/>
        </w:rPr>
      </w:r>
      <w:r>
        <w:rPr>
          <w:noProof/>
        </w:rPr>
        <w:fldChar w:fldCharType="separate"/>
      </w:r>
      <w:r w:rsidR="00E2252F">
        <w:rPr>
          <w:noProof/>
        </w:rPr>
        <w:t>5</w:t>
      </w:r>
      <w:r>
        <w:rPr>
          <w:noProof/>
        </w:rPr>
        <w:fldChar w:fldCharType="end"/>
      </w:r>
    </w:p>
    <w:p w14:paraId="535B1B63" w14:textId="77777777" w:rsidR="005C735F" w:rsidRDefault="005C735F">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Introducing the Service Planning Tool</w:t>
      </w:r>
      <w:r>
        <w:rPr>
          <w:noProof/>
        </w:rPr>
        <w:tab/>
      </w:r>
      <w:r>
        <w:rPr>
          <w:noProof/>
        </w:rPr>
        <w:fldChar w:fldCharType="begin"/>
      </w:r>
      <w:r>
        <w:rPr>
          <w:noProof/>
        </w:rPr>
        <w:instrText xml:space="preserve"> PAGEREF _Toc475992500 \h </w:instrText>
      </w:r>
      <w:r>
        <w:rPr>
          <w:noProof/>
        </w:rPr>
      </w:r>
      <w:r>
        <w:rPr>
          <w:noProof/>
        </w:rPr>
        <w:fldChar w:fldCharType="separate"/>
      </w:r>
      <w:r w:rsidR="00E2252F">
        <w:rPr>
          <w:noProof/>
        </w:rPr>
        <w:t>7</w:t>
      </w:r>
      <w:r>
        <w:rPr>
          <w:noProof/>
        </w:rPr>
        <w:fldChar w:fldCharType="end"/>
      </w:r>
    </w:p>
    <w:p w14:paraId="69368D56"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Robust measurement to support quality improvement</w:t>
      </w:r>
      <w:r>
        <w:rPr>
          <w:noProof/>
        </w:rPr>
        <w:tab/>
      </w:r>
      <w:r>
        <w:rPr>
          <w:noProof/>
        </w:rPr>
        <w:fldChar w:fldCharType="begin"/>
      </w:r>
      <w:r>
        <w:rPr>
          <w:noProof/>
        </w:rPr>
        <w:instrText xml:space="preserve"> PAGEREF _Toc475992501 \h </w:instrText>
      </w:r>
      <w:r>
        <w:rPr>
          <w:noProof/>
        </w:rPr>
      </w:r>
      <w:r>
        <w:rPr>
          <w:noProof/>
        </w:rPr>
        <w:fldChar w:fldCharType="separate"/>
      </w:r>
      <w:r w:rsidR="00E2252F">
        <w:rPr>
          <w:noProof/>
        </w:rPr>
        <w:t>7</w:t>
      </w:r>
      <w:r>
        <w:rPr>
          <w:noProof/>
        </w:rPr>
        <w:fldChar w:fldCharType="end"/>
      </w:r>
    </w:p>
    <w:p w14:paraId="6CD91D6B"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Findings</w:t>
      </w:r>
      <w:r>
        <w:rPr>
          <w:noProof/>
        </w:rPr>
        <w:tab/>
      </w:r>
      <w:r>
        <w:rPr>
          <w:noProof/>
        </w:rPr>
        <w:fldChar w:fldCharType="begin"/>
      </w:r>
      <w:r>
        <w:rPr>
          <w:noProof/>
        </w:rPr>
        <w:instrText xml:space="preserve"> PAGEREF _Toc475992502 \h </w:instrText>
      </w:r>
      <w:r>
        <w:rPr>
          <w:noProof/>
        </w:rPr>
      </w:r>
      <w:r>
        <w:rPr>
          <w:noProof/>
        </w:rPr>
        <w:fldChar w:fldCharType="separate"/>
      </w:r>
      <w:r w:rsidR="00E2252F">
        <w:rPr>
          <w:noProof/>
        </w:rPr>
        <w:t>8</w:t>
      </w:r>
      <w:r>
        <w:rPr>
          <w:noProof/>
        </w:rPr>
        <w:fldChar w:fldCharType="end"/>
      </w:r>
    </w:p>
    <w:p w14:paraId="604A7167" w14:textId="77777777" w:rsidR="005C735F" w:rsidRDefault="005C735F">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Using the outputs of the Service Planning Tool</w:t>
      </w:r>
      <w:r>
        <w:rPr>
          <w:noProof/>
        </w:rPr>
        <w:tab/>
      </w:r>
      <w:r>
        <w:rPr>
          <w:noProof/>
        </w:rPr>
        <w:fldChar w:fldCharType="begin"/>
      </w:r>
      <w:r>
        <w:rPr>
          <w:noProof/>
        </w:rPr>
        <w:instrText xml:space="preserve"> PAGEREF _Toc475992503 \h </w:instrText>
      </w:r>
      <w:r>
        <w:rPr>
          <w:noProof/>
        </w:rPr>
      </w:r>
      <w:r>
        <w:rPr>
          <w:noProof/>
        </w:rPr>
        <w:fldChar w:fldCharType="separate"/>
      </w:r>
      <w:r w:rsidR="00E2252F">
        <w:rPr>
          <w:noProof/>
        </w:rPr>
        <w:t>13</w:t>
      </w:r>
      <w:r>
        <w:rPr>
          <w:noProof/>
        </w:rPr>
        <w:fldChar w:fldCharType="end"/>
      </w:r>
    </w:p>
    <w:p w14:paraId="22ED6D0A"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Addressing unwarranted variation</w:t>
      </w:r>
      <w:r>
        <w:rPr>
          <w:noProof/>
        </w:rPr>
        <w:tab/>
      </w:r>
      <w:r>
        <w:rPr>
          <w:noProof/>
        </w:rPr>
        <w:fldChar w:fldCharType="begin"/>
      </w:r>
      <w:r>
        <w:rPr>
          <w:noProof/>
        </w:rPr>
        <w:instrText xml:space="preserve"> PAGEREF _Toc475992504 \h </w:instrText>
      </w:r>
      <w:r>
        <w:rPr>
          <w:noProof/>
        </w:rPr>
      </w:r>
      <w:r>
        <w:rPr>
          <w:noProof/>
        </w:rPr>
        <w:fldChar w:fldCharType="separate"/>
      </w:r>
      <w:r w:rsidR="00E2252F">
        <w:rPr>
          <w:noProof/>
        </w:rPr>
        <w:t>13</w:t>
      </w:r>
      <w:r>
        <w:rPr>
          <w:noProof/>
        </w:rPr>
        <w:fldChar w:fldCharType="end"/>
      </w:r>
    </w:p>
    <w:p w14:paraId="097CCC56"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Supporting the foundations of the New Zealand health system</w:t>
      </w:r>
      <w:r>
        <w:rPr>
          <w:noProof/>
        </w:rPr>
        <w:tab/>
      </w:r>
      <w:r>
        <w:rPr>
          <w:noProof/>
        </w:rPr>
        <w:fldChar w:fldCharType="begin"/>
      </w:r>
      <w:r>
        <w:rPr>
          <w:noProof/>
        </w:rPr>
        <w:instrText xml:space="preserve"> PAGEREF _Toc475992505 \h </w:instrText>
      </w:r>
      <w:r>
        <w:rPr>
          <w:noProof/>
        </w:rPr>
      </w:r>
      <w:r>
        <w:rPr>
          <w:noProof/>
        </w:rPr>
        <w:fldChar w:fldCharType="separate"/>
      </w:r>
      <w:r w:rsidR="00E2252F">
        <w:rPr>
          <w:noProof/>
        </w:rPr>
        <w:t>15</w:t>
      </w:r>
      <w:r>
        <w:rPr>
          <w:noProof/>
        </w:rPr>
        <w:fldChar w:fldCharType="end"/>
      </w:r>
    </w:p>
    <w:p w14:paraId="13B7BF75"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4.3</w:t>
      </w:r>
      <w:r>
        <w:rPr>
          <w:rFonts w:asciiTheme="minorHAnsi" w:eastAsiaTheme="minorEastAsia" w:hAnsiTheme="minorHAnsi" w:cstheme="minorBidi"/>
          <w:noProof/>
          <w:szCs w:val="22"/>
          <w:lang w:eastAsia="en-NZ"/>
        </w:rPr>
        <w:tab/>
      </w:r>
      <w:r>
        <w:rPr>
          <w:noProof/>
        </w:rPr>
        <w:t>National clinical governance</w:t>
      </w:r>
      <w:r>
        <w:rPr>
          <w:noProof/>
        </w:rPr>
        <w:tab/>
      </w:r>
      <w:r>
        <w:rPr>
          <w:noProof/>
        </w:rPr>
        <w:fldChar w:fldCharType="begin"/>
      </w:r>
      <w:r>
        <w:rPr>
          <w:noProof/>
        </w:rPr>
        <w:instrText xml:space="preserve"> PAGEREF _Toc475992506 \h </w:instrText>
      </w:r>
      <w:r>
        <w:rPr>
          <w:noProof/>
        </w:rPr>
      </w:r>
      <w:r>
        <w:rPr>
          <w:noProof/>
        </w:rPr>
        <w:fldChar w:fldCharType="separate"/>
      </w:r>
      <w:r w:rsidR="00E2252F">
        <w:rPr>
          <w:noProof/>
        </w:rPr>
        <w:t>17</w:t>
      </w:r>
      <w:r>
        <w:rPr>
          <w:noProof/>
        </w:rPr>
        <w:fldChar w:fldCharType="end"/>
      </w:r>
    </w:p>
    <w:p w14:paraId="0B38B889"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4.4</w:t>
      </w:r>
      <w:r>
        <w:rPr>
          <w:rFonts w:asciiTheme="minorHAnsi" w:eastAsiaTheme="minorEastAsia" w:hAnsiTheme="minorHAnsi" w:cstheme="minorBidi"/>
          <w:noProof/>
          <w:szCs w:val="22"/>
          <w:lang w:eastAsia="en-NZ"/>
        </w:rPr>
        <w:tab/>
      </w:r>
      <w:r>
        <w:rPr>
          <w:noProof/>
        </w:rPr>
        <w:t>The regional cancer networks</w:t>
      </w:r>
      <w:r>
        <w:rPr>
          <w:noProof/>
        </w:rPr>
        <w:tab/>
      </w:r>
      <w:r>
        <w:rPr>
          <w:noProof/>
        </w:rPr>
        <w:fldChar w:fldCharType="begin"/>
      </w:r>
      <w:r>
        <w:rPr>
          <w:noProof/>
        </w:rPr>
        <w:instrText xml:space="preserve"> PAGEREF _Toc475992507 \h </w:instrText>
      </w:r>
      <w:r>
        <w:rPr>
          <w:noProof/>
        </w:rPr>
      </w:r>
      <w:r>
        <w:rPr>
          <w:noProof/>
        </w:rPr>
        <w:fldChar w:fldCharType="separate"/>
      </w:r>
      <w:r w:rsidR="00E2252F">
        <w:rPr>
          <w:noProof/>
        </w:rPr>
        <w:t>17</w:t>
      </w:r>
      <w:r>
        <w:rPr>
          <w:noProof/>
        </w:rPr>
        <w:fldChar w:fldCharType="end"/>
      </w:r>
    </w:p>
    <w:p w14:paraId="1A0C08C2"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4.5</w:t>
      </w:r>
      <w:r>
        <w:rPr>
          <w:rFonts w:asciiTheme="minorHAnsi" w:eastAsiaTheme="minorEastAsia" w:hAnsiTheme="minorHAnsi" w:cstheme="minorBidi"/>
          <w:noProof/>
          <w:szCs w:val="22"/>
          <w:lang w:eastAsia="en-NZ"/>
        </w:rPr>
        <w:tab/>
      </w:r>
      <w:r>
        <w:rPr>
          <w:noProof/>
        </w:rPr>
        <w:t>The role of the Ministry in the ongoing management of ROMDS</w:t>
      </w:r>
      <w:r>
        <w:rPr>
          <w:noProof/>
        </w:rPr>
        <w:tab/>
      </w:r>
      <w:r>
        <w:rPr>
          <w:noProof/>
        </w:rPr>
        <w:fldChar w:fldCharType="begin"/>
      </w:r>
      <w:r>
        <w:rPr>
          <w:noProof/>
        </w:rPr>
        <w:instrText xml:space="preserve"> PAGEREF _Toc475992508 \h </w:instrText>
      </w:r>
      <w:r>
        <w:rPr>
          <w:noProof/>
        </w:rPr>
      </w:r>
      <w:r>
        <w:rPr>
          <w:noProof/>
        </w:rPr>
        <w:fldChar w:fldCharType="separate"/>
      </w:r>
      <w:r w:rsidR="00E2252F">
        <w:rPr>
          <w:noProof/>
        </w:rPr>
        <w:t>17</w:t>
      </w:r>
      <w:r>
        <w:rPr>
          <w:noProof/>
        </w:rPr>
        <w:fldChar w:fldCharType="end"/>
      </w:r>
    </w:p>
    <w:p w14:paraId="5AB8BBAA"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4.6</w:t>
      </w:r>
      <w:r>
        <w:rPr>
          <w:rFonts w:asciiTheme="minorHAnsi" w:eastAsiaTheme="minorEastAsia" w:hAnsiTheme="minorHAnsi" w:cstheme="minorBidi"/>
          <w:noProof/>
          <w:szCs w:val="22"/>
          <w:lang w:eastAsia="en-NZ"/>
        </w:rPr>
        <w:tab/>
      </w:r>
      <w:r>
        <w:rPr>
          <w:noProof/>
        </w:rPr>
        <w:t>The role of private providers</w:t>
      </w:r>
      <w:r>
        <w:rPr>
          <w:noProof/>
        </w:rPr>
        <w:tab/>
      </w:r>
      <w:r>
        <w:rPr>
          <w:noProof/>
        </w:rPr>
        <w:fldChar w:fldCharType="begin"/>
      </w:r>
      <w:r>
        <w:rPr>
          <w:noProof/>
        </w:rPr>
        <w:instrText xml:space="preserve"> PAGEREF _Toc475992509 \h </w:instrText>
      </w:r>
      <w:r>
        <w:rPr>
          <w:noProof/>
        </w:rPr>
      </w:r>
      <w:r>
        <w:rPr>
          <w:noProof/>
        </w:rPr>
        <w:fldChar w:fldCharType="separate"/>
      </w:r>
      <w:r w:rsidR="00E2252F">
        <w:rPr>
          <w:noProof/>
        </w:rPr>
        <w:t>18</w:t>
      </w:r>
      <w:r>
        <w:rPr>
          <w:noProof/>
        </w:rPr>
        <w:fldChar w:fldCharType="end"/>
      </w:r>
    </w:p>
    <w:p w14:paraId="7C0443A4" w14:textId="77777777" w:rsidR="005C735F" w:rsidRDefault="005C735F">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A framework for action</w:t>
      </w:r>
      <w:r>
        <w:rPr>
          <w:noProof/>
        </w:rPr>
        <w:tab/>
      </w:r>
      <w:r>
        <w:rPr>
          <w:noProof/>
        </w:rPr>
        <w:fldChar w:fldCharType="begin"/>
      </w:r>
      <w:r>
        <w:rPr>
          <w:noProof/>
        </w:rPr>
        <w:instrText xml:space="preserve"> PAGEREF _Toc475992510 \h </w:instrText>
      </w:r>
      <w:r>
        <w:rPr>
          <w:noProof/>
        </w:rPr>
      </w:r>
      <w:r>
        <w:rPr>
          <w:noProof/>
        </w:rPr>
        <w:fldChar w:fldCharType="separate"/>
      </w:r>
      <w:r w:rsidR="00E2252F">
        <w:rPr>
          <w:noProof/>
        </w:rPr>
        <w:t>19</w:t>
      </w:r>
      <w:r>
        <w:rPr>
          <w:noProof/>
        </w:rPr>
        <w:fldChar w:fldCharType="end"/>
      </w:r>
    </w:p>
    <w:p w14:paraId="4AA3F771"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Overview of the framework</w:t>
      </w:r>
      <w:r>
        <w:rPr>
          <w:noProof/>
        </w:rPr>
        <w:tab/>
      </w:r>
      <w:r>
        <w:rPr>
          <w:noProof/>
        </w:rPr>
        <w:fldChar w:fldCharType="begin"/>
      </w:r>
      <w:r>
        <w:rPr>
          <w:noProof/>
        </w:rPr>
        <w:instrText xml:space="preserve"> PAGEREF _Toc475992511 \h </w:instrText>
      </w:r>
      <w:r>
        <w:rPr>
          <w:noProof/>
        </w:rPr>
      </w:r>
      <w:r>
        <w:rPr>
          <w:noProof/>
        </w:rPr>
        <w:fldChar w:fldCharType="separate"/>
      </w:r>
      <w:r w:rsidR="00E2252F">
        <w:rPr>
          <w:noProof/>
        </w:rPr>
        <w:t>19</w:t>
      </w:r>
      <w:r>
        <w:rPr>
          <w:noProof/>
        </w:rPr>
        <w:fldChar w:fldCharType="end"/>
      </w:r>
    </w:p>
    <w:p w14:paraId="0F58967A"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Strategic priorities</w:t>
      </w:r>
      <w:r>
        <w:rPr>
          <w:noProof/>
        </w:rPr>
        <w:tab/>
      </w:r>
      <w:r>
        <w:rPr>
          <w:noProof/>
        </w:rPr>
        <w:fldChar w:fldCharType="begin"/>
      </w:r>
      <w:r>
        <w:rPr>
          <w:noProof/>
        </w:rPr>
        <w:instrText xml:space="preserve"> PAGEREF _Toc475992512 \h </w:instrText>
      </w:r>
      <w:r>
        <w:rPr>
          <w:noProof/>
        </w:rPr>
      </w:r>
      <w:r>
        <w:rPr>
          <w:noProof/>
        </w:rPr>
        <w:fldChar w:fldCharType="separate"/>
      </w:r>
      <w:r w:rsidR="00E2252F">
        <w:rPr>
          <w:noProof/>
        </w:rPr>
        <w:t>20</w:t>
      </w:r>
      <w:r>
        <w:rPr>
          <w:noProof/>
        </w:rPr>
        <w:fldChar w:fldCharType="end"/>
      </w:r>
    </w:p>
    <w:p w14:paraId="5491736D" w14:textId="77777777" w:rsidR="005C735F" w:rsidRDefault="005C735F">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Making it happen – tools, structures and processes</w:t>
      </w:r>
      <w:r>
        <w:rPr>
          <w:noProof/>
        </w:rPr>
        <w:tab/>
      </w:r>
      <w:r>
        <w:rPr>
          <w:noProof/>
        </w:rPr>
        <w:fldChar w:fldCharType="begin"/>
      </w:r>
      <w:r>
        <w:rPr>
          <w:noProof/>
        </w:rPr>
        <w:instrText xml:space="preserve"> PAGEREF _Toc475992513 \h </w:instrText>
      </w:r>
      <w:r>
        <w:rPr>
          <w:noProof/>
        </w:rPr>
      </w:r>
      <w:r>
        <w:rPr>
          <w:noProof/>
        </w:rPr>
        <w:fldChar w:fldCharType="separate"/>
      </w:r>
      <w:r w:rsidR="00E2252F">
        <w:rPr>
          <w:noProof/>
        </w:rPr>
        <w:t>28</w:t>
      </w:r>
      <w:r>
        <w:rPr>
          <w:noProof/>
        </w:rPr>
        <w:fldChar w:fldCharType="end"/>
      </w:r>
    </w:p>
    <w:p w14:paraId="6B0603C6"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Cancer information</w:t>
      </w:r>
      <w:r>
        <w:rPr>
          <w:noProof/>
        </w:rPr>
        <w:tab/>
      </w:r>
      <w:r>
        <w:rPr>
          <w:noProof/>
        </w:rPr>
        <w:fldChar w:fldCharType="begin"/>
      </w:r>
      <w:r>
        <w:rPr>
          <w:noProof/>
        </w:rPr>
        <w:instrText xml:space="preserve"> PAGEREF _Toc475992514 \h </w:instrText>
      </w:r>
      <w:r>
        <w:rPr>
          <w:noProof/>
        </w:rPr>
      </w:r>
      <w:r>
        <w:rPr>
          <w:noProof/>
        </w:rPr>
        <w:fldChar w:fldCharType="separate"/>
      </w:r>
      <w:r w:rsidR="00E2252F">
        <w:rPr>
          <w:noProof/>
        </w:rPr>
        <w:t>28</w:t>
      </w:r>
      <w:r>
        <w:rPr>
          <w:noProof/>
        </w:rPr>
        <w:fldChar w:fldCharType="end"/>
      </w:r>
    </w:p>
    <w:p w14:paraId="60CBA156"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Clinical governance</w:t>
      </w:r>
      <w:r>
        <w:rPr>
          <w:noProof/>
        </w:rPr>
        <w:tab/>
      </w:r>
      <w:r>
        <w:rPr>
          <w:noProof/>
        </w:rPr>
        <w:fldChar w:fldCharType="begin"/>
      </w:r>
      <w:r>
        <w:rPr>
          <w:noProof/>
        </w:rPr>
        <w:instrText xml:space="preserve"> PAGEREF _Toc475992515 \h </w:instrText>
      </w:r>
      <w:r>
        <w:rPr>
          <w:noProof/>
        </w:rPr>
      </w:r>
      <w:r>
        <w:rPr>
          <w:noProof/>
        </w:rPr>
        <w:fldChar w:fldCharType="separate"/>
      </w:r>
      <w:r w:rsidR="00E2252F">
        <w:rPr>
          <w:noProof/>
        </w:rPr>
        <w:t>31</w:t>
      </w:r>
      <w:r>
        <w:rPr>
          <w:noProof/>
        </w:rPr>
        <w:fldChar w:fldCharType="end"/>
      </w:r>
    </w:p>
    <w:p w14:paraId="7EF95B59"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6.3</w:t>
      </w:r>
      <w:r>
        <w:rPr>
          <w:rFonts w:asciiTheme="minorHAnsi" w:eastAsiaTheme="minorEastAsia" w:hAnsiTheme="minorHAnsi" w:cstheme="minorBidi"/>
          <w:noProof/>
          <w:szCs w:val="22"/>
          <w:lang w:eastAsia="en-NZ"/>
        </w:rPr>
        <w:tab/>
      </w:r>
      <w:r>
        <w:rPr>
          <w:noProof/>
        </w:rPr>
        <w:t>Linear accelerator capacity</w:t>
      </w:r>
      <w:r>
        <w:rPr>
          <w:noProof/>
        </w:rPr>
        <w:tab/>
      </w:r>
      <w:r>
        <w:rPr>
          <w:noProof/>
        </w:rPr>
        <w:fldChar w:fldCharType="begin"/>
      </w:r>
      <w:r>
        <w:rPr>
          <w:noProof/>
        </w:rPr>
        <w:instrText xml:space="preserve"> PAGEREF _Toc475992516 \h </w:instrText>
      </w:r>
      <w:r>
        <w:rPr>
          <w:noProof/>
        </w:rPr>
      </w:r>
      <w:r>
        <w:rPr>
          <w:noProof/>
        </w:rPr>
        <w:fldChar w:fldCharType="separate"/>
      </w:r>
      <w:r w:rsidR="00E2252F">
        <w:rPr>
          <w:noProof/>
        </w:rPr>
        <w:t>33</w:t>
      </w:r>
      <w:r>
        <w:rPr>
          <w:noProof/>
        </w:rPr>
        <w:fldChar w:fldCharType="end"/>
      </w:r>
    </w:p>
    <w:p w14:paraId="3F324FE1" w14:textId="77777777" w:rsidR="005C735F" w:rsidRDefault="005C735F">
      <w:pPr>
        <w:pStyle w:val="TOC2"/>
        <w:tabs>
          <w:tab w:val="left" w:pos="1134"/>
        </w:tabs>
        <w:rPr>
          <w:rFonts w:asciiTheme="minorHAnsi" w:eastAsiaTheme="minorEastAsia" w:hAnsiTheme="minorHAnsi" w:cstheme="minorBidi"/>
          <w:noProof/>
          <w:szCs w:val="22"/>
          <w:lang w:eastAsia="en-NZ"/>
        </w:rPr>
      </w:pPr>
      <w:r>
        <w:rPr>
          <w:noProof/>
        </w:rPr>
        <w:t>6.4</w:t>
      </w:r>
      <w:r>
        <w:rPr>
          <w:rFonts w:asciiTheme="minorHAnsi" w:eastAsiaTheme="minorEastAsia" w:hAnsiTheme="minorHAnsi" w:cstheme="minorBidi"/>
          <w:noProof/>
          <w:szCs w:val="22"/>
          <w:lang w:eastAsia="en-NZ"/>
        </w:rPr>
        <w:tab/>
      </w:r>
      <w:r>
        <w:rPr>
          <w:noProof/>
        </w:rPr>
        <w:t>Workforce capacity</w:t>
      </w:r>
      <w:r>
        <w:rPr>
          <w:noProof/>
        </w:rPr>
        <w:tab/>
      </w:r>
      <w:r>
        <w:rPr>
          <w:noProof/>
        </w:rPr>
        <w:fldChar w:fldCharType="begin"/>
      </w:r>
      <w:r>
        <w:rPr>
          <w:noProof/>
        </w:rPr>
        <w:instrText xml:space="preserve"> PAGEREF _Toc475992517 \h </w:instrText>
      </w:r>
      <w:r>
        <w:rPr>
          <w:noProof/>
        </w:rPr>
      </w:r>
      <w:r>
        <w:rPr>
          <w:noProof/>
        </w:rPr>
        <w:fldChar w:fldCharType="separate"/>
      </w:r>
      <w:r w:rsidR="00E2252F">
        <w:rPr>
          <w:noProof/>
        </w:rPr>
        <w:t>34</w:t>
      </w:r>
      <w:r>
        <w:rPr>
          <w:noProof/>
        </w:rPr>
        <w:fldChar w:fldCharType="end"/>
      </w:r>
    </w:p>
    <w:p w14:paraId="082F4FF8" w14:textId="77777777" w:rsidR="005C735F" w:rsidRDefault="005C735F">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_Toc475992518 \h </w:instrText>
      </w:r>
      <w:r>
        <w:rPr>
          <w:noProof/>
        </w:rPr>
      </w:r>
      <w:r>
        <w:rPr>
          <w:noProof/>
        </w:rPr>
        <w:fldChar w:fldCharType="separate"/>
      </w:r>
      <w:r w:rsidR="00E2252F">
        <w:rPr>
          <w:noProof/>
        </w:rPr>
        <w:t>36</w:t>
      </w:r>
      <w:r>
        <w:rPr>
          <w:noProof/>
        </w:rPr>
        <w:fldChar w:fldCharType="end"/>
      </w:r>
    </w:p>
    <w:p w14:paraId="1A1B9FC8" w14:textId="77777777" w:rsidR="005C735F" w:rsidRDefault="005C735F">
      <w:pPr>
        <w:pStyle w:val="TOC1"/>
        <w:rPr>
          <w:rFonts w:asciiTheme="minorHAnsi" w:eastAsiaTheme="minorEastAsia" w:hAnsiTheme="minorHAnsi" w:cstheme="minorBidi"/>
          <w:b w:val="0"/>
          <w:noProof/>
          <w:szCs w:val="22"/>
          <w:lang w:eastAsia="en-NZ"/>
        </w:rPr>
      </w:pPr>
      <w:r>
        <w:rPr>
          <w:noProof/>
        </w:rPr>
        <w:t>Appendix A: Progress with actions from the Radiation Oncology National Linear Accelerator and Workforce Plan (2013)</w:t>
      </w:r>
      <w:r>
        <w:rPr>
          <w:noProof/>
        </w:rPr>
        <w:tab/>
      </w:r>
      <w:r>
        <w:rPr>
          <w:noProof/>
        </w:rPr>
        <w:fldChar w:fldCharType="begin"/>
      </w:r>
      <w:r>
        <w:rPr>
          <w:noProof/>
        </w:rPr>
        <w:instrText xml:space="preserve"> PAGEREF _Toc475992519 \h </w:instrText>
      </w:r>
      <w:r>
        <w:rPr>
          <w:noProof/>
        </w:rPr>
      </w:r>
      <w:r>
        <w:rPr>
          <w:noProof/>
        </w:rPr>
        <w:fldChar w:fldCharType="separate"/>
      </w:r>
      <w:r w:rsidR="00E2252F">
        <w:rPr>
          <w:noProof/>
        </w:rPr>
        <w:t>38</w:t>
      </w:r>
      <w:r>
        <w:rPr>
          <w:noProof/>
        </w:rPr>
        <w:fldChar w:fldCharType="end"/>
      </w:r>
    </w:p>
    <w:p w14:paraId="30CD8876" w14:textId="77777777" w:rsidR="005C735F" w:rsidRDefault="005C735F">
      <w:pPr>
        <w:pStyle w:val="TOC1"/>
        <w:rPr>
          <w:rFonts w:asciiTheme="minorHAnsi" w:eastAsiaTheme="minorEastAsia" w:hAnsiTheme="minorHAnsi" w:cstheme="minorBidi"/>
          <w:b w:val="0"/>
          <w:noProof/>
          <w:szCs w:val="22"/>
          <w:lang w:eastAsia="en-NZ"/>
        </w:rPr>
      </w:pPr>
      <w:r>
        <w:rPr>
          <w:noProof/>
        </w:rPr>
        <w:t>Appendix B: Radiation oncology metrics</w:t>
      </w:r>
      <w:r>
        <w:rPr>
          <w:noProof/>
        </w:rPr>
        <w:tab/>
      </w:r>
      <w:r>
        <w:rPr>
          <w:noProof/>
        </w:rPr>
        <w:fldChar w:fldCharType="begin"/>
      </w:r>
      <w:r>
        <w:rPr>
          <w:noProof/>
        </w:rPr>
        <w:instrText xml:space="preserve"> PAGEREF _Toc475992520 \h </w:instrText>
      </w:r>
      <w:r>
        <w:rPr>
          <w:noProof/>
        </w:rPr>
      </w:r>
      <w:r>
        <w:rPr>
          <w:noProof/>
        </w:rPr>
        <w:fldChar w:fldCharType="separate"/>
      </w:r>
      <w:r w:rsidR="00E2252F">
        <w:rPr>
          <w:noProof/>
        </w:rPr>
        <w:t>40</w:t>
      </w:r>
      <w:r>
        <w:rPr>
          <w:noProof/>
        </w:rPr>
        <w:fldChar w:fldCharType="end"/>
      </w:r>
    </w:p>
    <w:p w14:paraId="57F8D14F" w14:textId="77777777" w:rsidR="005C735F" w:rsidRDefault="005C735F">
      <w:pPr>
        <w:pStyle w:val="TOC2"/>
        <w:rPr>
          <w:rFonts w:asciiTheme="minorHAnsi" w:eastAsiaTheme="minorEastAsia" w:hAnsiTheme="minorHAnsi" w:cstheme="minorBidi"/>
          <w:noProof/>
          <w:szCs w:val="22"/>
          <w:lang w:eastAsia="en-NZ"/>
        </w:rPr>
      </w:pPr>
      <w:r>
        <w:rPr>
          <w:noProof/>
        </w:rPr>
        <w:t>Quarterly measures</w:t>
      </w:r>
      <w:r>
        <w:rPr>
          <w:noProof/>
        </w:rPr>
        <w:tab/>
      </w:r>
      <w:r>
        <w:rPr>
          <w:noProof/>
        </w:rPr>
        <w:fldChar w:fldCharType="begin"/>
      </w:r>
      <w:r>
        <w:rPr>
          <w:noProof/>
        </w:rPr>
        <w:instrText xml:space="preserve"> PAGEREF _Toc475992521 \h </w:instrText>
      </w:r>
      <w:r>
        <w:rPr>
          <w:noProof/>
        </w:rPr>
      </w:r>
      <w:r>
        <w:rPr>
          <w:noProof/>
        </w:rPr>
        <w:fldChar w:fldCharType="separate"/>
      </w:r>
      <w:r w:rsidR="00E2252F">
        <w:rPr>
          <w:noProof/>
        </w:rPr>
        <w:t>40</w:t>
      </w:r>
      <w:r>
        <w:rPr>
          <w:noProof/>
        </w:rPr>
        <w:fldChar w:fldCharType="end"/>
      </w:r>
    </w:p>
    <w:p w14:paraId="7F82B79C" w14:textId="77777777" w:rsidR="005C735F" w:rsidRDefault="005C735F">
      <w:pPr>
        <w:pStyle w:val="TOC2"/>
        <w:rPr>
          <w:rFonts w:asciiTheme="minorHAnsi" w:eastAsiaTheme="minorEastAsia" w:hAnsiTheme="minorHAnsi" w:cstheme="minorBidi"/>
          <w:noProof/>
          <w:szCs w:val="22"/>
          <w:lang w:eastAsia="en-NZ"/>
        </w:rPr>
      </w:pPr>
      <w:r>
        <w:rPr>
          <w:noProof/>
        </w:rPr>
        <w:t>Annual measures</w:t>
      </w:r>
      <w:r>
        <w:rPr>
          <w:noProof/>
        </w:rPr>
        <w:tab/>
      </w:r>
      <w:r>
        <w:rPr>
          <w:noProof/>
        </w:rPr>
        <w:fldChar w:fldCharType="begin"/>
      </w:r>
      <w:r>
        <w:rPr>
          <w:noProof/>
        </w:rPr>
        <w:instrText xml:space="preserve"> PAGEREF _Toc475992522 \h </w:instrText>
      </w:r>
      <w:r>
        <w:rPr>
          <w:noProof/>
        </w:rPr>
      </w:r>
      <w:r>
        <w:rPr>
          <w:noProof/>
        </w:rPr>
        <w:fldChar w:fldCharType="separate"/>
      </w:r>
      <w:r w:rsidR="00E2252F">
        <w:rPr>
          <w:noProof/>
        </w:rPr>
        <w:t>41</w:t>
      </w:r>
      <w:r>
        <w:rPr>
          <w:noProof/>
        </w:rPr>
        <w:fldChar w:fldCharType="end"/>
      </w:r>
    </w:p>
    <w:p w14:paraId="54CADBCC" w14:textId="77777777" w:rsidR="00C86248" w:rsidRDefault="00C86248">
      <w:r>
        <w:rPr>
          <w:b/>
        </w:rPr>
        <w:fldChar w:fldCharType="end"/>
      </w:r>
    </w:p>
    <w:p w14:paraId="055F1254" w14:textId="77777777" w:rsidR="00C86248" w:rsidRDefault="00C86248"/>
    <w:p w14:paraId="2B4EE59A" w14:textId="07AEE8BF" w:rsidR="00C86248" w:rsidRDefault="00C86248" w:rsidP="003B1D10">
      <w:pPr>
        <w:pStyle w:val="TOC1"/>
        <w:keepNext/>
      </w:pPr>
      <w:r>
        <w:lastRenderedPageBreak/>
        <w:t xml:space="preserve">List of </w:t>
      </w:r>
      <w:r w:rsidR="000F17F9">
        <w:t>t</w:t>
      </w:r>
      <w:r>
        <w:t>ables</w:t>
      </w:r>
    </w:p>
    <w:p w14:paraId="0CCB0A8F" w14:textId="77777777" w:rsidR="003958D9"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3958D9">
        <w:rPr>
          <w:noProof/>
        </w:rPr>
        <w:t>Table 1:</w:t>
      </w:r>
      <w:r w:rsidR="003958D9">
        <w:rPr>
          <w:noProof/>
        </w:rPr>
        <w:tab/>
        <w:t>New Zealand radiation oncology providers by ownership and location</w:t>
      </w:r>
      <w:r w:rsidR="003958D9">
        <w:rPr>
          <w:noProof/>
        </w:rPr>
        <w:tab/>
      </w:r>
      <w:r w:rsidR="003958D9">
        <w:rPr>
          <w:noProof/>
        </w:rPr>
        <w:fldChar w:fldCharType="begin"/>
      </w:r>
      <w:r w:rsidR="003958D9">
        <w:rPr>
          <w:noProof/>
        </w:rPr>
        <w:instrText xml:space="preserve"> PAGEREF _Toc475954091 \h </w:instrText>
      </w:r>
      <w:r w:rsidR="003958D9">
        <w:rPr>
          <w:noProof/>
        </w:rPr>
      </w:r>
      <w:r w:rsidR="003958D9">
        <w:rPr>
          <w:noProof/>
        </w:rPr>
        <w:fldChar w:fldCharType="separate"/>
      </w:r>
      <w:r w:rsidR="00E2252F">
        <w:rPr>
          <w:noProof/>
        </w:rPr>
        <w:t>4</w:t>
      </w:r>
      <w:r w:rsidR="003958D9">
        <w:rPr>
          <w:noProof/>
        </w:rPr>
        <w:fldChar w:fldCharType="end"/>
      </w:r>
    </w:p>
    <w:p w14:paraId="6460B99C" w14:textId="77777777" w:rsidR="003958D9" w:rsidRDefault="003958D9">
      <w:pPr>
        <w:pStyle w:val="TOC3"/>
        <w:rPr>
          <w:rFonts w:asciiTheme="minorHAnsi" w:eastAsiaTheme="minorEastAsia" w:hAnsiTheme="minorHAnsi" w:cstheme="minorBidi"/>
          <w:noProof/>
          <w:szCs w:val="22"/>
          <w:lang w:eastAsia="en-NZ"/>
        </w:rPr>
      </w:pPr>
      <w:r>
        <w:rPr>
          <w:noProof/>
        </w:rPr>
        <w:t>Table 2:</w:t>
      </w:r>
      <w:r>
        <w:rPr>
          <w:noProof/>
        </w:rPr>
        <w:tab/>
        <w:t xml:space="preserve">Provisional </w:t>
      </w:r>
      <w:r>
        <w:rPr>
          <w:noProof/>
          <w:lang w:eastAsia="en-NZ"/>
        </w:rPr>
        <w:t>curative radiation therapy intervention rate for selected cancers, 2013–2015</w:t>
      </w:r>
      <w:r>
        <w:rPr>
          <w:noProof/>
        </w:rPr>
        <w:tab/>
      </w:r>
      <w:r>
        <w:rPr>
          <w:noProof/>
        </w:rPr>
        <w:fldChar w:fldCharType="begin"/>
      </w:r>
      <w:r>
        <w:rPr>
          <w:noProof/>
        </w:rPr>
        <w:instrText xml:space="preserve"> PAGEREF _Toc475954092 \h </w:instrText>
      </w:r>
      <w:r>
        <w:rPr>
          <w:noProof/>
        </w:rPr>
      </w:r>
      <w:r>
        <w:rPr>
          <w:noProof/>
        </w:rPr>
        <w:fldChar w:fldCharType="separate"/>
      </w:r>
      <w:r w:rsidR="00E2252F">
        <w:rPr>
          <w:noProof/>
        </w:rPr>
        <w:t>10</w:t>
      </w:r>
      <w:r>
        <w:rPr>
          <w:noProof/>
        </w:rPr>
        <w:fldChar w:fldCharType="end"/>
      </w:r>
    </w:p>
    <w:p w14:paraId="6DBD6F35" w14:textId="77777777" w:rsidR="003958D9" w:rsidRDefault="003958D9">
      <w:pPr>
        <w:pStyle w:val="TOC3"/>
        <w:rPr>
          <w:rFonts w:asciiTheme="minorHAnsi" w:eastAsiaTheme="minorEastAsia" w:hAnsiTheme="minorHAnsi" w:cstheme="minorBidi"/>
          <w:noProof/>
          <w:szCs w:val="22"/>
          <w:lang w:eastAsia="en-NZ"/>
        </w:rPr>
      </w:pPr>
      <w:r>
        <w:rPr>
          <w:noProof/>
        </w:rPr>
        <w:t>Table 3:</w:t>
      </w:r>
      <w:r>
        <w:rPr>
          <w:noProof/>
        </w:rPr>
        <w:tab/>
        <w:t>Factors affecting whether patients and referring clinicians choose radiation therapy</w:t>
      </w:r>
      <w:r>
        <w:rPr>
          <w:noProof/>
        </w:rPr>
        <w:tab/>
      </w:r>
      <w:r>
        <w:rPr>
          <w:noProof/>
        </w:rPr>
        <w:fldChar w:fldCharType="begin"/>
      </w:r>
      <w:r>
        <w:rPr>
          <w:noProof/>
        </w:rPr>
        <w:instrText xml:space="preserve"> PAGEREF _Toc475954093 \h </w:instrText>
      </w:r>
      <w:r>
        <w:rPr>
          <w:noProof/>
        </w:rPr>
      </w:r>
      <w:r>
        <w:rPr>
          <w:noProof/>
        </w:rPr>
        <w:fldChar w:fldCharType="separate"/>
      </w:r>
      <w:r w:rsidR="00E2252F">
        <w:rPr>
          <w:noProof/>
        </w:rPr>
        <w:t>21</w:t>
      </w:r>
      <w:r>
        <w:rPr>
          <w:noProof/>
        </w:rPr>
        <w:fldChar w:fldCharType="end"/>
      </w:r>
    </w:p>
    <w:p w14:paraId="176046C8" w14:textId="77777777" w:rsidR="003958D9" w:rsidRDefault="003958D9">
      <w:pPr>
        <w:pStyle w:val="TOC3"/>
        <w:rPr>
          <w:rFonts w:asciiTheme="minorHAnsi" w:eastAsiaTheme="minorEastAsia" w:hAnsiTheme="minorHAnsi" w:cstheme="minorBidi"/>
          <w:noProof/>
          <w:szCs w:val="22"/>
          <w:lang w:eastAsia="en-NZ"/>
        </w:rPr>
      </w:pPr>
      <w:r>
        <w:rPr>
          <w:noProof/>
        </w:rPr>
        <w:t>Table 4:</w:t>
      </w:r>
      <w:r>
        <w:rPr>
          <w:noProof/>
        </w:rPr>
        <w:tab/>
        <w:t>Actions to give people fair access to the services they need</w:t>
      </w:r>
      <w:r>
        <w:rPr>
          <w:noProof/>
        </w:rPr>
        <w:tab/>
      </w:r>
      <w:r>
        <w:rPr>
          <w:noProof/>
        </w:rPr>
        <w:fldChar w:fldCharType="begin"/>
      </w:r>
      <w:r>
        <w:rPr>
          <w:noProof/>
        </w:rPr>
        <w:instrText xml:space="preserve"> PAGEREF _Toc475954094 \h </w:instrText>
      </w:r>
      <w:r>
        <w:rPr>
          <w:noProof/>
        </w:rPr>
      </w:r>
      <w:r>
        <w:rPr>
          <w:noProof/>
        </w:rPr>
        <w:fldChar w:fldCharType="separate"/>
      </w:r>
      <w:r w:rsidR="00E2252F">
        <w:rPr>
          <w:noProof/>
        </w:rPr>
        <w:t>22</w:t>
      </w:r>
      <w:r>
        <w:rPr>
          <w:noProof/>
        </w:rPr>
        <w:fldChar w:fldCharType="end"/>
      </w:r>
    </w:p>
    <w:p w14:paraId="63882A51" w14:textId="77777777" w:rsidR="003958D9" w:rsidRDefault="003958D9">
      <w:pPr>
        <w:pStyle w:val="TOC3"/>
        <w:rPr>
          <w:rFonts w:asciiTheme="minorHAnsi" w:eastAsiaTheme="minorEastAsia" w:hAnsiTheme="minorHAnsi" w:cstheme="minorBidi"/>
          <w:noProof/>
          <w:szCs w:val="22"/>
          <w:lang w:eastAsia="en-NZ"/>
        </w:rPr>
      </w:pPr>
      <w:r>
        <w:rPr>
          <w:noProof/>
        </w:rPr>
        <w:t>Table 5:</w:t>
      </w:r>
      <w:r>
        <w:rPr>
          <w:noProof/>
        </w:rPr>
        <w:tab/>
        <w:t>Actions to make radiation oncology services safe and effective</w:t>
      </w:r>
      <w:r>
        <w:rPr>
          <w:noProof/>
        </w:rPr>
        <w:tab/>
      </w:r>
      <w:r>
        <w:rPr>
          <w:noProof/>
        </w:rPr>
        <w:fldChar w:fldCharType="begin"/>
      </w:r>
      <w:r>
        <w:rPr>
          <w:noProof/>
        </w:rPr>
        <w:instrText xml:space="preserve"> PAGEREF _Toc475954095 \h </w:instrText>
      </w:r>
      <w:r>
        <w:rPr>
          <w:noProof/>
        </w:rPr>
      </w:r>
      <w:r>
        <w:rPr>
          <w:noProof/>
        </w:rPr>
        <w:fldChar w:fldCharType="separate"/>
      </w:r>
      <w:r w:rsidR="00E2252F">
        <w:rPr>
          <w:noProof/>
        </w:rPr>
        <w:t>24</w:t>
      </w:r>
      <w:r>
        <w:rPr>
          <w:noProof/>
        </w:rPr>
        <w:fldChar w:fldCharType="end"/>
      </w:r>
    </w:p>
    <w:p w14:paraId="79CC4016" w14:textId="77777777" w:rsidR="003958D9" w:rsidRDefault="003958D9">
      <w:pPr>
        <w:pStyle w:val="TOC3"/>
        <w:rPr>
          <w:rFonts w:asciiTheme="minorHAnsi" w:eastAsiaTheme="minorEastAsia" w:hAnsiTheme="minorHAnsi" w:cstheme="minorBidi"/>
          <w:noProof/>
          <w:szCs w:val="22"/>
          <w:lang w:eastAsia="en-NZ"/>
        </w:rPr>
      </w:pPr>
      <w:r>
        <w:rPr>
          <w:noProof/>
        </w:rPr>
        <w:t>Table 6:</w:t>
      </w:r>
      <w:r>
        <w:rPr>
          <w:noProof/>
        </w:rPr>
        <w:tab/>
        <w:t>Actions to make radiation oncology services sustainable</w:t>
      </w:r>
      <w:r>
        <w:rPr>
          <w:noProof/>
        </w:rPr>
        <w:tab/>
      </w:r>
      <w:r>
        <w:rPr>
          <w:noProof/>
        </w:rPr>
        <w:fldChar w:fldCharType="begin"/>
      </w:r>
      <w:r>
        <w:rPr>
          <w:noProof/>
        </w:rPr>
        <w:instrText xml:space="preserve"> PAGEREF _Toc475954096 \h </w:instrText>
      </w:r>
      <w:r>
        <w:rPr>
          <w:noProof/>
        </w:rPr>
      </w:r>
      <w:r>
        <w:rPr>
          <w:noProof/>
        </w:rPr>
        <w:fldChar w:fldCharType="separate"/>
      </w:r>
      <w:r w:rsidR="00E2252F">
        <w:rPr>
          <w:noProof/>
        </w:rPr>
        <w:t>26</w:t>
      </w:r>
      <w:r>
        <w:rPr>
          <w:noProof/>
        </w:rPr>
        <w:fldChar w:fldCharType="end"/>
      </w:r>
    </w:p>
    <w:p w14:paraId="2BC383F4" w14:textId="77777777" w:rsidR="003958D9" w:rsidRDefault="003958D9">
      <w:pPr>
        <w:pStyle w:val="TOC3"/>
        <w:rPr>
          <w:rFonts w:asciiTheme="minorHAnsi" w:eastAsiaTheme="minorEastAsia" w:hAnsiTheme="minorHAnsi" w:cstheme="minorBidi"/>
          <w:noProof/>
          <w:szCs w:val="22"/>
          <w:lang w:eastAsia="en-NZ"/>
        </w:rPr>
      </w:pPr>
      <w:r>
        <w:rPr>
          <w:noProof/>
        </w:rPr>
        <w:t>Table 7:</w:t>
      </w:r>
      <w:r>
        <w:rPr>
          <w:noProof/>
        </w:rPr>
        <w:tab/>
        <w:t>Actions to improve cancer information</w:t>
      </w:r>
      <w:r>
        <w:rPr>
          <w:noProof/>
        </w:rPr>
        <w:tab/>
      </w:r>
      <w:r>
        <w:rPr>
          <w:noProof/>
        </w:rPr>
        <w:fldChar w:fldCharType="begin"/>
      </w:r>
      <w:r>
        <w:rPr>
          <w:noProof/>
        </w:rPr>
        <w:instrText xml:space="preserve"> PAGEREF _Toc475954097 \h </w:instrText>
      </w:r>
      <w:r>
        <w:rPr>
          <w:noProof/>
        </w:rPr>
      </w:r>
      <w:r>
        <w:rPr>
          <w:noProof/>
        </w:rPr>
        <w:fldChar w:fldCharType="separate"/>
      </w:r>
      <w:r w:rsidR="00E2252F">
        <w:rPr>
          <w:noProof/>
        </w:rPr>
        <w:t>30</w:t>
      </w:r>
      <w:r>
        <w:rPr>
          <w:noProof/>
        </w:rPr>
        <w:fldChar w:fldCharType="end"/>
      </w:r>
    </w:p>
    <w:p w14:paraId="06A9FA24" w14:textId="77777777" w:rsidR="003958D9" w:rsidRDefault="003958D9">
      <w:pPr>
        <w:pStyle w:val="TOC3"/>
        <w:rPr>
          <w:rFonts w:asciiTheme="minorHAnsi" w:eastAsiaTheme="minorEastAsia" w:hAnsiTheme="minorHAnsi" w:cstheme="minorBidi"/>
          <w:noProof/>
          <w:szCs w:val="22"/>
          <w:lang w:eastAsia="en-NZ"/>
        </w:rPr>
      </w:pPr>
      <w:r>
        <w:rPr>
          <w:noProof/>
        </w:rPr>
        <w:t>Table 8:</w:t>
      </w:r>
      <w:r>
        <w:rPr>
          <w:noProof/>
        </w:rPr>
        <w:tab/>
        <w:t>Actions to establish the clinical governance function</w:t>
      </w:r>
      <w:r>
        <w:rPr>
          <w:noProof/>
        </w:rPr>
        <w:tab/>
      </w:r>
      <w:r>
        <w:rPr>
          <w:noProof/>
        </w:rPr>
        <w:fldChar w:fldCharType="begin"/>
      </w:r>
      <w:r>
        <w:rPr>
          <w:noProof/>
        </w:rPr>
        <w:instrText xml:space="preserve"> PAGEREF _Toc475954098 \h </w:instrText>
      </w:r>
      <w:r>
        <w:rPr>
          <w:noProof/>
        </w:rPr>
      </w:r>
      <w:r>
        <w:rPr>
          <w:noProof/>
        </w:rPr>
        <w:fldChar w:fldCharType="separate"/>
      </w:r>
      <w:r w:rsidR="00E2252F">
        <w:rPr>
          <w:noProof/>
        </w:rPr>
        <w:t>32</w:t>
      </w:r>
      <w:r>
        <w:rPr>
          <w:noProof/>
        </w:rPr>
        <w:fldChar w:fldCharType="end"/>
      </w:r>
    </w:p>
    <w:p w14:paraId="41EDEA08" w14:textId="77777777" w:rsidR="003958D9" w:rsidRDefault="003958D9">
      <w:pPr>
        <w:pStyle w:val="TOC3"/>
        <w:rPr>
          <w:rFonts w:asciiTheme="minorHAnsi" w:eastAsiaTheme="minorEastAsia" w:hAnsiTheme="minorHAnsi" w:cstheme="minorBidi"/>
          <w:noProof/>
          <w:szCs w:val="22"/>
          <w:lang w:eastAsia="en-NZ"/>
        </w:rPr>
      </w:pPr>
      <w:r>
        <w:rPr>
          <w:noProof/>
        </w:rPr>
        <w:t>Table 9:</w:t>
      </w:r>
      <w:r>
        <w:rPr>
          <w:noProof/>
        </w:rPr>
        <w:tab/>
        <w:t>Actions to support enhanced linac capacity planning</w:t>
      </w:r>
      <w:r>
        <w:rPr>
          <w:noProof/>
        </w:rPr>
        <w:tab/>
      </w:r>
      <w:r>
        <w:rPr>
          <w:noProof/>
        </w:rPr>
        <w:fldChar w:fldCharType="begin"/>
      </w:r>
      <w:r>
        <w:rPr>
          <w:noProof/>
        </w:rPr>
        <w:instrText xml:space="preserve"> PAGEREF _Toc475954099 \h </w:instrText>
      </w:r>
      <w:r>
        <w:rPr>
          <w:noProof/>
        </w:rPr>
      </w:r>
      <w:r>
        <w:rPr>
          <w:noProof/>
        </w:rPr>
        <w:fldChar w:fldCharType="separate"/>
      </w:r>
      <w:r w:rsidR="00E2252F">
        <w:rPr>
          <w:noProof/>
        </w:rPr>
        <w:t>33</w:t>
      </w:r>
      <w:r>
        <w:rPr>
          <w:noProof/>
        </w:rPr>
        <w:fldChar w:fldCharType="end"/>
      </w:r>
    </w:p>
    <w:p w14:paraId="5F37FC29" w14:textId="77777777" w:rsidR="003958D9" w:rsidRDefault="003958D9">
      <w:pPr>
        <w:pStyle w:val="TOC3"/>
        <w:rPr>
          <w:rFonts w:asciiTheme="minorHAnsi" w:eastAsiaTheme="minorEastAsia" w:hAnsiTheme="minorHAnsi" w:cstheme="minorBidi"/>
          <w:noProof/>
          <w:szCs w:val="22"/>
          <w:lang w:eastAsia="en-NZ"/>
        </w:rPr>
      </w:pPr>
      <w:r>
        <w:rPr>
          <w:noProof/>
        </w:rPr>
        <w:t>Table 10:</w:t>
      </w:r>
      <w:r>
        <w:rPr>
          <w:noProof/>
        </w:rPr>
        <w:tab/>
        <w:t>Actions to support enhanced workforce capacity planning</w:t>
      </w:r>
      <w:r>
        <w:rPr>
          <w:noProof/>
        </w:rPr>
        <w:tab/>
      </w:r>
      <w:r>
        <w:rPr>
          <w:noProof/>
        </w:rPr>
        <w:fldChar w:fldCharType="begin"/>
      </w:r>
      <w:r>
        <w:rPr>
          <w:noProof/>
        </w:rPr>
        <w:instrText xml:space="preserve"> PAGEREF _Toc475954100 \h </w:instrText>
      </w:r>
      <w:r>
        <w:rPr>
          <w:noProof/>
        </w:rPr>
      </w:r>
      <w:r>
        <w:rPr>
          <w:noProof/>
        </w:rPr>
        <w:fldChar w:fldCharType="separate"/>
      </w:r>
      <w:r w:rsidR="00E2252F">
        <w:rPr>
          <w:noProof/>
        </w:rPr>
        <w:t>35</w:t>
      </w:r>
      <w:r>
        <w:rPr>
          <w:noProof/>
        </w:rPr>
        <w:fldChar w:fldCharType="end"/>
      </w:r>
    </w:p>
    <w:p w14:paraId="01D1A723" w14:textId="77777777" w:rsidR="00C86248" w:rsidRDefault="00C86248" w:rsidP="0030382F">
      <w:r>
        <w:fldChar w:fldCharType="end"/>
      </w:r>
    </w:p>
    <w:p w14:paraId="63058EF4" w14:textId="5E96CF55" w:rsidR="003A5FEA" w:rsidRDefault="003A5FEA" w:rsidP="003A5FEA">
      <w:pPr>
        <w:pStyle w:val="TOC1"/>
      </w:pPr>
      <w:r>
        <w:t xml:space="preserve">List of </w:t>
      </w:r>
      <w:r w:rsidR="000F17F9">
        <w:t>f</w:t>
      </w:r>
      <w:r>
        <w:t>igures</w:t>
      </w:r>
    </w:p>
    <w:p w14:paraId="674A0B0B" w14:textId="77777777" w:rsidR="003958D9"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3958D9">
        <w:rPr>
          <w:noProof/>
        </w:rPr>
        <w:t>Figure 1:</w:t>
      </w:r>
      <w:r w:rsidR="003958D9">
        <w:rPr>
          <w:noProof/>
        </w:rPr>
        <w:tab/>
        <w:t>Provisional radiation oncology intervention and subsequent treatment rates by DHB of residence, 2013–2015</w:t>
      </w:r>
      <w:r w:rsidR="003958D9">
        <w:rPr>
          <w:noProof/>
        </w:rPr>
        <w:tab/>
      </w:r>
      <w:r w:rsidR="003958D9">
        <w:rPr>
          <w:noProof/>
        </w:rPr>
        <w:fldChar w:fldCharType="begin"/>
      </w:r>
      <w:r w:rsidR="003958D9">
        <w:rPr>
          <w:noProof/>
        </w:rPr>
        <w:instrText xml:space="preserve"> PAGEREF _Toc475954102 \h </w:instrText>
      </w:r>
      <w:r w:rsidR="003958D9">
        <w:rPr>
          <w:noProof/>
        </w:rPr>
      </w:r>
      <w:r w:rsidR="003958D9">
        <w:rPr>
          <w:noProof/>
        </w:rPr>
        <w:fldChar w:fldCharType="separate"/>
      </w:r>
      <w:r w:rsidR="00E2252F">
        <w:rPr>
          <w:noProof/>
        </w:rPr>
        <w:t>9</w:t>
      </w:r>
      <w:r w:rsidR="003958D9">
        <w:rPr>
          <w:noProof/>
        </w:rPr>
        <w:fldChar w:fldCharType="end"/>
      </w:r>
    </w:p>
    <w:p w14:paraId="1E96A520" w14:textId="77777777" w:rsidR="003958D9" w:rsidRDefault="003958D9">
      <w:pPr>
        <w:pStyle w:val="TOC3"/>
        <w:rPr>
          <w:rFonts w:asciiTheme="minorHAnsi" w:eastAsiaTheme="minorEastAsia" w:hAnsiTheme="minorHAnsi" w:cstheme="minorBidi"/>
          <w:noProof/>
          <w:szCs w:val="22"/>
          <w:lang w:eastAsia="en-NZ"/>
        </w:rPr>
      </w:pPr>
      <w:r>
        <w:rPr>
          <w:noProof/>
        </w:rPr>
        <w:t>Figure 2:</w:t>
      </w:r>
      <w:r>
        <w:rPr>
          <w:noProof/>
        </w:rPr>
        <w:tab/>
        <w:t>Provisional radiation oncology projected linear accelerator numbers based on different intervention rates, 2015–2023</w:t>
      </w:r>
      <w:r>
        <w:rPr>
          <w:noProof/>
        </w:rPr>
        <w:tab/>
      </w:r>
      <w:r>
        <w:rPr>
          <w:noProof/>
        </w:rPr>
        <w:fldChar w:fldCharType="begin"/>
      </w:r>
      <w:r>
        <w:rPr>
          <w:noProof/>
        </w:rPr>
        <w:instrText xml:space="preserve"> PAGEREF _Toc475954103 \h </w:instrText>
      </w:r>
      <w:r>
        <w:rPr>
          <w:noProof/>
        </w:rPr>
      </w:r>
      <w:r>
        <w:rPr>
          <w:noProof/>
        </w:rPr>
        <w:fldChar w:fldCharType="separate"/>
      </w:r>
      <w:r w:rsidR="00E2252F">
        <w:rPr>
          <w:noProof/>
        </w:rPr>
        <w:t>11</w:t>
      </w:r>
      <w:r>
        <w:rPr>
          <w:noProof/>
        </w:rPr>
        <w:fldChar w:fldCharType="end"/>
      </w:r>
    </w:p>
    <w:p w14:paraId="14498755" w14:textId="77777777" w:rsidR="003958D9" w:rsidRDefault="003958D9">
      <w:pPr>
        <w:pStyle w:val="TOC3"/>
        <w:rPr>
          <w:rFonts w:asciiTheme="minorHAnsi" w:eastAsiaTheme="minorEastAsia" w:hAnsiTheme="minorHAnsi" w:cstheme="minorBidi"/>
          <w:noProof/>
          <w:szCs w:val="22"/>
          <w:lang w:eastAsia="en-NZ"/>
        </w:rPr>
      </w:pPr>
      <w:r>
        <w:rPr>
          <w:noProof/>
        </w:rPr>
        <w:t>Figure 3:</w:t>
      </w:r>
      <w:r>
        <w:rPr>
          <w:noProof/>
        </w:rPr>
        <w:tab/>
        <w:t>Provisional attendance numbers for curative intervention rates for breast cancer by provider, 2014–2015</w:t>
      </w:r>
      <w:r>
        <w:rPr>
          <w:noProof/>
        </w:rPr>
        <w:tab/>
      </w:r>
      <w:r>
        <w:rPr>
          <w:noProof/>
        </w:rPr>
        <w:fldChar w:fldCharType="begin"/>
      </w:r>
      <w:r>
        <w:rPr>
          <w:noProof/>
        </w:rPr>
        <w:instrText xml:space="preserve"> PAGEREF _Toc475954104 \h </w:instrText>
      </w:r>
      <w:r>
        <w:rPr>
          <w:noProof/>
        </w:rPr>
      </w:r>
      <w:r>
        <w:rPr>
          <w:noProof/>
        </w:rPr>
        <w:fldChar w:fldCharType="separate"/>
      </w:r>
      <w:r w:rsidR="00E2252F">
        <w:rPr>
          <w:noProof/>
        </w:rPr>
        <w:t>12</w:t>
      </w:r>
      <w:r>
        <w:rPr>
          <w:noProof/>
        </w:rPr>
        <w:fldChar w:fldCharType="end"/>
      </w:r>
    </w:p>
    <w:p w14:paraId="63D97F06" w14:textId="77777777" w:rsidR="003958D9" w:rsidRDefault="003958D9">
      <w:pPr>
        <w:pStyle w:val="TOC3"/>
        <w:rPr>
          <w:rFonts w:asciiTheme="minorHAnsi" w:eastAsiaTheme="minorEastAsia" w:hAnsiTheme="minorHAnsi" w:cstheme="minorBidi"/>
          <w:noProof/>
          <w:szCs w:val="22"/>
          <w:lang w:eastAsia="en-NZ"/>
        </w:rPr>
      </w:pPr>
      <w:r>
        <w:rPr>
          <w:noProof/>
        </w:rPr>
        <w:t>Figure 4:</w:t>
      </w:r>
      <w:r>
        <w:rPr>
          <w:noProof/>
        </w:rPr>
        <w:tab/>
        <w:t>Framework for managing unwarranted variation</w:t>
      </w:r>
      <w:r>
        <w:rPr>
          <w:noProof/>
        </w:rPr>
        <w:tab/>
      </w:r>
      <w:r>
        <w:rPr>
          <w:noProof/>
        </w:rPr>
        <w:fldChar w:fldCharType="begin"/>
      </w:r>
      <w:r>
        <w:rPr>
          <w:noProof/>
        </w:rPr>
        <w:instrText xml:space="preserve"> PAGEREF _Toc475954105 \h </w:instrText>
      </w:r>
      <w:r>
        <w:rPr>
          <w:noProof/>
        </w:rPr>
      </w:r>
      <w:r>
        <w:rPr>
          <w:noProof/>
        </w:rPr>
        <w:fldChar w:fldCharType="separate"/>
      </w:r>
      <w:r w:rsidR="00E2252F">
        <w:rPr>
          <w:noProof/>
        </w:rPr>
        <w:t>14</w:t>
      </w:r>
      <w:r>
        <w:rPr>
          <w:noProof/>
        </w:rPr>
        <w:fldChar w:fldCharType="end"/>
      </w:r>
    </w:p>
    <w:p w14:paraId="29EAFD65" w14:textId="77777777" w:rsidR="003958D9" w:rsidRDefault="003958D9">
      <w:pPr>
        <w:pStyle w:val="TOC3"/>
        <w:rPr>
          <w:rFonts w:asciiTheme="minorHAnsi" w:eastAsiaTheme="minorEastAsia" w:hAnsiTheme="minorHAnsi" w:cstheme="minorBidi"/>
          <w:noProof/>
          <w:szCs w:val="22"/>
          <w:lang w:eastAsia="en-NZ"/>
        </w:rPr>
      </w:pPr>
      <w:r>
        <w:rPr>
          <w:noProof/>
        </w:rPr>
        <w:t>Figure 5:</w:t>
      </w:r>
      <w:r>
        <w:rPr>
          <w:noProof/>
        </w:rPr>
        <w:tab/>
        <w:t>Functions and activities throughout the process of using the tool to address unwarranted variation</w:t>
      </w:r>
      <w:r>
        <w:rPr>
          <w:noProof/>
        </w:rPr>
        <w:tab/>
      </w:r>
      <w:r>
        <w:rPr>
          <w:noProof/>
        </w:rPr>
        <w:fldChar w:fldCharType="begin"/>
      </w:r>
      <w:r>
        <w:rPr>
          <w:noProof/>
        </w:rPr>
        <w:instrText xml:space="preserve"> PAGEREF _Toc475954106 \h </w:instrText>
      </w:r>
      <w:r>
        <w:rPr>
          <w:noProof/>
        </w:rPr>
      </w:r>
      <w:r>
        <w:rPr>
          <w:noProof/>
        </w:rPr>
        <w:fldChar w:fldCharType="separate"/>
      </w:r>
      <w:r w:rsidR="00E2252F">
        <w:rPr>
          <w:noProof/>
        </w:rPr>
        <w:t>16</w:t>
      </w:r>
      <w:r>
        <w:rPr>
          <w:noProof/>
        </w:rPr>
        <w:fldChar w:fldCharType="end"/>
      </w:r>
    </w:p>
    <w:p w14:paraId="3707DAF7" w14:textId="77777777" w:rsidR="003958D9" w:rsidRDefault="003958D9">
      <w:pPr>
        <w:pStyle w:val="TOC3"/>
        <w:rPr>
          <w:rFonts w:asciiTheme="minorHAnsi" w:eastAsiaTheme="minorEastAsia" w:hAnsiTheme="minorHAnsi" w:cstheme="minorBidi"/>
          <w:noProof/>
          <w:szCs w:val="22"/>
          <w:lang w:eastAsia="en-NZ"/>
        </w:rPr>
      </w:pPr>
      <w:r>
        <w:rPr>
          <w:noProof/>
        </w:rPr>
        <w:t>Figure 6:</w:t>
      </w:r>
      <w:r>
        <w:rPr>
          <w:noProof/>
        </w:rPr>
        <w:tab/>
        <w:t>Vision and outcomes, and their supporting tools, structures and processes</w:t>
      </w:r>
      <w:r>
        <w:rPr>
          <w:noProof/>
        </w:rPr>
        <w:tab/>
      </w:r>
      <w:r>
        <w:rPr>
          <w:noProof/>
        </w:rPr>
        <w:fldChar w:fldCharType="begin"/>
      </w:r>
      <w:r>
        <w:rPr>
          <w:noProof/>
        </w:rPr>
        <w:instrText xml:space="preserve"> PAGEREF _Toc475954107 \h </w:instrText>
      </w:r>
      <w:r>
        <w:rPr>
          <w:noProof/>
        </w:rPr>
      </w:r>
      <w:r>
        <w:rPr>
          <w:noProof/>
        </w:rPr>
        <w:fldChar w:fldCharType="separate"/>
      </w:r>
      <w:r w:rsidR="00E2252F">
        <w:rPr>
          <w:noProof/>
        </w:rPr>
        <w:t>19</w:t>
      </w:r>
      <w:r>
        <w:rPr>
          <w:noProof/>
        </w:rPr>
        <w:fldChar w:fldCharType="end"/>
      </w:r>
    </w:p>
    <w:p w14:paraId="43681650" w14:textId="77777777" w:rsidR="003A5FEA" w:rsidRDefault="003A5FEA" w:rsidP="003A5FEA">
      <w:r>
        <w:fldChar w:fldCharType="end"/>
      </w:r>
    </w:p>
    <w:p w14:paraId="0B2CDA13" w14:textId="77777777" w:rsidR="00455CC9" w:rsidRDefault="00455CC9" w:rsidP="0086388B"/>
    <w:p w14:paraId="52B6CAAA" w14:textId="77777777"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14:paraId="4989CBB3" w14:textId="77777777" w:rsidR="008C2973" w:rsidRDefault="00032C0A" w:rsidP="006C7157">
      <w:pPr>
        <w:pStyle w:val="Heading1"/>
      </w:pPr>
      <w:bookmarkStart w:id="2" w:name="_Toc475992494"/>
      <w:r>
        <w:lastRenderedPageBreak/>
        <w:t>Introduction</w:t>
      </w:r>
      <w:bookmarkEnd w:id="2"/>
    </w:p>
    <w:p w14:paraId="46587A1A" w14:textId="77777777" w:rsidR="00E85766" w:rsidRPr="00601A89" w:rsidRDefault="00E85766" w:rsidP="006C7157">
      <w:pPr>
        <w:pStyle w:val="Heading2"/>
      </w:pPr>
      <w:bookmarkStart w:id="3" w:name="_Toc470858828"/>
      <w:bookmarkStart w:id="4" w:name="_Toc475992495"/>
      <w:r w:rsidRPr="00601A89">
        <w:t>Background</w:t>
      </w:r>
      <w:bookmarkEnd w:id="3"/>
      <w:bookmarkEnd w:id="4"/>
    </w:p>
    <w:p w14:paraId="4B511CBF" w14:textId="77777777" w:rsidR="00E85766" w:rsidRPr="00601A89" w:rsidRDefault="00E85766" w:rsidP="006C7157">
      <w:r w:rsidRPr="00601A89">
        <w:t>The New Zealand radiation oncology sector (including both the public and private radiation oncology providers) and the Ministry of Health (the Ministry) have been working together to improve the way clinical information is collected and used. The purpose of this work is to support service and capacity planning, and improve quality in line with the Government</w:t>
      </w:r>
      <w:r w:rsidR="007A6454">
        <w:t>’</w:t>
      </w:r>
      <w:r w:rsidRPr="00601A89">
        <w:t>s priority of improving cancer outcomes for all New Zealanders.</w:t>
      </w:r>
    </w:p>
    <w:p w14:paraId="01C8BB69" w14:textId="77777777" w:rsidR="00E85766" w:rsidRPr="00601A89" w:rsidRDefault="00E85766" w:rsidP="006C7157"/>
    <w:p w14:paraId="0CCA4D77" w14:textId="77777777" w:rsidR="00E85766" w:rsidRPr="00601A89" w:rsidRDefault="00E85766" w:rsidP="006C7157">
      <w:pPr>
        <w:pStyle w:val="Heading3"/>
      </w:pPr>
      <w:bookmarkStart w:id="5" w:name="_Toc470858829"/>
      <w:r w:rsidRPr="00601A89">
        <w:t>The Radiation Oncology National Linear Accelerator and Workforce Plan</w:t>
      </w:r>
      <w:bookmarkEnd w:id="5"/>
    </w:p>
    <w:p w14:paraId="480A890D" w14:textId="77777777" w:rsidR="00E85766" w:rsidRPr="00601A89" w:rsidRDefault="00E85766" w:rsidP="00953CAF">
      <w:r w:rsidRPr="00601A89">
        <w:t>In 2014 the Ministry published the Radiation Oncology National Linear Accelerator and Workforce Plan (Health Partners Consulting Group 2014),</w:t>
      </w:r>
      <w:r w:rsidRPr="00601A89">
        <w:rPr>
          <w:i/>
        </w:rPr>
        <w:t xml:space="preserve"> </w:t>
      </w:r>
      <w:r w:rsidRPr="00601A89">
        <w:t>New Zealand</w:t>
      </w:r>
      <w:r w:rsidR="007A6454">
        <w:t>’</w:t>
      </w:r>
      <w:r w:rsidRPr="00601A89">
        <w:t>s first dedicated national radiation oncology plan (</w:t>
      </w:r>
      <w:r w:rsidR="007A6454">
        <w:t>‘</w:t>
      </w:r>
      <w:r w:rsidRPr="00601A89">
        <w:t>the first national plan</w:t>
      </w:r>
      <w:r w:rsidR="007A6454">
        <w:t>’</w:t>
      </w:r>
      <w:r w:rsidRPr="00601A89">
        <w:t>). Its purpose was to guide a nationally coordinated approach to radiation oncology service and capacity planning. The first national plan was strongly linked to</w:t>
      </w:r>
      <w:r>
        <w:t xml:space="preserve"> the</w:t>
      </w:r>
      <w:r w:rsidRPr="00601A89">
        <w:t xml:space="preserve"> development of the National Linear Accelerator and Workforce Capacity Model (</w:t>
      </w:r>
      <w:r w:rsidR="007A6454">
        <w:t>‘</w:t>
      </w:r>
      <w:r w:rsidRPr="00601A89">
        <w:t>the Model</w:t>
      </w:r>
      <w:r w:rsidR="007A6454">
        <w:t>’</w:t>
      </w:r>
      <w:r w:rsidRPr="00601A89">
        <w:t>), an Excel workbook that helped district health boards (DHBs) and regional cancer networks (RCNs) in building their understanding of current access and future demand for radiation therapy, and its implications for linear accelerator (</w:t>
      </w:r>
      <w:r w:rsidR="007A6454">
        <w:t>‘</w:t>
      </w:r>
      <w:r w:rsidRPr="00601A89">
        <w:t>linac</w:t>
      </w:r>
      <w:r w:rsidR="007A6454">
        <w:t>’</w:t>
      </w:r>
      <w:r w:rsidRPr="00601A89">
        <w:t>) and workforce capacity.</w:t>
      </w:r>
    </w:p>
    <w:p w14:paraId="573898BF" w14:textId="77777777" w:rsidR="00E85766" w:rsidRPr="00601A89" w:rsidRDefault="00E85766" w:rsidP="008D3C7B"/>
    <w:p w14:paraId="3148AA8F" w14:textId="77777777" w:rsidR="00E85766" w:rsidRPr="00601A89" w:rsidRDefault="00E85766" w:rsidP="008D3C7B">
      <w:r w:rsidRPr="00601A89">
        <w:t>Through analysis using the Model, the first national plan identified that radiation</w:t>
      </w:r>
      <w:r>
        <w:t xml:space="preserve"> oncology providers and DHBs of domicile</w:t>
      </w:r>
      <w:r w:rsidRPr="008D3C7B">
        <w:rPr>
          <w:rStyle w:val="FootnoteReference"/>
        </w:rPr>
        <w:footnoteReference w:id="1"/>
      </w:r>
      <w:r w:rsidRPr="00601A89">
        <w:t xml:space="preserve"> vary in their radiation therapy intervention rates (that is, the rate at which people with cancer receive radiation therapy as part of their treatment plans). Other variations it noted were in the length of time taken to deliver treatments and in the number of treatments received per course of radiation therapy for the same types of cancer. In response to such findings, the first national plan recognised the potential to improve equity in access, quality of care and efficiency of service delivery by achieving greater standardisation of clinical practice across New Zealand, which would in turn address key priorities of the National Cancer Programme.</w:t>
      </w:r>
    </w:p>
    <w:p w14:paraId="4BC3FB40" w14:textId="77777777" w:rsidR="00E85766" w:rsidRPr="00601A89" w:rsidRDefault="00E85766" w:rsidP="008D3C7B"/>
    <w:p w14:paraId="388AB525" w14:textId="147E25AC" w:rsidR="00E85766" w:rsidRPr="00601A89" w:rsidRDefault="00E85766" w:rsidP="008D3C7B">
      <w:r w:rsidRPr="00601A89">
        <w:t>The first national plan made 15 recommendations to support the radiation oncology sector to deliver on National Cancer Programme</w:t>
      </w:r>
      <w:r w:rsidRPr="00601A89" w:rsidDel="00540B6F">
        <w:t xml:space="preserve"> </w:t>
      </w:r>
      <w:r w:rsidRPr="00601A89">
        <w:t xml:space="preserve">priorities. In summary, they fell into </w:t>
      </w:r>
      <w:r w:rsidR="00B11E88">
        <w:t xml:space="preserve">the </w:t>
      </w:r>
      <w:r w:rsidRPr="00601A89">
        <w:t xml:space="preserve">three key </w:t>
      </w:r>
      <w:r w:rsidR="003B0214">
        <w:t xml:space="preserve">focus </w:t>
      </w:r>
      <w:r w:rsidRPr="00601A89">
        <w:t xml:space="preserve">areas </w:t>
      </w:r>
      <w:r w:rsidR="00B11E88" w:rsidRPr="00601A89">
        <w:t>of</w:t>
      </w:r>
      <w:r w:rsidRPr="00601A89">
        <w:t>:</w:t>
      </w:r>
    </w:p>
    <w:p w14:paraId="3C541FB0" w14:textId="77777777" w:rsidR="00E85766" w:rsidRPr="00601A89" w:rsidRDefault="008D3C7B" w:rsidP="008D3C7B">
      <w:pPr>
        <w:spacing w:before="90"/>
        <w:ind w:left="567" w:hanging="567"/>
      </w:pPr>
      <w:r>
        <w:t>1.</w:t>
      </w:r>
      <w:r>
        <w:tab/>
      </w:r>
      <w:r w:rsidR="00E85766" w:rsidRPr="00601A89">
        <w:t>further strengthening of planning, which would look beyond capacity to include patient services as well</w:t>
      </w:r>
    </w:p>
    <w:p w14:paraId="02507536" w14:textId="77777777" w:rsidR="00E85766" w:rsidRPr="00601A89" w:rsidRDefault="008D3C7B" w:rsidP="008D3C7B">
      <w:pPr>
        <w:spacing w:before="90"/>
        <w:ind w:left="567" w:hanging="567"/>
      </w:pPr>
      <w:r>
        <w:t>2.</w:t>
      </w:r>
      <w:r>
        <w:tab/>
      </w:r>
      <w:r w:rsidR="00E85766" w:rsidRPr="00601A89">
        <w:t>reviewing data collection, reporting and analysis to inform planning and quality improvement</w:t>
      </w:r>
    </w:p>
    <w:p w14:paraId="63AD5D06" w14:textId="77777777" w:rsidR="00E85766" w:rsidRPr="00601A89" w:rsidRDefault="008D3C7B" w:rsidP="008D3C7B">
      <w:pPr>
        <w:spacing w:before="90"/>
        <w:ind w:left="567" w:hanging="567"/>
      </w:pPr>
      <w:r>
        <w:t>3.</w:t>
      </w:r>
      <w:r>
        <w:tab/>
      </w:r>
      <w:r w:rsidR="00E85766" w:rsidRPr="00601A89">
        <w:t>standardising care to improve equity of access, and quality and efficiency of service delivery.</w:t>
      </w:r>
    </w:p>
    <w:p w14:paraId="0CD6A92B" w14:textId="77777777" w:rsidR="00E85766" w:rsidRPr="00601A89" w:rsidRDefault="00E85766" w:rsidP="008D3C7B"/>
    <w:p w14:paraId="22249603" w14:textId="77777777" w:rsidR="007A6454" w:rsidRDefault="00E85766" w:rsidP="008D3C7B">
      <w:r w:rsidRPr="00601A89">
        <w:t xml:space="preserve">Progress against the 15 recommendations (see Appendix A) has informed </w:t>
      </w:r>
      <w:r>
        <w:t xml:space="preserve">the </w:t>
      </w:r>
      <w:r w:rsidRPr="00601A89">
        <w:t>development of this second National Radiation Oncology Plan.</w:t>
      </w:r>
    </w:p>
    <w:p w14:paraId="709BBE30" w14:textId="77777777" w:rsidR="00E85766" w:rsidRPr="00601A89" w:rsidRDefault="00E85766" w:rsidP="008D3C7B"/>
    <w:p w14:paraId="21DC341F" w14:textId="77777777" w:rsidR="00E85766" w:rsidRPr="00601A89" w:rsidRDefault="00E85766" w:rsidP="008D3C7B">
      <w:pPr>
        <w:pStyle w:val="Heading3"/>
      </w:pPr>
      <w:bookmarkStart w:id="6" w:name="_Toc470858830"/>
      <w:r w:rsidRPr="00601A89">
        <w:lastRenderedPageBreak/>
        <w:t>The New Zealand Cancer Plan 2015–2018</w:t>
      </w:r>
      <w:bookmarkEnd w:id="6"/>
    </w:p>
    <w:p w14:paraId="17C84655" w14:textId="77777777" w:rsidR="007A6454" w:rsidRDefault="00E85766" w:rsidP="008D3C7B">
      <w:r w:rsidRPr="00601A89">
        <w:t xml:space="preserve">Cancer is a leading cause of morbidity and mortality in New Zealand, accounting for almost one-third of all deaths. Given this level of significance, the Government has prioritised improving </w:t>
      </w:r>
      <w:r w:rsidRPr="008D3C7B">
        <w:rPr>
          <w:spacing w:val="-2"/>
        </w:rPr>
        <w:t>cancer outcomes as a key area of focus and investment. The New Zealand Cancer Plan 2015–2018</w:t>
      </w:r>
      <w:r w:rsidRPr="00601A89">
        <w:t xml:space="preserve"> (Ministry of Health 2014) provides a strategic framework to guide all cancer-related activities across the health system. The aim is for all people to have timely access to excellent cancer services that will enable them to live better and longer.</w:t>
      </w:r>
    </w:p>
    <w:p w14:paraId="793EDFC6" w14:textId="77777777" w:rsidR="00E85766" w:rsidRPr="00601A89" w:rsidRDefault="00E85766" w:rsidP="008D3C7B"/>
    <w:p w14:paraId="7C1BB845" w14:textId="77777777" w:rsidR="007A6454" w:rsidRDefault="00E85766" w:rsidP="008D3C7B">
      <w:r w:rsidRPr="00601A89">
        <w:t>For M</w:t>
      </w:r>
      <w:r w:rsidRPr="00601A89">
        <w:rPr>
          <w:rFonts w:cs="Arial"/>
        </w:rPr>
        <w:t>ā</w:t>
      </w:r>
      <w:r w:rsidRPr="00601A89">
        <w:t>ori and people living in socioeconomically deprived areas, the burden of cancer is much higher than it is for the general population. For this reason, the New Zealand Cancer Plan focuses strongly on equity and improving cancer outcomes for all New Zealanders. No matter what their ethnicity, gender, locality or socioeconomic status, people must be able to access the right type of services to meet their needs. To improve cancer outcomes for M</w:t>
      </w:r>
      <w:r w:rsidRPr="00601A89">
        <w:rPr>
          <w:rFonts w:cs="Arial"/>
        </w:rPr>
        <w:t>ā</w:t>
      </w:r>
      <w:r w:rsidRPr="00601A89">
        <w:t>ori, the New Zealand Cancer Plan is guided by the overarching framework and aspirations of the Māori Health Strategy, He Korowai Oranga</w:t>
      </w:r>
      <w:r>
        <w:t xml:space="preserve"> (Ministry of Health 2015).</w:t>
      </w:r>
    </w:p>
    <w:p w14:paraId="4E792D52" w14:textId="77777777" w:rsidR="00E85766" w:rsidRPr="00601A89" w:rsidRDefault="00E85766" w:rsidP="008D3C7B"/>
    <w:p w14:paraId="19CC7F2E" w14:textId="77777777" w:rsidR="00E85766" w:rsidRPr="00601A89" w:rsidRDefault="00E85766" w:rsidP="008D3C7B">
      <w:r w:rsidRPr="00601A89">
        <w:t>The New Zealand Cancer Plan refers specifically to the predicted growth in cancer-related activity and cost associated with the growth and ageing of the population. Spending on cancer treatment services in 2008 was approximately 6</w:t>
      </w:r>
      <w:r w:rsidR="008D3C7B">
        <w:t> percent</w:t>
      </w:r>
      <w:r w:rsidRPr="00601A89">
        <w:t xml:space="preserve"> of publicly funded health costs, with the overall spend projected to increase by 20</w:t>
      </w:r>
      <w:r w:rsidR="008D3C7B">
        <w:t> percent</w:t>
      </w:r>
      <w:r w:rsidRPr="00601A89">
        <w:t xml:space="preserve"> by 2021. Given such high projected increases in cost, the New Zealand Cancer Plan strongly emphasises the need to improve productivity and make cancer services sustainable by:</w:t>
      </w:r>
    </w:p>
    <w:p w14:paraId="5537B9C3" w14:textId="77777777" w:rsidR="00E85766" w:rsidRPr="00601A89" w:rsidRDefault="00E85766" w:rsidP="008D3C7B">
      <w:pPr>
        <w:pStyle w:val="Bullet"/>
      </w:pPr>
      <w:r w:rsidRPr="00601A89">
        <w:t>focusing on innovative models of service delivery</w:t>
      </w:r>
    </w:p>
    <w:p w14:paraId="55DE5491" w14:textId="77777777" w:rsidR="00E85766" w:rsidRPr="00601A89" w:rsidRDefault="00E85766" w:rsidP="008D3C7B">
      <w:pPr>
        <w:pStyle w:val="Bullet"/>
      </w:pPr>
      <w:r w:rsidRPr="00601A89">
        <w:t>increasing the capability and capacity of the cancer workforce</w:t>
      </w:r>
    </w:p>
    <w:p w14:paraId="4D5F19A3" w14:textId="77777777" w:rsidR="00E85766" w:rsidRPr="00601A89" w:rsidRDefault="00E85766" w:rsidP="008D3C7B">
      <w:pPr>
        <w:pStyle w:val="Bullet"/>
      </w:pPr>
      <w:r w:rsidRPr="00601A89">
        <w:t>ensuring quality by developing standards and protocols to guide care.</w:t>
      </w:r>
    </w:p>
    <w:p w14:paraId="54676FAF" w14:textId="77777777" w:rsidR="00E85766" w:rsidRPr="00601A89" w:rsidRDefault="00E85766" w:rsidP="008D3C7B"/>
    <w:p w14:paraId="1F3474E0" w14:textId="77777777" w:rsidR="00E85766" w:rsidRPr="00601A89" w:rsidRDefault="00E85766" w:rsidP="008D3C7B">
      <w:r w:rsidRPr="00601A89">
        <w:t xml:space="preserve">The New Zealand Cancer Plan addresses the growing burden of cancer, inequity of access and outcomes, and accelerated growth </w:t>
      </w:r>
      <w:r>
        <w:t xml:space="preserve">in </w:t>
      </w:r>
      <w:r w:rsidRPr="00601A89">
        <w:t>cost</w:t>
      </w:r>
      <w:r>
        <w:t>s</w:t>
      </w:r>
      <w:r w:rsidRPr="00601A89">
        <w:t>. It sets out the Government</w:t>
      </w:r>
      <w:r w:rsidR="007A6454">
        <w:t>’</w:t>
      </w:r>
      <w:r w:rsidRPr="00601A89">
        <w:t>s expectations for cancer services and outlines the cancer-related initiatives that are being implemented nationwide by 2018. The New Zealand Cancer Plan is consistent with the overarching principles of:</w:t>
      </w:r>
    </w:p>
    <w:p w14:paraId="3A748938" w14:textId="77777777" w:rsidR="00E85766" w:rsidRPr="00601A89" w:rsidRDefault="00E85766" w:rsidP="008D3C7B">
      <w:pPr>
        <w:pStyle w:val="Bullet"/>
      </w:pPr>
      <w:r w:rsidRPr="00601A89">
        <w:t>equitably, effectively and sustainably meeting the future demand for cancer services</w:t>
      </w:r>
    </w:p>
    <w:p w14:paraId="23C10D00" w14:textId="77777777" w:rsidR="00E85766" w:rsidRPr="00601A89" w:rsidRDefault="00E85766" w:rsidP="008D3C7B">
      <w:pPr>
        <w:pStyle w:val="Bullet"/>
      </w:pPr>
      <w:r w:rsidRPr="00601A89">
        <w:t>maintaining high quality of care and improving the quality of life for people with cancer</w:t>
      </w:r>
    </w:p>
    <w:p w14:paraId="401C82CE" w14:textId="77777777" w:rsidR="00E85766" w:rsidRPr="00601A89" w:rsidRDefault="00E85766" w:rsidP="008D3C7B">
      <w:pPr>
        <w:pStyle w:val="Bullet"/>
      </w:pPr>
      <w:r w:rsidRPr="00601A89">
        <w:t>being fiscally responsible.</w:t>
      </w:r>
    </w:p>
    <w:p w14:paraId="20D2EF75" w14:textId="77777777" w:rsidR="00E85766" w:rsidRPr="00601A89" w:rsidRDefault="00E85766" w:rsidP="008D3C7B"/>
    <w:p w14:paraId="57390E14" w14:textId="77777777" w:rsidR="00E85766" w:rsidRPr="00601A89" w:rsidRDefault="00E85766" w:rsidP="008D3C7B">
      <w:pPr>
        <w:pStyle w:val="Heading3"/>
      </w:pPr>
      <w:bookmarkStart w:id="7" w:name="_Toc470858831"/>
      <w:r w:rsidRPr="00601A89">
        <w:t>The New Zealand Cancer Health Information Strategy</w:t>
      </w:r>
      <w:bookmarkEnd w:id="7"/>
    </w:p>
    <w:p w14:paraId="42DE0668" w14:textId="77777777" w:rsidR="00E85766" w:rsidRPr="00601A89" w:rsidRDefault="00E85766" w:rsidP="008D3C7B">
      <w:r w:rsidRPr="00601A89">
        <w:t>A key way of putting the New Zealand Cancer Plan into action is to strengthen the consistency and quality of information required to support performance improvement. The New Zealand Cancer Plan states that by 2018 the Government expects the sector to have timely access to comprehensive and accurate patient-level data, and that the various types of cancer information will be structured to provide a consolidated view.</w:t>
      </w:r>
    </w:p>
    <w:p w14:paraId="5AA8A842" w14:textId="77777777" w:rsidR="00E85766" w:rsidRPr="00601A89" w:rsidRDefault="00E85766" w:rsidP="008D3C7B"/>
    <w:p w14:paraId="134BDC13" w14:textId="77777777" w:rsidR="007A6454" w:rsidRDefault="00E85766" w:rsidP="008D3C7B">
      <w:r w:rsidRPr="00601A89">
        <w:t>The Cancer Health Information Strategy (Ministry of Health 2015) details key strategies and activities to achieve the Government</w:t>
      </w:r>
      <w:r w:rsidR="007A6454">
        <w:t>’</w:t>
      </w:r>
      <w:r w:rsidRPr="00601A89">
        <w:t>s expectations.</w:t>
      </w:r>
    </w:p>
    <w:p w14:paraId="60466E30" w14:textId="77777777" w:rsidR="00E85766" w:rsidRPr="00601A89" w:rsidRDefault="00E85766" w:rsidP="008D3C7B"/>
    <w:p w14:paraId="08FE0481" w14:textId="77777777" w:rsidR="00E85766" w:rsidRPr="00601A89" w:rsidRDefault="00E85766" w:rsidP="008D3C7B">
      <w:r w:rsidRPr="00601A89">
        <w:t>The Cancer Health Information Strategy</w:t>
      </w:r>
      <w:r w:rsidRPr="00601A89" w:rsidDel="00B4452B">
        <w:t xml:space="preserve"> </w:t>
      </w:r>
      <w:r w:rsidRPr="00601A89">
        <w:t>identifies four strategic interventions:</w:t>
      </w:r>
    </w:p>
    <w:p w14:paraId="13FF6CE8" w14:textId="76C9B7D1" w:rsidR="00E85766" w:rsidRPr="00601A89" w:rsidRDefault="008D3C7B" w:rsidP="008D3C7B">
      <w:pPr>
        <w:spacing w:before="90"/>
        <w:ind w:left="567" w:hanging="567"/>
      </w:pPr>
      <w:r>
        <w:t>1.</w:t>
      </w:r>
      <w:r>
        <w:tab/>
      </w:r>
      <w:r w:rsidR="00B11E88">
        <w:t>E</w:t>
      </w:r>
      <w:r w:rsidR="00E85766" w:rsidRPr="00601A89">
        <w:t>stablish a national framework for managing consistent change to cancer data, information and intelligence</w:t>
      </w:r>
    </w:p>
    <w:p w14:paraId="4901C1EB" w14:textId="4934CCE7" w:rsidR="00E85766" w:rsidRPr="00601A89" w:rsidRDefault="008D3C7B" w:rsidP="008D3C7B">
      <w:pPr>
        <w:spacing w:before="90"/>
        <w:ind w:left="567" w:hanging="567"/>
      </w:pPr>
      <w:r>
        <w:t>2.</w:t>
      </w:r>
      <w:r>
        <w:tab/>
      </w:r>
      <w:r w:rsidR="00B11E88">
        <w:t>S</w:t>
      </w:r>
      <w:r w:rsidR="00E85766" w:rsidRPr="00601A89">
        <w:t>tandardise, digitise and make accessible cancer data at the point of care</w:t>
      </w:r>
    </w:p>
    <w:p w14:paraId="637932B4" w14:textId="30EE61F8" w:rsidR="00E85766" w:rsidRPr="00601A89" w:rsidRDefault="008D3C7B" w:rsidP="008D3C7B">
      <w:pPr>
        <w:keepNext/>
        <w:spacing w:before="90"/>
        <w:ind w:left="567" w:hanging="567"/>
      </w:pPr>
      <w:r>
        <w:lastRenderedPageBreak/>
        <w:t>3.</w:t>
      </w:r>
      <w:r>
        <w:tab/>
      </w:r>
      <w:r w:rsidR="00B11E88">
        <w:t>C</w:t>
      </w:r>
      <w:r w:rsidR="00E85766">
        <w:t>ombine</w:t>
      </w:r>
      <w:r w:rsidR="00E85766" w:rsidRPr="00601A89">
        <w:t xml:space="preserve"> relevant patient and cancer service data into cancer information</w:t>
      </w:r>
    </w:p>
    <w:p w14:paraId="3B9B1788" w14:textId="2CE8ECC9" w:rsidR="00E85766" w:rsidRPr="00601A89" w:rsidRDefault="008D3C7B" w:rsidP="008D3C7B">
      <w:pPr>
        <w:spacing w:before="90"/>
        <w:ind w:left="567" w:hanging="567"/>
      </w:pPr>
      <w:r>
        <w:t>4.</w:t>
      </w:r>
      <w:r>
        <w:tab/>
      </w:r>
      <w:r w:rsidR="00B11E88">
        <w:t>A</w:t>
      </w:r>
      <w:r w:rsidR="00E85766" w:rsidRPr="00601A89">
        <w:t>nalyse information, produce cancer intelligence and communicate it to stakeholders.</w:t>
      </w:r>
    </w:p>
    <w:p w14:paraId="47E284B6" w14:textId="77777777" w:rsidR="00E85766" w:rsidRPr="00601A89" w:rsidRDefault="00E85766" w:rsidP="008D3C7B"/>
    <w:p w14:paraId="580A1ED2" w14:textId="77777777" w:rsidR="00E85766" w:rsidRPr="00601A89" w:rsidRDefault="00E85766" w:rsidP="008D3C7B">
      <w:r w:rsidRPr="00601A89">
        <w:t>Given that the Ministry and</w:t>
      </w:r>
      <w:r>
        <w:t xml:space="preserve"> the</w:t>
      </w:r>
      <w:r w:rsidRPr="00601A89">
        <w:t xml:space="preserve"> radiation oncology sector prioritise collecting and using data to </w:t>
      </w:r>
      <w:r>
        <w:t xml:space="preserve">provide the </w:t>
      </w:r>
      <w:r w:rsidRPr="00601A89">
        <w:t>inform</w:t>
      </w:r>
      <w:r>
        <w:t>ation needed to</w:t>
      </w:r>
      <w:r w:rsidRPr="00601A89">
        <w:t xml:space="preserve"> improve both service planning and performance, this second national plan is strongly aligned with the Cancer Health Information Strategy.</w:t>
      </w:r>
    </w:p>
    <w:p w14:paraId="174D3CED" w14:textId="77777777" w:rsidR="00E85766" w:rsidRPr="00601A89" w:rsidRDefault="00E85766" w:rsidP="008D3C7B"/>
    <w:p w14:paraId="09271363" w14:textId="77777777" w:rsidR="007A6454" w:rsidRDefault="00E85766" w:rsidP="008D3C7B">
      <w:pPr>
        <w:pStyle w:val="Heading3"/>
      </w:pPr>
      <w:bookmarkStart w:id="8" w:name="_Toc470858832"/>
      <w:r w:rsidRPr="00601A89">
        <w:t>The New Zealand Health Strategy</w:t>
      </w:r>
      <w:bookmarkEnd w:id="8"/>
    </w:p>
    <w:p w14:paraId="3B1F74C9" w14:textId="77777777" w:rsidR="00E85766" w:rsidRPr="00601A89" w:rsidRDefault="00E85766" w:rsidP="008D3C7B">
      <w:r w:rsidRPr="00601A89">
        <w:t>In 2016 the Ministry published the New Zealand Health Strategy</w:t>
      </w:r>
      <w:r>
        <w:t xml:space="preserve"> (Ministry</w:t>
      </w:r>
      <w:r w:rsidRPr="00601A89">
        <w:t xml:space="preserve"> of Health 2016). The strategy outlines the high-level direction for New Zealand</w:t>
      </w:r>
      <w:r w:rsidR="007A6454">
        <w:t>’</w:t>
      </w:r>
      <w:r w:rsidRPr="00601A89">
        <w:t>s health system from 2016</w:t>
      </w:r>
      <w:r>
        <w:t xml:space="preserve">–2026. Through </w:t>
      </w:r>
      <w:r w:rsidRPr="00601A89">
        <w:t>five strategic themes –people-powered, closer to home, value and high performance, one team and smart system – it emphasises providing integrated social services to improve the health of people and their communities.</w:t>
      </w:r>
    </w:p>
    <w:p w14:paraId="40D02939" w14:textId="77777777" w:rsidR="00E85766" w:rsidRPr="00601A89" w:rsidRDefault="00E85766" w:rsidP="008D3C7B"/>
    <w:p w14:paraId="0CCA4042" w14:textId="77777777" w:rsidR="007A6454" w:rsidRDefault="00E85766" w:rsidP="008D3C7B">
      <w:pPr>
        <w:pStyle w:val="Heading2"/>
      </w:pPr>
      <w:bookmarkStart w:id="9" w:name="_Toc470858833"/>
      <w:bookmarkStart w:id="10" w:name="_Toc475992496"/>
      <w:r w:rsidRPr="00601A89">
        <w:t xml:space="preserve">The National Radiation Oncology Plan </w:t>
      </w:r>
      <w:r>
        <w:t>2017</w:t>
      </w:r>
      <w:r w:rsidRPr="00601A89">
        <w:t>–2021</w:t>
      </w:r>
      <w:bookmarkEnd w:id="9"/>
      <w:bookmarkEnd w:id="10"/>
    </w:p>
    <w:p w14:paraId="460FE191" w14:textId="77777777" w:rsidR="007A6454" w:rsidRDefault="00E85766" w:rsidP="008D3C7B">
      <w:r w:rsidRPr="00601A89">
        <w:t>This National Radiation Oncology Plan (</w:t>
      </w:r>
      <w:r w:rsidR="007A6454">
        <w:t>‘</w:t>
      </w:r>
      <w:r w:rsidRPr="00601A89">
        <w:t>the Plan</w:t>
      </w:r>
      <w:r w:rsidR="007A6454">
        <w:t>’</w:t>
      </w:r>
      <w:r w:rsidRPr="00601A89">
        <w:t>) builds on the first national plan by taking a broader perspective of the radiation oncology sector, and looking beyond linac and workforce capacity to include patient services. The Plan is intended to strengthen the sector</w:t>
      </w:r>
      <w:r w:rsidR="007A6454">
        <w:t>’</w:t>
      </w:r>
      <w:r w:rsidRPr="00601A89">
        <w:t>s efforts to improve quality, and service and capacity planning. It is guided by the New Zealand Cancer Plan</w:t>
      </w:r>
      <w:r w:rsidR="007A6454">
        <w:t>’</w:t>
      </w:r>
      <w:r w:rsidRPr="00601A89">
        <w:t>s priorities and expectations</w:t>
      </w:r>
      <w:r>
        <w:t xml:space="preserve">, </w:t>
      </w:r>
      <w:r w:rsidRPr="00601A89">
        <w:t>Cancer Health Information Strategy</w:t>
      </w:r>
      <w:r>
        <w:t xml:space="preserve"> and the New Zealand Health Strategy.</w:t>
      </w:r>
    </w:p>
    <w:p w14:paraId="6A4D5D5A" w14:textId="77777777" w:rsidR="00E85766" w:rsidRPr="00601A89" w:rsidRDefault="00E85766" w:rsidP="008D3C7B"/>
    <w:p w14:paraId="35033231" w14:textId="77777777" w:rsidR="007A6454" w:rsidRDefault="00E85766" w:rsidP="008D3C7B">
      <w:r w:rsidRPr="00601A89">
        <w:t>As part of national radiation oncology service planning, a Radiation Oncology Minimum Data Set (ROMDS) has been introduced. This ongoing data collection will allow transparent assessment of care pathways, and will inform capacity planning through the Service Planning Tool (</w:t>
      </w:r>
      <w:r w:rsidR="007A6454">
        <w:t>‘</w:t>
      </w:r>
      <w:r w:rsidRPr="00601A89">
        <w:t>the Tool</w:t>
      </w:r>
      <w:r w:rsidR="007A6454">
        <w:t>’</w:t>
      </w:r>
      <w:r w:rsidRPr="00601A89">
        <w:t>).</w:t>
      </w:r>
    </w:p>
    <w:p w14:paraId="56A95C3D" w14:textId="77777777" w:rsidR="00E85766" w:rsidRPr="00601A89" w:rsidRDefault="00E85766" w:rsidP="008D3C7B"/>
    <w:p w14:paraId="3A447337" w14:textId="77777777" w:rsidR="00E85766" w:rsidRPr="00601A89" w:rsidRDefault="00E85766" w:rsidP="008D3C7B">
      <w:r w:rsidRPr="00601A89">
        <w:t>The Plan is strongly informed by analysis of data from ROMDS and the Tool. It considers the outputs of each to:</w:t>
      </w:r>
    </w:p>
    <w:p w14:paraId="6F04E3C3" w14:textId="77777777" w:rsidR="00E85766" w:rsidRPr="00601A89" w:rsidRDefault="00E85766" w:rsidP="008D3C7B">
      <w:pPr>
        <w:pStyle w:val="Bullet"/>
      </w:pPr>
      <w:r w:rsidRPr="00601A89">
        <w:t>reveal variations in patient access and clinical practice by tumour type across the radiation oncology providers</w:t>
      </w:r>
    </w:p>
    <w:p w14:paraId="29A2A76D" w14:textId="77777777" w:rsidR="00E85766" w:rsidRPr="00601A89" w:rsidRDefault="00E85766" w:rsidP="008D3C7B">
      <w:pPr>
        <w:pStyle w:val="Bullet"/>
      </w:pPr>
      <w:r w:rsidRPr="00601A89">
        <w:t>compare updated linac and workforce capacity projections with previous projections to inform radiation oncology service and capacity development.</w:t>
      </w:r>
    </w:p>
    <w:p w14:paraId="5FFDD68A" w14:textId="77777777" w:rsidR="00E85766" w:rsidRPr="00601A89" w:rsidRDefault="00E85766" w:rsidP="008D3C7B"/>
    <w:p w14:paraId="281C5316" w14:textId="77777777" w:rsidR="00E85766" w:rsidRPr="00601A89" w:rsidRDefault="00E85766" w:rsidP="008D3C7B">
      <w:r w:rsidRPr="00601A89">
        <w:t>The Plan provides a set of metrics developed in collaboration with the radiation oncology sector so that it is possible to benchmark the complexity, quality and consistency of service delivery across New Zealand</w:t>
      </w:r>
      <w:r w:rsidR="007A6454">
        <w:t>’</w:t>
      </w:r>
      <w:r w:rsidRPr="00601A89">
        <w:t>s public and private radiation oncology providers. For the set of metrics, see Appendix</w:t>
      </w:r>
      <w:r w:rsidR="008D3C7B">
        <w:t> </w:t>
      </w:r>
      <w:r w:rsidRPr="00601A89">
        <w:t>B.</w:t>
      </w:r>
    </w:p>
    <w:p w14:paraId="61AC3C7F" w14:textId="77777777" w:rsidR="00E85766" w:rsidRPr="00601A89" w:rsidRDefault="00E85766" w:rsidP="008D3C7B"/>
    <w:p w14:paraId="2799B53F" w14:textId="77777777" w:rsidR="007A6454" w:rsidRDefault="00E85766" w:rsidP="008D3C7B">
      <w:r w:rsidRPr="00601A89">
        <w:t>The Plan presents:</w:t>
      </w:r>
    </w:p>
    <w:p w14:paraId="4ECAF4F2" w14:textId="77777777" w:rsidR="00E85766" w:rsidRPr="00601A89" w:rsidRDefault="00E85766" w:rsidP="008D3C7B">
      <w:pPr>
        <w:pStyle w:val="Bullet"/>
      </w:pPr>
      <w:r w:rsidRPr="00601A89">
        <w:t>a snapshot of the insights developed through collecting and analysing data from ROMDS</w:t>
      </w:r>
    </w:p>
    <w:p w14:paraId="5B23D78E" w14:textId="77777777" w:rsidR="00E85766" w:rsidRPr="00601A89" w:rsidRDefault="00E85766" w:rsidP="008D3C7B">
      <w:pPr>
        <w:pStyle w:val="Bullet"/>
      </w:pPr>
      <w:r w:rsidRPr="00601A89">
        <w:t>a framework for collecting and using radiation oncology data to understand variation in access and practice, in order to improve service performance</w:t>
      </w:r>
    </w:p>
    <w:p w14:paraId="09115528" w14:textId="77777777" w:rsidR="00E85766" w:rsidRPr="00601A89" w:rsidRDefault="00E85766" w:rsidP="008D3C7B">
      <w:pPr>
        <w:pStyle w:val="Bullet"/>
      </w:pPr>
      <w:r w:rsidRPr="00601A89">
        <w:t>guidance on priorities and actions for applying the framework over five years</w:t>
      </w:r>
    </w:p>
    <w:p w14:paraId="78FC8897" w14:textId="77777777" w:rsidR="007A6454" w:rsidRDefault="00E85766" w:rsidP="008D3C7B">
      <w:pPr>
        <w:pStyle w:val="Bullet"/>
      </w:pPr>
      <w:r w:rsidRPr="00601A89">
        <w:t>guidance on how to align radiation oncology activities with the New Zealand</w:t>
      </w:r>
      <w:r>
        <w:t xml:space="preserve"> Cancer Plan, Cancer Health Information Strategy and the New Zealand Health Strategy.</w:t>
      </w:r>
    </w:p>
    <w:p w14:paraId="0B10F761" w14:textId="77777777" w:rsidR="00E85766" w:rsidRPr="00601A89" w:rsidRDefault="00E85766" w:rsidP="008D3C7B"/>
    <w:p w14:paraId="24EEF4B8" w14:textId="77777777" w:rsidR="00E85766" w:rsidRPr="00601A89" w:rsidRDefault="00E85766" w:rsidP="008D3C7B">
      <w:pPr>
        <w:pStyle w:val="Heading1"/>
      </w:pPr>
      <w:bookmarkStart w:id="11" w:name="_Toc470858834"/>
      <w:bookmarkStart w:id="12" w:name="_Toc475992497"/>
      <w:r w:rsidRPr="00601A89">
        <w:lastRenderedPageBreak/>
        <w:t>Context</w:t>
      </w:r>
      <w:bookmarkEnd w:id="11"/>
      <w:bookmarkEnd w:id="12"/>
    </w:p>
    <w:p w14:paraId="7E2EFE52" w14:textId="77777777" w:rsidR="00E85766" w:rsidRPr="00601A89" w:rsidRDefault="00E85766" w:rsidP="008D3C7B">
      <w:pPr>
        <w:pStyle w:val="Heading2"/>
      </w:pPr>
      <w:bookmarkStart w:id="13" w:name="_Toc470858835"/>
      <w:bookmarkStart w:id="14" w:name="_Toc475992498"/>
      <w:r w:rsidRPr="00601A89">
        <w:t>Overview of radiation oncology in New</w:t>
      </w:r>
      <w:r w:rsidR="008D3C7B">
        <w:t> </w:t>
      </w:r>
      <w:r w:rsidRPr="00601A89">
        <w:t>Zealand</w:t>
      </w:r>
      <w:bookmarkEnd w:id="13"/>
      <w:bookmarkEnd w:id="14"/>
    </w:p>
    <w:p w14:paraId="6BDF9AEE" w14:textId="77777777" w:rsidR="007A6454" w:rsidRDefault="00E85766" w:rsidP="008D3C7B">
      <w:r w:rsidRPr="00601A89">
        <w:t xml:space="preserve">Radiation oncology services provide radiation therapy as a method of treating cancer. Radiation therapy uses ionising radiation to destroy or damage cancer cells so they cannot multiply. It can be used to cure cancer, shrink a tumour before surgery, reduce the risk of a cancer returning after surgery, or control symptoms if a cancer is too advanced to cure. It is usually delivered over an extended period due to the number of doses or </w:t>
      </w:r>
      <w:r w:rsidR="007A6454">
        <w:t>‘</w:t>
      </w:r>
      <w:r w:rsidRPr="00601A89">
        <w:t>fractions</w:t>
      </w:r>
      <w:r w:rsidR="007A6454">
        <w:t>’</w:t>
      </w:r>
      <w:r w:rsidRPr="00601A89">
        <w:t xml:space="preserve"> required.</w:t>
      </w:r>
    </w:p>
    <w:p w14:paraId="7C478223" w14:textId="77777777" w:rsidR="00E85766" w:rsidRPr="00601A89" w:rsidRDefault="00E85766" w:rsidP="008D3C7B"/>
    <w:p w14:paraId="5E586549" w14:textId="77777777" w:rsidR="007A6454" w:rsidRDefault="00E85766" w:rsidP="008D3C7B">
      <w:r w:rsidRPr="00601A89">
        <w:t>Radiation therapy may be delivered externally using a linac, or internally as brachytherapy (</w:t>
      </w:r>
      <w:r>
        <w:t xml:space="preserve">where </w:t>
      </w:r>
      <w:r w:rsidRPr="00601A89">
        <w:t>radioactive materials</w:t>
      </w:r>
      <w:r>
        <w:t xml:space="preserve"> are placed</w:t>
      </w:r>
      <w:r w:rsidRPr="00601A89">
        <w:t xml:space="preserve"> inside the body in, or near, the cancer). Linacs are high-cost technology and must be replaced about every 10 years. They also require custom-built facilities (</w:t>
      </w:r>
      <w:r w:rsidR="007A6454">
        <w:t>‘</w:t>
      </w:r>
      <w:r w:rsidRPr="00601A89">
        <w:t>bunkers</w:t>
      </w:r>
      <w:r w:rsidR="007A6454">
        <w:t>’</w:t>
      </w:r>
      <w:r w:rsidRPr="00601A89">
        <w:t>) that protect staff from radiation.</w:t>
      </w:r>
    </w:p>
    <w:p w14:paraId="00328301" w14:textId="77777777" w:rsidR="00E85766" w:rsidRPr="00601A89" w:rsidRDefault="00E85766" w:rsidP="008D3C7B"/>
    <w:p w14:paraId="2CD87CE7" w14:textId="77777777" w:rsidR="00E85766" w:rsidRPr="00601A89" w:rsidRDefault="00E85766" w:rsidP="008D3C7B">
      <w:r w:rsidRPr="00601A89">
        <w:t>To deliver radiation therapy, a highly specialised workforce works in a multidisciplinary team. Core team members are the radiation oncologist, radiation therapist and medical physicist.</w:t>
      </w:r>
    </w:p>
    <w:p w14:paraId="083C84F6" w14:textId="77777777" w:rsidR="00E85766" w:rsidRPr="00601A89" w:rsidRDefault="00E85766" w:rsidP="008D3C7B"/>
    <w:p w14:paraId="14C58778" w14:textId="77777777" w:rsidR="00E85766" w:rsidRPr="00601A89" w:rsidRDefault="00E85766" w:rsidP="008D3C7B">
      <w:r w:rsidRPr="00601A89">
        <w:t>Radiation therapy is commonly given as part of a combination treatment with surgery and/or chemotherapy. For this reason, radiation oncology functions within a wider cancer service in which professionals use multidisciplinary meetings to plan and monitor overall patient treatment. Professional disciplines within a wider cancer service can include medical oncology, paediatric oncology, surgical oncology, clinical haematology and palliative care.</w:t>
      </w:r>
    </w:p>
    <w:p w14:paraId="78EABF9C" w14:textId="77777777" w:rsidR="00E85766" w:rsidRPr="00601A89" w:rsidRDefault="00E85766" w:rsidP="008D3C7B"/>
    <w:p w14:paraId="60C5CCA4" w14:textId="77777777" w:rsidR="00E85766" w:rsidRPr="00601A89" w:rsidRDefault="00E85766" w:rsidP="008D3C7B">
      <w:r w:rsidRPr="00601A89">
        <w:t xml:space="preserve">Nine radiation oncology providers operate in New Zealand. Three of them are privately owned and the remaining six are owned by DHBs. </w:t>
      </w:r>
      <w:r w:rsidRPr="00601A89">
        <w:fldChar w:fldCharType="begin"/>
      </w:r>
      <w:r w:rsidRPr="00601A89">
        <w:instrText xml:space="preserve"> REF _Ref451720468 \h  \* MERGEFORMAT </w:instrText>
      </w:r>
      <w:r w:rsidRPr="00601A89">
        <w:fldChar w:fldCharType="separate"/>
      </w:r>
      <w:r w:rsidR="00E2252F" w:rsidRPr="00601A89">
        <w:t xml:space="preserve">Table </w:t>
      </w:r>
      <w:r w:rsidR="00E2252F">
        <w:rPr>
          <w:noProof/>
        </w:rPr>
        <w:t>1</w:t>
      </w:r>
      <w:r w:rsidRPr="00601A89">
        <w:fldChar w:fldCharType="end"/>
      </w:r>
      <w:r w:rsidRPr="00601A89">
        <w:t xml:space="preserve"> lists each radiation oncology provider by type of ownership and location.</w:t>
      </w:r>
    </w:p>
    <w:p w14:paraId="1F488AEB" w14:textId="77777777" w:rsidR="00E85766" w:rsidRPr="00601A89" w:rsidRDefault="00E85766" w:rsidP="008D3C7B"/>
    <w:p w14:paraId="3D061CF5" w14:textId="77777777" w:rsidR="00E85766" w:rsidRPr="00601A89" w:rsidRDefault="00E85766" w:rsidP="008D3C7B">
      <w:pPr>
        <w:pStyle w:val="Table"/>
      </w:pPr>
      <w:bookmarkStart w:id="15" w:name="_Ref451720468"/>
      <w:bookmarkStart w:id="16" w:name="_Toc475954091"/>
      <w:r w:rsidRPr="00601A89">
        <w:t xml:space="preserve">Table </w:t>
      </w:r>
      <w:r w:rsidR="003B40AB">
        <w:fldChar w:fldCharType="begin"/>
      </w:r>
      <w:r w:rsidR="003B40AB">
        <w:instrText xml:space="preserve"> SEQ Table \* ARABIC </w:instrText>
      </w:r>
      <w:r w:rsidR="003B40AB">
        <w:fldChar w:fldCharType="separate"/>
      </w:r>
      <w:r w:rsidR="00E2252F">
        <w:rPr>
          <w:noProof/>
        </w:rPr>
        <w:t>1</w:t>
      </w:r>
      <w:r w:rsidR="003B40AB">
        <w:rPr>
          <w:noProof/>
        </w:rPr>
        <w:fldChar w:fldCharType="end"/>
      </w:r>
      <w:bookmarkEnd w:id="15"/>
      <w:r w:rsidRPr="00601A89">
        <w:t>: New Zealand radiation oncology providers by ownership and location</w:t>
      </w:r>
      <w:bookmarkEnd w:id="16"/>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3402"/>
        <w:gridCol w:w="1701"/>
        <w:gridCol w:w="1843"/>
      </w:tblGrid>
      <w:tr w:rsidR="00E85766" w:rsidRPr="008D3C7B" w14:paraId="5224FB31" w14:textId="77777777" w:rsidTr="008D3C7B">
        <w:trPr>
          <w:cantSplit/>
        </w:trPr>
        <w:tc>
          <w:tcPr>
            <w:tcW w:w="3402" w:type="dxa"/>
            <w:tcBorders>
              <w:bottom w:val="single" w:sz="4" w:space="0" w:color="auto"/>
            </w:tcBorders>
            <w:shd w:val="clear" w:color="auto" w:fill="auto"/>
          </w:tcPr>
          <w:p w14:paraId="2E91B6B3" w14:textId="77777777" w:rsidR="00E85766" w:rsidRPr="008D3C7B" w:rsidRDefault="00E85766" w:rsidP="008D3C7B">
            <w:pPr>
              <w:pStyle w:val="TableText"/>
              <w:rPr>
                <w:b/>
                <w:lang w:eastAsia="en-NZ"/>
              </w:rPr>
            </w:pPr>
            <w:r w:rsidRPr="008D3C7B">
              <w:rPr>
                <w:b/>
                <w:lang w:eastAsia="en-NZ"/>
              </w:rPr>
              <w:t>Radiation oncology provider</w:t>
            </w:r>
          </w:p>
        </w:tc>
        <w:tc>
          <w:tcPr>
            <w:tcW w:w="1701" w:type="dxa"/>
            <w:tcBorders>
              <w:bottom w:val="single" w:sz="4" w:space="0" w:color="auto"/>
            </w:tcBorders>
            <w:shd w:val="clear" w:color="auto" w:fill="auto"/>
          </w:tcPr>
          <w:p w14:paraId="271AC6BF" w14:textId="77777777" w:rsidR="00E85766" w:rsidRPr="008D3C7B" w:rsidRDefault="00E85766" w:rsidP="008D3C7B">
            <w:pPr>
              <w:pStyle w:val="TableText"/>
              <w:rPr>
                <w:b/>
                <w:lang w:eastAsia="en-NZ"/>
              </w:rPr>
            </w:pPr>
            <w:r w:rsidRPr="008D3C7B">
              <w:rPr>
                <w:b/>
                <w:lang w:eastAsia="en-NZ"/>
              </w:rPr>
              <w:t>Ownership</w:t>
            </w:r>
          </w:p>
        </w:tc>
        <w:tc>
          <w:tcPr>
            <w:tcW w:w="1843" w:type="dxa"/>
            <w:tcBorders>
              <w:bottom w:val="single" w:sz="4" w:space="0" w:color="auto"/>
            </w:tcBorders>
            <w:shd w:val="clear" w:color="auto" w:fill="auto"/>
          </w:tcPr>
          <w:p w14:paraId="49475F6F" w14:textId="77777777" w:rsidR="00E85766" w:rsidRPr="008D3C7B" w:rsidRDefault="00E85766" w:rsidP="008D3C7B">
            <w:pPr>
              <w:pStyle w:val="TableText"/>
              <w:rPr>
                <w:b/>
                <w:lang w:eastAsia="en-NZ"/>
              </w:rPr>
            </w:pPr>
            <w:r w:rsidRPr="008D3C7B">
              <w:rPr>
                <w:b/>
                <w:lang w:eastAsia="en-NZ"/>
              </w:rPr>
              <w:t>Location</w:t>
            </w:r>
          </w:p>
        </w:tc>
      </w:tr>
      <w:tr w:rsidR="00E85766" w:rsidRPr="00601A89" w14:paraId="1E25EF6F" w14:textId="77777777" w:rsidTr="008D3C7B">
        <w:trPr>
          <w:cantSplit/>
        </w:trPr>
        <w:tc>
          <w:tcPr>
            <w:tcW w:w="3402" w:type="dxa"/>
            <w:tcBorders>
              <w:top w:val="single" w:sz="4" w:space="0" w:color="auto"/>
              <w:bottom w:val="single" w:sz="4" w:space="0" w:color="A6A6A6" w:themeColor="background1" w:themeShade="A6"/>
            </w:tcBorders>
            <w:shd w:val="clear" w:color="auto" w:fill="auto"/>
            <w:noWrap/>
          </w:tcPr>
          <w:p w14:paraId="6FC566C8" w14:textId="77777777" w:rsidR="00E85766" w:rsidRPr="00601A89" w:rsidRDefault="00E85766" w:rsidP="008D3C7B">
            <w:pPr>
              <w:pStyle w:val="TableText"/>
              <w:rPr>
                <w:color w:val="000000"/>
                <w:lang w:eastAsia="en-NZ"/>
              </w:rPr>
            </w:pPr>
            <w:r w:rsidRPr="00601A89">
              <w:rPr>
                <w:color w:val="000000"/>
                <w:lang w:eastAsia="en-NZ"/>
              </w:rPr>
              <w:t>Auckland DHB</w:t>
            </w:r>
          </w:p>
        </w:tc>
        <w:tc>
          <w:tcPr>
            <w:tcW w:w="1701" w:type="dxa"/>
            <w:tcBorders>
              <w:top w:val="single" w:sz="4" w:space="0" w:color="auto"/>
              <w:bottom w:val="single" w:sz="4" w:space="0" w:color="A6A6A6" w:themeColor="background1" w:themeShade="A6"/>
            </w:tcBorders>
            <w:shd w:val="clear" w:color="auto" w:fill="auto"/>
            <w:noWrap/>
          </w:tcPr>
          <w:p w14:paraId="0304FAA6" w14:textId="77777777" w:rsidR="00E85766" w:rsidRPr="00601A89" w:rsidRDefault="00E85766" w:rsidP="008D3C7B">
            <w:pPr>
              <w:pStyle w:val="TableText"/>
              <w:rPr>
                <w:color w:val="000000"/>
                <w:lang w:eastAsia="en-NZ"/>
              </w:rPr>
            </w:pPr>
            <w:r w:rsidRPr="00601A89">
              <w:rPr>
                <w:color w:val="000000"/>
                <w:lang w:eastAsia="en-NZ"/>
              </w:rPr>
              <w:t>Public</w:t>
            </w:r>
          </w:p>
        </w:tc>
        <w:tc>
          <w:tcPr>
            <w:tcW w:w="1843" w:type="dxa"/>
            <w:tcBorders>
              <w:top w:val="single" w:sz="4" w:space="0" w:color="auto"/>
              <w:bottom w:val="single" w:sz="4" w:space="0" w:color="A6A6A6" w:themeColor="background1" w:themeShade="A6"/>
            </w:tcBorders>
            <w:shd w:val="clear" w:color="auto" w:fill="auto"/>
          </w:tcPr>
          <w:p w14:paraId="71106CAC" w14:textId="77777777" w:rsidR="00E85766" w:rsidRPr="00601A89" w:rsidRDefault="00E85766" w:rsidP="008D3C7B">
            <w:pPr>
              <w:pStyle w:val="TableText"/>
              <w:rPr>
                <w:color w:val="000000"/>
                <w:lang w:eastAsia="en-NZ"/>
              </w:rPr>
            </w:pPr>
            <w:r w:rsidRPr="00601A89">
              <w:rPr>
                <w:color w:val="000000"/>
                <w:lang w:eastAsia="en-NZ"/>
              </w:rPr>
              <w:t>Auckland</w:t>
            </w:r>
          </w:p>
        </w:tc>
      </w:tr>
      <w:tr w:rsidR="00E85766" w:rsidRPr="00601A89" w14:paraId="06C99902" w14:textId="77777777" w:rsidTr="008D3C7B">
        <w:trPr>
          <w:cantSplit/>
        </w:trPr>
        <w:tc>
          <w:tcPr>
            <w:tcW w:w="3402" w:type="dxa"/>
            <w:tcBorders>
              <w:top w:val="single" w:sz="4" w:space="0" w:color="A6A6A6" w:themeColor="background1" w:themeShade="A6"/>
              <w:bottom w:val="single" w:sz="4" w:space="0" w:color="A6A6A6" w:themeColor="background1" w:themeShade="A6"/>
            </w:tcBorders>
            <w:shd w:val="clear" w:color="auto" w:fill="auto"/>
            <w:noWrap/>
          </w:tcPr>
          <w:p w14:paraId="305F43ED" w14:textId="77777777" w:rsidR="00E85766" w:rsidRPr="00601A89" w:rsidRDefault="00E85766" w:rsidP="008D3C7B">
            <w:pPr>
              <w:pStyle w:val="TableText"/>
              <w:rPr>
                <w:color w:val="000000"/>
                <w:lang w:eastAsia="en-NZ"/>
              </w:rPr>
            </w:pPr>
            <w:r w:rsidRPr="00601A89">
              <w:rPr>
                <w:color w:val="000000"/>
                <w:lang w:eastAsia="en-NZ"/>
              </w:rPr>
              <w:t>Auckland Radiation Oncology</w:t>
            </w:r>
          </w:p>
        </w:tc>
        <w:tc>
          <w:tcPr>
            <w:tcW w:w="1701" w:type="dxa"/>
            <w:tcBorders>
              <w:top w:val="single" w:sz="4" w:space="0" w:color="A6A6A6" w:themeColor="background1" w:themeShade="A6"/>
              <w:bottom w:val="single" w:sz="4" w:space="0" w:color="A6A6A6" w:themeColor="background1" w:themeShade="A6"/>
            </w:tcBorders>
            <w:shd w:val="clear" w:color="auto" w:fill="auto"/>
            <w:noWrap/>
          </w:tcPr>
          <w:p w14:paraId="51BDA354" w14:textId="77777777" w:rsidR="00E85766" w:rsidRPr="00601A89" w:rsidRDefault="00E85766" w:rsidP="008D3C7B">
            <w:pPr>
              <w:pStyle w:val="TableText"/>
              <w:rPr>
                <w:color w:val="000000"/>
                <w:lang w:eastAsia="en-NZ"/>
              </w:rPr>
            </w:pPr>
            <w:r w:rsidRPr="00601A89">
              <w:rPr>
                <w:color w:val="000000"/>
                <w:lang w:eastAsia="en-NZ"/>
              </w:rPr>
              <w:t>Private</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732FAB40" w14:textId="77777777" w:rsidR="00E85766" w:rsidRPr="00601A89" w:rsidRDefault="00E85766" w:rsidP="008D3C7B">
            <w:pPr>
              <w:pStyle w:val="TableText"/>
              <w:rPr>
                <w:color w:val="000000"/>
                <w:lang w:eastAsia="en-NZ"/>
              </w:rPr>
            </w:pPr>
            <w:r w:rsidRPr="00601A89">
              <w:rPr>
                <w:color w:val="000000"/>
                <w:lang w:eastAsia="en-NZ"/>
              </w:rPr>
              <w:t>Auckland</w:t>
            </w:r>
          </w:p>
        </w:tc>
      </w:tr>
      <w:tr w:rsidR="00E85766" w:rsidRPr="00601A89" w14:paraId="159EAF89" w14:textId="77777777" w:rsidTr="008D3C7B">
        <w:trPr>
          <w:cantSplit/>
        </w:trPr>
        <w:tc>
          <w:tcPr>
            <w:tcW w:w="3402" w:type="dxa"/>
            <w:tcBorders>
              <w:top w:val="single" w:sz="4" w:space="0" w:color="A6A6A6" w:themeColor="background1" w:themeShade="A6"/>
              <w:bottom w:val="single" w:sz="4" w:space="0" w:color="A6A6A6" w:themeColor="background1" w:themeShade="A6"/>
            </w:tcBorders>
            <w:shd w:val="clear" w:color="auto" w:fill="auto"/>
            <w:noWrap/>
          </w:tcPr>
          <w:p w14:paraId="7EFFA4C9" w14:textId="77777777" w:rsidR="00E85766" w:rsidRPr="00601A89" w:rsidRDefault="00E85766" w:rsidP="008D3C7B">
            <w:pPr>
              <w:pStyle w:val="TableText"/>
              <w:rPr>
                <w:color w:val="000000"/>
                <w:lang w:eastAsia="en-NZ"/>
              </w:rPr>
            </w:pPr>
            <w:r w:rsidRPr="00601A89">
              <w:rPr>
                <w:color w:val="000000"/>
                <w:lang w:eastAsia="en-NZ"/>
              </w:rPr>
              <w:t>Waikato DHB</w:t>
            </w:r>
          </w:p>
        </w:tc>
        <w:tc>
          <w:tcPr>
            <w:tcW w:w="1701" w:type="dxa"/>
            <w:tcBorders>
              <w:top w:val="single" w:sz="4" w:space="0" w:color="A6A6A6" w:themeColor="background1" w:themeShade="A6"/>
              <w:bottom w:val="single" w:sz="4" w:space="0" w:color="A6A6A6" w:themeColor="background1" w:themeShade="A6"/>
            </w:tcBorders>
            <w:shd w:val="clear" w:color="auto" w:fill="auto"/>
            <w:noWrap/>
          </w:tcPr>
          <w:p w14:paraId="3061A2AA" w14:textId="77777777" w:rsidR="00E85766" w:rsidRPr="00601A89" w:rsidRDefault="00E85766" w:rsidP="008D3C7B">
            <w:pPr>
              <w:pStyle w:val="TableText"/>
              <w:rPr>
                <w:color w:val="000000"/>
                <w:lang w:eastAsia="en-NZ"/>
              </w:rPr>
            </w:pPr>
            <w:r w:rsidRPr="00601A89">
              <w:rPr>
                <w:color w:val="000000"/>
                <w:lang w:eastAsia="en-NZ"/>
              </w:rPr>
              <w:t>Public</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2CAA201C" w14:textId="77777777" w:rsidR="00E85766" w:rsidRPr="00601A89" w:rsidRDefault="00E85766" w:rsidP="008D3C7B">
            <w:pPr>
              <w:pStyle w:val="TableText"/>
              <w:rPr>
                <w:color w:val="000000"/>
                <w:lang w:eastAsia="en-NZ"/>
              </w:rPr>
            </w:pPr>
            <w:r w:rsidRPr="00601A89">
              <w:rPr>
                <w:color w:val="000000"/>
                <w:lang w:eastAsia="en-NZ"/>
              </w:rPr>
              <w:t>Hamilton</w:t>
            </w:r>
          </w:p>
        </w:tc>
      </w:tr>
      <w:tr w:rsidR="00E85766" w:rsidRPr="00601A89" w14:paraId="1F7B7C7E" w14:textId="77777777" w:rsidTr="008D3C7B">
        <w:trPr>
          <w:cantSplit/>
        </w:trPr>
        <w:tc>
          <w:tcPr>
            <w:tcW w:w="3402" w:type="dxa"/>
            <w:tcBorders>
              <w:top w:val="single" w:sz="4" w:space="0" w:color="A6A6A6" w:themeColor="background1" w:themeShade="A6"/>
              <w:bottom w:val="single" w:sz="4" w:space="0" w:color="A6A6A6" w:themeColor="background1" w:themeShade="A6"/>
            </w:tcBorders>
            <w:shd w:val="clear" w:color="auto" w:fill="auto"/>
            <w:noWrap/>
          </w:tcPr>
          <w:p w14:paraId="03C0DAB0" w14:textId="77777777" w:rsidR="00E85766" w:rsidRPr="00601A89" w:rsidRDefault="00E85766" w:rsidP="008D3C7B">
            <w:pPr>
              <w:pStyle w:val="TableText"/>
              <w:rPr>
                <w:color w:val="000000"/>
                <w:lang w:eastAsia="en-NZ"/>
              </w:rPr>
            </w:pPr>
            <w:r w:rsidRPr="00601A89">
              <w:rPr>
                <w:color w:val="000000"/>
                <w:lang w:eastAsia="en-NZ"/>
              </w:rPr>
              <w:t>Kathleen Kilgour Centre</w:t>
            </w:r>
          </w:p>
        </w:tc>
        <w:tc>
          <w:tcPr>
            <w:tcW w:w="1701" w:type="dxa"/>
            <w:tcBorders>
              <w:top w:val="single" w:sz="4" w:space="0" w:color="A6A6A6" w:themeColor="background1" w:themeShade="A6"/>
              <w:bottom w:val="single" w:sz="4" w:space="0" w:color="A6A6A6" w:themeColor="background1" w:themeShade="A6"/>
            </w:tcBorders>
            <w:shd w:val="clear" w:color="auto" w:fill="auto"/>
            <w:noWrap/>
          </w:tcPr>
          <w:p w14:paraId="18924318" w14:textId="77777777" w:rsidR="00E85766" w:rsidRPr="00601A89" w:rsidRDefault="00E85766" w:rsidP="008D3C7B">
            <w:pPr>
              <w:pStyle w:val="TableText"/>
              <w:rPr>
                <w:color w:val="000000"/>
                <w:lang w:eastAsia="en-NZ"/>
              </w:rPr>
            </w:pPr>
            <w:r w:rsidRPr="00601A89">
              <w:rPr>
                <w:color w:val="000000"/>
                <w:lang w:eastAsia="en-NZ"/>
              </w:rPr>
              <w:t>Private*</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3E24A930" w14:textId="77777777" w:rsidR="00E85766" w:rsidRPr="00601A89" w:rsidRDefault="00E85766" w:rsidP="008D3C7B">
            <w:pPr>
              <w:pStyle w:val="TableText"/>
              <w:rPr>
                <w:color w:val="000000"/>
                <w:lang w:eastAsia="en-NZ"/>
              </w:rPr>
            </w:pPr>
            <w:r w:rsidRPr="00601A89">
              <w:rPr>
                <w:color w:val="000000"/>
                <w:lang w:eastAsia="en-NZ"/>
              </w:rPr>
              <w:t>Tauranga</w:t>
            </w:r>
          </w:p>
        </w:tc>
      </w:tr>
      <w:tr w:rsidR="00E85766" w:rsidRPr="00601A89" w14:paraId="0B10AAD0" w14:textId="77777777" w:rsidTr="008D3C7B">
        <w:trPr>
          <w:cantSplit/>
        </w:trPr>
        <w:tc>
          <w:tcPr>
            <w:tcW w:w="3402" w:type="dxa"/>
            <w:tcBorders>
              <w:top w:val="single" w:sz="4" w:space="0" w:color="A6A6A6" w:themeColor="background1" w:themeShade="A6"/>
              <w:bottom w:val="single" w:sz="4" w:space="0" w:color="A6A6A6" w:themeColor="background1" w:themeShade="A6"/>
            </w:tcBorders>
            <w:shd w:val="clear" w:color="auto" w:fill="auto"/>
            <w:noWrap/>
          </w:tcPr>
          <w:p w14:paraId="5F63B062" w14:textId="77777777" w:rsidR="00E85766" w:rsidRPr="00601A89" w:rsidRDefault="00E85766" w:rsidP="008D3C7B">
            <w:pPr>
              <w:pStyle w:val="TableText"/>
              <w:rPr>
                <w:color w:val="000000"/>
                <w:lang w:eastAsia="en-NZ"/>
              </w:rPr>
            </w:pPr>
            <w:r w:rsidRPr="00601A89">
              <w:rPr>
                <w:color w:val="000000"/>
                <w:lang w:eastAsia="en-NZ"/>
              </w:rPr>
              <w:t>MidCentral DHB</w:t>
            </w:r>
          </w:p>
        </w:tc>
        <w:tc>
          <w:tcPr>
            <w:tcW w:w="1701" w:type="dxa"/>
            <w:tcBorders>
              <w:top w:val="single" w:sz="4" w:space="0" w:color="A6A6A6" w:themeColor="background1" w:themeShade="A6"/>
              <w:bottom w:val="single" w:sz="4" w:space="0" w:color="A6A6A6" w:themeColor="background1" w:themeShade="A6"/>
            </w:tcBorders>
            <w:shd w:val="clear" w:color="auto" w:fill="auto"/>
            <w:noWrap/>
          </w:tcPr>
          <w:p w14:paraId="0E728BCD" w14:textId="77777777" w:rsidR="00E85766" w:rsidRPr="00601A89" w:rsidRDefault="00E85766" w:rsidP="008D3C7B">
            <w:pPr>
              <w:pStyle w:val="TableText"/>
              <w:rPr>
                <w:color w:val="000000"/>
                <w:lang w:eastAsia="en-NZ"/>
              </w:rPr>
            </w:pPr>
            <w:r w:rsidRPr="00601A89">
              <w:rPr>
                <w:color w:val="000000"/>
                <w:lang w:eastAsia="en-NZ"/>
              </w:rPr>
              <w:t>Public</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5B69F609" w14:textId="77777777" w:rsidR="00E85766" w:rsidRPr="00601A89" w:rsidRDefault="00E85766" w:rsidP="008D3C7B">
            <w:pPr>
              <w:pStyle w:val="TableText"/>
              <w:rPr>
                <w:color w:val="000000"/>
                <w:lang w:eastAsia="en-NZ"/>
              </w:rPr>
            </w:pPr>
            <w:r w:rsidRPr="00601A89">
              <w:rPr>
                <w:color w:val="000000"/>
                <w:lang w:eastAsia="en-NZ"/>
              </w:rPr>
              <w:t>Palmerston North</w:t>
            </w:r>
          </w:p>
        </w:tc>
      </w:tr>
      <w:tr w:rsidR="00E85766" w:rsidRPr="00601A89" w14:paraId="063D9A20" w14:textId="77777777" w:rsidTr="008D3C7B">
        <w:trPr>
          <w:cantSplit/>
        </w:trPr>
        <w:tc>
          <w:tcPr>
            <w:tcW w:w="3402" w:type="dxa"/>
            <w:tcBorders>
              <w:top w:val="single" w:sz="4" w:space="0" w:color="A6A6A6" w:themeColor="background1" w:themeShade="A6"/>
              <w:bottom w:val="single" w:sz="4" w:space="0" w:color="A6A6A6" w:themeColor="background1" w:themeShade="A6"/>
            </w:tcBorders>
            <w:shd w:val="clear" w:color="auto" w:fill="auto"/>
            <w:noWrap/>
          </w:tcPr>
          <w:p w14:paraId="1975A47D" w14:textId="77777777" w:rsidR="00E85766" w:rsidRPr="00601A89" w:rsidRDefault="00E85766" w:rsidP="008D3C7B">
            <w:pPr>
              <w:pStyle w:val="TableText"/>
              <w:rPr>
                <w:color w:val="000000"/>
                <w:lang w:eastAsia="en-NZ"/>
              </w:rPr>
            </w:pPr>
            <w:r w:rsidRPr="00601A89">
              <w:rPr>
                <w:color w:val="000000"/>
                <w:lang w:eastAsia="en-NZ"/>
              </w:rPr>
              <w:t>Capital and Coast DHB</w:t>
            </w:r>
          </w:p>
        </w:tc>
        <w:tc>
          <w:tcPr>
            <w:tcW w:w="1701" w:type="dxa"/>
            <w:tcBorders>
              <w:top w:val="single" w:sz="4" w:space="0" w:color="A6A6A6" w:themeColor="background1" w:themeShade="A6"/>
              <w:bottom w:val="single" w:sz="4" w:space="0" w:color="A6A6A6" w:themeColor="background1" w:themeShade="A6"/>
            </w:tcBorders>
            <w:shd w:val="clear" w:color="auto" w:fill="auto"/>
            <w:noWrap/>
          </w:tcPr>
          <w:p w14:paraId="5134085B" w14:textId="77777777" w:rsidR="00E85766" w:rsidRPr="00601A89" w:rsidRDefault="00E85766" w:rsidP="008D3C7B">
            <w:pPr>
              <w:pStyle w:val="TableText"/>
              <w:rPr>
                <w:color w:val="000000"/>
                <w:lang w:eastAsia="en-NZ"/>
              </w:rPr>
            </w:pPr>
            <w:r w:rsidRPr="00601A89">
              <w:rPr>
                <w:color w:val="000000"/>
                <w:lang w:eastAsia="en-NZ"/>
              </w:rPr>
              <w:t>Public</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543166B2" w14:textId="77777777" w:rsidR="00E85766" w:rsidRPr="00601A89" w:rsidRDefault="00E85766" w:rsidP="008D3C7B">
            <w:pPr>
              <w:pStyle w:val="TableText"/>
              <w:rPr>
                <w:color w:val="000000"/>
                <w:lang w:eastAsia="en-NZ"/>
              </w:rPr>
            </w:pPr>
            <w:r w:rsidRPr="00601A89">
              <w:rPr>
                <w:color w:val="000000"/>
                <w:lang w:eastAsia="en-NZ"/>
              </w:rPr>
              <w:t>Wellington</w:t>
            </w:r>
          </w:p>
        </w:tc>
      </w:tr>
      <w:tr w:rsidR="00E85766" w:rsidRPr="00601A89" w14:paraId="59198BB0" w14:textId="77777777" w:rsidTr="008D3C7B">
        <w:trPr>
          <w:cantSplit/>
        </w:trPr>
        <w:tc>
          <w:tcPr>
            <w:tcW w:w="3402" w:type="dxa"/>
            <w:tcBorders>
              <w:top w:val="single" w:sz="4" w:space="0" w:color="A6A6A6" w:themeColor="background1" w:themeShade="A6"/>
              <w:bottom w:val="single" w:sz="4" w:space="0" w:color="A6A6A6" w:themeColor="background1" w:themeShade="A6"/>
            </w:tcBorders>
            <w:shd w:val="clear" w:color="auto" w:fill="auto"/>
            <w:noWrap/>
          </w:tcPr>
          <w:p w14:paraId="044E80D7" w14:textId="77777777" w:rsidR="00E85766" w:rsidRPr="00601A89" w:rsidRDefault="00E85766" w:rsidP="008D3C7B">
            <w:pPr>
              <w:pStyle w:val="TableText"/>
              <w:rPr>
                <w:color w:val="000000"/>
                <w:lang w:eastAsia="en-NZ"/>
              </w:rPr>
            </w:pPr>
            <w:r w:rsidRPr="00601A89">
              <w:rPr>
                <w:color w:val="000000"/>
                <w:lang w:eastAsia="en-NZ"/>
              </w:rPr>
              <w:t>Canterbury DHB</w:t>
            </w:r>
          </w:p>
        </w:tc>
        <w:tc>
          <w:tcPr>
            <w:tcW w:w="1701" w:type="dxa"/>
            <w:tcBorders>
              <w:top w:val="single" w:sz="4" w:space="0" w:color="A6A6A6" w:themeColor="background1" w:themeShade="A6"/>
              <w:bottom w:val="single" w:sz="4" w:space="0" w:color="A6A6A6" w:themeColor="background1" w:themeShade="A6"/>
            </w:tcBorders>
            <w:shd w:val="clear" w:color="auto" w:fill="auto"/>
            <w:noWrap/>
          </w:tcPr>
          <w:p w14:paraId="52B168F5" w14:textId="77777777" w:rsidR="00E85766" w:rsidRPr="00601A89" w:rsidRDefault="00E85766" w:rsidP="008D3C7B">
            <w:pPr>
              <w:pStyle w:val="TableText"/>
              <w:rPr>
                <w:color w:val="000000"/>
                <w:lang w:eastAsia="en-NZ"/>
              </w:rPr>
            </w:pPr>
            <w:r w:rsidRPr="00601A89">
              <w:rPr>
                <w:color w:val="000000"/>
                <w:lang w:eastAsia="en-NZ"/>
              </w:rPr>
              <w:t>Public</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7B146953" w14:textId="77777777" w:rsidR="00E85766" w:rsidRPr="00601A89" w:rsidRDefault="00E85766" w:rsidP="008D3C7B">
            <w:pPr>
              <w:pStyle w:val="TableText"/>
              <w:rPr>
                <w:color w:val="000000"/>
                <w:lang w:eastAsia="en-NZ"/>
              </w:rPr>
            </w:pPr>
            <w:r w:rsidRPr="00601A89">
              <w:rPr>
                <w:color w:val="000000"/>
                <w:lang w:eastAsia="en-NZ"/>
              </w:rPr>
              <w:t>Christchurch</w:t>
            </w:r>
          </w:p>
        </w:tc>
      </w:tr>
      <w:tr w:rsidR="00E85766" w:rsidRPr="00601A89" w14:paraId="39BAF4CC" w14:textId="77777777" w:rsidTr="008D3C7B">
        <w:trPr>
          <w:cantSplit/>
        </w:trPr>
        <w:tc>
          <w:tcPr>
            <w:tcW w:w="3402" w:type="dxa"/>
            <w:tcBorders>
              <w:top w:val="single" w:sz="4" w:space="0" w:color="A6A6A6" w:themeColor="background1" w:themeShade="A6"/>
              <w:bottom w:val="single" w:sz="4" w:space="0" w:color="A6A6A6" w:themeColor="background1" w:themeShade="A6"/>
            </w:tcBorders>
            <w:shd w:val="clear" w:color="auto" w:fill="auto"/>
            <w:noWrap/>
          </w:tcPr>
          <w:p w14:paraId="4410C690" w14:textId="77777777" w:rsidR="00E85766" w:rsidRPr="00601A89" w:rsidRDefault="00E85766" w:rsidP="008D3C7B">
            <w:pPr>
              <w:pStyle w:val="TableText"/>
              <w:rPr>
                <w:color w:val="000000"/>
                <w:lang w:eastAsia="en-NZ"/>
              </w:rPr>
            </w:pPr>
            <w:r w:rsidRPr="00601A89">
              <w:rPr>
                <w:color w:val="000000"/>
                <w:lang w:eastAsia="en-NZ"/>
              </w:rPr>
              <w:t>St George</w:t>
            </w:r>
            <w:r w:rsidR="007A6454">
              <w:rPr>
                <w:color w:val="000000"/>
                <w:lang w:eastAsia="en-NZ"/>
              </w:rPr>
              <w:t>’</w:t>
            </w:r>
            <w:r w:rsidRPr="00601A89">
              <w:rPr>
                <w:color w:val="000000"/>
                <w:lang w:eastAsia="en-NZ"/>
              </w:rPr>
              <w:t>s Cancer Care Centre</w:t>
            </w:r>
          </w:p>
        </w:tc>
        <w:tc>
          <w:tcPr>
            <w:tcW w:w="1701" w:type="dxa"/>
            <w:tcBorders>
              <w:top w:val="single" w:sz="4" w:space="0" w:color="A6A6A6" w:themeColor="background1" w:themeShade="A6"/>
              <w:bottom w:val="single" w:sz="4" w:space="0" w:color="A6A6A6" w:themeColor="background1" w:themeShade="A6"/>
            </w:tcBorders>
            <w:shd w:val="clear" w:color="auto" w:fill="auto"/>
            <w:noWrap/>
          </w:tcPr>
          <w:p w14:paraId="529E642B" w14:textId="77777777" w:rsidR="00E85766" w:rsidRPr="00601A89" w:rsidRDefault="00E85766" w:rsidP="008D3C7B">
            <w:pPr>
              <w:pStyle w:val="TableText"/>
              <w:rPr>
                <w:color w:val="000000"/>
                <w:lang w:eastAsia="en-NZ"/>
              </w:rPr>
            </w:pPr>
            <w:r w:rsidRPr="00601A89">
              <w:rPr>
                <w:color w:val="000000"/>
                <w:lang w:eastAsia="en-NZ"/>
              </w:rPr>
              <w:t>Private</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2175A801" w14:textId="77777777" w:rsidR="00E85766" w:rsidRPr="00601A89" w:rsidRDefault="00E85766" w:rsidP="008D3C7B">
            <w:pPr>
              <w:pStyle w:val="TableText"/>
              <w:rPr>
                <w:color w:val="000000"/>
                <w:lang w:eastAsia="en-NZ"/>
              </w:rPr>
            </w:pPr>
            <w:r w:rsidRPr="00601A89">
              <w:rPr>
                <w:color w:val="000000"/>
                <w:lang w:eastAsia="en-NZ"/>
              </w:rPr>
              <w:t>Christchurch</w:t>
            </w:r>
          </w:p>
        </w:tc>
      </w:tr>
      <w:tr w:rsidR="00E85766" w:rsidRPr="00601A89" w14:paraId="4E190895" w14:textId="77777777" w:rsidTr="008D3C7B">
        <w:trPr>
          <w:cantSplit/>
        </w:trPr>
        <w:tc>
          <w:tcPr>
            <w:tcW w:w="3402" w:type="dxa"/>
            <w:tcBorders>
              <w:top w:val="single" w:sz="4" w:space="0" w:color="A6A6A6" w:themeColor="background1" w:themeShade="A6"/>
            </w:tcBorders>
            <w:shd w:val="clear" w:color="auto" w:fill="auto"/>
            <w:noWrap/>
          </w:tcPr>
          <w:p w14:paraId="544E060F" w14:textId="77777777" w:rsidR="00E85766" w:rsidRPr="00601A89" w:rsidRDefault="00E85766" w:rsidP="008D3C7B">
            <w:pPr>
              <w:pStyle w:val="TableText"/>
              <w:rPr>
                <w:color w:val="000000"/>
                <w:lang w:eastAsia="en-NZ"/>
              </w:rPr>
            </w:pPr>
            <w:r w:rsidRPr="00601A89">
              <w:rPr>
                <w:color w:val="000000"/>
                <w:lang w:eastAsia="en-NZ"/>
              </w:rPr>
              <w:t>Southern DHB</w:t>
            </w:r>
          </w:p>
        </w:tc>
        <w:tc>
          <w:tcPr>
            <w:tcW w:w="1701" w:type="dxa"/>
            <w:tcBorders>
              <w:top w:val="single" w:sz="4" w:space="0" w:color="A6A6A6" w:themeColor="background1" w:themeShade="A6"/>
            </w:tcBorders>
            <w:shd w:val="clear" w:color="auto" w:fill="auto"/>
            <w:noWrap/>
          </w:tcPr>
          <w:p w14:paraId="504B4005" w14:textId="77777777" w:rsidR="00E85766" w:rsidRPr="00601A89" w:rsidRDefault="00E85766" w:rsidP="008D3C7B">
            <w:pPr>
              <w:pStyle w:val="TableText"/>
              <w:rPr>
                <w:color w:val="000000"/>
                <w:lang w:eastAsia="en-NZ"/>
              </w:rPr>
            </w:pPr>
            <w:r w:rsidRPr="00601A89">
              <w:rPr>
                <w:color w:val="000000"/>
                <w:lang w:eastAsia="en-NZ"/>
              </w:rPr>
              <w:t>Public</w:t>
            </w:r>
          </w:p>
        </w:tc>
        <w:tc>
          <w:tcPr>
            <w:tcW w:w="1843" w:type="dxa"/>
            <w:tcBorders>
              <w:top w:val="single" w:sz="4" w:space="0" w:color="A6A6A6" w:themeColor="background1" w:themeShade="A6"/>
            </w:tcBorders>
            <w:shd w:val="clear" w:color="auto" w:fill="auto"/>
          </w:tcPr>
          <w:p w14:paraId="71E3E019" w14:textId="77777777" w:rsidR="00E85766" w:rsidRPr="00601A89" w:rsidRDefault="00E85766" w:rsidP="008D3C7B">
            <w:pPr>
              <w:pStyle w:val="TableText"/>
              <w:rPr>
                <w:color w:val="000000"/>
                <w:lang w:eastAsia="en-NZ"/>
              </w:rPr>
            </w:pPr>
            <w:r w:rsidRPr="00601A89">
              <w:rPr>
                <w:color w:val="000000"/>
                <w:lang w:eastAsia="en-NZ"/>
              </w:rPr>
              <w:t>Dunedin</w:t>
            </w:r>
          </w:p>
        </w:tc>
      </w:tr>
    </w:tbl>
    <w:p w14:paraId="316B0C61" w14:textId="77777777" w:rsidR="00E85766" w:rsidRPr="00601A89" w:rsidRDefault="00E85766" w:rsidP="008D3C7B">
      <w:pPr>
        <w:pStyle w:val="Note"/>
      </w:pPr>
      <w:r>
        <w:t xml:space="preserve">Note: </w:t>
      </w:r>
      <w:r w:rsidRPr="00601A89">
        <w:t>* The Kathleen Kilgour Centre also routinely provides public radiation therapy funded by Bay of Plenty DHB.</w:t>
      </w:r>
    </w:p>
    <w:p w14:paraId="72C6AD51" w14:textId="77777777" w:rsidR="00E85766" w:rsidRPr="00601A89" w:rsidRDefault="00E85766" w:rsidP="008D3C7B"/>
    <w:p w14:paraId="4AF3F296" w14:textId="77777777" w:rsidR="00E85766" w:rsidRPr="00601A89" w:rsidRDefault="00E85766" w:rsidP="008D3C7B">
      <w:pPr>
        <w:keepLines/>
      </w:pPr>
      <w:r w:rsidRPr="00601A89">
        <w:lastRenderedPageBreak/>
        <w:t>Because radiation oncology services are highly specialised and costly, they need to serve a large population catchment. For this reason, providers usually offer support for travel and accommodation to patients and their families and wh</w:t>
      </w:r>
      <w:r w:rsidRPr="00601A89">
        <w:rPr>
          <w:rFonts w:ascii="Times New Roman" w:hAnsi="Times New Roman"/>
        </w:rPr>
        <w:t>ā</w:t>
      </w:r>
      <w:r w:rsidRPr="00601A89">
        <w:t>nau. The radiation oncology service also usually provides outreach (visiting) clinics to improve access for patients living in rural and smaller urban areas. The service has close links with local specialists and primary health care services.</w:t>
      </w:r>
    </w:p>
    <w:p w14:paraId="0BAE4F91" w14:textId="77777777" w:rsidR="00E85766" w:rsidRPr="00601A89" w:rsidRDefault="00E85766" w:rsidP="008D3C7B"/>
    <w:p w14:paraId="392F36CE" w14:textId="77777777" w:rsidR="007A6454" w:rsidRDefault="00E85766" w:rsidP="008D3C7B">
      <w:pPr>
        <w:pStyle w:val="Heading2"/>
      </w:pPr>
      <w:bookmarkStart w:id="17" w:name="_Toc470858836"/>
      <w:bookmarkStart w:id="18" w:name="_Toc475992499"/>
      <w:r w:rsidRPr="00601A89">
        <w:t>Overview of international trends in radiation oncology</w:t>
      </w:r>
      <w:bookmarkEnd w:id="17"/>
      <w:bookmarkEnd w:id="18"/>
    </w:p>
    <w:p w14:paraId="63566176" w14:textId="77777777" w:rsidR="00E85766" w:rsidRPr="00601A89" w:rsidRDefault="00E85766" w:rsidP="008D3C7B">
      <w:pPr>
        <w:pStyle w:val="Heading3"/>
      </w:pPr>
      <w:bookmarkStart w:id="19" w:name="_Toc470858837"/>
      <w:r w:rsidRPr="00601A89">
        <w:t>Evolution of radiation therapy technologies</w:t>
      </w:r>
      <w:bookmarkEnd w:id="19"/>
    </w:p>
    <w:p w14:paraId="03E5E9E7" w14:textId="77777777" w:rsidR="00E85766" w:rsidRPr="00601A89" w:rsidRDefault="00E85766" w:rsidP="008D3C7B">
      <w:r w:rsidRPr="00601A89">
        <w:t>Radiation therapy techniques and delivery technologies continue to develop globally. Intensity modulated radiotherapy (IMRT) and image guided radiotherapy (IGRT) are two advanced radiation therapy options that are becoming routine in clinical practice in developed countries, including New Zealand. Internationally the use of stereotactic ablative body radiotherapy (SABR) is increasing along with proton beam therapy (PBT) (Cancer Research UK 2014). However, while SABR is available in New Zealand, PBT is not.</w:t>
      </w:r>
    </w:p>
    <w:p w14:paraId="264AE3F7" w14:textId="77777777" w:rsidR="00E85766" w:rsidRPr="00601A89" w:rsidRDefault="00E85766" w:rsidP="008D3C7B"/>
    <w:p w14:paraId="2218322E" w14:textId="77777777" w:rsidR="00E85766" w:rsidRPr="00601A89" w:rsidRDefault="00E85766" w:rsidP="008D3C7B">
      <w:r w:rsidRPr="00601A89">
        <w:t>In addit</w:t>
      </w:r>
      <w:r w:rsidRPr="008D3C7B">
        <w:t>i</w:t>
      </w:r>
      <w:r w:rsidRPr="00601A89">
        <w:t>on to having increasingly sophisticated delivery technologies, radiation therapy is moving towards delivering more personalised care. Key innovations</w:t>
      </w:r>
      <w:r>
        <w:t xml:space="preserve"> in this area</w:t>
      </w:r>
      <w:r w:rsidRPr="00601A89">
        <w:t xml:space="preserve"> include:</w:t>
      </w:r>
    </w:p>
    <w:p w14:paraId="1549D213" w14:textId="77777777" w:rsidR="00E85766" w:rsidRPr="00601A89" w:rsidRDefault="00E85766" w:rsidP="008D3C7B">
      <w:pPr>
        <w:pStyle w:val="Bullet"/>
      </w:pPr>
      <w:r w:rsidRPr="00601A89">
        <w:t>adaptive treatments that respond to changes in tumour and patient characteristics throughout the course of treatment. While these are proven to improve patient outcomes, such as reducing side effects and normal tissue damage, they can involve significant investment of staff time</w:t>
      </w:r>
    </w:p>
    <w:p w14:paraId="4C0CE1B1" w14:textId="7ED0B947" w:rsidR="00E85766" w:rsidRPr="00601A89" w:rsidRDefault="00E85766" w:rsidP="008D3C7B">
      <w:pPr>
        <w:pStyle w:val="Bullet"/>
      </w:pPr>
      <w:r w:rsidRPr="00601A89">
        <w:t>molecular and biological imaging techniques to support more targeted treatments</w:t>
      </w:r>
      <w:r w:rsidR="00B11E88">
        <w:t>.</w:t>
      </w:r>
    </w:p>
    <w:p w14:paraId="253B2562" w14:textId="77777777" w:rsidR="00E85766" w:rsidRPr="00601A89" w:rsidRDefault="00E85766" w:rsidP="008D3C7B"/>
    <w:p w14:paraId="6915F186" w14:textId="77777777" w:rsidR="00E85766" w:rsidRDefault="00E85766" w:rsidP="008D3C7B">
      <w:r w:rsidRPr="00601A89">
        <w:t xml:space="preserve">The role of radiation therapy software is growing as its sophistication increases and allows aspects of the treatment planning process to be automated. Such developments should help minimise unwarranted variation in therapy, </w:t>
      </w:r>
      <w:r>
        <w:t>make</w:t>
      </w:r>
      <w:r w:rsidRPr="00601A89">
        <w:t xml:space="preserve"> treatment delivery</w:t>
      </w:r>
      <w:r>
        <w:t xml:space="preserve"> more efficient</w:t>
      </w:r>
      <w:r w:rsidRPr="00601A89">
        <w:t xml:space="preserve">, </w:t>
      </w:r>
      <w:r>
        <w:t xml:space="preserve">improve </w:t>
      </w:r>
      <w:r w:rsidRPr="00601A89">
        <w:t>clinical practice through sharing and peer review of plans, and enable staff to link plans with outcomes.</w:t>
      </w:r>
    </w:p>
    <w:p w14:paraId="09DF821E" w14:textId="77777777" w:rsidR="008D3C7B" w:rsidRPr="00601A89" w:rsidRDefault="008D3C7B" w:rsidP="008D3C7B"/>
    <w:p w14:paraId="5E8F639B" w14:textId="77777777" w:rsidR="00E85766" w:rsidRPr="00601A89" w:rsidRDefault="00E85766" w:rsidP="008D3C7B">
      <w:pPr>
        <w:pStyle w:val="Heading3"/>
      </w:pPr>
      <w:bookmarkStart w:id="20" w:name="_Toc470858838"/>
      <w:r w:rsidRPr="00601A89">
        <w:t>The use of target intervention rates</w:t>
      </w:r>
      <w:bookmarkEnd w:id="20"/>
    </w:p>
    <w:p w14:paraId="3DED1FAE" w14:textId="77777777" w:rsidR="007A6454" w:rsidRDefault="00E85766" w:rsidP="008D3C7B">
      <w:r w:rsidRPr="00601A89">
        <w:t xml:space="preserve">Several countries (including the United Kingdom, Australia, Canada, the Netherlands and Sweden) have set </w:t>
      </w:r>
      <w:r w:rsidR="007A6454">
        <w:t>‘</w:t>
      </w:r>
      <w:r w:rsidRPr="00601A89">
        <w:t>optimal</w:t>
      </w:r>
      <w:r w:rsidR="007A6454">
        <w:t>’</w:t>
      </w:r>
      <w:r w:rsidRPr="00601A89">
        <w:t xml:space="preserve"> intervention rates (IRs) as a national standard for access to radiation therapy. England has progressed further to develop optimal access rates for specific radiation therapy techniques – for example, 24</w:t>
      </w:r>
      <w:r w:rsidR="008D3C7B">
        <w:t> percent</w:t>
      </w:r>
      <w:r w:rsidRPr="00601A89">
        <w:t xml:space="preserve"> of radical fractions should be delivered by inverse planned IMRT. The aim of such targets is to</w:t>
      </w:r>
      <w:r>
        <w:t xml:space="preserve"> encourage</w:t>
      </w:r>
      <w:r w:rsidRPr="00601A89">
        <w:t xml:space="preserve"> National Health Service Trusts (ie, public hospitals) to invest in contemporary technologies.</w:t>
      </w:r>
    </w:p>
    <w:p w14:paraId="4CE51F0A" w14:textId="77777777" w:rsidR="00E85766" w:rsidRPr="00601A89" w:rsidRDefault="00E85766" w:rsidP="008D3C7B"/>
    <w:p w14:paraId="0CE4B1C1" w14:textId="77777777" w:rsidR="007A6454" w:rsidRDefault="00E85766" w:rsidP="008D3C7B">
      <w:r w:rsidRPr="00601A89">
        <w:t>Countries vary in what they consider to be the optimal access rate for radiation therapy, and these standards also change over time. Recent reviews of international evidence in several countries have recommended reducing IR targets for each type and stage of cancer. In England, for example, the recommendation was to reduce the IR target</w:t>
      </w:r>
      <w:r>
        <w:t xml:space="preserve"> for cancer </w:t>
      </w:r>
      <w:r w:rsidRPr="00601A89">
        <w:t>from 52</w:t>
      </w:r>
      <w:r w:rsidR="008D3C7B">
        <w:t> percent</w:t>
      </w:r>
      <w:r w:rsidRPr="00601A89">
        <w:t xml:space="preserve"> to 40.6</w:t>
      </w:r>
      <w:r w:rsidR="008D3C7B">
        <w:t> percent</w:t>
      </w:r>
      <w:r w:rsidRPr="00601A89">
        <w:t xml:space="preserve"> (Round et al 2013), and in Australia from 52</w:t>
      </w:r>
      <w:r w:rsidR="008D3C7B">
        <w:t> percent</w:t>
      </w:r>
      <w:r w:rsidRPr="00601A89">
        <w:t xml:space="preserve"> to 48</w:t>
      </w:r>
      <w:r w:rsidR="008D3C7B">
        <w:t> percent</w:t>
      </w:r>
      <w:r w:rsidRPr="00601A89">
        <w:t xml:space="preserve"> (Barton et</w:t>
      </w:r>
      <w:r w:rsidR="008D3C7B">
        <w:t> </w:t>
      </w:r>
      <w:r w:rsidRPr="00601A89">
        <w:t>al 2013).</w:t>
      </w:r>
    </w:p>
    <w:p w14:paraId="3C83FAE7" w14:textId="77777777" w:rsidR="00E85766" w:rsidRPr="00601A89" w:rsidRDefault="00E85766" w:rsidP="008D3C7B"/>
    <w:p w14:paraId="2E3D35D4" w14:textId="77777777" w:rsidR="007A6454" w:rsidRDefault="00E85766" w:rsidP="008D3C7B">
      <w:pPr>
        <w:keepLines/>
      </w:pPr>
      <w:r w:rsidRPr="00601A89">
        <w:lastRenderedPageBreak/>
        <w:t>To date, New Zealand has not specified a national IR goal. Instead it has focused on providing timely access for patients referred for radiation therapy, and reducing barriers to accessible and high-quality treatment to improve patient outcomes. The initial steps towards these goals have been to improve the app</w:t>
      </w:r>
      <w:r>
        <w:t>ro</w:t>
      </w:r>
      <w:r w:rsidRPr="00601A89">
        <w:t xml:space="preserve">ach to collecting and using clinical data. With the development of the Service Planning Tool (section 3.1), </w:t>
      </w:r>
      <w:r>
        <w:t>it is</w:t>
      </w:r>
      <w:r w:rsidRPr="00601A89">
        <w:t xml:space="preserve"> now </w:t>
      </w:r>
      <w:r>
        <w:t xml:space="preserve">possible </w:t>
      </w:r>
      <w:r w:rsidRPr="00601A89">
        <w:t>to understand variation by tumour stream, including in IRs. The intention is to use the Tool to guide the delivery of high-quality care, which in future may include setting optimal IRs for specific tumour streams if this is considered likely to</w:t>
      </w:r>
      <w:r>
        <w:t xml:space="preserve"> improve</w:t>
      </w:r>
      <w:r w:rsidRPr="00601A89">
        <w:t xml:space="preserve"> quality of and access to care.</w:t>
      </w:r>
    </w:p>
    <w:p w14:paraId="7D46CB8C" w14:textId="77777777" w:rsidR="00E85766" w:rsidRPr="00601A89" w:rsidRDefault="00E85766" w:rsidP="008D3C7B"/>
    <w:p w14:paraId="1FFBA948" w14:textId="77777777" w:rsidR="00E85766" w:rsidRPr="00601A89" w:rsidRDefault="00E85766" w:rsidP="008D3C7B">
      <w:pPr>
        <w:pStyle w:val="Heading3"/>
      </w:pPr>
      <w:bookmarkStart w:id="21" w:name="_Toc470858839"/>
      <w:r w:rsidRPr="00601A89">
        <w:t>Developing a world-class radiation oncology service</w:t>
      </w:r>
      <w:bookmarkEnd w:id="21"/>
    </w:p>
    <w:p w14:paraId="1499E688" w14:textId="77777777" w:rsidR="00E85766" w:rsidRPr="00601A89" w:rsidRDefault="00E85766" w:rsidP="008D3C7B">
      <w:r w:rsidRPr="00601A89">
        <w:t>A report for Cancer Research UK describes seven prerequisites for a world-class radiation oncology service (The Tavistock Institute 2014). These components are based on a combination of broad consensus from the literature, examples of global best practice and the views of leading practitioners in the field. The seven prerequisites are for the radiation oncology service to:</w:t>
      </w:r>
    </w:p>
    <w:p w14:paraId="6F2DABCC" w14:textId="77777777" w:rsidR="00E85766" w:rsidRPr="00601A89" w:rsidRDefault="008D3C7B" w:rsidP="008D3C7B">
      <w:pPr>
        <w:spacing w:before="90"/>
        <w:ind w:left="567" w:hanging="567"/>
      </w:pPr>
      <w:r>
        <w:t>1.</w:t>
      </w:r>
      <w:r>
        <w:tab/>
      </w:r>
      <w:r w:rsidR="00E85766" w:rsidRPr="00601A89">
        <w:t>have</w:t>
      </w:r>
      <w:r w:rsidR="00E85766">
        <w:t xml:space="preserve"> </w:t>
      </w:r>
      <w:r w:rsidR="00E85766" w:rsidRPr="00601A89">
        <w:t>sufficient capacity and activity volume to create economies of scale</w:t>
      </w:r>
    </w:p>
    <w:p w14:paraId="46249A62" w14:textId="77777777" w:rsidR="00E85766" w:rsidRPr="00601A89" w:rsidRDefault="008D3C7B" w:rsidP="008D3C7B">
      <w:pPr>
        <w:spacing w:before="90"/>
        <w:ind w:left="567" w:hanging="567"/>
      </w:pPr>
      <w:r>
        <w:t>2.</w:t>
      </w:r>
      <w:r>
        <w:tab/>
      </w:r>
      <w:r w:rsidR="00E85766" w:rsidRPr="00601A89">
        <w:t>fully use up-to-date technology and equipment</w:t>
      </w:r>
    </w:p>
    <w:p w14:paraId="05438363" w14:textId="77777777" w:rsidR="00E85766" w:rsidRPr="00601A89" w:rsidRDefault="008D3C7B" w:rsidP="008D3C7B">
      <w:pPr>
        <w:spacing w:before="90"/>
        <w:ind w:left="567" w:hanging="567"/>
      </w:pPr>
      <w:r>
        <w:t>3.</w:t>
      </w:r>
      <w:r>
        <w:tab/>
      </w:r>
      <w:r w:rsidR="00E85766" w:rsidRPr="00601A89">
        <w:t>have</w:t>
      </w:r>
      <w:r w:rsidR="00E85766">
        <w:t xml:space="preserve"> </w:t>
      </w:r>
      <w:r w:rsidR="00E85766" w:rsidRPr="00601A89">
        <w:t>sufficient</w:t>
      </w:r>
      <w:r w:rsidR="00E85766">
        <w:t xml:space="preserve"> numbers of</w:t>
      </w:r>
      <w:r w:rsidR="00E85766" w:rsidRPr="00601A89">
        <w:t xml:space="preserve"> trained staff to meet demand and develop the service</w:t>
      </w:r>
    </w:p>
    <w:p w14:paraId="0A142205" w14:textId="77777777" w:rsidR="00E85766" w:rsidRPr="00601A89" w:rsidRDefault="008D3C7B" w:rsidP="008D3C7B">
      <w:pPr>
        <w:spacing w:before="90"/>
        <w:ind w:left="567" w:hanging="567"/>
      </w:pPr>
      <w:r>
        <w:t>4.</w:t>
      </w:r>
      <w:r>
        <w:tab/>
      </w:r>
      <w:r w:rsidR="00E85766" w:rsidRPr="00601A89">
        <w:t>invest adequately in capital, with an appropriate business model and commissioning structure to use it effectively</w:t>
      </w:r>
    </w:p>
    <w:p w14:paraId="4169BE02" w14:textId="77777777" w:rsidR="00E85766" w:rsidRPr="00601A89" w:rsidRDefault="008D3C7B" w:rsidP="008D3C7B">
      <w:pPr>
        <w:spacing w:before="90"/>
        <w:ind w:left="567" w:hanging="567"/>
      </w:pPr>
      <w:r>
        <w:t>5.</w:t>
      </w:r>
      <w:r>
        <w:tab/>
      </w:r>
      <w:r w:rsidR="00E85766" w:rsidRPr="00601A89">
        <w:t>conduct high-quality research and transfer research knowledge into practice</w:t>
      </w:r>
    </w:p>
    <w:p w14:paraId="10AB224E" w14:textId="77777777" w:rsidR="00E85766" w:rsidRPr="00601A89" w:rsidRDefault="008D3C7B" w:rsidP="008D3C7B">
      <w:pPr>
        <w:spacing w:before="90"/>
        <w:ind w:left="567" w:hanging="567"/>
      </w:pPr>
      <w:r>
        <w:t>6.</w:t>
      </w:r>
      <w:r>
        <w:tab/>
      </w:r>
      <w:r w:rsidR="00E85766">
        <w:t>create</w:t>
      </w:r>
      <w:r w:rsidR="00E85766" w:rsidRPr="00601A89">
        <w:t xml:space="preserve"> an evaluation culture </w:t>
      </w:r>
      <w:r w:rsidR="00E85766">
        <w:t>by providing</w:t>
      </w:r>
      <w:r w:rsidR="00E85766" w:rsidRPr="00601A89">
        <w:t xml:space="preserve"> robust measurement tools to support evidence-based, high-quality practice</w:t>
      </w:r>
    </w:p>
    <w:p w14:paraId="104FBA12" w14:textId="77777777" w:rsidR="00E85766" w:rsidRPr="00601A89" w:rsidRDefault="008D3C7B" w:rsidP="008D3C7B">
      <w:pPr>
        <w:spacing w:before="90"/>
        <w:ind w:left="567" w:hanging="567"/>
      </w:pPr>
      <w:r>
        <w:t>7.</w:t>
      </w:r>
      <w:r>
        <w:tab/>
      </w:r>
      <w:r w:rsidR="00E85766" w:rsidRPr="00601A89">
        <w:t>have a work environment and an organisational culture, supported by effective leadership and management, that promote coordinated planning, multidisciplinary working, and good radiotherapy practices, standards and research.</w:t>
      </w:r>
    </w:p>
    <w:p w14:paraId="5DA1ECB3" w14:textId="77777777" w:rsidR="00E85766" w:rsidRPr="00601A89" w:rsidRDefault="00E85766" w:rsidP="008D3C7B"/>
    <w:p w14:paraId="280276A8" w14:textId="77777777" w:rsidR="00E85766" w:rsidRPr="00601A89" w:rsidRDefault="00E85766" w:rsidP="008D3C7B">
      <w:r w:rsidRPr="00601A89">
        <w:t>In the New Zealand context, these seven prerequisites have helped to form the framework within which this Plan has been developed.</w:t>
      </w:r>
    </w:p>
    <w:p w14:paraId="018EC687" w14:textId="77777777" w:rsidR="00E85766" w:rsidRPr="00601A89" w:rsidRDefault="00E85766" w:rsidP="008D3C7B"/>
    <w:p w14:paraId="5D62E50F" w14:textId="77777777" w:rsidR="007A6454" w:rsidRDefault="00E85766" w:rsidP="008D3C7B">
      <w:pPr>
        <w:pStyle w:val="Heading1"/>
      </w:pPr>
      <w:bookmarkStart w:id="22" w:name="_Toc470858840"/>
      <w:bookmarkStart w:id="23" w:name="_Toc475992500"/>
      <w:r w:rsidRPr="00601A89">
        <w:lastRenderedPageBreak/>
        <w:t>Introducing the Service Planning Tool</w:t>
      </w:r>
      <w:bookmarkEnd w:id="22"/>
      <w:bookmarkEnd w:id="23"/>
    </w:p>
    <w:p w14:paraId="35FA5D3F" w14:textId="77777777" w:rsidR="00E85766" w:rsidRPr="00601A89" w:rsidRDefault="00E85766" w:rsidP="008D3C7B">
      <w:pPr>
        <w:pStyle w:val="Heading2"/>
      </w:pPr>
      <w:bookmarkStart w:id="24" w:name="_Toc470858841"/>
      <w:bookmarkStart w:id="25" w:name="_Toc475992501"/>
      <w:r w:rsidRPr="00601A89">
        <w:t>Robust measurement to support quality improvement</w:t>
      </w:r>
      <w:bookmarkEnd w:id="24"/>
      <w:bookmarkEnd w:id="25"/>
    </w:p>
    <w:p w14:paraId="60D8154C" w14:textId="77777777" w:rsidR="007A6454" w:rsidRDefault="00E85766" w:rsidP="008D3C7B">
      <w:r w:rsidRPr="00601A89">
        <w:t>In line with Government priorities for cancer treatment, the Ministry and the radiation oncology sector are focusing on the collection and use of data to inform quality improvement, and service and capacity planning.</w:t>
      </w:r>
    </w:p>
    <w:p w14:paraId="5CB5F586" w14:textId="77777777" w:rsidR="00E85766" w:rsidRPr="00601A89" w:rsidRDefault="00E85766" w:rsidP="008D3C7B"/>
    <w:p w14:paraId="4B990B9E" w14:textId="77777777" w:rsidR="007A6454" w:rsidRDefault="00E85766" w:rsidP="008D3C7B">
      <w:r w:rsidRPr="00601A89">
        <w:t xml:space="preserve">The first national plan suggested the radiation oncology services of DHBs of </w:t>
      </w:r>
      <w:r>
        <w:t>domicile</w:t>
      </w:r>
      <w:r w:rsidRPr="008D3C7B">
        <w:rPr>
          <w:rStyle w:val="FootnoteReference"/>
        </w:rPr>
        <w:footnoteReference w:id="2"/>
      </w:r>
      <w:r w:rsidR="007A6454">
        <w:t xml:space="preserve"> </w:t>
      </w:r>
      <w:r w:rsidRPr="00601A89">
        <w:t>and radiation oncology providers vary significantly, including in IRs, subsequent treatment rates (STR) and complexity. However, it could not confirm such variations as the existing national data set was not robust enough in terms of the measures it used and the accuracy of the data.</w:t>
      </w:r>
    </w:p>
    <w:p w14:paraId="495F827E" w14:textId="77777777" w:rsidR="00E85766" w:rsidRPr="00601A89" w:rsidRDefault="00E85766" w:rsidP="008D3C7B"/>
    <w:p w14:paraId="701DEA4C" w14:textId="77777777" w:rsidR="007A6454" w:rsidRDefault="00E85766" w:rsidP="008D3C7B">
      <w:r w:rsidRPr="00601A89">
        <w:t xml:space="preserve">Recognising the fundamental importance of accurate information for capacity and service planning, quality improvement, evaluation and research, this second national plan </w:t>
      </w:r>
      <w:r>
        <w:t xml:space="preserve">has </w:t>
      </w:r>
      <w:r w:rsidRPr="00601A89">
        <w:t>review</w:t>
      </w:r>
      <w:r>
        <w:t>ed</w:t>
      </w:r>
      <w:r w:rsidRPr="00601A89">
        <w:t xml:space="preserve"> how providers capture and use radiation oncology data</w:t>
      </w:r>
      <w:r>
        <w:t>,</w:t>
      </w:r>
      <w:r w:rsidRPr="00627A05">
        <w:t xml:space="preserve"> </w:t>
      </w:r>
      <w:r>
        <w:t>covering the entire process from submitting data to monitoring and escalating actions</w:t>
      </w:r>
      <w:r w:rsidRPr="00601A89">
        <w:t>. The aim is to ensure that all radiation oncology providers</w:t>
      </w:r>
      <w:r w:rsidRPr="00601A89" w:rsidDel="00712A8B">
        <w:t xml:space="preserve"> </w:t>
      </w:r>
      <w:r w:rsidRPr="00601A89">
        <w:t>are collecting and reporting data consistently, and that this is analysed and used for quality improvement within a consistent national framework.</w:t>
      </w:r>
    </w:p>
    <w:p w14:paraId="46B24D3C" w14:textId="77777777" w:rsidR="00E85766" w:rsidRPr="00601A89" w:rsidRDefault="00E85766" w:rsidP="008D3C7B"/>
    <w:p w14:paraId="4149D8BA" w14:textId="77777777" w:rsidR="00E85766" w:rsidRPr="00601A89" w:rsidRDefault="00E85766" w:rsidP="008D3C7B">
      <w:r w:rsidRPr="00601A89">
        <w:t>The data fields and metrics have been agreed across the sector through the Radiation Oncology Working Group (ROWG), and a data collection system specified. The metrics focus on three main areas</w:t>
      </w:r>
      <w:r>
        <w:t>.</w:t>
      </w:r>
    </w:p>
    <w:p w14:paraId="490C40EB" w14:textId="77777777" w:rsidR="00E85766" w:rsidRPr="00601A89" w:rsidRDefault="008D3C7B" w:rsidP="008D3C7B">
      <w:pPr>
        <w:spacing w:before="90"/>
        <w:ind w:left="567" w:hanging="567"/>
      </w:pPr>
      <w:r>
        <w:t>1.</w:t>
      </w:r>
      <w:r>
        <w:tab/>
      </w:r>
      <w:r w:rsidR="00E85766">
        <w:t>E</w:t>
      </w:r>
      <w:r w:rsidR="00E85766" w:rsidRPr="00601A89">
        <w:t>quity of access – do all New Zealanders have access to the radiation therapy they need?</w:t>
      </w:r>
    </w:p>
    <w:p w14:paraId="7623600B" w14:textId="77777777" w:rsidR="00E85766" w:rsidRPr="00601A89" w:rsidRDefault="008D3C7B" w:rsidP="008D3C7B">
      <w:pPr>
        <w:spacing w:before="90"/>
        <w:ind w:left="567" w:hanging="567"/>
      </w:pPr>
      <w:r>
        <w:t>2.</w:t>
      </w:r>
      <w:r>
        <w:tab/>
      </w:r>
      <w:r w:rsidR="00E85766">
        <w:t>C</w:t>
      </w:r>
      <w:r w:rsidR="00E85766" w:rsidRPr="00601A89">
        <w:t>apacity – do the radiation therapy providers have the linac and workforce capacity to provide that care?</w:t>
      </w:r>
    </w:p>
    <w:p w14:paraId="46287CAF" w14:textId="77777777" w:rsidR="00E85766" w:rsidRPr="00601A89" w:rsidRDefault="008D3C7B" w:rsidP="008D3C7B">
      <w:pPr>
        <w:spacing w:before="90"/>
        <w:ind w:left="567" w:hanging="567"/>
      </w:pPr>
      <w:r>
        <w:t>3.</w:t>
      </w:r>
      <w:r>
        <w:tab/>
      </w:r>
      <w:r w:rsidR="00E85766">
        <w:t>Q</w:t>
      </w:r>
      <w:r w:rsidR="00E85766" w:rsidRPr="00601A89">
        <w:t>uality of care – how can the sector demonstrate the quality of the care it provides?</w:t>
      </w:r>
    </w:p>
    <w:p w14:paraId="1A4414A0" w14:textId="77777777" w:rsidR="00E85766" w:rsidRPr="00601A89" w:rsidRDefault="00E85766" w:rsidP="008D3C7B"/>
    <w:p w14:paraId="40D809CE" w14:textId="77777777" w:rsidR="00E85766" w:rsidRPr="00601A89" w:rsidRDefault="00E85766" w:rsidP="008D3C7B">
      <w:r w:rsidRPr="00601A89">
        <w:t>Timeliness of care falls into areas 2 and 3, and is covered in the national Faster Cancer Treatment programme (for more details, see Ministry of Health 2014).</w:t>
      </w:r>
    </w:p>
    <w:p w14:paraId="3AFCE8D8" w14:textId="77777777" w:rsidR="00E85766" w:rsidRPr="00601A89" w:rsidRDefault="00E85766" w:rsidP="008D3C7B"/>
    <w:p w14:paraId="137D8B7A" w14:textId="77777777" w:rsidR="007A6454" w:rsidRDefault="00E85766" w:rsidP="008D3C7B">
      <w:r w:rsidRPr="00601A89">
        <w:t>The radiation oncology providers have each contributed data to compile a test data set, covering 2012–2015, to support the new metrics and prepare for the full radiation oncology information system that this Plan advances. The National Linear Accelerator and Workforce Capacity Model was updated and further developed, becoming known as the Service Planning Tool</w:t>
      </w:r>
      <w:r>
        <w:t xml:space="preserve"> (the Tool)</w:t>
      </w:r>
      <w:r w:rsidRPr="00601A89">
        <w:t xml:space="preserve">. The Tool now includes the new data elements, and allows users to analyse data by the major cancer types. </w:t>
      </w:r>
      <w:r>
        <w:t>Users</w:t>
      </w:r>
      <w:r w:rsidRPr="00601A89">
        <w:t xml:space="preserve"> can also explore future projection scenarios for each cancer type, with parameters including the IR, the STR, the number of attendances per course, and time taken for each attendance. With future developments of the Tool, it will be possible to collect and analyse more ethnicity data, sourced from the Ministry</w:t>
      </w:r>
      <w:r w:rsidR="007A6454">
        <w:t>’</w:t>
      </w:r>
      <w:r w:rsidRPr="00601A89">
        <w:t>s national collections.</w:t>
      </w:r>
    </w:p>
    <w:p w14:paraId="525C751A" w14:textId="77777777" w:rsidR="008D3C7B" w:rsidRDefault="008D3C7B" w:rsidP="008D3C7B"/>
    <w:p w14:paraId="40053F9C" w14:textId="77777777" w:rsidR="00E85766" w:rsidRPr="00601A89" w:rsidRDefault="00E85766" w:rsidP="008D3C7B">
      <w:pPr>
        <w:pStyle w:val="Heading2"/>
      </w:pPr>
      <w:bookmarkStart w:id="26" w:name="_Toc470858842"/>
      <w:bookmarkStart w:id="27" w:name="_Toc475992502"/>
      <w:r w:rsidRPr="00601A89">
        <w:lastRenderedPageBreak/>
        <w:t>Findings</w:t>
      </w:r>
      <w:bookmarkEnd w:id="26"/>
      <w:bookmarkEnd w:id="27"/>
    </w:p>
    <w:p w14:paraId="2466235B" w14:textId="77777777" w:rsidR="007A6454" w:rsidRDefault="00E85766" w:rsidP="008D3C7B">
      <w:r w:rsidRPr="00601A89">
        <w:t>The test data set, with data from each of the radiation therapy providers, was loaded into the Tool and used in a preliminary analysis for 201</w:t>
      </w:r>
      <w:r>
        <w:t>2</w:t>
      </w:r>
      <w:r w:rsidRPr="00601A89">
        <w:t>–2015. The preliminary analysis has combined these three years to reduce</w:t>
      </w:r>
      <w:r w:rsidRPr="00601A89" w:rsidDel="00CF1B65">
        <w:t xml:space="preserve"> </w:t>
      </w:r>
      <w:r w:rsidRPr="00601A89">
        <w:t>variability in data from year to year. As the new data collection system is implemented, these findings will be updated. For this reason, the findings are presented below only to illustrate some of the ways in which the Tool will be used and should be seen as provisional. These provisional findings will not inform decision-making around clinical practice and the data will be analysed in more detail once it becomes more robust.</w:t>
      </w:r>
    </w:p>
    <w:p w14:paraId="7D67322C" w14:textId="77777777" w:rsidR="008D3C7B" w:rsidRDefault="008D3C7B" w:rsidP="008D3C7B"/>
    <w:p w14:paraId="7AFCB333" w14:textId="77777777" w:rsidR="00E85766" w:rsidRPr="00601A89" w:rsidRDefault="00E85766" w:rsidP="008D3C7B">
      <w:pPr>
        <w:pStyle w:val="Heading3"/>
      </w:pPr>
      <w:bookmarkStart w:id="28" w:name="_Toc470858843"/>
      <w:r w:rsidRPr="00601A89">
        <w:t>Equity of access</w:t>
      </w:r>
      <w:bookmarkEnd w:id="28"/>
    </w:p>
    <w:p w14:paraId="4B73970D" w14:textId="77777777" w:rsidR="00E85766" w:rsidRPr="00601A89" w:rsidRDefault="00E85766" w:rsidP="008D3C7B">
      <w:pPr>
        <w:pStyle w:val="Heading4"/>
      </w:pPr>
      <w:r w:rsidRPr="00601A89">
        <w:t>Intervention rate</w:t>
      </w:r>
    </w:p>
    <w:p w14:paraId="2C769A60" w14:textId="77777777" w:rsidR="007A6454" w:rsidRDefault="00E85766" w:rsidP="008D3C7B">
      <w:r w:rsidRPr="00601A89">
        <w:t>A key measure of access to radiation oncology is the population IR. This assesses the proportion of cases of cancer that are treated at least once with radiation therapy. The Cancer Registry provides the number of cancer cases, while the radiation oncology data system collates the number of people being treated. New Zealand</w:t>
      </w:r>
      <w:r w:rsidR="007A6454">
        <w:t>’</w:t>
      </w:r>
      <w:r w:rsidRPr="00601A89">
        <w:t>s overall IR of 37</w:t>
      </w:r>
      <w:r w:rsidR="008D3C7B">
        <w:t> percent</w:t>
      </w:r>
      <w:r w:rsidRPr="00601A89">
        <w:t xml:space="preserve"> is comparable with the IRs of New South Wales (</w:t>
      </w:r>
      <w:r w:rsidRPr="00386B7D">
        <w:t>NSW Health</w:t>
      </w:r>
      <w:r w:rsidRPr="00601A89">
        <w:t xml:space="preserve"> 2013) and the United Kingdom, but </w:t>
      </w:r>
      <w:r>
        <w:t xml:space="preserve">some </w:t>
      </w:r>
      <w:r w:rsidRPr="00601A89">
        <w:t>research indicat</w:t>
      </w:r>
      <w:r>
        <w:t>es</w:t>
      </w:r>
      <w:r w:rsidRPr="00601A89">
        <w:t xml:space="preserve"> that higher rates (up to 48</w:t>
      </w:r>
      <w:r w:rsidR="008D3C7B">
        <w:t> percent</w:t>
      </w:r>
      <w:r w:rsidRPr="00601A89">
        <w:t>) might contribute to population health gain</w:t>
      </w:r>
      <w:r>
        <w:t xml:space="preserve"> (Delaney and Barton 2015)</w:t>
      </w:r>
      <w:r w:rsidRPr="00601A89">
        <w:t xml:space="preserve">. </w:t>
      </w:r>
      <w:r>
        <w:t>For more on p</w:t>
      </w:r>
      <w:r w:rsidRPr="00601A89">
        <w:t>otential growth in the IR for New Zealand</w:t>
      </w:r>
      <w:r>
        <w:t>, see</w:t>
      </w:r>
      <w:r w:rsidRPr="00601A89">
        <w:t xml:space="preserve"> </w:t>
      </w:r>
      <w:r>
        <w:t>s</w:t>
      </w:r>
      <w:r w:rsidRPr="00601A89">
        <w:t>ection</w:t>
      </w:r>
      <w:r w:rsidR="008D3C7B">
        <w:t> </w:t>
      </w:r>
      <w:r w:rsidRPr="00601A89">
        <w:t xml:space="preserve">5.1, </w:t>
      </w:r>
      <w:r>
        <w:t>p</w:t>
      </w:r>
      <w:r w:rsidRPr="00601A89">
        <w:t>riority</w:t>
      </w:r>
      <w:r w:rsidR="008D3C7B">
        <w:t> </w:t>
      </w:r>
      <w:r>
        <w:t>3</w:t>
      </w:r>
      <w:r w:rsidRPr="00601A89">
        <w:t>.</w:t>
      </w:r>
    </w:p>
    <w:p w14:paraId="5D0D27BF" w14:textId="77777777" w:rsidR="00E85766" w:rsidRPr="00601A89" w:rsidRDefault="00E85766" w:rsidP="008D3C7B"/>
    <w:p w14:paraId="5CBAA02E" w14:textId="77777777" w:rsidR="00E85766" w:rsidRPr="00601A89" w:rsidRDefault="00E85766" w:rsidP="008D3C7B">
      <w:r>
        <w:t>E</w:t>
      </w:r>
      <w:r w:rsidRPr="00601A89">
        <w:t xml:space="preserve">vidence-based IRs </w:t>
      </w:r>
      <w:r>
        <w:t xml:space="preserve">vary widely </w:t>
      </w:r>
      <w:r w:rsidRPr="00601A89">
        <w:t>by cancer type, so the same access rates by cancer might result in different overall IRs. Nevertheless it would be expected that within the mix of cancers being treated</w:t>
      </w:r>
      <w:r>
        <w:t xml:space="preserve">, all of </w:t>
      </w:r>
      <w:r w:rsidRPr="00601A89">
        <w:t>the DHBs would lie within a 5</w:t>
      </w:r>
      <w:r>
        <w:t>–</w:t>
      </w:r>
      <w:r w:rsidRPr="00601A89">
        <w:t>8</w:t>
      </w:r>
      <w:r w:rsidR="008D3C7B">
        <w:t> percent</w:t>
      </w:r>
      <w:r w:rsidRPr="00601A89">
        <w:t xml:space="preserve"> IR span. As </w:t>
      </w:r>
      <w:r w:rsidRPr="008D3C7B">
        <w:fldChar w:fldCharType="begin"/>
      </w:r>
      <w:r w:rsidRPr="008D3C7B">
        <w:instrText xml:space="preserve"> REF _Ref454788046 \h  \* MERGEFORMAT </w:instrText>
      </w:r>
      <w:r w:rsidRPr="008D3C7B">
        <w:fldChar w:fldCharType="separate"/>
      </w:r>
      <w:r w:rsidR="00E2252F" w:rsidRPr="00601A89">
        <w:t xml:space="preserve">Figure </w:t>
      </w:r>
      <w:r w:rsidR="00E2252F">
        <w:t>1</w:t>
      </w:r>
      <w:r w:rsidRPr="008D3C7B">
        <w:fldChar w:fldCharType="end"/>
      </w:r>
      <w:r w:rsidRPr="008D3C7B">
        <w:t xml:space="preserve"> show</w:t>
      </w:r>
      <w:r>
        <w:t>s</w:t>
      </w:r>
      <w:r w:rsidRPr="00601A89">
        <w:t>, the range by DHB is from 28–44</w:t>
      </w:r>
      <w:r w:rsidR="008D3C7B">
        <w:t> percent</w:t>
      </w:r>
      <w:r w:rsidRPr="00601A89">
        <w:t>, which is more than would be expected from variations in cancer type. There appears to be little difference between males and females, and the national M</w:t>
      </w:r>
      <w:r w:rsidRPr="00601A89">
        <w:rPr>
          <w:rFonts w:cstheme="minorHAnsi"/>
        </w:rPr>
        <w:t>ā</w:t>
      </w:r>
      <w:r w:rsidRPr="00601A89">
        <w:t>ori IR of 37</w:t>
      </w:r>
      <w:r w:rsidR="008D3C7B">
        <w:t> percent</w:t>
      </w:r>
      <w:r w:rsidRPr="00601A89">
        <w:t xml:space="preserve"> is the same as the overall rate.</w:t>
      </w:r>
    </w:p>
    <w:p w14:paraId="7E9FDDB9" w14:textId="77777777" w:rsidR="00E85766" w:rsidRPr="00601A89" w:rsidRDefault="00E85766" w:rsidP="008D3C7B"/>
    <w:p w14:paraId="5609FA51" w14:textId="77777777" w:rsidR="00E85766" w:rsidRPr="00601A89" w:rsidRDefault="00E85766" w:rsidP="008D3C7B">
      <w:pPr>
        <w:pStyle w:val="Figure"/>
      </w:pPr>
      <w:bookmarkStart w:id="29" w:name="_Ref454788046"/>
      <w:bookmarkStart w:id="30" w:name="_Toc475954102"/>
      <w:r w:rsidRPr="00601A89">
        <w:lastRenderedPageBreak/>
        <w:t xml:space="preserve">Figure </w:t>
      </w:r>
      <w:r w:rsidR="003B40AB">
        <w:fldChar w:fldCharType="begin"/>
      </w:r>
      <w:r w:rsidR="003B40AB">
        <w:instrText xml:space="preserve"> SEQ Figure \* ARABIC </w:instrText>
      </w:r>
      <w:r w:rsidR="003B40AB">
        <w:fldChar w:fldCharType="separate"/>
      </w:r>
      <w:r w:rsidR="00E2252F">
        <w:rPr>
          <w:noProof/>
        </w:rPr>
        <w:t>1</w:t>
      </w:r>
      <w:r w:rsidR="003B40AB">
        <w:rPr>
          <w:noProof/>
        </w:rPr>
        <w:fldChar w:fldCharType="end"/>
      </w:r>
      <w:bookmarkEnd w:id="29"/>
      <w:r w:rsidRPr="00601A89">
        <w:t xml:space="preserve">: </w:t>
      </w:r>
      <w:r w:rsidRPr="00CD6FD0">
        <w:t>Provisional</w:t>
      </w:r>
      <w:r w:rsidRPr="00601A89">
        <w:t xml:space="preserve"> radiation oncology intervention and subsequent treatment rates by DHB of residence</w:t>
      </w:r>
      <w:r>
        <w:t>,</w:t>
      </w:r>
      <w:r w:rsidRPr="00601A89">
        <w:t xml:space="preserve"> 2013</w:t>
      </w:r>
      <w:r>
        <w:t>–</w:t>
      </w:r>
      <w:r w:rsidRPr="00601A89">
        <w:t>2015</w:t>
      </w:r>
      <w:bookmarkEnd w:id="30"/>
    </w:p>
    <w:p w14:paraId="57D4D5DB" w14:textId="77777777" w:rsidR="00E85766" w:rsidRPr="00601A89" w:rsidRDefault="00BF21A7" w:rsidP="00306D14">
      <w:r>
        <w:rPr>
          <w:noProof/>
          <w:lang w:eastAsia="en-NZ"/>
        </w:rPr>
        <w:drawing>
          <wp:inline distT="0" distB="0" distL="0" distR="0" wp14:anchorId="17302065" wp14:editId="2C57865A">
            <wp:extent cx="5935287" cy="3846237"/>
            <wp:effectExtent l="0" t="0" r="8890" b="1905"/>
            <wp:docPr id="13" name="Picture 13" title="Figure 1: Provisional radiation oncology intervention and subsequent treatment rates by DHB of residence, 201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1240" cy="3850095"/>
                    </a:xfrm>
                    <a:prstGeom prst="rect">
                      <a:avLst/>
                    </a:prstGeom>
                    <a:noFill/>
                  </pic:spPr>
                </pic:pic>
              </a:graphicData>
            </a:graphic>
          </wp:inline>
        </w:drawing>
      </w:r>
    </w:p>
    <w:p w14:paraId="1B1D29FF" w14:textId="77777777" w:rsidR="007A6454" w:rsidRDefault="00E85766" w:rsidP="008D3C7B">
      <w:pPr>
        <w:pStyle w:val="Source"/>
      </w:pPr>
      <w:r w:rsidRPr="00601A89">
        <w:t xml:space="preserve">Source: Radiation </w:t>
      </w:r>
      <w:r>
        <w:t>o</w:t>
      </w:r>
      <w:r w:rsidRPr="00601A89">
        <w:t>ncology provisional data, EY analysis.</w:t>
      </w:r>
    </w:p>
    <w:p w14:paraId="48E0E3A5" w14:textId="2860C5F7" w:rsidR="007A6454" w:rsidRDefault="00E85766" w:rsidP="008D3C7B">
      <w:pPr>
        <w:pStyle w:val="Note"/>
      </w:pPr>
      <w:r>
        <w:t xml:space="preserve">Note: </w:t>
      </w:r>
      <w:r w:rsidRPr="00601A89">
        <w:t>Excludes treatments for non-melanoma skin cancer, benign cancer, in-situ, myelodysplasia, and conditions other than cancer (enables matching like for like with the international literature). Cancer registrations estimated for 2014</w:t>
      </w:r>
      <w:r>
        <w:t>–</w:t>
      </w:r>
      <w:r w:rsidRPr="00601A89">
        <w:t xml:space="preserve">2015. </w:t>
      </w:r>
      <w:r>
        <w:t>Intervention rate</w:t>
      </w:r>
      <w:r w:rsidR="00B11E88">
        <w:t xml:space="preserve"> </w:t>
      </w:r>
      <w:r>
        <w:t>= the proportion of all registered cancers that are treated with at least one course of radiation therapy</w:t>
      </w:r>
      <w:r w:rsidRPr="00601A89">
        <w:t>. Subsequent treatment rate</w:t>
      </w:r>
      <w:r>
        <w:t xml:space="preserve"> = the proportion of all radiation therapy treatment courses delivered to people who have already had at least one treatment course for the same cancer. </w:t>
      </w:r>
      <w:r w:rsidRPr="00601A89">
        <w:t>Subsequent treatment courses at same time for same patient counted once only. Circles proportional to the average number of treatments 2013</w:t>
      </w:r>
      <w:r>
        <w:t>–</w:t>
      </w:r>
      <w:r w:rsidRPr="00601A89">
        <w:t>2015. Colours represent cancer network areas.</w:t>
      </w:r>
    </w:p>
    <w:p w14:paraId="7689F9C5" w14:textId="77777777" w:rsidR="00BF21A7" w:rsidRPr="00BF21A7" w:rsidRDefault="00BF21A7" w:rsidP="00BF21A7"/>
    <w:p w14:paraId="263FE9B0" w14:textId="77777777" w:rsidR="00E85766" w:rsidRPr="00601A89" w:rsidRDefault="00E85766" w:rsidP="00BF21A7">
      <w:pPr>
        <w:pStyle w:val="Heading4"/>
      </w:pPr>
      <w:r w:rsidRPr="00601A89">
        <w:t>Subsequent treatment rate</w:t>
      </w:r>
    </w:p>
    <w:p w14:paraId="7CF4C6CC" w14:textId="77777777" w:rsidR="007A6454" w:rsidRDefault="00E85766" w:rsidP="00BF21A7">
      <w:r w:rsidRPr="00601A89">
        <w:t>A second measure of access</w:t>
      </w:r>
      <w:r>
        <w:t>,</w:t>
      </w:r>
      <w:r w:rsidRPr="00601A89">
        <w:t xml:space="preserve"> the STR</w:t>
      </w:r>
      <w:r>
        <w:t>,</w:t>
      </w:r>
      <w:r w:rsidRPr="00601A89">
        <w:t xml:space="preserve"> considers the proportion of all treatments that were the second or later treatments for that person for that cancer. The STR mainly represents access to palliative (</w:t>
      </w:r>
      <w:r>
        <w:t>rather than</w:t>
      </w:r>
      <w:r w:rsidRPr="00601A89">
        <w:t xml:space="preserve"> curative)</w:t>
      </w:r>
      <w:r w:rsidRPr="00CD1507">
        <w:t xml:space="preserve"> </w:t>
      </w:r>
      <w:r w:rsidRPr="00601A89">
        <w:t xml:space="preserve">treatment. It </w:t>
      </w:r>
      <w:r>
        <w:t>is</w:t>
      </w:r>
      <w:r w:rsidRPr="00601A89">
        <w:t xml:space="preserve"> expected that </w:t>
      </w:r>
      <w:r>
        <w:t>s</w:t>
      </w:r>
      <w:r w:rsidRPr="00601A89">
        <w:t xml:space="preserve">ubsequent treatment rates </w:t>
      </w:r>
      <w:r>
        <w:t xml:space="preserve">will </w:t>
      </w:r>
      <w:r w:rsidRPr="00601A89">
        <w:t>vary more than intervention rates because palliative care arrangements vary across the DHBs (</w:t>
      </w:r>
      <w:r>
        <w:t>s</w:t>
      </w:r>
      <w:r w:rsidRPr="00601A89">
        <w:t xml:space="preserve">ome issues around </w:t>
      </w:r>
      <w:r>
        <w:t xml:space="preserve">defining </w:t>
      </w:r>
      <w:r w:rsidRPr="00601A89">
        <w:t xml:space="preserve">courses </w:t>
      </w:r>
      <w:r>
        <w:t xml:space="preserve">are also </w:t>
      </w:r>
      <w:r w:rsidRPr="00601A89">
        <w:t xml:space="preserve">yet to be resolved.) The vertical axis data in </w:t>
      </w:r>
      <w:r w:rsidRPr="00601A89">
        <w:fldChar w:fldCharType="begin"/>
      </w:r>
      <w:r w:rsidRPr="00601A89">
        <w:instrText xml:space="preserve"> REF _Ref454788046 \h  \* MERGEFORMAT </w:instrText>
      </w:r>
      <w:r w:rsidRPr="00601A89">
        <w:fldChar w:fldCharType="separate"/>
      </w:r>
      <w:r w:rsidR="00E2252F" w:rsidRPr="00601A89">
        <w:t xml:space="preserve">Figure </w:t>
      </w:r>
      <w:r w:rsidR="00E2252F">
        <w:rPr>
          <w:noProof/>
        </w:rPr>
        <w:t>1</w:t>
      </w:r>
      <w:r w:rsidRPr="00601A89">
        <w:fldChar w:fldCharType="end"/>
      </w:r>
      <w:r w:rsidRPr="00601A89">
        <w:t xml:space="preserve"> indicates that the subsequent treatments comprise 23</w:t>
      </w:r>
      <w:r w:rsidR="00BF21A7">
        <w:t> percent</w:t>
      </w:r>
      <w:r w:rsidRPr="00601A89">
        <w:t xml:space="preserve"> of all treatments (21</w:t>
      </w:r>
      <w:r w:rsidR="00BF21A7">
        <w:t> percent</w:t>
      </w:r>
      <w:r w:rsidRPr="00601A89">
        <w:t xml:space="preserve"> for M</w:t>
      </w:r>
      <w:r w:rsidRPr="00601A89">
        <w:rPr>
          <w:rFonts w:cstheme="minorHAnsi"/>
        </w:rPr>
        <w:t>ā</w:t>
      </w:r>
      <w:r w:rsidRPr="00601A89">
        <w:t>ori) and range from 15</w:t>
      </w:r>
      <w:r>
        <w:t>–</w:t>
      </w:r>
      <w:r w:rsidRPr="00601A89">
        <w:t>35</w:t>
      </w:r>
      <w:r w:rsidR="00BF21A7">
        <w:t> percent</w:t>
      </w:r>
      <w:r w:rsidRPr="00601A89">
        <w:t xml:space="preserve"> across DHBs.</w:t>
      </w:r>
    </w:p>
    <w:p w14:paraId="557B7359" w14:textId="77777777" w:rsidR="00E85766" w:rsidRPr="00601A89" w:rsidRDefault="00E85766" w:rsidP="00BF21A7"/>
    <w:p w14:paraId="7C050541" w14:textId="77777777" w:rsidR="00E85766" w:rsidRPr="00601A89" w:rsidRDefault="00E85766" w:rsidP="00BF21A7">
      <w:pPr>
        <w:pStyle w:val="Heading4"/>
      </w:pPr>
      <w:r w:rsidRPr="00601A89">
        <w:t>The curative IR</w:t>
      </w:r>
    </w:p>
    <w:p w14:paraId="67A78C57" w14:textId="77777777" w:rsidR="00E85766" w:rsidRPr="00BF21A7" w:rsidRDefault="00E85766" w:rsidP="00BF21A7">
      <w:pPr>
        <w:ind w:right="-142"/>
      </w:pPr>
      <w:r w:rsidRPr="00601A89">
        <w:t xml:space="preserve">The </w:t>
      </w:r>
      <w:r>
        <w:t>purpose</w:t>
      </w:r>
      <w:r w:rsidRPr="00601A89">
        <w:t xml:space="preserve"> of treatment can be </w:t>
      </w:r>
      <w:r>
        <w:t>seen</w:t>
      </w:r>
      <w:r w:rsidRPr="00601A89">
        <w:t xml:space="preserve"> as a subset of the IR. For those first treatments</w:t>
      </w:r>
      <w:r>
        <w:t xml:space="preserve"> done</w:t>
      </w:r>
      <w:r w:rsidRPr="00601A89">
        <w:t xml:space="preserve"> </w:t>
      </w:r>
      <w:r>
        <w:t>for</w:t>
      </w:r>
      <w:r w:rsidRPr="00601A89">
        <w:t xml:space="preserve"> </w:t>
      </w:r>
      <w:r w:rsidRPr="00BF21A7">
        <w:rPr>
          <w:spacing w:val="-2"/>
        </w:rPr>
        <w:t>curative purposes, the spread by DHB is smaller: the provisional data ranges from 17–30</w:t>
      </w:r>
      <w:r w:rsidR="00BF21A7" w:rsidRPr="00BF21A7">
        <w:rPr>
          <w:spacing w:val="-2"/>
        </w:rPr>
        <w:t> percent</w:t>
      </w:r>
      <w:r w:rsidRPr="00BF21A7">
        <w:rPr>
          <w:spacing w:val="-2"/>
        </w:rPr>
        <w:t>.</w:t>
      </w:r>
      <w:r>
        <w:t xml:space="preserve"> On</w:t>
      </w:r>
      <w:r w:rsidRPr="00601A89">
        <w:t xml:space="preserve"> average</w:t>
      </w:r>
      <w:r>
        <w:t>,</w:t>
      </w:r>
      <w:r w:rsidRPr="00601A89">
        <w:t xml:space="preserve"> 24</w:t>
      </w:r>
      <w:r w:rsidR="00BF21A7">
        <w:t> percent</w:t>
      </w:r>
      <w:r w:rsidRPr="00601A89">
        <w:t xml:space="preserve"> of all registered cancers</w:t>
      </w:r>
      <w:r>
        <w:t xml:space="preserve"> in</w:t>
      </w:r>
      <w:r w:rsidRPr="00601A89">
        <w:t xml:space="preserve"> New Zealand get a curative radiation oncology course. For M</w:t>
      </w:r>
      <w:r w:rsidRPr="00601A89">
        <w:rPr>
          <w:rFonts w:cstheme="minorHAnsi"/>
        </w:rPr>
        <w:t>ā</w:t>
      </w:r>
      <w:r w:rsidRPr="00601A89">
        <w:t>ori patients the rate is slightly lower at 21</w:t>
      </w:r>
      <w:r w:rsidR="00BF21A7">
        <w:t> percent</w:t>
      </w:r>
      <w:r w:rsidRPr="00601A89">
        <w:t>. The rank order by DHB is similar to that for the overall IR.</w:t>
      </w:r>
    </w:p>
    <w:p w14:paraId="21BFDE04" w14:textId="77777777" w:rsidR="00E85766" w:rsidRPr="00601A89" w:rsidRDefault="00E85766" w:rsidP="00BF21A7"/>
    <w:p w14:paraId="58B51552" w14:textId="77777777" w:rsidR="00E85766" w:rsidRPr="00601A89" w:rsidRDefault="00E85766" w:rsidP="00BF21A7">
      <w:pPr>
        <w:pStyle w:val="Heading4"/>
      </w:pPr>
      <w:r w:rsidRPr="00601A89">
        <w:lastRenderedPageBreak/>
        <w:t>The IR for individual cancers</w:t>
      </w:r>
    </w:p>
    <w:p w14:paraId="35FFCAC6" w14:textId="77777777" w:rsidR="007A6454" w:rsidRDefault="00E85766" w:rsidP="00BF21A7">
      <w:r w:rsidRPr="00601A89">
        <w:t xml:space="preserve">The IR can also be examined for individual cancers. For example, </w:t>
      </w:r>
      <w:r w:rsidRPr="00601A89">
        <w:fldChar w:fldCharType="begin"/>
      </w:r>
      <w:r w:rsidRPr="00601A89">
        <w:instrText xml:space="preserve"> REF _Ref452471418 \h  \* MERGEFORMAT </w:instrText>
      </w:r>
      <w:r w:rsidRPr="00601A89">
        <w:fldChar w:fldCharType="separate"/>
      </w:r>
      <w:r w:rsidR="00E2252F" w:rsidRPr="00601A89">
        <w:t xml:space="preserve">Table </w:t>
      </w:r>
      <w:r w:rsidR="00E2252F">
        <w:t>2</w:t>
      </w:r>
      <w:r w:rsidRPr="00601A89">
        <w:fldChar w:fldCharType="end"/>
      </w:r>
      <w:r w:rsidRPr="00601A89">
        <w:t xml:space="preserve"> shows the curative intervention rate for the four most commonly treated cancers</w:t>
      </w:r>
      <w:r>
        <w:t xml:space="preserve"> (</w:t>
      </w:r>
      <w:r>
        <w:rPr>
          <w:szCs w:val="18"/>
        </w:rPr>
        <w:t>e</w:t>
      </w:r>
      <w:r w:rsidRPr="00F6652B">
        <w:rPr>
          <w:szCs w:val="18"/>
        </w:rPr>
        <w:t>xcluding non-melanoma skin cancer</w:t>
      </w:r>
      <w:r>
        <w:t>)</w:t>
      </w:r>
      <w:r w:rsidRPr="00601A89">
        <w:t>. The proportion of cancers receiving a curative radiation treatment varies based on the evidence of effectiveness and the stage of the cancer at presentation. Overall, around two-thirds of breast cancers and half of rectum cancers received at least one curative course, while only 24</w:t>
      </w:r>
      <w:r w:rsidR="00BF21A7">
        <w:t> percent</w:t>
      </w:r>
      <w:r w:rsidRPr="00601A89">
        <w:t xml:space="preserve"> of prostate cancer patients and 13</w:t>
      </w:r>
      <w:r w:rsidR="00BF21A7">
        <w:t> percent</w:t>
      </w:r>
      <w:r w:rsidRPr="00601A89">
        <w:t xml:space="preserve"> of lung cancer patients were so treated.</w:t>
      </w:r>
    </w:p>
    <w:p w14:paraId="3112DB8E" w14:textId="77777777" w:rsidR="00E85766" w:rsidRDefault="00E85766" w:rsidP="00BF21A7"/>
    <w:p w14:paraId="3B7DB752" w14:textId="77777777" w:rsidR="00E85766" w:rsidRPr="00601A89" w:rsidRDefault="00E85766" w:rsidP="00BF21A7">
      <w:r w:rsidRPr="00601A89">
        <w:t>Rates varied significantly by DHB</w:t>
      </w:r>
      <w:r>
        <w:t>,</w:t>
      </w:r>
      <w:r w:rsidRPr="00601A89">
        <w:t xml:space="preserve"> as evidenced by the minim</w:t>
      </w:r>
      <w:r>
        <w:t>um</w:t>
      </w:r>
      <w:r w:rsidRPr="00601A89">
        <w:t xml:space="preserve"> and maxim</w:t>
      </w:r>
      <w:r>
        <w:t>um percentages</w:t>
      </w:r>
      <w:r w:rsidRPr="00601A89">
        <w:t xml:space="preserve"> in </w:t>
      </w:r>
      <w:r w:rsidRPr="00601A89">
        <w:fldChar w:fldCharType="begin"/>
      </w:r>
      <w:r w:rsidRPr="00601A89">
        <w:instrText xml:space="preserve"> REF _Ref452471418 \h  \* MERGEFORMAT </w:instrText>
      </w:r>
      <w:r w:rsidRPr="00601A89">
        <w:fldChar w:fldCharType="separate"/>
      </w:r>
      <w:r w:rsidR="00E2252F" w:rsidRPr="00601A89">
        <w:t xml:space="preserve">Table </w:t>
      </w:r>
      <w:r w:rsidR="00E2252F">
        <w:t>2</w:t>
      </w:r>
      <w:r w:rsidRPr="00601A89">
        <w:fldChar w:fldCharType="end"/>
      </w:r>
      <w:r w:rsidRPr="00601A89">
        <w:t xml:space="preserve"> – small numbers of cancers in smaller DHBs can create large swings from year to year. The pattern varies by cancer</w:t>
      </w:r>
      <w:r>
        <w:t>:</w:t>
      </w:r>
      <w:r w:rsidRPr="00601A89">
        <w:t xml:space="preserve"> in other words, it is not that one DHB has low radiation therapy access in every cancer; rather they might be relatively low in one and high in another. </w:t>
      </w:r>
      <w:r>
        <w:t>It is necessary</w:t>
      </w:r>
      <w:r w:rsidRPr="00601A89">
        <w:t xml:space="preserve"> explor</w:t>
      </w:r>
      <w:r>
        <w:t>e</w:t>
      </w:r>
      <w:r w:rsidRPr="00601A89">
        <w:t xml:space="preserve"> cancer pathways</w:t>
      </w:r>
      <w:r>
        <w:t xml:space="preserve"> further</w:t>
      </w:r>
      <w:r w:rsidRPr="00601A89">
        <w:t>, at both the therapy providers and the referring hospitals. Metrics for these four key cancers for radiation oncology treatment will be covered by DHB in the first year of monitoring (see Appendix B).</w:t>
      </w:r>
    </w:p>
    <w:p w14:paraId="60EE8B5F" w14:textId="77777777" w:rsidR="00E85766" w:rsidRPr="00601A89" w:rsidRDefault="00E85766" w:rsidP="00BF21A7"/>
    <w:p w14:paraId="3A659966" w14:textId="77777777" w:rsidR="00E85766" w:rsidRPr="00601A89" w:rsidRDefault="00E85766" w:rsidP="00BF21A7">
      <w:pPr>
        <w:pStyle w:val="Table"/>
        <w:rPr>
          <w:lang w:eastAsia="en-NZ"/>
        </w:rPr>
      </w:pPr>
      <w:bookmarkStart w:id="31" w:name="_Ref452471418"/>
      <w:bookmarkStart w:id="32" w:name="_Toc475954092"/>
      <w:r w:rsidRPr="00601A89">
        <w:t xml:space="preserve">Table </w:t>
      </w:r>
      <w:r w:rsidR="003B40AB">
        <w:fldChar w:fldCharType="begin"/>
      </w:r>
      <w:r w:rsidR="003B40AB">
        <w:instrText xml:space="preserve"> SEQ Table \* ARABIC </w:instrText>
      </w:r>
      <w:r w:rsidR="003B40AB">
        <w:fldChar w:fldCharType="separate"/>
      </w:r>
      <w:r w:rsidR="00E2252F">
        <w:rPr>
          <w:noProof/>
        </w:rPr>
        <w:t>2</w:t>
      </w:r>
      <w:r w:rsidR="003B40AB">
        <w:rPr>
          <w:noProof/>
        </w:rPr>
        <w:fldChar w:fldCharType="end"/>
      </w:r>
      <w:bookmarkEnd w:id="31"/>
      <w:r w:rsidRPr="00601A89">
        <w:t xml:space="preserve">: Provisional </w:t>
      </w:r>
      <w:r w:rsidRPr="00601A89">
        <w:rPr>
          <w:lang w:eastAsia="en-NZ"/>
        </w:rPr>
        <w:t xml:space="preserve">curative radiation therapy </w:t>
      </w:r>
      <w:r>
        <w:rPr>
          <w:lang w:eastAsia="en-NZ"/>
        </w:rPr>
        <w:t>i</w:t>
      </w:r>
      <w:r w:rsidRPr="00601A89">
        <w:rPr>
          <w:lang w:eastAsia="en-NZ"/>
        </w:rPr>
        <w:t>ntervention rate for selected cancers</w:t>
      </w:r>
      <w:r>
        <w:rPr>
          <w:lang w:eastAsia="en-NZ"/>
        </w:rPr>
        <w:t>,</w:t>
      </w:r>
      <w:r w:rsidRPr="00601A89">
        <w:rPr>
          <w:lang w:eastAsia="en-NZ"/>
        </w:rPr>
        <w:t xml:space="preserve"> 2013</w:t>
      </w:r>
      <w:r>
        <w:rPr>
          <w:lang w:eastAsia="en-NZ"/>
        </w:rPr>
        <w:t>–</w:t>
      </w:r>
      <w:r w:rsidRPr="00601A89">
        <w:rPr>
          <w:lang w:eastAsia="en-NZ"/>
        </w:rPr>
        <w:t>2015</w:t>
      </w:r>
      <w:bookmarkEnd w:id="3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193"/>
        <w:gridCol w:w="2209"/>
        <w:gridCol w:w="1701"/>
        <w:gridCol w:w="1417"/>
        <w:gridCol w:w="1418"/>
        <w:gridCol w:w="1418"/>
      </w:tblGrid>
      <w:tr w:rsidR="00E85766" w:rsidRPr="00BF21A7" w14:paraId="69AAADA2" w14:textId="77777777" w:rsidTr="00BF21A7">
        <w:trPr>
          <w:cantSplit/>
        </w:trPr>
        <w:tc>
          <w:tcPr>
            <w:tcW w:w="1193" w:type="dxa"/>
            <w:tcBorders>
              <w:top w:val="single" w:sz="4" w:space="0" w:color="auto"/>
              <w:bottom w:val="single" w:sz="4" w:space="0" w:color="auto"/>
            </w:tcBorders>
            <w:shd w:val="clear" w:color="auto" w:fill="auto"/>
            <w:noWrap/>
            <w:hideMark/>
          </w:tcPr>
          <w:p w14:paraId="66BAA862" w14:textId="77777777" w:rsidR="00E85766" w:rsidRPr="00BF21A7" w:rsidRDefault="00E85766" w:rsidP="00BF21A7">
            <w:pPr>
              <w:pStyle w:val="TableText"/>
              <w:rPr>
                <w:b/>
                <w:lang w:eastAsia="en-NZ"/>
              </w:rPr>
            </w:pPr>
            <w:r w:rsidRPr="00BF21A7">
              <w:rPr>
                <w:b/>
                <w:lang w:eastAsia="en-NZ"/>
              </w:rPr>
              <w:t>Cancer</w:t>
            </w:r>
          </w:p>
        </w:tc>
        <w:tc>
          <w:tcPr>
            <w:tcW w:w="2209" w:type="dxa"/>
            <w:tcBorders>
              <w:top w:val="single" w:sz="4" w:space="0" w:color="auto"/>
              <w:bottom w:val="single" w:sz="4" w:space="0" w:color="auto"/>
            </w:tcBorders>
            <w:shd w:val="clear" w:color="auto" w:fill="auto"/>
            <w:noWrap/>
            <w:hideMark/>
          </w:tcPr>
          <w:p w14:paraId="21DA98A3" w14:textId="77777777" w:rsidR="00E85766" w:rsidRPr="00BF21A7" w:rsidRDefault="00E85766" w:rsidP="00BF21A7">
            <w:pPr>
              <w:pStyle w:val="TableText"/>
              <w:jc w:val="center"/>
              <w:rPr>
                <w:b/>
                <w:lang w:eastAsia="en-NZ"/>
              </w:rPr>
            </w:pPr>
            <w:r w:rsidRPr="00BF21A7">
              <w:rPr>
                <w:b/>
                <w:lang w:eastAsia="en-NZ"/>
              </w:rPr>
              <w:t>Number of registrations</w:t>
            </w:r>
            <w:r w:rsidR="00BF21A7">
              <w:rPr>
                <w:b/>
                <w:lang w:eastAsia="en-NZ"/>
              </w:rPr>
              <w:t> </w:t>
            </w:r>
            <w:r w:rsidRPr="00BF21A7">
              <w:rPr>
                <w:b/>
                <w:lang w:eastAsia="en-NZ"/>
              </w:rPr>
              <w:t>per year</w:t>
            </w:r>
          </w:p>
        </w:tc>
        <w:tc>
          <w:tcPr>
            <w:tcW w:w="1701" w:type="dxa"/>
            <w:tcBorders>
              <w:top w:val="single" w:sz="4" w:space="0" w:color="auto"/>
              <w:bottom w:val="single" w:sz="4" w:space="0" w:color="auto"/>
            </w:tcBorders>
            <w:shd w:val="clear" w:color="auto" w:fill="auto"/>
            <w:noWrap/>
            <w:hideMark/>
          </w:tcPr>
          <w:p w14:paraId="5A1E614E" w14:textId="77777777" w:rsidR="00E85766" w:rsidRPr="00BF21A7" w:rsidRDefault="00E85766" w:rsidP="00BF21A7">
            <w:pPr>
              <w:pStyle w:val="TableText"/>
              <w:jc w:val="center"/>
              <w:rPr>
                <w:b/>
                <w:lang w:eastAsia="en-NZ"/>
              </w:rPr>
            </w:pPr>
            <w:r w:rsidRPr="00BF21A7">
              <w:rPr>
                <w:b/>
                <w:lang w:eastAsia="en-NZ"/>
              </w:rPr>
              <w:t>Number treated with radiation</w:t>
            </w:r>
          </w:p>
        </w:tc>
        <w:tc>
          <w:tcPr>
            <w:tcW w:w="1417" w:type="dxa"/>
            <w:tcBorders>
              <w:top w:val="single" w:sz="4" w:space="0" w:color="auto"/>
              <w:bottom w:val="single" w:sz="4" w:space="0" w:color="auto"/>
            </w:tcBorders>
            <w:shd w:val="clear" w:color="auto" w:fill="auto"/>
            <w:noWrap/>
            <w:hideMark/>
          </w:tcPr>
          <w:p w14:paraId="5A87E119" w14:textId="77777777" w:rsidR="00E85766" w:rsidRPr="00BF21A7" w:rsidRDefault="00E85766" w:rsidP="00BF21A7">
            <w:pPr>
              <w:pStyle w:val="TableText"/>
              <w:jc w:val="center"/>
              <w:rPr>
                <w:b/>
                <w:lang w:eastAsia="en-NZ"/>
              </w:rPr>
            </w:pPr>
            <w:r w:rsidRPr="00BF21A7">
              <w:rPr>
                <w:b/>
                <w:lang w:eastAsia="en-NZ"/>
              </w:rPr>
              <w:t>Average IR</w:t>
            </w:r>
          </w:p>
        </w:tc>
        <w:tc>
          <w:tcPr>
            <w:tcW w:w="1418" w:type="dxa"/>
            <w:tcBorders>
              <w:top w:val="single" w:sz="4" w:space="0" w:color="auto"/>
              <w:bottom w:val="single" w:sz="4" w:space="0" w:color="auto"/>
            </w:tcBorders>
            <w:shd w:val="clear" w:color="auto" w:fill="auto"/>
            <w:noWrap/>
            <w:hideMark/>
          </w:tcPr>
          <w:p w14:paraId="29D36E46" w14:textId="77777777" w:rsidR="00E85766" w:rsidRPr="00BF21A7" w:rsidRDefault="00E85766" w:rsidP="00BF21A7">
            <w:pPr>
              <w:pStyle w:val="TableText"/>
              <w:jc w:val="center"/>
              <w:rPr>
                <w:b/>
                <w:lang w:eastAsia="en-NZ"/>
              </w:rPr>
            </w:pPr>
            <w:r w:rsidRPr="00BF21A7">
              <w:rPr>
                <w:b/>
                <w:lang w:eastAsia="en-NZ"/>
              </w:rPr>
              <w:t>Minimum DHB rate</w:t>
            </w:r>
          </w:p>
        </w:tc>
        <w:tc>
          <w:tcPr>
            <w:tcW w:w="1418" w:type="dxa"/>
            <w:tcBorders>
              <w:top w:val="single" w:sz="4" w:space="0" w:color="auto"/>
              <w:bottom w:val="single" w:sz="4" w:space="0" w:color="auto"/>
            </w:tcBorders>
            <w:shd w:val="clear" w:color="auto" w:fill="auto"/>
            <w:noWrap/>
            <w:hideMark/>
          </w:tcPr>
          <w:p w14:paraId="2F3A4660" w14:textId="77777777" w:rsidR="00E85766" w:rsidRPr="00BF21A7" w:rsidRDefault="00E85766" w:rsidP="00BF21A7">
            <w:pPr>
              <w:pStyle w:val="TableText"/>
              <w:jc w:val="center"/>
              <w:rPr>
                <w:b/>
                <w:lang w:eastAsia="en-NZ"/>
              </w:rPr>
            </w:pPr>
            <w:r w:rsidRPr="00BF21A7">
              <w:rPr>
                <w:b/>
                <w:lang w:eastAsia="en-NZ"/>
              </w:rPr>
              <w:t>Maximum DHB rate</w:t>
            </w:r>
          </w:p>
        </w:tc>
      </w:tr>
      <w:tr w:rsidR="00E85766" w:rsidRPr="00601A89" w14:paraId="4984DF4A" w14:textId="77777777" w:rsidTr="00BF21A7">
        <w:trPr>
          <w:cantSplit/>
        </w:trPr>
        <w:tc>
          <w:tcPr>
            <w:tcW w:w="1193" w:type="dxa"/>
            <w:tcBorders>
              <w:top w:val="single" w:sz="4" w:space="0" w:color="auto"/>
              <w:bottom w:val="single" w:sz="4" w:space="0" w:color="A6A6A6" w:themeColor="background1" w:themeShade="A6"/>
            </w:tcBorders>
            <w:shd w:val="clear" w:color="auto" w:fill="auto"/>
            <w:noWrap/>
            <w:hideMark/>
          </w:tcPr>
          <w:p w14:paraId="53D41B1C" w14:textId="77777777" w:rsidR="00E85766" w:rsidRPr="00601A89" w:rsidRDefault="00E85766" w:rsidP="00BF21A7">
            <w:pPr>
              <w:pStyle w:val="TableText"/>
              <w:rPr>
                <w:color w:val="000000"/>
                <w:lang w:eastAsia="en-NZ"/>
              </w:rPr>
            </w:pPr>
            <w:r w:rsidRPr="00601A89">
              <w:rPr>
                <w:color w:val="000000"/>
                <w:lang w:eastAsia="en-NZ"/>
              </w:rPr>
              <w:t>Breast</w:t>
            </w:r>
          </w:p>
        </w:tc>
        <w:tc>
          <w:tcPr>
            <w:tcW w:w="2209" w:type="dxa"/>
            <w:tcBorders>
              <w:top w:val="single" w:sz="4" w:space="0" w:color="auto"/>
              <w:bottom w:val="single" w:sz="4" w:space="0" w:color="A6A6A6" w:themeColor="background1" w:themeShade="A6"/>
            </w:tcBorders>
            <w:shd w:val="clear" w:color="auto" w:fill="auto"/>
            <w:noWrap/>
            <w:hideMark/>
          </w:tcPr>
          <w:p w14:paraId="0B20D34C" w14:textId="77777777" w:rsidR="00E85766" w:rsidRPr="00601A89" w:rsidRDefault="00E85766" w:rsidP="00BF21A7">
            <w:pPr>
              <w:pStyle w:val="TableText"/>
              <w:tabs>
                <w:tab w:val="decimal" w:pos="1302"/>
              </w:tabs>
              <w:rPr>
                <w:color w:val="000000"/>
                <w:lang w:eastAsia="en-NZ"/>
              </w:rPr>
            </w:pPr>
            <w:r w:rsidRPr="00601A89">
              <w:rPr>
                <w:color w:val="000000"/>
                <w:lang w:eastAsia="en-NZ"/>
              </w:rPr>
              <w:t>3,056</w:t>
            </w:r>
          </w:p>
        </w:tc>
        <w:tc>
          <w:tcPr>
            <w:tcW w:w="1701" w:type="dxa"/>
            <w:tcBorders>
              <w:top w:val="single" w:sz="4" w:space="0" w:color="auto"/>
              <w:bottom w:val="single" w:sz="4" w:space="0" w:color="A6A6A6" w:themeColor="background1" w:themeShade="A6"/>
            </w:tcBorders>
            <w:shd w:val="clear" w:color="auto" w:fill="auto"/>
            <w:noWrap/>
            <w:hideMark/>
          </w:tcPr>
          <w:p w14:paraId="0556C116" w14:textId="77777777" w:rsidR="00E85766" w:rsidRPr="00601A89" w:rsidRDefault="00E85766" w:rsidP="00BF21A7">
            <w:pPr>
              <w:pStyle w:val="TableText"/>
              <w:tabs>
                <w:tab w:val="decimal" w:pos="1018"/>
              </w:tabs>
              <w:rPr>
                <w:color w:val="000000"/>
                <w:lang w:eastAsia="en-NZ"/>
              </w:rPr>
            </w:pPr>
            <w:r w:rsidRPr="00601A89">
              <w:rPr>
                <w:color w:val="000000"/>
                <w:lang w:eastAsia="en-NZ"/>
              </w:rPr>
              <w:t>1,970</w:t>
            </w:r>
          </w:p>
        </w:tc>
        <w:tc>
          <w:tcPr>
            <w:tcW w:w="1417" w:type="dxa"/>
            <w:tcBorders>
              <w:top w:val="single" w:sz="4" w:space="0" w:color="auto"/>
              <w:bottom w:val="single" w:sz="4" w:space="0" w:color="A6A6A6" w:themeColor="background1" w:themeShade="A6"/>
            </w:tcBorders>
            <w:shd w:val="clear" w:color="auto" w:fill="auto"/>
            <w:noWrap/>
            <w:hideMark/>
          </w:tcPr>
          <w:p w14:paraId="6C3A1E7D" w14:textId="77777777" w:rsidR="00E85766" w:rsidRPr="00601A89" w:rsidRDefault="00E85766" w:rsidP="00BF21A7">
            <w:pPr>
              <w:pStyle w:val="TableText"/>
              <w:jc w:val="center"/>
              <w:rPr>
                <w:color w:val="000000"/>
                <w:lang w:eastAsia="en-NZ"/>
              </w:rPr>
            </w:pPr>
            <w:r w:rsidRPr="00601A89">
              <w:rPr>
                <w:color w:val="000000"/>
                <w:lang w:eastAsia="en-NZ"/>
              </w:rPr>
              <w:t>64%</w:t>
            </w:r>
          </w:p>
        </w:tc>
        <w:tc>
          <w:tcPr>
            <w:tcW w:w="1418" w:type="dxa"/>
            <w:tcBorders>
              <w:top w:val="single" w:sz="4" w:space="0" w:color="auto"/>
              <w:bottom w:val="single" w:sz="4" w:space="0" w:color="A6A6A6" w:themeColor="background1" w:themeShade="A6"/>
            </w:tcBorders>
            <w:shd w:val="clear" w:color="auto" w:fill="auto"/>
            <w:noWrap/>
            <w:hideMark/>
          </w:tcPr>
          <w:p w14:paraId="0CB095C7" w14:textId="77777777" w:rsidR="00E85766" w:rsidRPr="00601A89" w:rsidRDefault="00E85766" w:rsidP="00BF21A7">
            <w:pPr>
              <w:pStyle w:val="TableText"/>
              <w:tabs>
                <w:tab w:val="decimal" w:pos="709"/>
              </w:tabs>
              <w:rPr>
                <w:color w:val="000000"/>
                <w:lang w:eastAsia="en-NZ"/>
              </w:rPr>
            </w:pPr>
            <w:r w:rsidRPr="00601A89">
              <w:rPr>
                <w:color w:val="000000"/>
                <w:lang w:eastAsia="en-NZ"/>
              </w:rPr>
              <w:t>40%</w:t>
            </w:r>
          </w:p>
        </w:tc>
        <w:tc>
          <w:tcPr>
            <w:tcW w:w="1418" w:type="dxa"/>
            <w:tcBorders>
              <w:top w:val="single" w:sz="4" w:space="0" w:color="auto"/>
              <w:bottom w:val="single" w:sz="4" w:space="0" w:color="A6A6A6" w:themeColor="background1" w:themeShade="A6"/>
            </w:tcBorders>
            <w:shd w:val="clear" w:color="auto" w:fill="auto"/>
            <w:noWrap/>
            <w:hideMark/>
          </w:tcPr>
          <w:p w14:paraId="6D6EAA37" w14:textId="77777777" w:rsidR="00E85766" w:rsidRPr="00601A89" w:rsidRDefault="00E85766" w:rsidP="00BF21A7">
            <w:pPr>
              <w:pStyle w:val="TableText"/>
              <w:jc w:val="center"/>
              <w:rPr>
                <w:color w:val="000000"/>
                <w:lang w:eastAsia="en-NZ"/>
              </w:rPr>
            </w:pPr>
            <w:r w:rsidRPr="00601A89">
              <w:rPr>
                <w:color w:val="000000"/>
                <w:lang w:eastAsia="en-NZ"/>
              </w:rPr>
              <w:t>81%</w:t>
            </w:r>
          </w:p>
        </w:tc>
      </w:tr>
      <w:tr w:rsidR="00E85766" w:rsidRPr="00601A89" w14:paraId="53862905" w14:textId="77777777" w:rsidTr="00BF21A7">
        <w:trPr>
          <w:cantSplit/>
        </w:trPr>
        <w:tc>
          <w:tcPr>
            <w:tcW w:w="1193" w:type="dxa"/>
            <w:tcBorders>
              <w:top w:val="single" w:sz="4" w:space="0" w:color="A6A6A6" w:themeColor="background1" w:themeShade="A6"/>
              <w:bottom w:val="single" w:sz="4" w:space="0" w:color="A6A6A6" w:themeColor="background1" w:themeShade="A6"/>
            </w:tcBorders>
            <w:shd w:val="clear" w:color="auto" w:fill="auto"/>
            <w:noWrap/>
            <w:hideMark/>
          </w:tcPr>
          <w:p w14:paraId="0976F586" w14:textId="77777777" w:rsidR="00E85766" w:rsidRPr="00601A89" w:rsidRDefault="00E85766" w:rsidP="00BF21A7">
            <w:pPr>
              <w:pStyle w:val="TableText"/>
              <w:rPr>
                <w:color w:val="000000"/>
                <w:lang w:eastAsia="en-NZ"/>
              </w:rPr>
            </w:pPr>
            <w:r w:rsidRPr="00601A89">
              <w:rPr>
                <w:color w:val="000000"/>
                <w:lang w:eastAsia="en-NZ"/>
              </w:rPr>
              <w:t>Prostate</w:t>
            </w:r>
          </w:p>
        </w:tc>
        <w:tc>
          <w:tcPr>
            <w:tcW w:w="2209" w:type="dxa"/>
            <w:tcBorders>
              <w:top w:val="single" w:sz="4" w:space="0" w:color="A6A6A6" w:themeColor="background1" w:themeShade="A6"/>
              <w:bottom w:val="single" w:sz="4" w:space="0" w:color="A6A6A6" w:themeColor="background1" w:themeShade="A6"/>
            </w:tcBorders>
            <w:shd w:val="clear" w:color="auto" w:fill="auto"/>
            <w:noWrap/>
            <w:hideMark/>
          </w:tcPr>
          <w:p w14:paraId="33B5CEC7" w14:textId="77777777" w:rsidR="00E85766" w:rsidRPr="00601A89" w:rsidRDefault="00E85766" w:rsidP="00BF21A7">
            <w:pPr>
              <w:pStyle w:val="TableText"/>
              <w:tabs>
                <w:tab w:val="decimal" w:pos="1302"/>
              </w:tabs>
              <w:rPr>
                <w:color w:val="000000"/>
                <w:lang w:eastAsia="en-NZ"/>
              </w:rPr>
            </w:pPr>
            <w:r w:rsidRPr="00601A89">
              <w:rPr>
                <w:color w:val="000000"/>
                <w:lang w:eastAsia="en-NZ"/>
              </w:rPr>
              <w:t>3,627</w:t>
            </w:r>
          </w:p>
        </w:tc>
        <w:tc>
          <w:tcPr>
            <w:tcW w:w="1701" w:type="dxa"/>
            <w:tcBorders>
              <w:top w:val="single" w:sz="4" w:space="0" w:color="A6A6A6" w:themeColor="background1" w:themeShade="A6"/>
              <w:bottom w:val="single" w:sz="4" w:space="0" w:color="A6A6A6" w:themeColor="background1" w:themeShade="A6"/>
            </w:tcBorders>
            <w:shd w:val="clear" w:color="auto" w:fill="auto"/>
            <w:noWrap/>
            <w:hideMark/>
          </w:tcPr>
          <w:p w14:paraId="60CA6B81" w14:textId="77777777" w:rsidR="00E85766" w:rsidRPr="00601A89" w:rsidRDefault="00E85766" w:rsidP="00BF21A7">
            <w:pPr>
              <w:pStyle w:val="TableText"/>
              <w:tabs>
                <w:tab w:val="decimal" w:pos="1018"/>
              </w:tabs>
              <w:rPr>
                <w:color w:val="000000"/>
                <w:lang w:eastAsia="en-NZ"/>
              </w:rPr>
            </w:pPr>
            <w:r w:rsidRPr="00601A89">
              <w:rPr>
                <w:color w:val="000000"/>
                <w:lang w:eastAsia="en-NZ"/>
              </w:rPr>
              <w:t>863</w:t>
            </w:r>
          </w:p>
        </w:tc>
        <w:tc>
          <w:tcPr>
            <w:tcW w:w="1417" w:type="dxa"/>
            <w:tcBorders>
              <w:top w:val="single" w:sz="4" w:space="0" w:color="A6A6A6" w:themeColor="background1" w:themeShade="A6"/>
              <w:bottom w:val="single" w:sz="4" w:space="0" w:color="A6A6A6" w:themeColor="background1" w:themeShade="A6"/>
            </w:tcBorders>
            <w:shd w:val="clear" w:color="auto" w:fill="auto"/>
            <w:noWrap/>
            <w:hideMark/>
          </w:tcPr>
          <w:p w14:paraId="508B0B14" w14:textId="77777777" w:rsidR="00E85766" w:rsidRPr="00601A89" w:rsidRDefault="00E85766" w:rsidP="00BF21A7">
            <w:pPr>
              <w:pStyle w:val="TableText"/>
              <w:jc w:val="center"/>
              <w:rPr>
                <w:color w:val="000000"/>
                <w:lang w:eastAsia="en-NZ"/>
              </w:rPr>
            </w:pPr>
            <w:r w:rsidRPr="00601A89">
              <w:rPr>
                <w:color w:val="000000"/>
                <w:lang w:eastAsia="en-NZ"/>
              </w:rPr>
              <w:t>24%</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14:paraId="0134E898" w14:textId="77777777" w:rsidR="00E85766" w:rsidRPr="00601A89" w:rsidRDefault="00E85766" w:rsidP="00BF21A7">
            <w:pPr>
              <w:pStyle w:val="TableText"/>
              <w:tabs>
                <w:tab w:val="decimal" w:pos="709"/>
              </w:tabs>
              <w:rPr>
                <w:color w:val="000000"/>
                <w:lang w:eastAsia="en-NZ"/>
              </w:rPr>
            </w:pPr>
            <w:r w:rsidRPr="00601A89">
              <w:rPr>
                <w:color w:val="000000"/>
                <w:lang w:eastAsia="en-NZ"/>
              </w:rPr>
              <w:t>7%</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14:paraId="65CBB907" w14:textId="77777777" w:rsidR="00E85766" w:rsidRPr="00601A89" w:rsidRDefault="00E85766" w:rsidP="00BF21A7">
            <w:pPr>
              <w:pStyle w:val="TableText"/>
              <w:jc w:val="center"/>
              <w:rPr>
                <w:color w:val="000000"/>
                <w:lang w:eastAsia="en-NZ"/>
              </w:rPr>
            </w:pPr>
            <w:r w:rsidRPr="00601A89">
              <w:rPr>
                <w:color w:val="000000"/>
                <w:lang w:eastAsia="en-NZ"/>
              </w:rPr>
              <w:t>34%</w:t>
            </w:r>
          </w:p>
        </w:tc>
      </w:tr>
      <w:tr w:rsidR="00E85766" w:rsidRPr="00601A89" w14:paraId="65EF7214" w14:textId="77777777" w:rsidTr="00BF21A7">
        <w:trPr>
          <w:cantSplit/>
        </w:trPr>
        <w:tc>
          <w:tcPr>
            <w:tcW w:w="1193" w:type="dxa"/>
            <w:tcBorders>
              <w:top w:val="single" w:sz="4" w:space="0" w:color="A6A6A6" w:themeColor="background1" w:themeShade="A6"/>
              <w:bottom w:val="single" w:sz="4" w:space="0" w:color="A6A6A6" w:themeColor="background1" w:themeShade="A6"/>
            </w:tcBorders>
            <w:shd w:val="clear" w:color="auto" w:fill="auto"/>
            <w:noWrap/>
            <w:hideMark/>
          </w:tcPr>
          <w:p w14:paraId="5CE08433" w14:textId="77777777" w:rsidR="00E85766" w:rsidRPr="00601A89" w:rsidRDefault="00E85766" w:rsidP="00BF21A7">
            <w:pPr>
              <w:pStyle w:val="TableText"/>
              <w:rPr>
                <w:color w:val="000000"/>
                <w:lang w:eastAsia="en-NZ"/>
              </w:rPr>
            </w:pPr>
            <w:r w:rsidRPr="00601A89">
              <w:rPr>
                <w:color w:val="000000"/>
                <w:lang w:eastAsia="en-NZ"/>
              </w:rPr>
              <w:t>Lung</w:t>
            </w:r>
          </w:p>
        </w:tc>
        <w:tc>
          <w:tcPr>
            <w:tcW w:w="2209" w:type="dxa"/>
            <w:tcBorders>
              <w:top w:val="single" w:sz="4" w:space="0" w:color="A6A6A6" w:themeColor="background1" w:themeShade="A6"/>
              <w:bottom w:val="single" w:sz="4" w:space="0" w:color="A6A6A6" w:themeColor="background1" w:themeShade="A6"/>
            </w:tcBorders>
            <w:shd w:val="clear" w:color="auto" w:fill="auto"/>
            <w:noWrap/>
            <w:hideMark/>
          </w:tcPr>
          <w:p w14:paraId="2C3C7B22" w14:textId="77777777" w:rsidR="00E85766" w:rsidRPr="00601A89" w:rsidRDefault="00E85766" w:rsidP="00BF21A7">
            <w:pPr>
              <w:pStyle w:val="TableText"/>
              <w:tabs>
                <w:tab w:val="decimal" w:pos="1302"/>
              </w:tabs>
              <w:rPr>
                <w:color w:val="000000"/>
                <w:lang w:eastAsia="en-NZ"/>
              </w:rPr>
            </w:pPr>
            <w:r w:rsidRPr="00601A89">
              <w:rPr>
                <w:color w:val="000000"/>
                <w:lang w:eastAsia="en-NZ"/>
              </w:rPr>
              <w:t>2,038</w:t>
            </w:r>
          </w:p>
        </w:tc>
        <w:tc>
          <w:tcPr>
            <w:tcW w:w="1701" w:type="dxa"/>
            <w:tcBorders>
              <w:top w:val="single" w:sz="4" w:space="0" w:color="A6A6A6" w:themeColor="background1" w:themeShade="A6"/>
              <w:bottom w:val="single" w:sz="4" w:space="0" w:color="A6A6A6" w:themeColor="background1" w:themeShade="A6"/>
            </w:tcBorders>
            <w:shd w:val="clear" w:color="auto" w:fill="auto"/>
            <w:noWrap/>
            <w:hideMark/>
          </w:tcPr>
          <w:p w14:paraId="274CA2B1" w14:textId="77777777" w:rsidR="00E85766" w:rsidRPr="00601A89" w:rsidRDefault="00E85766" w:rsidP="00BF21A7">
            <w:pPr>
              <w:pStyle w:val="TableText"/>
              <w:tabs>
                <w:tab w:val="decimal" w:pos="1018"/>
              </w:tabs>
              <w:rPr>
                <w:color w:val="000000"/>
                <w:lang w:eastAsia="en-NZ"/>
              </w:rPr>
            </w:pPr>
            <w:r w:rsidRPr="00601A89">
              <w:rPr>
                <w:color w:val="000000"/>
                <w:lang w:eastAsia="en-NZ"/>
              </w:rPr>
              <w:t>273</w:t>
            </w:r>
          </w:p>
        </w:tc>
        <w:tc>
          <w:tcPr>
            <w:tcW w:w="1417" w:type="dxa"/>
            <w:tcBorders>
              <w:top w:val="single" w:sz="4" w:space="0" w:color="A6A6A6" w:themeColor="background1" w:themeShade="A6"/>
              <w:bottom w:val="single" w:sz="4" w:space="0" w:color="A6A6A6" w:themeColor="background1" w:themeShade="A6"/>
            </w:tcBorders>
            <w:shd w:val="clear" w:color="auto" w:fill="auto"/>
            <w:noWrap/>
            <w:hideMark/>
          </w:tcPr>
          <w:p w14:paraId="420A23E3" w14:textId="77777777" w:rsidR="00E85766" w:rsidRPr="00601A89" w:rsidRDefault="00E85766" w:rsidP="00BF21A7">
            <w:pPr>
              <w:pStyle w:val="TableText"/>
              <w:jc w:val="center"/>
              <w:rPr>
                <w:color w:val="000000"/>
                <w:lang w:eastAsia="en-NZ"/>
              </w:rPr>
            </w:pPr>
            <w:r w:rsidRPr="00601A89">
              <w:rPr>
                <w:color w:val="000000"/>
                <w:lang w:eastAsia="en-NZ"/>
              </w:rPr>
              <w:t>13%</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14:paraId="1A0F8F2A" w14:textId="77777777" w:rsidR="00E85766" w:rsidRPr="00601A89" w:rsidRDefault="00E85766" w:rsidP="00BF21A7">
            <w:pPr>
              <w:pStyle w:val="TableText"/>
              <w:tabs>
                <w:tab w:val="decimal" w:pos="709"/>
              </w:tabs>
              <w:rPr>
                <w:color w:val="000000"/>
                <w:lang w:eastAsia="en-NZ"/>
              </w:rPr>
            </w:pPr>
            <w:r w:rsidRPr="00601A89">
              <w:rPr>
                <w:color w:val="000000"/>
                <w:lang w:eastAsia="en-NZ"/>
              </w:rPr>
              <w:t>8%</w:t>
            </w:r>
          </w:p>
        </w:tc>
        <w:tc>
          <w:tcPr>
            <w:tcW w:w="1418" w:type="dxa"/>
            <w:tcBorders>
              <w:top w:val="single" w:sz="4" w:space="0" w:color="A6A6A6" w:themeColor="background1" w:themeShade="A6"/>
              <w:bottom w:val="single" w:sz="4" w:space="0" w:color="A6A6A6" w:themeColor="background1" w:themeShade="A6"/>
            </w:tcBorders>
            <w:shd w:val="clear" w:color="auto" w:fill="auto"/>
            <w:noWrap/>
            <w:hideMark/>
          </w:tcPr>
          <w:p w14:paraId="61F3ED9C" w14:textId="77777777" w:rsidR="00E85766" w:rsidRPr="00601A89" w:rsidRDefault="00E85766" w:rsidP="00BF21A7">
            <w:pPr>
              <w:pStyle w:val="TableText"/>
              <w:jc w:val="center"/>
              <w:rPr>
                <w:color w:val="000000"/>
                <w:lang w:eastAsia="en-NZ"/>
              </w:rPr>
            </w:pPr>
            <w:r w:rsidRPr="00601A89">
              <w:rPr>
                <w:color w:val="000000"/>
                <w:lang w:eastAsia="en-NZ"/>
              </w:rPr>
              <w:t>17%</w:t>
            </w:r>
          </w:p>
        </w:tc>
      </w:tr>
      <w:tr w:rsidR="00E85766" w:rsidRPr="00601A89" w14:paraId="6ED30CC7" w14:textId="77777777" w:rsidTr="00BF21A7">
        <w:trPr>
          <w:cantSplit/>
        </w:trPr>
        <w:tc>
          <w:tcPr>
            <w:tcW w:w="1193" w:type="dxa"/>
            <w:tcBorders>
              <w:top w:val="single" w:sz="4" w:space="0" w:color="A6A6A6" w:themeColor="background1" w:themeShade="A6"/>
            </w:tcBorders>
            <w:shd w:val="clear" w:color="auto" w:fill="auto"/>
            <w:noWrap/>
            <w:hideMark/>
          </w:tcPr>
          <w:p w14:paraId="2DF86580" w14:textId="77777777" w:rsidR="00E85766" w:rsidRPr="00601A89" w:rsidRDefault="00E85766" w:rsidP="00BF21A7">
            <w:pPr>
              <w:pStyle w:val="TableText"/>
              <w:rPr>
                <w:color w:val="000000"/>
                <w:lang w:eastAsia="en-NZ"/>
              </w:rPr>
            </w:pPr>
            <w:r w:rsidRPr="00601A89">
              <w:rPr>
                <w:color w:val="000000"/>
                <w:lang w:eastAsia="en-NZ"/>
              </w:rPr>
              <w:t>Rectum</w:t>
            </w:r>
          </w:p>
        </w:tc>
        <w:tc>
          <w:tcPr>
            <w:tcW w:w="2209" w:type="dxa"/>
            <w:tcBorders>
              <w:top w:val="single" w:sz="4" w:space="0" w:color="A6A6A6" w:themeColor="background1" w:themeShade="A6"/>
            </w:tcBorders>
            <w:shd w:val="clear" w:color="auto" w:fill="auto"/>
            <w:noWrap/>
            <w:hideMark/>
          </w:tcPr>
          <w:p w14:paraId="2D5A991F" w14:textId="77777777" w:rsidR="00E85766" w:rsidRPr="00601A89" w:rsidRDefault="00E85766" w:rsidP="00BF21A7">
            <w:pPr>
              <w:pStyle w:val="TableText"/>
              <w:tabs>
                <w:tab w:val="decimal" w:pos="1302"/>
              </w:tabs>
              <w:rPr>
                <w:color w:val="000000"/>
                <w:lang w:eastAsia="en-NZ"/>
              </w:rPr>
            </w:pPr>
            <w:r w:rsidRPr="00601A89">
              <w:rPr>
                <w:color w:val="000000"/>
                <w:lang w:eastAsia="en-NZ"/>
              </w:rPr>
              <w:t>798</w:t>
            </w:r>
          </w:p>
        </w:tc>
        <w:tc>
          <w:tcPr>
            <w:tcW w:w="1701" w:type="dxa"/>
            <w:tcBorders>
              <w:top w:val="single" w:sz="4" w:space="0" w:color="A6A6A6" w:themeColor="background1" w:themeShade="A6"/>
            </w:tcBorders>
            <w:shd w:val="clear" w:color="auto" w:fill="auto"/>
            <w:noWrap/>
            <w:hideMark/>
          </w:tcPr>
          <w:p w14:paraId="07B107E4" w14:textId="77777777" w:rsidR="00E85766" w:rsidRPr="00601A89" w:rsidRDefault="00E85766" w:rsidP="00BF21A7">
            <w:pPr>
              <w:pStyle w:val="TableText"/>
              <w:tabs>
                <w:tab w:val="decimal" w:pos="1018"/>
              </w:tabs>
              <w:rPr>
                <w:color w:val="000000"/>
                <w:lang w:eastAsia="en-NZ"/>
              </w:rPr>
            </w:pPr>
            <w:r w:rsidRPr="00601A89">
              <w:rPr>
                <w:color w:val="000000"/>
                <w:lang w:eastAsia="en-NZ"/>
              </w:rPr>
              <w:t>400</w:t>
            </w:r>
          </w:p>
        </w:tc>
        <w:tc>
          <w:tcPr>
            <w:tcW w:w="1417" w:type="dxa"/>
            <w:tcBorders>
              <w:top w:val="single" w:sz="4" w:space="0" w:color="A6A6A6" w:themeColor="background1" w:themeShade="A6"/>
            </w:tcBorders>
            <w:shd w:val="clear" w:color="auto" w:fill="auto"/>
            <w:noWrap/>
            <w:hideMark/>
          </w:tcPr>
          <w:p w14:paraId="2D887033" w14:textId="77777777" w:rsidR="00E85766" w:rsidRPr="00601A89" w:rsidRDefault="00E85766" w:rsidP="00BF21A7">
            <w:pPr>
              <w:pStyle w:val="TableText"/>
              <w:jc w:val="center"/>
              <w:rPr>
                <w:color w:val="000000"/>
                <w:lang w:eastAsia="en-NZ"/>
              </w:rPr>
            </w:pPr>
            <w:r w:rsidRPr="00601A89">
              <w:rPr>
                <w:color w:val="000000"/>
                <w:lang w:eastAsia="en-NZ"/>
              </w:rPr>
              <w:t>50%</w:t>
            </w:r>
          </w:p>
        </w:tc>
        <w:tc>
          <w:tcPr>
            <w:tcW w:w="1418" w:type="dxa"/>
            <w:tcBorders>
              <w:top w:val="single" w:sz="4" w:space="0" w:color="A6A6A6" w:themeColor="background1" w:themeShade="A6"/>
            </w:tcBorders>
            <w:shd w:val="clear" w:color="auto" w:fill="auto"/>
            <w:noWrap/>
            <w:hideMark/>
          </w:tcPr>
          <w:p w14:paraId="66451B1C" w14:textId="77777777" w:rsidR="00E85766" w:rsidRPr="00601A89" w:rsidRDefault="00E85766" w:rsidP="00BF21A7">
            <w:pPr>
              <w:pStyle w:val="TableText"/>
              <w:tabs>
                <w:tab w:val="decimal" w:pos="709"/>
              </w:tabs>
              <w:rPr>
                <w:color w:val="000000"/>
                <w:lang w:eastAsia="en-NZ"/>
              </w:rPr>
            </w:pPr>
            <w:r w:rsidRPr="00601A89">
              <w:rPr>
                <w:color w:val="000000"/>
                <w:lang w:eastAsia="en-NZ"/>
              </w:rPr>
              <w:t>36%</w:t>
            </w:r>
          </w:p>
        </w:tc>
        <w:tc>
          <w:tcPr>
            <w:tcW w:w="1418" w:type="dxa"/>
            <w:tcBorders>
              <w:top w:val="single" w:sz="4" w:space="0" w:color="A6A6A6" w:themeColor="background1" w:themeShade="A6"/>
            </w:tcBorders>
            <w:shd w:val="clear" w:color="auto" w:fill="auto"/>
            <w:noWrap/>
            <w:hideMark/>
          </w:tcPr>
          <w:p w14:paraId="042DDF10" w14:textId="77777777" w:rsidR="00E85766" w:rsidRPr="00601A89" w:rsidRDefault="00E85766" w:rsidP="00BF21A7">
            <w:pPr>
              <w:pStyle w:val="TableText"/>
              <w:jc w:val="center"/>
              <w:rPr>
                <w:color w:val="000000"/>
                <w:lang w:eastAsia="en-NZ"/>
              </w:rPr>
            </w:pPr>
            <w:r w:rsidRPr="00601A89">
              <w:rPr>
                <w:color w:val="000000"/>
                <w:lang w:eastAsia="en-NZ"/>
              </w:rPr>
              <w:t>71%</w:t>
            </w:r>
          </w:p>
        </w:tc>
      </w:tr>
    </w:tbl>
    <w:p w14:paraId="319E0F54" w14:textId="77777777" w:rsidR="007A6454" w:rsidRDefault="00E85766" w:rsidP="00BF21A7">
      <w:pPr>
        <w:pStyle w:val="Source"/>
      </w:pPr>
      <w:r w:rsidRPr="00601A89">
        <w:t>Source: Radiation oncology provisional data, EY analysis. Cancer registrations estimated for 2014</w:t>
      </w:r>
      <w:r>
        <w:t>–</w:t>
      </w:r>
      <w:r w:rsidRPr="00601A89">
        <w:t>2015.</w:t>
      </w:r>
    </w:p>
    <w:p w14:paraId="17BEC5B0" w14:textId="2397613C" w:rsidR="007A6454" w:rsidRDefault="00E85766" w:rsidP="00BF21A7">
      <w:pPr>
        <w:pStyle w:val="Note"/>
      </w:pPr>
      <w:r w:rsidRPr="006D0131">
        <w:t>Note: IR</w:t>
      </w:r>
      <w:r w:rsidR="00B11E88">
        <w:t xml:space="preserve"> </w:t>
      </w:r>
      <w:r w:rsidRPr="006D0131">
        <w:t>= intervention rate. Average IR refers to the proportion of all registered cancers that are treated with at least one curative course of radiation therapy for that specific tumour type. Minimum DHB rate = lowest proportion by DHB of domicile; Maximum DHB rate = highest proportion by DHB of domicile.</w:t>
      </w:r>
    </w:p>
    <w:p w14:paraId="0CB29EF2" w14:textId="77777777" w:rsidR="00BF21A7" w:rsidRPr="00BF21A7" w:rsidRDefault="00BF21A7" w:rsidP="00BF21A7"/>
    <w:p w14:paraId="3B88719F" w14:textId="77777777" w:rsidR="00E85766" w:rsidRPr="00601A89" w:rsidRDefault="00E85766" w:rsidP="00BF21A7">
      <w:pPr>
        <w:pStyle w:val="Heading3"/>
      </w:pPr>
      <w:bookmarkStart w:id="33" w:name="_Toc470858844"/>
      <w:r w:rsidRPr="00601A89">
        <w:t>Capacity</w:t>
      </w:r>
      <w:bookmarkEnd w:id="33"/>
    </w:p>
    <w:p w14:paraId="7C7BB414" w14:textId="77777777" w:rsidR="007A6454" w:rsidRDefault="00E85766" w:rsidP="00BF21A7">
      <w:r w:rsidRPr="00601A89">
        <w:t xml:space="preserve">As </w:t>
      </w:r>
      <w:r>
        <w:t>s</w:t>
      </w:r>
      <w:r w:rsidRPr="00601A89">
        <w:t>ection 3.1</w:t>
      </w:r>
      <w:r>
        <w:t xml:space="preserve"> notes</w:t>
      </w:r>
      <w:r w:rsidRPr="00601A89">
        <w:t>, the Service Planning Tool has been updated with the new provisional data. Based on current operational parameters (treatment visits per course and treatment times),</w:t>
      </w:r>
      <w:r>
        <w:t xml:space="preserve"> </w:t>
      </w:r>
      <w:r w:rsidRPr="00601A89">
        <w:t xml:space="preserve">linac numbers and operating hours, and given no increase in IRs, New Zealand might need </w:t>
      </w:r>
      <w:r w:rsidRPr="00601A89">
        <w:rPr>
          <w:b/>
        </w:rPr>
        <w:t>five to six</w:t>
      </w:r>
      <w:r w:rsidRPr="00601A89">
        <w:t xml:space="preserve"> additional linacs by 2023</w:t>
      </w:r>
      <w:r>
        <w:t>.</w:t>
      </w:r>
      <w:r w:rsidRPr="00BF21A7">
        <w:rPr>
          <w:rStyle w:val="FootnoteReference"/>
        </w:rPr>
        <w:footnoteReference w:id="3"/>
      </w:r>
      <w:r w:rsidRPr="00601A89">
        <w:t xml:space="preserve"> This </w:t>
      </w:r>
      <w:r>
        <w:t>additional demand will come</w:t>
      </w:r>
      <w:r w:rsidRPr="00601A89">
        <w:t xml:space="preserve"> from the growth in</w:t>
      </w:r>
      <w:r w:rsidRPr="003E188C">
        <w:t xml:space="preserve"> </w:t>
      </w:r>
      <w:r w:rsidRPr="00601A89">
        <w:t>both the overall population and the older population</w:t>
      </w:r>
      <w:r>
        <w:t>, which t</w:t>
      </w:r>
      <w:r w:rsidRPr="00601A89">
        <w:t xml:space="preserve">ogether </w:t>
      </w:r>
      <w:r>
        <w:t xml:space="preserve">will </w:t>
      </w:r>
      <w:r w:rsidRPr="00601A89">
        <w:t>increase the number of cancers expected</w:t>
      </w:r>
      <w:r>
        <w:t xml:space="preserve"> and</w:t>
      </w:r>
      <w:r w:rsidRPr="00601A89">
        <w:t xml:space="preserve"> therefore the number of people undergoing radiation treatment. This</w:t>
      </w:r>
      <w:r>
        <w:t xml:space="preserve"> increased demand</w:t>
      </w:r>
      <w:r w:rsidRPr="00601A89">
        <w:t xml:space="preserve"> is offset a little by the expected fall in incidence of some cancers – for example,</w:t>
      </w:r>
      <w:r>
        <w:t xml:space="preserve"> in</w:t>
      </w:r>
      <w:r w:rsidRPr="00601A89">
        <w:t xml:space="preserve"> lung </w:t>
      </w:r>
      <w:r>
        <w:t xml:space="preserve">cancer </w:t>
      </w:r>
      <w:r w:rsidRPr="00601A89">
        <w:t>th</w:t>
      </w:r>
      <w:r>
        <w:t>r</w:t>
      </w:r>
      <w:r w:rsidRPr="00601A89">
        <w:t>ough the reduction in tobacco smoking. Note that this</w:t>
      </w:r>
      <w:r>
        <w:t xml:space="preserve"> prediction</w:t>
      </w:r>
      <w:r w:rsidRPr="00601A89">
        <w:t xml:space="preserve"> assumes the current mix of public and private provision continues, and that each radiation oncology provider maintains its current catchment.</w:t>
      </w:r>
    </w:p>
    <w:p w14:paraId="30B862DF" w14:textId="77777777" w:rsidR="00E85766" w:rsidRPr="00601A89" w:rsidRDefault="00E85766" w:rsidP="00BF21A7"/>
    <w:p w14:paraId="2CB5C560" w14:textId="77777777" w:rsidR="00E85766" w:rsidRPr="00601A89" w:rsidRDefault="00E85766" w:rsidP="00BF21A7">
      <w:pPr>
        <w:keepLines/>
      </w:pPr>
      <w:r>
        <w:lastRenderedPageBreak/>
        <w:t>T</w:t>
      </w:r>
      <w:r w:rsidRPr="00601A89">
        <w:t>o provide the</w:t>
      </w:r>
      <w:r>
        <w:t>se</w:t>
      </w:r>
      <w:r w:rsidRPr="00601A89">
        <w:t xml:space="preserve"> additional courses</w:t>
      </w:r>
      <w:r>
        <w:t>, a larger workforce will be needed</w:t>
      </w:r>
      <w:r w:rsidRPr="00601A89">
        <w:t xml:space="preserve">. Based on current workforce provisioning (and assuming current vacancies are filled), </w:t>
      </w:r>
      <w:r>
        <w:t>the</w:t>
      </w:r>
      <w:r w:rsidRPr="00601A89">
        <w:t xml:space="preserve"> estimated </w:t>
      </w:r>
      <w:r>
        <w:t xml:space="preserve">need is for an </w:t>
      </w:r>
      <w:r w:rsidRPr="00601A89">
        <w:t>additional 28 radiation oncologists, 24 medical physicists and 70 radiation therapists by 2023 to maintain current IRs. Current workloads are assumed to continue</w:t>
      </w:r>
      <w:r>
        <w:t>;</w:t>
      </w:r>
      <w:r w:rsidRPr="00601A89">
        <w:t xml:space="preserve"> for example, if overtime is </w:t>
      </w:r>
      <w:r>
        <w:t>used</w:t>
      </w:r>
      <w:r w:rsidRPr="00601A89">
        <w:t xml:space="preserve"> extensive</w:t>
      </w:r>
      <w:r>
        <w:t>ly</w:t>
      </w:r>
      <w:r w:rsidRPr="00601A89">
        <w:t xml:space="preserve"> now, then that would continue into the future.</w:t>
      </w:r>
    </w:p>
    <w:p w14:paraId="5461CED6" w14:textId="77777777" w:rsidR="00E85766" w:rsidRPr="00601A89" w:rsidRDefault="00E85766" w:rsidP="00BF21A7"/>
    <w:p w14:paraId="4748D536" w14:textId="77777777" w:rsidR="007A6454" w:rsidRDefault="00E85766" w:rsidP="00BF21A7">
      <w:r w:rsidRPr="00601A89">
        <w:t xml:space="preserve">If the IR rises over </w:t>
      </w:r>
      <w:r>
        <w:t>future years,</w:t>
      </w:r>
      <w:r w:rsidRPr="00601A89">
        <w:t xml:space="preserve"> then the number of linacs required will increase. Each percentage point increase in IR equates to roughly an extra linac over time for the New Zealand population – rising to 42 needed from the 31 available in 2015, if an IR of 45</w:t>
      </w:r>
      <w:r w:rsidR="00BF21A7">
        <w:t> percent</w:t>
      </w:r>
      <w:r w:rsidRPr="00601A89">
        <w:t xml:space="preserve"> is reached (a scenario based on all DHBs reaching a rate equal to the highest reached by a DHB in 2013</w:t>
      </w:r>
      <w:r>
        <w:t>–</w:t>
      </w:r>
      <w:r w:rsidRPr="00601A89">
        <w:t>2015</w:t>
      </w:r>
      <w:r>
        <w:t>)</w:t>
      </w:r>
      <w:r w:rsidRPr="00601A89">
        <w:t xml:space="preserve"> (see </w:t>
      </w:r>
      <w:r w:rsidRPr="00601A89">
        <w:fldChar w:fldCharType="begin"/>
      </w:r>
      <w:r w:rsidRPr="00601A89">
        <w:instrText xml:space="preserve"> REF _Ref454788193 \h  \* MERGEFORMAT </w:instrText>
      </w:r>
      <w:r w:rsidRPr="00601A89">
        <w:fldChar w:fldCharType="separate"/>
      </w:r>
      <w:r w:rsidR="00E2252F" w:rsidRPr="00601A89">
        <w:t xml:space="preserve">Figure </w:t>
      </w:r>
      <w:r w:rsidR="00E2252F">
        <w:rPr>
          <w:noProof/>
        </w:rPr>
        <w:t>2</w:t>
      </w:r>
      <w:r w:rsidRPr="00601A89">
        <w:fldChar w:fldCharType="end"/>
      </w:r>
      <w:r w:rsidRPr="00601A89">
        <w:t>). The subsequent treatment rate is held steady in these scenarios, as are the number of treatment visits per course and average time per treatment. The timing of any increase is illustrated in the Tool for each provider, with</w:t>
      </w:r>
      <w:r w:rsidRPr="00A86BB5">
        <w:t xml:space="preserve"> </w:t>
      </w:r>
      <w:r w:rsidRPr="00601A89">
        <w:t xml:space="preserve">local circumstances and demand </w:t>
      </w:r>
      <w:r>
        <w:t xml:space="preserve">determining </w:t>
      </w:r>
      <w:r w:rsidRPr="00601A89">
        <w:t>the actual development of additional capacity.</w:t>
      </w:r>
    </w:p>
    <w:p w14:paraId="502860EB" w14:textId="77777777" w:rsidR="00BF21A7" w:rsidRDefault="00BF21A7" w:rsidP="00BF21A7"/>
    <w:p w14:paraId="381AEB37" w14:textId="77777777" w:rsidR="00E85766" w:rsidRDefault="00E85766" w:rsidP="00BF21A7">
      <w:pPr>
        <w:pStyle w:val="Figure"/>
      </w:pPr>
      <w:bookmarkStart w:id="34" w:name="_Ref454788193"/>
      <w:bookmarkStart w:id="35" w:name="_Toc475954103"/>
      <w:r w:rsidRPr="00601A89">
        <w:t xml:space="preserve">Figure </w:t>
      </w:r>
      <w:r w:rsidR="003B40AB">
        <w:fldChar w:fldCharType="begin"/>
      </w:r>
      <w:r w:rsidR="003B40AB">
        <w:instrText xml:space="preserve"> SEQ Figure \* ARABIC </w:instrText>
      </w:r>
      <w:r w:rsidR="003B40AB">
        <w:fldChar w:fldCharType="separate"/>
      </w:r>
      <w:r w:rsidR="00E2252F">
        <w:rPr>
          <w:noProof/>
        </w:rPr>
        <w:t>2</w:t>
      </w:r>
      <w:r w:rsidR="003B40AB">
        <w:rPr>
          <w:noProof/>
        </w:rPr>
        <w:fldChar w:fldCharType="end"/>
      </w:r>
      <w:bookmarkEnd w:id="34"/>
      <w:r w:rsidRPr="00601A89">
        <w:t>: Provisional radiation oncology projected linear accelerator numbers based on different intervention rates</w:t>
      </w:r>
      <w:r>
        <w:t>,</w:t>
      </w:r>
      <w:r w:rsidRPr="00601A89">
        <w:t xml:space="preserve"> 2015</w:t>
      </w:r>
      <w:r>
        <w:t>–</w:t>
      </w:r>
      <w:r w:rsidRPr="00601A89">
        <w:t>2023</w:t>
      </w:r>
      <w:bookmarkEnd w:id="35"/>
    </w:p>
    <w:p w14:paraId="7BBE80A2" w14:textId="77777777" w:rsidR="00A76E02" w:rsidRPr="00A76E02" w:rsidRDefault="00A76E02" w:rsidP="00A76E02">
      <w:r w:rsidRPr="00A76E02">
        <w:rPr>
          <w:noProof/>
          <w:lang w:eastAsia="en-NZ"/>
        </w:rPr>
        <w:drawing>
          <wp:inline distT="0" distB="0" distL="0" distR="0" wp14:anchorId="34CA055C" wp14:editId="453C6C05">
            <wp:extent cx="4655127" cy="2855365"/>
            <wp:effectExtent l="0" t="0" r="0" b="2540"/>
            <wp:docPr id="1" name="Picture 1" title="Figure 2: Provisional radiation oncology projected linear accelerator numbers based on different intervention rates, 2015–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5090" t="2751"/>
                    <a:stretch/>
                  </pic:blipFill>
                  <pic:spPr bwMode="auto">
                    <a:xfrm>
                      <a:off x="0" y="0"/>
                      <a:ext cx="4654691" cy="2855097"/>
                    </a:xfrm>
                    <a:prstGeom prst="rect">
                      <a:avLst/>
                    </a:prstGeom>
                    <a:ln>
                      <a:noFill/>
                    </a:ln>
                    <a:extLst>
                      <a:ext uri="{53640926-AAD7-44D8-BBD7-CCE9431645EC}">
                        <a14:shadowObscured xmlns:a14="http://schemas.microsoft.com/office/drawing/2010/main"/>
                      </a:ext>
                    </a:extLst>
                  </pic:spPr>
                </pic:pic>
              </a:graphicData>
            </a:graphic>
          </wp:inline>
        </w:drawing>
      </w:r>
    </w:p>
    <w:p w14:paraId="5659B705" w14:textId="77777777" w:rsidR="007A6454" w:rsidRDefault="00E85766" w:rsidP="00BF21A7">
      <w:pPr>
        <w:pStyle w:val="Source"/>
      </w:pPr>
      <w:r w:rsidRPr="00601A89">
        <w:t>Source: Radiation Oncology Service</w:t>
      </w:r>
      <w:r>
        <w:t xml:space="preserve"> Planning</w:t>
      </w:r>
      <w:r w:rsidRPr="00601A89">
        <w:t xml:space="preserve"> Tool, provisional data. Based on estimated cancer registration growth and current work parameters as discussed in text.</w:t>
      </w:r>
    </w:p>
    <w:p w14:paraId="4ACF1182" w14:textId="77777777" w:rsidR="00E85766" w:rsidRDefault="00E85766" w:rsidP="00BF21A7">
      <w:pPr>
        <w:pStyle w:val="Note"/>
      </w:pPr>
      <w:r>
        <w:t xml:space="preserve">Note: </w:t>
      </w:r>
      <w:r w:rsidRPr="00601A89">
        <w:t>IR</w:t>
      </w:r>
      <w:r>
        <w:t xml:space="preserve"> </w:t>
      </w:r>
      <w:r w:rsidRPr="00601A89">
        <w:t xml:space="preserve">= </w:t>
      </w:r>
      <w:r>
        <w:t>i</w:t>
      </w:r>
      <w:r w:rsidRPr="00601A89">
        <w:t>ntervention rate</w:t>
      </w:r>
      <w:r>
        <w:t>;</w:t>
      </w:r>
      <w:r w:rsidRPr="00601A89">
        <w:t xml:space="preserve"> 37% maintains current rates. </w:t>
      </w:r>
      <w:r w:rsidR="007A6454">
        <w:t>‘</w:t>
      </w:r>
      <w:r w:rsidRPr="00601A89">
        <w:t>Actual</w:t>
      </w:r>
      <w:r w:rsidR="007A6454">
        <w:t>’</w:t>
      </w:r>
      <w:r w:rsidRPr="00601A89">
        <w:t xml:space="preserve"> represents current linear accelerator stock. Figures subject to change once the Radiation Oncology Minimum Data Set is fully operational</w:t>
      </w:r>
      <w:r>
        <w:t>.</w:t>
      </w:r>
    </w:p>
    <w:p w14:paraId="04DF8824" w14:textId="77777777" w:rsidR="00BF21A7" w:rsidRPr="00BF21A7" w:rsidRDefault="00BF21A7" w:rsidP="00BF21A7"/>
    <w:p w14:paraId="0E766D60" w14:textId="77777777" w:rsidR="00E85766" w:rsidRPr="00601A89" w:rsidRDefault="00E85766" w:rsidP="00BF21A7">
      <w:pPr>
        <w:pStyle w:val="Heading3"/>
      </w:pPr>
      <w:bookmarkStart w:id="36" w:name="_Toc470858845"/>
      <w:r w:rsidRPr="00601A89">
        <w:t>Variation in practice</w:t>
      </w:r>
      <w:bookmarkEnd w:id="36"/>
    </w:p>
    <w:p w14:paraId="704EBA5D" w14:textId="77777777" w:rsidR="00E85766" w:rsidRDefault="00E85766" w:rsidP="00BF21A7">
      <w:r w:rsidRPr="00601A89">
        <w:t>In the future,</w:t>
      </w:r>
      <w:r>
        <w:t xml:space="preserve"> it will be possible to use</w:t>
      </w:r>
      <w:r w:rsidRPr="00601A89">
        <w:t xml:space="preserve"> the detailed data collect</w:t>
      </w:r>
      <w:r>
        <w:t>ed for</w:t>
      </w:r>
      <w:r w:rsidRPr="00601A89">
        <w:t xml:space="preserve"> the Tool </w:t>
      </w:r>
      <w:r>
        <w:t>to compare</w:t>
      </w:r>
      <w:r w:rsidRPr="00601A89">
        <w:t xml:space="preserve"> treatment regimes across providers. While still provisional, the test data</w:t>
      </w:r>
      <w:r>
        <w:t xml:space="preserve"> </w:t>
      </w:r>
      <w:r w:rsidRPr="00601A89">
        <w:t xml:space="preserve">set highlights some variation in current treatment patterns. </w:t>
      </w:r>
      <w:r>
        <w:t>For</w:t>
      </w:r>
      <w:r w:rsidRPr="00601A89">
        <w:t xml:space="preserve"> example, breast cancer treatment has changed in recent years </w:t>
      </w:r>
      <w:r>
        <w:t>to prefer</w:t>
      </w:r>
      <w:r w:rsidRPr="00601A89">
        <w:t xml:space="preserve"> a shorter course of 15 treatments</w:t>
      </w:r>
      <w:r>
        <w:t xml:space="preserve"> rather than </w:t>
      </w:r>
      <w:r w:rsidRPr="00601A89">
        <w:t xml:space="preserve">the traditional 25 treatment course (where anatomy allows). This </w:t>
      </w:r>
      <w:r>
        <w:t xml:space="preserve">shorter course </w:t>
      </w:r>
      <w:r w:rsidRPr="00601A89">
        <w:t xml:space="preserve">is termed </w:t>
      </w:r>
      <w:r w:rsidR="007A6454">
        <w:t>‘</w:t>
      </w:r>
      <w:r w:rsidRPr="00601A89">
        <w:t>hypofractionation</w:t>
      </w:r>
      <w:r w:rsidR="007A6454">
        <w:t>’</w:t>
      </w:r>
      <w:r w:rsidRPr="00601A89">
        <w:t xml:space="preserve"> – literally fewer fractions, where a fraction is a proportion of a radiation oncology treatment. </w:t>
      </w:r>
      <w:r>
        <w:t>As</w:t>
      </w:r>
      <w:r w:rsidRPr="00601A89">
        <w:t xml:space="preserve"> expected</w:t>
      </w:r>
      <w:r>
        <w:t>,</w:t>
      </w:r>
      <w:r w:rsidRPr="00601A89">
        <w:t xml:space="preserve"> curative treatments follow this pattern at most centres (</w:t>
      </w:r>
      <w:r w:rsidRPr="00601A89">
        <w:fldChar w:fldCharType="begin"/>
      </w:r>
      <w:r w:rsidRPr="00601A89">
        <w:instrText xml:space="preserve"> REF _Ref454788241 \h  \* MERGEFORMAT </w:instrText>
      </w:r>
      <w:r w:rsidRPr="00601A89">
        <w:fldChar w:fldCharType="separate"/>
      </w:r>
      <w:r w:rsidR="00E2252F" w:rsidRPr="00601A89">
        <w:t xml:space="preserve">Figure </w:t>
      </w:r>
      <w:r w:rsidR="00E2252F">
        <w:rPr>
          <w:noProof/>
        </w:rPr>
        <w:t>3</w:t>
      </w:r>
      <w:r w:rsidRPr="00601A89">
        <w:fldChar w:fldCharType="end"/>
      </w:r>
      <w:r w:rsidRPr="00601A89">
        <w:t>)</w:t>
      </w:r>
      <w:r>
        <w:t>:</w:t>
      </w:r>
      <w:r w:rsidRPr="00601A89">
        <w:t xml:space="preserve"> the </w:t>
      </w:r>
      <w:r>
        <w:t xml:space="preserve">main </w:t>
      </w:r>
      <w:r w:rsidRPr="00601A89">
        <w:t xml:space="preserve">peak </w:t>
      </w:r>
      <w:r>
        <w:t xml:space="preserve">is </w:t>
      </w:r>
      <w:r w:rsidRPr="00601A89">
        <w:t>at 15</w:t>
      </w:r>
      <w:r>
        <w:t>–</w:t>
      </w:r>
      <w:r w:rsidRPr="00601A89">
        <w:t xml:space="preserve">16 visits and a secondary </w:t>
      </w:r>
      <w:r>
        <w:t>one</w:t>
      </w:r>
      <w:r w:rsidRPr="00601A89">
        <w:t xml:space="preserve"> at 25 visits. Two centres appear to show </w:t>
      </w:r>
      <w:r>
        <w:t>the</w:t>
      </w:r>
      <w:r w:rsidRPr="00601A89">
        <w:t xml:space="preserve"> reverse pattern.</w:t>
      </w:r>
    </w:p>
    <w:p w14:paraId="17506E5C" w14:textId="77777777" w:rsidR="00BF21A7" w:rsidRPr="00601A89" w:rsidRDefault="00BF21A7" w:rsidP="00BF21A7"/>
    <w:p w14:paraId="03A67A8B" w14:textId="77777777" w:rsidR="00E85766" w:rsidRDefault="00E85766" w:rsidP="00BF21A7">
      <w:pPr>
        <w:pStyle w:val="Figure"/>
      </w:pPr>
      <w:bookmarkStart w:id="37" w:name="_Ref454788241"/>
      <w:bookmarkStart w:id="38" w:name="_Toc475954104"/>
      <w:r w:rsidRPr="00601A89">
        <w:lastRenderedPageBreak/>
        <w:t xml:space="preserve">Figure </w:t>
      </w:r>
      <w:r w:rsidR="003B40AB">
        <w:fldChar w:fldCharType="begin"/>
      </w:r>
      <w:r w:rsidR="003B40AB">
        <w:instrText xml:space="preserve"> SEQ Figure \* ARABIC </w:instrText>
      </w:r>
      <w:r w:rsidR="003B40AB">
        <w:fldChar w:fldCharType="separate"/>
      </w:r>
      <w:r w:rsidR="00E2252F">
        <w:rPr>
          <w:noProof/>
        </w:rPr>
        <w:t>3</w:t>
      </w:r>
      <w:r w:rsidR="003B40AB">
        <w:rPr>
          <w:noProof/>
        </w:rPr>
        <w:fldChar w:fldCharType="end"/>
      </w:r>
      <w:bookmarkEnd w:id="37"/>
      <w:r w:rsidRPr="00601A89">
        <w:t>: Provisional attendance numbers for curative intervention rates for breast cancer by provider</w:t>
      </w:r>
      <w:r>
        <w:t>,</w:t>
      </w:r>
      <w:r w:rsidRPr="00601A89">
        <w:t xml:space="preserve"> 2014</w:t>
      </w:r>
      <w:r>
        <w:t>–20</w:t>
      </w:r>
      <w:r w:rsidRPr="00601A89">
        <w:t>15</w:t>
      </w:r>
      <w:bookmarkEnd w:id="38"/>
    </w:p>
    <w:p w14:paraId="24B7E60A" w14:textId="2E2F4BAA" w:rsidR="00A8651E" w:rsidRDefault="00E2252F" w:rsidP="00A8651E">
      <w:r w:rsidRPr="00E2252F">
        <w:drawing>
          <wp:inline distT="0" distB="0" distL="0" distR="0" wp14:anchorId="67767992" wp14:editId="29425769">
            <wp:extent cx="5153891" cy="8267333"/>
            <wp:effectExtent l="0" t="0" r="8890" b="635"/>
            <wp:docPr id="5" name="Picture 5" title="Figure 3: Provisional attendance numbers for curative intervention rates for breast cancer by provider, 201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278" t="2021" r="5112" b="3029"/>
                    <a:stretch/>
                  </pic:blipFill>
                  <pic:spPr bwMode="auto">
                    <a:xfrm>
                      <a:off x="0" y="0"/>
                      <a:ext cx="5158739" cy="8275109"/>
                    </a:xfrm>
                    <a:prstGeom prst="rect">
                      <a:avLst/>
                    </a:prstGeom>
                    <a:ln>
                      <a:noFill/>
                    </a:ln>
                    <a:extLst>
                      <a:ext uri="{53640926-AAD7-44D8-BBD7-CCE9431645EC}">
                        <a14:shadowObscured xmlns:a14="http://schemas.microsoft.com/office/drawing/2010/main"/>
                      </a:ext>
                    </a:extLst>
                  </pic:spPr>
                </pic:pic>
              </a:graphicData>
            </a:graphic>
          </wp:inline>
        </w:drawing>
      </w:r>
    </w:p>
    <w:p w14:paraId="3E00C24F" w14:textId="77777777" w:rsidR="007A6454" w:rsidRDefault="00E85766" w:rsidP="009753AE">
      <w:pPr>
        <w:pStyle w:val="Source"/>
      </w:pPr>
      <w:r w:rsidRPr="00601A89">
        <w:t>Source: Radiation oncology provisional data, EY analysis.</w:t>
      </w:r>
    </w:p>
    <w:p w14:paraId="3E2B1EC6" w14:textId="77777777" w:rsidR="00E85766" w:rsidRPr="000F4EE7" w:rsidRDefault="00E85766" w:rsidP="009753AE">
      <w:pPr>
        <w:pStyle w:val="Note"/>
        <w:rPr>
          <w:spacing w:val="-2"/>
        </w:rPr>
      </w:pPr>
      <w:r>
        <w:t xml:space="preserve">Note: </w:t>
      </w:r>
      <w:r w:rsidRPr="00601A89">
        <w:t>Curative first treatments for external beam radiation treatment for breast cancer sho</w:t>
      </w:r>
      <w:bookmarkStart w:id="39" w:name="_GoBack"/>
      <w:bookmarkEnd w:id="39"/>
      <w:r w:rsidRPr="00601A89">
        <w:t xml:space="preserve">wing the number of visits </w:t>
      </w:r>
      <w:r w:rsidRPr="000F4EE7">
        <w:rPr>
          <w:spacing w:val="-2"/>
        </w:rPr>
        <w:t>(attendances) per course. Each graph represents a provider; one provider is not represented, as data was not supplied.</w:t>
      </w:r>
    </w:p>
    <w:p w14:paraId="1748761D" w14:textId="77777777" w:rsidR="00E85766" w:rsidRPr="00601A89" w:rsidRDefault="00E85766" w:rsidP="009753AE">
      <w:pPr>
        <w:pStyle w:val="Heading1"/>
      </w:pPr>
      <w:bookmarkStart w:id="40" w:name="_Toc470858846"/>
      <w:bookmarkStart w:id="41" w:name="_Toc475992503"/>
      <w:r w:rsidRPr="00601A89">
        <w:lastRenderedPageBreak/>
        <w:t>Using the outputs of the Service Planning Tool</w:t>
      </w:r>
      <w:bookmarkEnd w:id="40"/>
      <w:bookmarkEnd w:id="41"/>
    </w:p>
    <w:p w14:paraId="51E7E464" w14:textId="50BB8777" w:rsidR="00E85766" w:rsidRPr="00601A89" w:rsidRDefault="00E85766" w:rsidP="009753AE">
      <w:r w:rsidRPr="00601A89">
        <w:t xml:space="preserve">New functions and accountabilities will be </w:t>
      </w:r>
      <w:r>
        <w:t>needed, first,</w:t>
      </w:r>
      <w:r w:rsidRPr="00601A89">
        <w:t xml:space="preserve"> to </w:t>
      </w:r>
      <w:r>
        <w:t>make</w:t>
      </w:r>
      <w:r w:rsidRPr="00601A89">
        <w:t xml:space="preserve"> the Tool </w:t>
      </w:r>
      <w:r>
        <w:t xml:space="preserve">a sustainable part of everyday practice </w:t>
      </w:r>
      <w:r w:rsidRPr="00601A89">
        <w:t>at national, regional and local levels</w:t>
      </w:r>
      <w:r>
        <w:t>. They will also be needed</w:t>
      </w:r>
      <w:r w:rsidRPr="00601A89">
        <w:t xml:space="preserve"> to ensure</w:t>
      </w:r>
      <w:r>
        <w:t xml:space="preserve"> people use </w:t>
      </w:r>
      <w:r w:rsidR="00205CB2">
        <w:t xml:space="preserve">its </w:t>
      </w:r>
      <w:r>
        <w:t xml:space="preserve">insights </w:t>
      </w:r>
      <w:r w:rsidRPr="00601A89">
        <w:t xml:space="preserve">to address unwarranted variation in radiation oncology services and inform capacity planning. Radiation oncology services will provide a prototype for cancer services generally in their use of information within the Cancer Health Information Strategy framework. </w:t>
      </w:r>
      <w:r>
        <w:t xml:space="preserve">The approach to establishing the Tool must </w:t>
      </w:r>
      <w:r w:rsidRPr="00601A89">
        <w:t xml:space="preserve">ensure </w:t>
      </w:r>
      <w:r>
        <w:t xml:space="preserve">it </w:t>
      </w:r>
      <w:r w:rsidRPr="00601A89">
        <w:t xml:space="preserve">drives the actions outlined in </w:t>
      </w:r>
      <w:r>
        <w:t>s</w:t>
      </w:r>
      <w:r w:rsidRPr="00601A89">
        <w:t>ection 6.1.</w:t>
      </w:r>
    </w:p>
    <w:p w14:paraId="4831B076" w14:textId="77777777" w:rsidR="00E85766" w:rsidRPr="00601A89" w:rsidRDefault="00E85766" w:rsidP="009753AE"/>
    <w:p w14:paraId="354B7A6E" w14:textId="77777777" w:rsidR="00E85766" w:rsidRPr="00601A89" w:rsidRDefault="00E85766" w:rsidP="009753AE">
      <w:pPr>
        <w:pStyle w:val="Heading2"/>
      </w:pPr>
      <w:bookmarkStart w:id="42" w:name="_Toc470858847"/>
      <w:bookmarkStart w:id="43" w:name="_Toc475992504"/>
      <w:r w:rsidRPr="00601A89">
        <w:t>Addressing unwarranted variation</w:t>
      </w:r>
      <w:bookmarkEnd w:id="42"/>
      <w:bookmarkEnd w:id="43"/>
    </w:p>
    <w:p w14:paraId="2BA4A674" w14:textId="31CCD9FD" w:rsidR="00E85766" w:rsidRPr="00601A89" w:rsidRDefault="00E85766" w:rsidP="009753AE">
      <w:r w:rsidRPr="00601A89">
        <w:t>In 2014</w:t>
      </w:r>
      <w:r w:rsidR="00205CB2">
        <w:t>,</w:t>
      </w:r>
      <w:r w:rsidRPr="00601A89">
        <w:t xml:space="preserve"> the Health Quality </w:t>
      </w:r>
      <w:r>
        <w:t>&amp;</w:t>
      </w:r>
      <w:r w:rsidRPr="00601A89">
        <w:t xml:space="preserve"> Safety Commission published a literature review on methods for addressing unwarranted variation</w:t>
      </w:r>
      <w:r>
        <w:t xml:space="preserve"> (HQSC 2014)</w:t>
      </w:r>
      <w:r w:rsidRPr="00601A89">
        <w:t xml:space="preserve">. Unwarranted variation is defined as variation that cannot be explained on the basis of illness, medical evidence or patient preference. Clinical care can be grouped into three categories </w:t>
      </w:r>
      <w:r>
        <w:t>to help</w:t>
      </w:r>
      <w:r w:rsidRPr="00601A89">
        <w:t xml:space="preserve"> understand </w:t>
      </w:r>
      <w:r w:rsidR="00205CB2">
        <w:t>how</w:t>
      </w:r>
      <w:r>
        <w:t xml:space="preserve"> services may vary.</w:t>
      </w:r>
    </w:p>
    <w:p w14:paraId="66927778" w14:textId="77777777" w:rsidR="00E85766" w:rsidRPr="00601A89" w:rsidRDefault="009753AE" w:rsidP="009753AE">
      <w:pPr>
        <w:spacing w:before="90"/>
        <w:ind w:left="567" w:hanging="567"/>
      </w:pPr>
      <w:r>
        <w:t>1.</w:t>
      </w:r>
      <w:r>
        <w:tab/>
      </w:r>
      <w:r w:rsidR="00E85766">
        <w:t>E</w:t>
      </w:r>
      <w:r w:rsidR="00E85766" w:rsidRPr="00601A89">
        <w:t xml:space="preserve">ffective care – interventions </w:t>
      </w:r>
      <w:r w:rsidR="00E85766">
        <w:t>have</w:t>
      </w:r>
      <w:r w:rsidR="00E85766" w:rsidRPr="00601A89">
        <w:t xml:space="preserve"> benefits that far outweigh the risks</w:t>
      </w:r>
      <w:r w:rsidR="00E85766">
        <w:t>. I</w:t>
      </w:r>
      <w:r w:rsidR="00E85766" w:rsidRPr="00601A89">
        <w:t>n this case</w:t>
      </w:r>
      <w:r w:rsidR="00E85766">
        <w:t>,</w:t>
      </w:r>
      <w:r w:rsidR="00E85766" w:rsidRPr="00601A89">
        <w:t xml:space="preserve"> almost every patient will receive the </w:t>
      </w:r>
      <w:r w:rsidR="007A6454">
        <w:t>‘</w:t>
      </w:r>
      <w:r w:rsidR="00E85766" w:rsidRPr="00601A89">
        <w:t>right</w:t>
      </w:r>
      <w:r w:rsidR="007A6454">
        <w:t>’</w:t>
      </w:r>
      <w:r w:rsidR="00E85766" w:rsidRPr="00601A89">
        <w:t xml:space="preserve"> treatment defined by evidence-based guidelines. Unwarranted variation </w:t>
      </w:r>
      <w:r w:rsidR="00E85766">
        <w:t xml:space="preserve">here </w:t>
      </w:r>
      <w:r w:rsidR="00E85766" w:rsidRPr="00601A89">
        <w:t>generally</w:t>
      </w:r>
      <w:r w:rsidR="00E85766">
        <w:t xml:space="preserve"> involves</w:t>
      </w:r>
      <w:r w:rsidR="00E85766" w:rsidRPr="00601A89">
        <w:t xml:space="preserve"> underuse.</w:t>
      </w:r>
    </w:p>
    <w:p w14:paraId="1BFE33CD" w14:textId="77777777" w:rsidR="00E85766" w:rsidRPr="00601A89" w:rsidRDefault="009753AE" w:rsidP="009753AE">
      <w:pPr>
        <w:spacing w:before="90"/>
        <w:ind w:left="567" w:hanging="567"/>
      </w:pPr>
      <w:r>
        <w:t>2.</w:t>
      </w:r>
      <w:r>
        <w:tab/>
      </w:r>
      <w:r w:rsidR="00E85766">
        <w:t>P</w:t>
      </w:r>
      <w:r w:rsidR="00E85766" w:rsidRPr="00601A89">
        <w:t xml:space="preserve">reference-sensitive care – more than one generally accepted treatment option is available. The rate of </w:t>
      </w:r>
      <w:r w:rsidR="007A6454">
        <w:t>‘</w:t>
      </w:r>
      <w:r w:rsidR="00E85766" w:rsidRPr="00601A89">
        <w:t>right</w:t>
      </w:r>
      <w:r w:rsidR="007A6454">
        <w:t>’</w:t>
      </w:r>
      <w:r w:rsidR="00E85766" w:rsidRPr="00601A89">
        <w:t xml:space="preserve"> treatment depend</w:t>
      </w:r>
      <w:r w:rsidR="00E85766">
        <w:t>s</w:t>
      </w:r>
      <w:r w:rsidR="00E85766" w:rsidRPr="00601A89">
        <w:t xml:space="preserve"> on informed patient choice but treatment rates can vary extensively because of differences in professional opinion.</w:t>
      </w:r>
    </w:p>
    <w:p w14:paraId="021606F5" w14:textId="77777777" w:rsidR="00E85766" w:rsidRPr="00601A89" w:rsidRDefault="009753AE" w:rsidP="009753AE">
      <w:pPr>
        <w:spacing w:before="90"/>
        <w:ind w:left="567" w:hanging="567"/>
      </w:pPr>
      <w:r>
        <w:t>3.</w:t>
      </w:r>
      <w:r>
        <w:tab/>
      </w:r>
      <w:r w:rsidR="00E85766">
        <w:t>S</w:t>
      </w:r>
      <w:r w:rsidR="00E85766" w:rsidRPr="00601A89">
        <w:t xml:space="preserve">upply-sensitive care – </w:t>
      </w:r>
      <w:r w:rsidR="00E85766">
        <w:t xml:space="preserve">these </w:t>
      </w:r>
      <w:r w:rsidR="00E85766" w:rsidRPr="00601A89">
        <w:t xml:space="preserve">clinical activities </w:t>
      </w:r>
      <w:r w:rsidR="00E85766">
        <w:t>include</w:t>
      </w:r>
      <w:r w:rsidR="00E85766" w:rsidRPr="00601A89">
        <w:t xml:space="preserve"> doctor visits, diagnostic tests and hospital admissions</w:t>
      </w:r>
      <w:r w:rsidR="00E85766">
        <w:t>. Their</w:t>
      </w:r>
      <w:r w:rsidR="00E85766" w:rsidRPr="00601A89">
        <w:t xml:space="preserve"> frequency of use </w:t>
      </w:r>
      <w:r w:rsidR="00E85766">
        <w:t>depends on</w:t>
      </w:r>
      <w:r w:rsidR="00E85766" w:rsidRPr="00601A89">
        <w:t xml:space="preserve"> the capacity of the local health care system. The key issue is that those living in districts with a high-intensity pattern of care have worse or no better outcomes than those living in low-intensity regions. </w:t>
      </w:r>
      <w:r w:rsidR="00E85766">
        <w:t>That is,</w:t>
      </w:r>
      <w:r w:rsidR="00E85766" w:rsidRPr="00601A89">
        <w:t xml:space="preserve"> greater intensity of care does not necessarily equate to improved outcomes.</w:t>
      </w:r>
    </w:p>
    <w:p w14:paraId="2215A36C" w14:textId="77777777" w:rsidR="00E85766" w:rsidRPr="00601A89" w:rsidRDefault="00E85766" w:rsidP="009753AE"/>
    <w:p w14:paraId="332B257A" w14:textId="77777777" w:rsidR="007A6454" w:rsidRDefault="00E85766" w:rsidP="009753AE">
      <w:r>
        <w:t>In its publication, the Health Quality &amp; Safety Commission</w:t>
      </w:r>
      <w:r w:rsidRPr="00601A89">
        <w:t xml:space="preserve"> outlines a step-by-step process for understanding and managing variation. The </w:t>
      </w:r>
      <w:r>
        <w:t>first step is to</w:t>
      </w:r>
      <w:r w:rsidRPr="00601A89">
        <w:t xml:space="preserve"> identify variation and understand its </w:t>
      </w:r>
      <w:r>
        <w:t>causes</w:t>
      </w:r>
      <w:r w:rsidRPr="00601A89">
        <w:t xml:space="preserve"> to </w:t>
      </w:r>
      <w:r>
        <w:t>establish whether it is actually</w:t>
      </w:r>
      <w:r w:rsidRPr="00601A89">
        <w:t xml:space="preserve"> unwarranted. </w:t>
      </w:r>
      <w:r>
        <w:t>I</w:t>
      </w:r>
      <w:r w:rsidRPr="00601A89">
        <w:t xml:space="preserve">nternational experience </w:t>
      </w:r>
      <w:r>
        <w:t xml:space="preserve">shows </w:t>
      </w:r>
      <w:r w:rsidRPr="00601A89">
        <w:t xml:space="preserve">that </w:t>
      </w:r>
      <w:r>
        <w:t>understanding</w:t>
      </w:r>
      <w:r w:rsidRPr="009D4692">
        <w:t xml:space="preserve"> </w:t>
      </w:r>
      <w:r>
        <w:t>clearly</w:t>
      </w:r>
      <w:r w:rsidRPr="00601A89">
        <w:t xml:space="preserve"> which variations are unwarranted and agreeing on responsibilities for action </w:t>
      </w:r>
      <w:r>
        <w:t>are</w:t>
      </w:r>
      <w:r w:rsidRPr="00601A89">
        <w:t xml:space="preserve"> critical </w:t>
      </w:r>
      <w:r>
        <w:t xml:space="preserve">to </w:t>
      </w:r>
      <w:r w:rsidRPr="00601A89">
        <w:t>moving from initial information gathering towards decisions about</w:t>
      </w:r>
      <w:r>
        <w:t xml:space="preserve"> allocating</w:t>
      </w:r>
      <w:r w:rsidRPr="00601A89">
        <w:t xml:space="preserve"> resource</w:t>
      </w:r>
      <w:r>
        <w:t>s</w:t>
      </w:r>
      <w:r w:rsidRPr="00601A89">
        <w:t xml:space="preserve"> and </w:t>
      </w:r>
      <w:r>
        <w:t xml:space="preserve">changing </w:t>
      </w:r>
      <w:r w:rsidRPr="00601A89">
        <w:t>behaviour.</w:t>
      </w:r>
    </w:p>
    <w:p w14:paraId="19498F7E" w14:textId="77777777" w:rsidR="00E85766" w:rsidRPr="00601A89" w:rsidRDefault="00E85766" w:rsidP="009753AE"/>
    <w:p w14:paraId="361283E7" w14:textId="77777777" w:rsidR="00E85766" w:rsidRPr="00601A89" w:rsidRDefault="00E85766" w:rsidP="009753AE">
      <w:r w:rsidRPr="00601A89">
        <w:t xml:space="preserve">Since 2008 the Ministry has supported the radiation oncology providers and private radiation therapy services to gather information on access to and provision of radiation oncology services. </w:t>
      </w:r>
      <w:r>
        <w:t>Using</w:t>
      </w:r>
      <w:r w:rsidRPr="00601A89">
        <w:t xml:space="preserve"> the Tool, the sector will </w:t>
      </w:r>
      <w:r>
        <w:t xml:space="preserve">now </w:t>
      </w:r>
      <w:r w:rsidRPr="00601A89">
        <w:t xml:space="preserve">be able to understand variation </w:t>
      </w:r>
      <w:r>
        <w:t>with</w:t>
      </w:r>
      <w:r w:rsidRPr="00601A89">
        <w:t xml:space="preserve"> more detail</w:t>
      </w:r>
      <w:r>
        <w:t>ed</w:t>
      </w:r>
      <w:r w:rsidRPr="00601A89">
        <w:t xml:space="preserve"> and </w:t>
      </w:r>
      <w:r>
        <w:t>accurate data</w:t>
      </w:r>
      <w:r w:rsidRPr="00601A89">
        <w:t>. However,</w:t>
      </w:r>
      <w:r>
        <w:t xml:space="preserve"> to</w:t>
      </w:r>
      <w:r w:rsidRPr="00601A89">
        <w:t xml:space="preserve"> effectively address variation</w:t>
      </w:r>
      <w:r>
        <w:t>,</w:t>
      </w:r>
      <w:r w:rsidRPr="00601A89">
        <w:t xml:space="preserve"> an appropriate structure </w:t>
      </w:r>
      <w:r>
        <w:t>must be established and given</w:t>
      </w:r>
      <w:r w:rsidRPr="00601A89">
        <w:t xml:space="preserve"> the resources to take action. The </w:t>
      </w:r>
      <w:r>
        <w:t>Health Quality &amp; Safety Commission</w:t>
      </w:r>
      <w:r w:rsidR="007A6454">
        <w:t>’</w:t>
      </w:r>
      <w:r w:rsidRPr="00601A89">
        <w:t>s literature review highlights the need for a focused programme of work to:</w:t>
      </w:r>
    </w:p>
    <w:p w14:paraId="7F5B186B" w14:textId="77777777" w:rsidR="00E85766" w:rsidRPr="00601A89" w:rsidRDefault="00E85766" w:rsidP="009753AE">
      <w:pPr>
        <w:pStyle w:val="Bullet"/>
        <w:keepNext/>
      </w:pPr>
      <w:r w:rsidRPr="00601A89">
        <w:t>defin</w:t>
      </w:r>
      <w:r>
        <w:t>e</w:t>
      </w:r>
      <w:r w:rsidRPr="00601A89">
        <w:t xml:space="preserve"> unwarranted variation</w:t>
      </w:r>
      <w:r>
        <w:t xml:space="preserve"> clearly and consistently</w:t>
      </w:r>
    </w:p>
    <w:p w14:paraId="64C4C977" w14:textId="77777777" w:rsidR="00E85766" w:rsidRPr="00601A89" w:rsidRDefault="00E85766" w:rsidP="009753AE">
      <w:pPr>
        <w:pStyle w:val="Bullet"/>
        <w:keepNext/>
      </w:pPr>
      <w:r w:rsidRPr="00601A89">
        <w:t>prioritise those variations and causes that have the</w:t>
      </w:r>
      <w:r>
        <w:t xml:space="preserve"> strongest</w:t>
      </w:r>
      <w:r w:rsidRPr="00601A89">
        <w:t xml:space="preserve"> impact on equity, effectiveness, efficiency and patient health outcomes</w:t>
      </w:r>
    </w:p>
    <w:p w14:paraId="6C71B92A" w14:textId="77777777" w:rsidR="00E85766" w:rsidRPr="00601A89" w:rsidRDefault="00E85766" w:rsidP="009753AE">
      <w:pPr>
        <w:pStyle w:val="Bullet"/>
      </w:pPr>
      <w:r w:rsidRPr="00601A89">
        <w:t>agree on responsibilities for action and leadership to influence change</w:t>
      </w:r>
      <w:r>
        <w:t xml:space="preserve"> (HQSC 2014)</w:t>
      </w:r>
      <w:r w:rsidRPr="00601A89">
        <w:t>.</w:t>
      </w:r>
    </w:p>
    <w:p w14:paraId="61D95F6A" w14:textId="77777777" w:rsidR="00E85766" w:rsidRPr="00601A89" w:rsidRDefault="00E85766" w:rsidP="009753AE"/>
    <w:p w14:paraId="6B2E59B8" w14:textId="77777777" w:rsidR="00E85766" w:rsidRPr="00601A89" w:rsidRDefault="00E85766" w:rsidP="009753AE">
      <w:r w:rsidRPr="00601A89">
        <w:lastRenderedPageBreak/>
        <w:fldChar w:fldCharType="begin"/>
      </w:r>
      <w:r w:rsidRPr="00601A89">
        <w:instrText xml:space="preserve"> REF _Ref451769343 \h  \* MERGEFORMAT </w:instrText>
      </w:r>
      <w:r w:rsidRPr="00601A89">
        <w:fldChar w:fldCharType="separate"/>
      </w:r>
      <w:r w:rsidR="00E2252F" w:rsidRPr="00601A89">
        <w:t xml:space="preserve">Figure </w:t>
      </w:r>
      <w:r w:rsidR="00E2252F">
        <w:rPr>
          <w:noProof/>
        </w:rPr>
        <w:t>4</w:t>
      </w:r>
      <w:r w:rsidRPr="00601A89">
        <w:fldChar w:fldCharType="end"/>
      </w:r>
      <w:r w:rsidRPr="00601A89">
        <w:t xml:space="preserve"> presents a useful framework for moving from information gathering and decision</w:t>
      </w:r>
      <w:r>
        <w:t>-</w:t>
      </w:r>
      <w:r w:rsidRPr="00601A89">
        <w:t>making to support</w:t>
      </w:r>
      <w:r>
        <w:t>ing</w:t>
      </w:r>
      <w:r w:rsidRPr="00601A89">
        <w:t xml:space="preserve"> performance improvement.</w:t>
      </w:r>
    </w:p>
    <w:p w14:paraId="6C34DD7B" w14:textId="77777777" w:rsidR="00E85766" w:rsidRPr="00601A89" w:rsidRDefault="00E85766" w:rsidP="009753AE"/>
    <w:p w14:paraId="4321986B" w14:textId="77777777" w:rsidR="00E85766" w:rsidRPr="00601A89" w:rsidRDefault="00E85766" w:rsidP="009753AE">
      <w:pPr>
        <w:pStyle w:val="Figure"/>
      </w:pPr>
      <w:bookmarkStart w:id="44" w:name="_Ref451769343"/>
      <w:bookmarkStart w:id="45" w:name="_Toc475954105"/>
      <w:r w:rsidRPr="00601A89">
        <w:t xml:space="preserve">Figure </w:t>
      </w:r>
      <w:r w:rsidR="003B40AB">
        <w:fldChar w:fldCharType="begin"/>
      </w:r>
      <w:r w:rsidR="003B40AB">
        <w:instrText xml:space="preserve"> SEQ Figure \* ARABIC </w:instrText>
      </w:r>
      <w:r w:rsidR="003B40AB">
        <w:fldChar w:fldCharType="separate"/>
      </w:r>
      <w:r w:rsidR="00E2252F">
        <w:rPr>
          <w:noProof/>
        </w:rPr>
        <w:t>4</w:t>
      </w:r>
      <w:r w:rsidR="003B40AB">
        <w:rPr>
          <w:noProof/>
        </w:rPr>
        <w:fldChar w:fldCharType="end"/>
      </w:r>
      <w:bookmarkEnd w:id="44"/>
      <w:r w:rsidRPr="00601A89">
        <w:t>: Framework for managing unwarranted variation</w:t>
      </w:r>
      <w:bookmarkEnd w:id="45"/>
    </w:p>
    <w:p w14:paraId="7AE10786" w14:textId="77777777" w:rsidR="009753AE" w:rsidRDefault="009753AE" w:rsidP="009753AE">
      <w:r w:rsidRPr="00601A89">
        <w:rPr>
          <w:b/>
          <w:noProof/>
          <w:lang w:eastAsia="en-NZ"/>
        </w:rPr>
        <w:drawing>
          <wp:inline distT="0" distB="0" distL="0" distR="0" wp14:anchorId="779E629A" wp14:editId="1239A3F6">
            <wp:extent cx="5733415" cy="3009900"/>
            <wp:effectExtent l="0" t="0" r="635" b="0"/>
            <wp:docPr id="43" name="Picture 43" title="Figure 4: Framework for managing unwarranted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7332"/>
                    <a:stretch/>
                  </pic:blipFill>
                  <pic:spPr bwMode="auto">
                    <a:xfrm>
                      <a:off x="0" y="0"/>
                      <a:ext cx="5733415" cy="3009900"/>
                    </a:xfrm>
                    <a:prstGeom prst="rect">
                      <a:avLst/>
                    </a:prstGeom>
                    <a:ln>
                      <a:noFill/>
                    </a:ln>
                    <a:extLst>
                      <a:ext uri="{53640926-AAD7-44D8-BBD7-CCE9431645EC}">
                        <a14:shadowObscured xmlns:a14="http://schemas.microsoft.com/office/drawing/2010/main"/>
                      </a:ext>
                    </a:extLst>
                  </pic:spPr>
                </pic:pic>
              </a:graphicData>
            </a:graphic>
          </wp:inline>
        </w:drawing>
      </w:r>
    </w:p>
    <w:p w14:paraId="25EAAAE6" w14:textId="103AB168" w:rsidR="00E85766" w:rsidRPr="00592F2B" w:rsidRDefault="00E85766" w:rsidP="009753AE">
      <w:pPr>
        <w:pStyle w:val="Source"/>
      </w:pPr>
      <w:r w:rsidRPr="00592F2B">
        <w:t>Source: Schang et al (2014)</w:t>
      </w:r>
      <w:r w:rsidR="00205CB2">
        <w:t>.</w:t>
      </w:r>
    </w:p>
    <w:p w14:paraId="36AAFFEA" w14:textId="77777777" w:rsidR="009753AE" w:rsidRDefault="009753AE" w:rsidP="009753AE"/>
    <w:p w14:paraId="59287CFD" w14:textId="77777777" w:rsidR="007A6454" w:rsidRDefault="00E85766" w:rsidP="009753AE">
      <w:r w:rsidRPr="00601A89">
        <w:t xml:space="preserve">The radiation oncology sector has reached box 1.4 </w:t>
      </w:r>
      <w:r w:rsidR="007A6454">
        <w:t>‘</w:t>
      </w:r>
      <w:r w:rsidRPr="00601A89">
        <w:t>ability to use</w:t>
      </w:r>
      <w:r w:rsidR="007A6454">
        <w:t>’</w:t>
      </w:r>
      <w:r w:rsidRPr="00601A89">
        <w:t xml:space="preserve"> and is ready to move to box 2 </w:t>
      </w:r>
      <w:r w:rsidR="007A6454">
        <w:t>‘</w:t>
      </w:r>
      <w:r w:rsidRPr="00601A89">
        <w:t>use</w:t>
      </w:r>
      <w:r w:rsidR="007A6454">
        <w:t>’</w:t>
      </w:r>
      <w:r>
        <w:t xml:space="preserve"> (</w:t>
      </w:r>
      <w:r w:rsidRPr="00A01AAA">
        <w:fldChar w:fldCharType="begin"/>
      </w:r>
      <w:r w:rsidRPr="00A01AAA">
        <w:instrText xml:space="preserve"> REF _Ref451769343 \h </w:instrText>
      </w:r>
      <w:r w:rsidRPr="00592F2B">
        <w:instrText xml:space="preserve"> \* MERGEFORMAT </w:instrText>
      </w:r>
      <w:r w:rsidRPr="00A01AAA">
        <w:fldChar w:fldCharType="separate"/>
      </w:r>
      <w:r w:rsidR="00E2252F" w:rsidRPr="00601A89">
        <w:t xml:space="preserve">Figure </w:t>
      </w:r>
      <w:r w:rsidR="00E2252F">
        <w:rPr>
          <w:noProof/>
        </w:rPr>
        <w:t>4</w:t>
      </w:r>
      <w:r w:rsidRPr="00A01AAA">
        <w:fldChar w:fldCharType="end"/>
      </w:r>
      <w:r>
        <w:t>)</w:t>
      </w:r>
      <w:r w:rsidRPr="00601A89">
        <w:t xml:space="preserve">. Section 6.1 </w:t>
      </w:r>
      <w:r>
        <w:t>sets out</w:t>
      </w:r>
      <w:r w:rsidRPr="00601A89">
        <w:t xml:space="preserve"> the actions </w:t>
      </w:r>
      <w:r>
        <w:t xml:space="preserve">needed </w:t>
      </w:r>
      <w:r w:rsidRPr="00601A89">
        <w:t>to establish the appropriate structure that will support steps 2.1–2.4.</w:t>
      </w:r>
    </w:p>
    <w:p w14:paraId="014FCC9B" w14:textId="77777777" w:rsidR="00E85766" w:rsidRPr="00601A89" w:rsidRDefault="00E85766" w:rsidP="009753AE"/>
    <w:p w14:paraId="6D690FDA" w14:textId="77777777" w:rsidR="00E85766" w:rsidRPr="00601A89" w:rsidRDefault="00E85766" w:rsidP="009753AE">
      <w:r>
        <w:t>I</w:t>
      </w:r>
      <w:r w:rsidRPr="00601A89">
        <w:t>mportant</w:t>
      </w:r>
      <w:r>
        <w:t>ly,</w:t>
      </w:r>
      <w:r w:rsidRPr="00601A89">
        <w:t xml:space="preserve"> the use of data to improve clinical practice is not without its challenges. The United Kingdom National Cancer Intelligence Network </w:t>
      </w:r>
      <w:r>
        <w:t>gives</w:t>
      </w:r>
      <w:r w:rsidRPr="00601A89">
        <w:t xml:space="preserve"> practical advice </w:t>
      </w:r>
      <w:r>
        <w:t>on</w:t>
      </w:r>
      <w:r w:rsidRPr="00601A89">
        <w:t xml:space="preserve"> publi</w:t>
      </w:r>
      <w:r>
        <w:t>shing</w:t>
      </w:r>
      <w:r w:rsidRPr="00601A89">
        <w:t xml:space="preserve"> comparative data and manag</w:t>
      </w:r>
      <w:r>
        <w:t>ing</w:t>
      </w:r>
      <w:r w:rsidRPr="00601A89">
        <w:t xml:space="preserve"> outlier institutions</w:t>
      </w:r>
      <w:r>
        <w:t xml:space="preserve"> (NCIN 2012)</w:t>
      </w:r>
      <w:r w:rsidRPr="00601A89">
        <w:t xml:space="preserve">. </w:t>
      </w:r>
      <w:r>
        <w:t>A</w:t>
      </w:r>
      <w:r w:rsidRPr="00601A89">
        <w:t>cknowledg</w:t>
      </w:r>
      <w:r>
        <w:t>ing</w:t>
      </w:r>
      <w:r w:rsidRPr="00601A89">
        <w:t xml:space="preserve"> that </w:t>
      </w:r>
      <w:r>
        <w:t>such tasks</w:t>
      </w:r>
      <w:r w:rsidRPr="00601A89">
        <w:t xml:space="preserve"> can be challenging, </w:t>
      </w:r>
      <w:r>
        <w:t xml:space="preserve">it </w:t>
      </w:r>
      <w:r w:rsidRPr="00601A89">
        <w:t>provide</w:t>
      </w:r>
      <w:r>
        <w:t>s</w:t>
      </w:r>
      <w:r w:rsidRPr="00601A89">
        <w:t xml:space="preserve"> a principles-based approach to manage outliers </w:t>
      </w:r>
      <w:r>
        <w:t xml:space="preserve">most effectively </w:t>
      </w:r>
      <w:r w:rsidRPr="00601A89">
        <w:t xml:space="preserve">while recognising the </w:t>
      </w:r>
      <w:r>
        <w:t xml:space="preserve">need for </w:t>
      </w:r>
      <w:r w:rsidRPr="00601A89">
        <w:t>flexibility to account for different circumstances. The principles</w:t>
      </w:r>
      <w:r>
        <w:t>, as</w:t>
      </w:r>
      <w:r w:rsidRPr="00601A89">
        <w:t xml:space="preserve"> summarised below</w:t>
      </w:r>
      <w:r>
        <w:t>,</w:t>
      </w:r>
      <w:r w:rsidRPr="00601A89">
        <w:t xml:space="preserve"> </w:t>
      </w:r>
      <w:r>
        <w:t>give</w:t>
      </w:r>
      <w:r w:rsidRPr="00601A89">
        <w:t xml:space="preserve"> useful guidance for the </w:t>
      </w:r>
      <w:r>
        <w:t>radiation oncology</w:t>
      </w:r>
      <w:r w:rsidRPr="00601A89">
        <w:t xml:space="preserve"> sector </w:t>
      </w:r>
      <w:r>
        <w:t>on using</w:t>
      </w:r>
      <w:r w:rsidRPr="00601A89">
        <w:t xml:space="preserve"> and manag</w:t>
      </w:r>
      <w:r>
        <w:t>ing</w:t>
      </w:r>
      <w:r w:rsidRPr="00601A89">
        <w:t xml:space="preserve"> information from ROMDS</w:t>
      </w:r>
      <w:r>
        <w:t>.</w:t>
      </w:r>
    </w:p>
    <w:p w14:paraId="72920B37" w14:textId="77777777" w:rsidR="00E85766" w:rsidRPr="00601A89" w:rsidRDefault="00E85766" w:rsidP="009753AE">
      <w:pPr>
        <w:pStyle w:val="Bullet"/>
      </w:pPr>
      <w:r>
        <w:t>Involve</w:t>
      </w:r>
      <w:r w:rsidRPr="00601A89">
        <w:t xml:space="preserve"> clinical </w:t>
      </w:r>
      <w:r>
        <w:t xml:space="preserve">staff strongly </w:t>
      </w:r>
      <w:r w:rsidRPr="00601A89">
        <w:t>from the start</w:t>
      </w:r>
      <w:r>
        <w:t>.</w:t>
      </w:r>
    </w:p>
    <w:p w14:paraId="67C52D72" w14:textId="77777777" w:rsidR="00E85766" w:rsidRPr="00601A89" w:rsidRDefault="00E85766" w:rsidP="009753AE">
      <w:pPr>
        <w:pStyle w:val="Bullet"/>
      </w:pPr>
      <w:r>
        <w:t>E</w:t>
      </w:r>
      <w:r w:rsidRPr="00601A89">
        <w:t>ngage early with professional leaders</w:t>
      </w:r>
      <w:r>
        <w:t>.</w:t>
      </w:r>
    </w:p>
    <w:p w14:paraId="126D60FC" w14:textId="77777777" w:rsidR="00E85766" w:rsidRPr="00601A89" w:rsidRDefault="00E85766" w:rsidP="009753AE">
      <w:pPr>
        <w:pStyle w:val="Bullet"/>
      </w:pPr>
      <w:r>
        <w:t>B</w:t>
      </w:r>
      <w:r w:rsidRPr="00601A89">
        <w:t>uild sufficient time into plans for publication</w:t>
      </w:r>
      <w:r>
        <w:t>.</w:t>
      </w:r>
    </w:p>
    <w:p w14:paraId="092E4C9C" w14:textId="77777777" w:rsidR="00E85766" w:rsidRPr="00601A89" w:rsidRDefault="00E85766" w:rsidP="009753AE">
      <w:pPr>
        <w:pStyle w:val="Bullet"/>
      </w:pPr>
      <w:r>
        <w:t>I</w:t>
      </w:r>
      <w:r w:rsidRPr="00601A89">
        <w:t>nform those included in the analysis that it is happening</w:t>
      </w:r>
      <w:r>
        <w:t>.</w:t>
      </w:r>
    </w:p>
    <w:p w14:paraId="503DC4D4" w14:textId="77777777" w:rsidR="00E85766" w:rsidRPr="00601A89" w:rsidRDefault="00E85766" w:rsidP="009753AE">
      <w:pPr>
        <w:pStyle w:val="Bullet"/>
      </w:pPr>
      <w:r>
        <w:t>I</w:t>
      </w:r>
      <w:r w:rsidRPr="00601A89">
        <w:t>nform potential outliers well in advance of publication and be prepared to address their concerns</w:t>
      </w:r>
      <w:r>
        <w:t>.</w:t>
      </w:r>
    </w:p>
    <w:p w14:paraId="6CB4CFC8" w14:textId="77777777" w:rsidR="00E85766" w:rsidRPr="00601A89" w:rsidRDefault="00E85766" w:rsidP="009753AE">
      <w:pPr>
        <w:pStyle w:val="Bullet"/>
      </w:pPr>
      <w:r>
        <w:t>B</w:t>
      </w:r>
      <w:r w:rsidRPr="00601A89">
        <w:t>e prepared to conduct additional analyses</w:t>
      </w:r>
      <w:r>
        <w:t>.</w:t>
      </w:r>
    </w:p>
    <w:p w14:paraId="6F941288" w14:textId="77777777" w:rsidR="00E85766" w:rsidRPr="00601A89" w:rsidRDefault="00E85766" w:rsidP="009753AE">
      <w:pPr>
        <w:pStyle w:val="Bullet"/>
      </w:pPr>
      <w:r>
        <w:t>R</w:t>
      </w:r>
      <w:r w:rsidRPr="00601A89">
        <w:t>espond sensitively to requests and challenges</w:t>
      </w:r>
      <w:r>
        <w:t>.</w:t>
      </w:r>
    </w:p>
    <w:p w14:paraId="1E97D462" w14:textId="77777777" w:rsidR="00E85766" w:rsidRPr="00601A89" w:rsidRDefault="00E85766" w:rsidP="009753AE">
      <w:pPr>
        <w:pStyle w:val="Bullet"/>
      </w:pPr>
      <w:r>
        <w:t>E</w:t>
      </w:r>
      <w:r w:rsidRPr="00601A89">
        <w:t>mphasise</w:t>
      </w:r>
      <w:r w:rsidRPr="00274F93">
        <w:t xml:space="preserve"> </w:t>
      </w:r>
      <w:r w:rsidRPr="00601A89">
        <w:t>outcomes</w:t>
      </w:r>
      <w:r>
        <w:t xml:space="preserve"> that are</w:t>
      </w:r>
      <w:r w:rsidRPr="00601A89">
        <w:t xml:space="preserve"> better than expected and </w:t>
      </w:r>
      <w:r>
        <w:t xml:space="preserve">the </w:t>
      </w:r>
      <w:r w:rsidRPr="00601A89">
        <w:t>opportunities to learn from these.</w:t>
      </w:r>
    </w:p>
    <w:p w14:paraId="41BB7983" w14:textId="77777777" w:rsidR="00E85766" w:rsidRPr="00601A89" w:rsidRDefault="00E85766" w:rsidP="009753AE"/>
    <w:p w14:paraId="50315C1F" w14:textId="77777777" w:rsidR="00E85766" w:rsidRPr="00601A89" w:rsidRDefault="00E85766" w:rsidP="00205CB2">
      <w:pPr>
        <w:pStyle w:val="Heading2"/>
      </w:pPr>
      <w:bookmarkStart w:id="46" w:name="_Toc470858848"/>
      <w:bookmarkStart w:id="47" w:name="_Toc475992505"/>
      <w:r w:rsidRPr="00601A89">
        <w:lastRenderedPageBreak/>
        <w:t>Supporting the foundations of the New</w:t>
      </w:r>
      <w:r w:rsidR="009753AE">
        <w:t> </w:t>
      </w:r>
      <w:r w:rsidRPr="00601A89">
        <w:t>Zealand health system</w:t>
      </w:r>
      <w:bookmarkEnd w:id="46"/>
      <w:bookmarkEnd w:id="47"/>
    </w:p>
    <w:p w14:paraId="10A800AF" w14:textId="77777777" w:rsidR="00E85766" w:rsidRPr="00601A89" w:rsidRDefault="00E85766" w:rsidP="00205CB2">
      <w:pPr>
        <w:keepNext/>
      </w:pPr>
      <w:r w:rsidRPr="00601A89">
        <w:t>The Tool has been developed to support two dimensions of radiation oncology planning:</w:t>
      </w:r>
    </w:p>
    <w:p w14:paraId="182EF0E0" w14:textId="77777777" w:rsidR="00E85766" w:rsidRPr="00601A89" w:rsidRDefault="009753AE" w:rsidP="00205CB2">
      <w:pPr>
        <w:keepNext/>
        <w:spacing w:before="90"/>
        <w:ind w:left="567" w:hanging="567"/>
      </w:pPr>
      <w:r>
        <w:t>1.</w:t>
      </w:r>
      <w:r>
        <w:tab/>
      </w:r>
      <w:r w:rsidR="00E85766" w:rsidRPr="00601A89">
        <w:t>clinical service planning, including quality improvement</w:t>
      </w:r>
    </w:p>
    <w:p w14:paraId="5BDB76CC" w14:textId="77777777" w:rsidR="00E85766" w:rsidRPr="00601A89" w:rsidRDefault="009753AE" w:rsidP="00205CB2">
      <w:pPr>
        <w:keepNext/>
        <w:spacing w:before="90"/>
        <w:ind w:left="567" w:hanging="567"/>
      </w:pPr>
      <w:r>
        <w:t>2.</w:t>
      </w:r>
      <w:r>
        <w:tab/>
      </w:r>
      <w:r w:rsidR="00E85766" w:rsidRPr="00601A89">
        <w:t>linear accelerator (linac) and workforce capacity planning.</w:t>
      </w:r>
    </w:p>
    <w:p w14:paraId="0D695D82" w14:textId="77777777" w:rsidR="00E85766" w:rsidRPr="00601A89" w:rsidRDefault="00E85766" w:rsidP="009753AE"/>
    <w:p w14:paraId="1E34FF33" w14:textId="77777777" w:rsidR="007A6454" w:rsidRDefault="00E85766" w:rsidP="009753AE">
      <w:r w:rsidRPr="00601A89">
        <w:t xml:space="preserve">While these </w:t>
      </w:r>
      <w:r>
        <w:t xml:space="preserve">two dimensions </w:t>
      </w:r>
      <w:r w:rsidRPr="00601A89">
        <w:t>address different components of service delivery, the</w:t>
      </w:r>
      <w:r>
        <w:t>y</w:t>
      </w:r>
      <w:r w:rsidRPr="00601A89">
        <w:t xml:space="preserve"> overlap</w:t>
      </w:r>
      <w:r>
        <w:t xml:space="preserve"> in some ways</w:t>
      </w:r>
      <w:r w:rsidRPr="00601A89">
        <w:t xml:space="preserve">. For example, </w:t>
      </w:r>
      <w:r>
        <w:t>if</w:t>
      </w:r>
      <w:r w:rsidRPr="00601A89">
        <w:t xml:space="preserve"> intervention rates or workforce models</w:t>
      </w:r>
      <w:r>
        <w:t xml:space="preserve"> change, it</w:t>
      </w:r>
      <w:r w:rsidRPr="00601A89">
        <w:t xml:space="preserve"> may influence use of current capacity and</w:t>
      </w:r>
      <w:r>
        <w:t>, in turn,</w:t>
      </w:r>
      <w:r w:rsidRPr="00601A89">
        <w:t xml:space="preserve"> future requirements.</w:t>
      </w:r>
    </w:p>
    <w:p w14:paraId="722EF921" w14:textId="77777777" w:rsidR="00E85766" w:rsidRPr="00601A89" w:rsidRDefault="00E85766" w:rsidP="009753AE"/>
    <w:p w14:paraId="0F184A46" w14:textId="77777777" w:rsidR="009753AE" w:rsidRDefault="00E85766" w:rsidP="009753AE">
      <w:r w:rsidRPr="00601A89">
        <w:t>The New Zealand public health system has strong foundations in devol</w:t>
      </w:r>
      <w:r>
        <w:t>ving power</w:t>
      </w:r>
      <w:r w:rsidRPr="00601A89">
        <w:t xml:space="preserve"> through clinical governance and DHB accountability. Arrangements for appl</w:t>
      </w:r>
      <w:r>
        <w:t>ying</w:t>
      </w:r>
      <w:r w:rsidRPr="00601A89">
        <w:t xml:space="preserve"> the radiation oncology Tool support these foundations, </w:t>
      </w:r>
      <w:r>
        <w:t>as does the</w:t>
      </w:r>
      <w:r w:rsidRPr="00601A89">
        <w:t xml:space="preserve"> regional collaboration between constituent DHBs and between public and private radiation oncology providers. </w:t>
      </w:r>
      <w:r>
        <w:t>DHBs have the l</w:t>
      </w:r>
      <w:r w:rsidRPr="00601A89">
        <w:t>ocal accountability for service and capacity planning, access and outcomes</w:t>
      </w:r>
      <w:r>
        <w:t>; they</w:t>
      </w:r>
      <w:r w:rsidRPr="00601A89">
        <w:t xml:space="preserve"> are legislated to fund access to the necessary services for their resident populations. DHBs work closely with the RCNs to gain regional commitments by constituent DHBs to support capacity planning and decision-making</w:t>
      </w:r>
      <w:r w:rsidRPr="00B636B0">
        <w:t xml:space="preserve"> </w:t>
      </w:r>
      <w:r>
        <w:t xml:space="preserve">among </w:t>
      </w:r>
      <w:r w:rsidRPr="00601A89">
        <w:t>radiation oncology provider</w:t>
      </w:r>
      <w:r>
        <w:t>s</w:t>
      </w:r>
      <w:r w:rsidRPr="00601A89">
        <w:t>.</w:t>
      </w:r>
      <w:r w:rsidR="00422E30">
        <w:t xml:space="preserve"> Figure 5 </w:t>
      </w:r>
      <w:r>
        <w:t>shows the functions and activities involved in using</w:t>
      </w:r>
      <w:r w:rsidRPr="00601A89">
        <w:t xml:space="preserve"> the Tool </w:t>
      </w:r>
      <w:r>
        <w:t xml:space="preserve">nationwide </w:t>
      </w:r>
      <w:r w:rsidRPr="00601A89">
        <w:t>to address unwarranted variation</w:t>
      </w:r>
      <w:r>
        <w:t>, covering the entire process from submitting data to monitoring and escalating actions</w:t>
      </w:r>
      <w:r w:rsidRPr="00601A89">
        <w:t>.</w:t>
      </w:r>
    </w:p>
    <w:p w14:paraId="31E60678" w14:textId="77777777" w:rsidR="009753AE" w:rsidRDefault="009753AE" w:rsidP="009753AE"/>
    <w:p w14:paraId="6092F56B" w14:textId="77777777" w:rsidR="009753AE" w:rsidRDefault="009753AE" w:rsidP="009753AE">
      <w:pPr>
        <w:pStyle w:val="Figure"/>
        <w:sectPr w:rsidR="009753AE" w:rsidSect="009D5125">
          <w:headerReference w:type="default" r:id="rId23"/>
          <w:footerReference w:type="default" r:id="rId24"/>
          <w:pgSz w:w="11907" w:h="16834" w:code="9"/>
          <w:pgMar w:top="851" w:right="1134" w:bottom="1134" w:left="1134" w:header="284" w:footer="567" w:gutter="284"/>
          <w:pgNumType w:start="1"/>
          <w:cols w:space="720"/>
        </w:sectPr>
      </w:pPr>
      <w:bookmarkStart w:id="48" w:name="_Ref451770913"/>
    </w:p>
    <w:p w14:paraId="00DE032F" w14:textId="77777777" w:rsidR="00E85766" w:rsidRPr="00601A89" w:rsidRDefault="00E85766" w:rsidP="009753AE">
      <w:pPr>
        <w:pStyle w:val="Figure"/>
      </w:pPr>
      <w:bookmarkStart w:id="49" w:name="_Toc475954106"/>
      <w:r w:rsidRPr="00601A89">
        <w:lastRenderedPageBreak/>
        <w:t xml:space="preserve">Figure </w:t>
      </w:r>
      <w:r w:rsidR="003B40AB">
        <w:fldChar w:fldCharType="begin"/>
      </w:r>
      <w:r w:rsidR="003B40AB">
        <w:instrText xml:space="preserve"> SEQ Figure \* ARABIC </w:instrText>
      </w:r>
      <w:r w:rsidR="003B40AB">
        <w:fldChar w:fldCharType="separate"/>
      </w:r>
      <w:r w:rsidR="00E2252F">
        <w:rPr>
          <w:noProof/>
        </w:rPr>
        <w:t>5</w:t>
      </w:r>
      <w:r w:rsidR="003B40AB">
        <w:rPr>
          <w:noProof/>
        </w:rPr>
        <w:fldChar w:fldCharType="end"/>
      </w:r>
      <w:bookmarkEnd w:id="48"/>
      <w:r w:rsidRPr="00601A89">
        <w:t xml:space="preserve">: Functions and activities </w:t>
      </w:r>
      <w:r>
        <w:t>throughout the</w:t>
      </w:r>
      <w:r w:rsidRPr="00601A89">
        <w:t xml:space="preserve"> process of </w:t>
      </w:r>
      <w:r>
        <w:t>using the tool</w:t>
      </w:r>
      <w:r w:rsidRPr="00601A89">
        <w:t xml:space="preserve"> to address unwarranted variation</w:t>
      </w:r>
      <w:bookmarkEnd w:id="49"/>
    </w:p>
    <w:p w14:paraId="3C9495BE" w14:textId="484F31D8" w:rsidR="004050F4" w:rsidRDefault="00F8739A" w:rsidP="004050F4">
      <w:r w:rsidRPr="00F8739A">
        <w:rPr>
          <w:noProof/>
          <w:lang w:eastAsia="en-NZ"/>
        </w:rPr>
        <w:drawing>
          <wp:inline distT="0" distB="0" distL="0" distR="0" wp14:anchorId="21380ED3" wp14:editId="43E32DAC">
            <wp:extent cx="8162925" cy="5458520"/>
            <wp:effectExtent l="0" t="0" r="0" b="8890"/>
            <wp:docPr id="4" name="Picture 4" title="Figure 5: Functions and activities throughout the process of using the tool to address unwarranted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8168675" cy="5462365"/>
                    </a:xfrm>
                    <a:prstGeom prst="rect">
                      <a:avLst/>
                    </a:prstGeom>
                  </pic:spPr>
                </pic:pic>
              </a:graphicData>
            </a:graphic>
          </wp:inline>
        </w:drawing>
      </w:r>
    </w:p>
    <w:p w14:paraId="549E7EC8" w14:textId="4681EA16" w:rsidR="00F75893" w:rsidRPr="00F75893" w:rsidRDefault="00E85766" w:rsidP="004050F4">
      <w:pPr>
        <w:pStyle w:val="Note"/>
      </w:pPr>
      <w:r>
        <w:t>Note</w:t>
      </w:r>
      <w:r w:rsidRPr="00601A89">
        <w:t>:</w:t>
      </w:r>
      <w:r>
        <w:t xml:space="preserve"> Responsible parties: Ministry = Ministry of Health; ROWG = Radiation Oncology Working Group; RCNs = regional cancer networks; DHBs = district health boards; RO providers = radiation oncology providers</w:t>
      </w:r>
      <w:r w:rsidR="009753AE">
        <w:t>.</w:t>
      </w:r>
      <w:bookmarkStart w:id="50" w:name="_Toc470858849"/>
    </w:p>
    <w:p w14:paraId="5F729379" w14:textId="77777777" w:rsidR="00F75893" w:rsidRDefault="00F75893" w:rsidP="00F75893">
      <w:pPr>
        <w:pStyle w:val="Heading2"/>
        <w:sectPr w:rsidR="00F75893" w:rsidSect="00F75893">
          <w:headerReference w:type="default" r:id="rId26"/>
          <w:footerReference w:type="default" r:id="rId27"/>
          <w:pgSz w:w="16834" w:h="11907" w:orient="landscape" w:code="9"/>
          <w:pgMar w:top="1134" w:right="1134" w:bottom="1134" w:left="1134" w:header="284" w:footer="567" w:gutter="0"/>
          <w:cols w:space="720"/>
          <w:docGrid w:linePitch="299"/>
        </w:sectPr>
      </w:pPr>
    </w:p>
    <w:p w14:paraId="49907A79" w14:textId="77777777" w:rsidR="00E85766" w:rsidRPr="009753AE" w:rsidRDefault="00E85766" w:rsidP="00F75893">
      <w:pPr>
        <w:pStyle w:val="Heading2"/>
      </w:pPr>
      <w:bookmarkStart w:id="51" w:name="_Toc475992506"/>
      <w:r w:rsidRPr="00601A89">
        <w:lastRenderedPageBreak/>
        <w:t>National clinical governance</w:t>
      </w:r>
      <w:bookmarkEnd w:id="50"/>
      <w:bookmarkEnd w:id="51"/>
    </w:p>
    <w:p w14:paraId="46B754EA" w14:textId="77777777" w:rsidR="007A6454" w:rsidRDefault="00E85766" w:rsidP="00742CF3">
      <w:r w:rsidRPr="00601A89">
        <w:t>The governance structure of the National Cancer Programme</w:t>
      </w:r>
      <w:r w:rsidRPr="00601A89" w:rsidDel="00540B6F">
        <w:t xml:space="preserve"> </w:t>
      </w:r>
      <w:r w:rsidRPr="00601A89">
        <w:t>was refreshed in May 2016. To reflect the changing priorities for cancer as set out in the New Zealand Cancer Plan and the New Zealand Health Strategy, the Cancer Programme Leadership Board (the Board) was established as the main governance body overseeing the National Cancer Programme. The Board will drive and support the long-term strategic direction for cancer.</w:t>
      </w:r>
    </w:p>
    <w:p w14:paraId="02417080" w14:textId="77777777" w:rsidR="00E85766" w:rsidRPr="00601A89" w:rsidRDefault="00E85766" w:rsidP="00742CF3"/>
    <w:p w14:paraId="238589A9" w14:textId="77777777" w:rsidR="007A6454" w:rsidRDefault="00E85766" w:rsidP="00742CF3">
      <w:r w:rsidRPr="00601A89">
        <w:t>Within the new National Cancer Programme</w:t>
      </w:r>
      <w:r w:rsidRPr="00601A89" w:rsidDel="00540B6F">
        <w:t xml:space="preserve"> </w:t>
      </w:r>
      <w:r w:rsidRPr="00601A89">
        <w:t>structure, the Radiation Oncology Working Group (ROWG) will continue to have a key role in clinical leadership across the public and private radiation therapy providers. Through this Plan</w:t>
      </w:r>
      <w:r>
        <w:t>, its role</w:t>
      </w:r>
      <w:r w:rsidRPr="00601A89">
        <w:t xml:space="preserve"> will </w:t>
      </w:r>
      <w:r>
        <w:t xml:space="preserve">be </w:t>
      </w:r>
      <w:r w:rsidRPr="00601A89">
        <w:t xml:space="preserve">expanded and more explicit </w:t>
      </w:r>
      <w:r>
        <w:t>as it takes on responsibility for</w:t>
      </w:r>
      <w:r w:rsidRPr="00601A89">
        <w:t xml:space="preserve"> national clinical governance </w:t>
      </w:r>
      <w:r>
        <w:t>of</w:t>
      </w:r>
      <w:r w:rsidRPr="00601A89">
        <w:t xml:space="preserve"> radiation oncology (</w:t>
      </w:r>
      <w:r>
        <w:t>s</w:t>
      </w:r>
      <w:r w:rsidRPr="00601A89">
        <w:t>ection 6.2). ROWG</w:t>
      </w:r>
      <w:r w:rsidR="007A6454">
        <w:t>’</w:t>
      </w:r>
      <w:r w:rsidRPr="00601A89">
        <w:t>s terms of reference, membership and resourcing will be reviewed to ensure they are appropriate to support this function. The Ministry will continue to be responsible for providing secretariat support for ROWG.</w:t>
      </w:r>
    </w:p>
    <w:p w14:paraId="54FEE3D9" w14:textId="77777777" w:rsidR="00E85766" w:rsidRPr="00601A89" w:rsidRDefault="00E85766" w:rsidP="00742CF3"/>
    <w:p w14:paraId="5177E94D" w14:textId="77777777" w:rsidR="00E85766" w:rsidRPr="00601A89" w:rsidRDefault="00E85766" w:rsidP="00742CF3">
      <w:pPr>
        <w:pStyle w:val="Heading2"/>
      </w:pPr>
      <w:bookmarkStart w:id="52" w:name="_Toc470858850"/>
      <w:bookmarkStart w:id="53" w:name="_Toc475992507"/>
      <w:r w:rsidRPr="00601A89">
        <w:t xml:space="preserve">The </w:t>
      </w:r>
      <w:r>
        <w:t>r</w:t>
      </w:r>
      <w:r w:rsidRPr="00601A89">
        <w:t xml:space="preserve">egional </w:t>
      </w:r>
      <w:r>
        <w:t>c</w:t>
      </w:r>
      <w:r w:rsidRPr="00601A89">
        <w:t xml:space="preserve">ancer </w:t>
      </w:r>
      <w:r>
        <w:t>n</w:t>
      </w:r>
      <w:r w:rsidRPr="00601A89">
        <w:t>etworks</w:t>
      </w:r>
      <w:bookmarkEnd w:id="52"/>
      <w:bookmarkEnd w:id="53"/>
    </w:p>
    <w:p w14:paraId="003E1747" w14:textId="77777777" w:rsidR="007A6454" w:rsidRDefault="00E85766" w:rsidP="00742CF3">
      <w:r w:rsidRPr="00601A89">
        <w:t>Within the National Cancer Programme, the role of the four regional cancer networks (RCNs) is to provide regional leadership through working with the DHBs in their regions to promote collaboration in service planning and delivery. RCNs are contracted by the Ministry and their primary accountability is to their constituent DHBs, who in turn are accountable to the Minister for deliver</w:t>
      </w:r>
      <w:r>
        <w:t>ing</w:t>
      </w:r>
      <w:r w:rsidRPr="00601A89">
        <w:t xml:space="preserve"> their regional priorities as outlined in regional planning documents. While the functions of each of the RCNs are similar</w:t>
      </w:r>
      <w:r>
        <w:t>, their local context informs</w:t>
      </w:r>
      <w:r w:rsidRPr="00601A89">
        <w:t xml:space="preserve"> their priorities and </w:t>
      </w:r>
      <w:r>
        <w:t xml:space="preserve">so </w:t>
      </w:r>
      <w:r w:rsidRPr="00601A89">
        <w:t>their work programmes may be different.</w:t>
      </w:r>
    </w:p>
    <w:p w14:paraId="690FAC46" w14:textId="77777777" w:rsidR="00E85766" w:rsidRPr="00601A89" w:rsidRDefault="00E85766" w:rsidP="00742CF3"/>
    <w:p w14:paraId="1950DD17" w14:textId="77777777" w:rsidR="00E85766" w:rsidRDefault="00E85766" w:rsidP="00742CF3">
      <w:r w:rsidRPr="00601A89">
        <w:t xml:space="preserve">The role of RCNs in supporting the implementation of the national plan and ROMDS will focus on radiation oncology service and capacity planning, and supporting quality improvement. ROWG </w:t>
      </w:r>
      <w:r>
        <w:t>will give t</w:t>
      </w:r>
      <w:r w:rsidRPr="00601A89">
        <w:t>he RCNs guidance on unwarranted variation and</w:t>
      </w:r>
      <w:r>
        <w:t xml:space="preserve"> the RCNs will</w:t>
      </w:r>
      <w:r w:rsidRPr="00601A89">
        <w:t xml:space="preserve"> work with their constituent DHBs and radiation oncology provider(s) to define and action a regional plan for addressing that variation.</w:t>
      </w:r>
    </w:p>
    <w:p w14:paraId="4E3E6D2F" w14:textId="77777777" w:rsidR="00E85766" w:rsidRPr="00601A89" w:rsidRDefault="00E85766" w:rsidP="00742CF3"/>
    <w:p w14:paraId="4BEF75E5" w14:textId="77777777" w:rsidR="00E85766" w:rsidRPr="00601A89" w:rsidRDefault="00E85766" w:rsidP="00742CF3">
      <w:pPr>
        <w:pStyle w:val="Heading2"/>
      </w:pPr>
      <w:bookmarkStart w:id="54" w:name="_Toc470858851"/>
      <w:bookmarkStart w:id="55" w:name="_Toc475992508"/>
      <w:r w:rsidRPr="00601A89">
        <w:t>The role of the Ministry in the ongoing management of ROMDS</w:t>
      </w:r>
      <w:bookmarkEnd w:id="54"/>
      <w:bookmarkEnd w:id="55"/>
    </w:p>
    <w:p w14:paraId="3C8AB985" w14:textId="77777777" w:rsidR="00E85766" w:rsidRPr="00601A89" w:rsidRDefault="00E85766" w:rsidP="00742CF3">
      <w:r w:rsidRPr="00601A89">
        <w:t>The Ministry will be primarily accountable and responsible for the ongoing management of</w:t>
      </w:r>
      <w:r>
        <w:t xml:space="preserve"> </w:t>
      </w:r>
      <w:r w:rsidRPr="004033A8">
        <w:t>the ROMDS.</w:t>
      </w:r>
      <w:r w:rsidRPr="00601A89">
        <w:t xml:space="preserve"> This includes the first three functions of the </w:t>
      </w:r>
      <w:r>
        <w:t>entire</w:t>
      </w:r>
      <w:r w:rsidRPr="00601A89">
        <w:t xml:space="preserve"> process for using </w:t>
      </w:r>
      <w:r w:rsidRPr="004033A8">
        <w:t>ROMDS</w:t>
      </w:r>
      <w:r w:rsidRPr="00601A89">
        <w:t xml:space="preserve"> (see </w:t>
      </w:r>
      <w:r w:rsidR="00276C67">
        <w:t>Figure 5</w:t>
      </w:r>
      <w:r w:rsidRPr="00601A89">
        <w:t>):</w:t>
      </w:r>
    </w:p>
    <w:p w14:paraId="30FBE94D" w14:textId="77777777" w:rsidR="00E85766" w:rsidRPr="00601A89" w:rsidRDefault="00E85766" w:rsidP="00742CF3">
      <w:pPr>
        <w:pStyle w:val="Bullet"/>
      </w:pPr>
      <w:r w:rsidRPr="00601A89">
        <w:t xml:space="preserve">submitting data and inputting it into the </w:t>
      </w:r>
      <w:r w:rsidRPr="004033A8">
        <w:t>Tool</w:t>
      </w:r>
    </w:p>
    <w:p w14:paraId="4B31FB79" w14:textId="77777777" w:rsidR="00E85766" w:rsidRPr="00601A89" w:rsidRDefault="00E85766" w:rsidP="00742CF3">
      <w:pPr>
        <w:pStyle w:val="Bullet"/>
      </w:pPr>
      <w:r w:rsidRPr="00601A89">
        <w:t>analysi</w:t>
      </w:r>
      <w:r>
        <w:t>ng</w:t>
      </w:r>
      <w:r w:rsidRPr="00601A89">
        <w:t xml:space="preserve"> and reporting</w:t>
      </w:r>
    </w:p>
    <w:p w14:paraId="57893C41" w14:textId="77777777" w:rsidR="00E85766" w:rsidRPr="00601A89" w:rsidRDefault="00E85766" w:rsidP="00742CF3">
      <w:pPr>
        <w:pStyle w:val="Bullet"/>
      </w:pPr>
      <w:r w:rsidRPr="00601A89">
        <w:t>interpret</w:t>
      </w:r>
      <w:r>
        <w:t>ing</w:t>
      </w:r>
      <w:r w:rsidRPr="00601A89">
        <w:t xml:space="preserve"> and circulati</w:t>
      </w:r>
      <w:r>
        <w:t>ng results</w:t>
      </w:r>
      <w:r w:rsidRPr="00601A89">
        <w:t>.</w:t>
      </w:r>
    </w:p>
    <w:p w14:paraId="46D967A6" w14:textId="77777777" w:rsidR="00E85766" w:rsidRPr="00601A89" w:rsidRDefault="00E85766" w:rsidP="00742CF3"/>
    <w:p w14:paraId="1D6A2393" w14:textId="77777777" w:rsidR="00E85766" w:rsidRPr="00601A89" w:rsidRDefault="00E85766" w:rsidP="00742CF3">
      <w:r w:rsidRPr="00601A89">
        <w:t>The long</w:t>
      </w:r>
      <w:r>
        <w:t>-</w:t>
      </w:r>
      <w:r w:rsidRPr="00601A89">
        <w:t>term vision</w:t>
      </w:r>
      <w:r>
        <w:t>,</w:t>
      </w:r>
      <w:r w:rsidRPr="00601A89">
        <w:t xml:space="preserve"> as outlined in the New Zealand Cancer Plan and the Cancer Health Information Strategy</w:t>
      </w:r>
      <w:r>
        <w:t>,</w:t>
      </w:r>
      <w:r w:rsidRPr="00601A89">
        <w:t xml:space="preserve"> is </w:t>
      </w:r>
      <w:r>
        <w:t xml:space="preserve">for the radiation oncology sector </w:t>
      </w:r>
      <w:r w:rsidRPr="00601A89">
        <w:t>to have timely access to comprehensive and accurate patient-level data across treatment modalities.</w:t>
      </w:r>
    </w:p>
    <w:p w14:paraId="0BE370D5" w14:textId="77777777" w:rsidR="00E85766" w:rsidRPr="00601A89" w:rsidRDefault="00E85766" w:rsidP="00742CF3"/>
    <w:p w14:paraId="2F6C5839" w14:textId="77777777" w:rsidR="00E85766" w:rsidRPr="00601A89" w:rsidRDefault="00E85766" w:rsidP="00742CF3">
      <w:pPr>
        <w:keepNext/>
      </w:pPr>
      <w:r w:rsidRPr="00601A89">
        <w:lastRenderedPageBreak/>
        <w:t xml:space="preserve">The strategies </w:t>
      </w:r>
      <w:r>
        <w:t xml:space="preserve">in the </w:t>
      </w:r>
      <w:r w:rsidRPr="00601A89">
        <w:t xml:space="preserve">Cancer Health Information Strategy align closely with those activities </w:t>
      </w:r>
      <w:r>
        <w:t>needed</w:t>
      </w:r>
      <w:r w:rsidRPr="00601A89">
        <w:t xml:space="preserve"> to support the ongoing management and use of the Tool</w:t>
      </w:r>
      <w:r>
        <w:t>. In particular, they involve</w:t>
      </w:r>
      <w:r w:rsidRPr="00601A89">
        <w:t>:</w:t>
      </w:r>
    </w:p>
    <w:p w14:paraId="6A814910" w14:textId="77777777" w:rsidR="00E85766" w:rsidRPr="00601A89" w:rsidRDefault="00E85766" w:rsidP="00742CF3">
      <w:pPr>
        <w:pStyle w:val="Bullet"/>
        <w:keepNext/>
      </w:pPr>
      <w:r w:rsidRPr="00601A89">
        <w:t>provi</w:t>
      </w:r>
      <w:r>
        <w:t>ding</w:t>
      </w:r>
      <w:r w:rsidRPr="00601A89">
        <w:t xml:space="preserve"> a national framework for managing cancer data and ongoing changes</w:t>
      </w:r>
    </w:p>
    <w:p w14:paraId="7CDCDA27" w14:textId="77777777" w:rsidR="00E85766" w:rsidRPr="00601A89" w:rsidRDefault="00E85766" w:rsidP="00742CF3">
      <w:pPr>
        <w:pStyle w:val="Bullet"/>
      </w:pPr>
      <w:r>
        <w:t>combining</w:t>
      </w:r>
      <w:r w:rsidRPr="00601A89" w:rsidDel="00912278">
        <w:t xml:space="preserve"> </w:t>
      </w:r>
      <w:r w:rsidRPr="00601A89">
        <w:t xml:space="preserve">relevant patient and cancer service data into cancer information </w:t>
      </w:r>
      <w:r>
        <w:t>for</w:t>
      </w:r>
      <w:r w:rsidRPr="00601A89">
        <w:t xml:space="preserve"> service and capacity planning</w:t>
      </w:r>
    </w:p>
    <w:p w14:paraId="3FAA0739" w14:textId="77777777" w:rsidR="00E85766" w:rsidRPr="00601A89" w:rsidRDefault="00E85766" w:rsidP="00742CF3">
      <w:pPr>
        <w:pStyle w:val="Bullet"/>
      </w:pPr>
      <w:r w:rsidRPr="00601A89">
        <w:t>analys</w:t>
      </w:r>
      <w:r>
        <w:t>ing</w:t>
      </w:r>
      <w:r w:rsidRPr="00601A89">
        <w:t xml:space="preserve"> information to produce cancer intelligence and communicate it to stakeholders.</w:t>
      </w:r>
    </w:p>
    <w:p w14:paraId="78E3F5B0" w14:textId="77777777" w:rsidR="00E85766" w:rsidRPr="00601A89" w:rsidRDefault="00E85766" w:rsidP="00742CF3"/>
    <w:p w14:paraId="5C5554ED" w14:textId="77777777" w:rsidR="00E85766" w:rsidRPr="00601A89" w:rsidRDefault="00E85766" w:rsidP="00742CF3">
      <w:r w:rsidRPr="00601A89">
        <w:t xml:space="preserve">The </w:t>
      </w:r>
      <w:r>
        <w:t xml:space="preserve">final activities listed above – </w:t>
      </w:r>
      <w:r w:rsidRPr="00601A89">
        <w:t>generati</w:t>
      </w:r>
      <w:r>
        <w:t>ng</w:t>
      </w:r>
      <w:r w:rsidRPr="00601A89">
        <w:t xml:space="preserve"> cancer intelligence, develop</w:t>
      </w:r>
      <w:r>
        <w:t>ing</w:t>
      </w:r>
      <w:r w:rsidRPr="00601A89">
        <w:t xml:space="preserve"> meaningful insights and effective</w:t>
      </w:r>
      <w:r>
        <w:t>ly</w:t>
      </w:r>
      <w:r w:rsidRPr="00601A89">
        <w:t xml:space="preserve"> communicati</w:t>
      </w:r>
      <w:r>
        <w:t>ng them</w:t>
      </w:r>
      <w:r w:rsidRPr="00601A89">
        <w:t xml:space="preserve"> to stakeholders </w:t>
      </w:r>
      <w:r>
        <w:t xml:space="preserve">– </w:t>
      </w:r>
      <w:r w:rsidRPr="00601A89">
        <w:t xml:space="preserve">are particularly important as they frame the clinical governance review (see </w:t>
      </w:r>
      <w:r w:rsidR="002B1D20">
        <w:t>Figure 5</w:t>
      </w:r>
      <w:r w:rsidRPr="00601A89">
        <w:t>). The long</w:t>
      </w:r>
      <w:r>
        <w:t>-</w:t>
      </w:r>
      <w:r w:rsidRPr="00601A89">
        <w:t>term vision for manag</w:t>
      </w:r>
      <w:r>
        <w:t>ing</w:t>
      </w:r>
      <w:r w:rsidRPr="00601A89">
        <w:t xml:space="preserve"> cancer data is to have the required information flowing into a central analysis hub operated by the Ministry. However, given the Cancer Health Information Strategy</w:t>
      </w:r>
      <w:r>
        <w:t xml:space="preserve"> will not be fully implemented before the sector is using the Tool</w:t>
      </w:r>
      <w:r w:rsidRPr="00601A89">
        <w:t xml:space="preserve">, an interim solution will be </w:t>
      </w:r>
      <w:r>
        <w:t>needed</w:t>
      </w:r>
      <w:r w:rsidRPr="00601A89">
        <w:t xml:space="preserve"> to support the radiation oncology sector with achieving its priorities.</w:t>
      </w:r>
    </w:p>
    <w:p w14:paraId="50A7E8D4" w14:textId="77777777" w:rsidR="00E85766" w:rsidRPr="00601A89" w:rsidRDefault="00E85766" w:rsidP="00742CF3"/>
    <w:p w14:paraId="549BF9F6" w14:textId="77777777" w:rsidR="007A6454" w:rsidRDefault="00E85766" w:rsidP="00742CF3">
      <w:r w:rsidRPr="00601A89">
        <w:t xml:space="preserve">As </w:t>
      </w:r>
      <w:r>
        <w:t>s</w:t>
      </w:r>
      <w:r w:rsidRPr="00601A89">
        <w:t>ection 6.1</w:t>
      </w:r>
      <w:r>
        <w:t xml:space="preserve"> outlines</w:t>
      </w:r>
      <w:r w:rsidRPr="00601A89">
        <w:t xml:space="preserve">, the first action for </w:t>
      </w:r>
      <w:r>
        <w:t>making</w:t>
      </w:r>
      <w:r w:rsidRPr="00601A89">
        <w:t xml:space="preserve"> </w:t>
      </w:r>
      <w:r w:rsidRPr="00C237AC">
        <w:t>ROMDS part</w:t>
      </w:r>
      <w:r>
        <w:t xml:space="preserve"> of everyday</w:t>
      </w:r>
      <w:r w:rsidRPr="00601A89">
        <w:t xml:space="preserve"> practice is to establish an interim solution that enables the radiation oncology sector to continue</w:t>
      </w:r>
      <w:r>
        <w:t xml:space="preserve"> to build on</w:t>
      </w:r>
      <w:r w:rsidRPr="00601A89">
        <w:t xml:space="preserve"> its </w:t>
      </w:r>
      <w:r>
        <w:t xml:space="preserve">use of </w:t>
      </w:r>
      <w:r w:rsidRPr="00601A89">
        <w:t xml:space="preserve">data to inform clinical practice. The Ministry is currently working with the Cancer Health Information Strategy </w:t>
      </w:r>
      <w:r>
        <w:t>to</w:t>
      </w:r>
      <w:r w:rsidRPr="00601A89">
        <w:t xml:space="preserve"> develop a solution that will support the transition into the future central analysis hub.</w:t>
      </w:r>
    </w:p>
    <w:p w14:paraId="7ED13040" w14:textId="77777777" w:rsidR="00E85766" w:rsidRPr="00601A89" w:rsidRDefault="00E85766" w:rsidP="00742CF3"/>
    <w:p w14:paraId="3A34F7F1" w14:textId="77777777" w:rsidR="00E85766" w:rsidRPr="00601A89" w:rsidRDefault="00E85766" w:rsidP="00742CF3">
      <w:pPr>
        <w:pStyle w:val="Heading2"/>
      </w:pPr>
      <w:bookmarkStart w:id="56" w:name="_Toc470858852"/>
      <w:bookmarkStart w:id="57" w:name="_Toc475992509"/>
      <w:r w:rsidRPr="00601A89">
        <w:t>The role of private providers</w:t>
      </w:r>
      <w:bookmarkEnd w:id="56"/>
      <w:bookmarkEnd w:id="57"/>
    </w:p>
    <w:p w14:paraId="1D18B996" w14:textId="77777777" w:rsidR="007A6454" w:rsidRDefault="00E85766" w:rsidP="00742CF3">
      <w:r w:rsidRPr="00601A89">
        <w:t xml:space="preserve">Private providers will be responsible for supplying ROMDS data. Although standards of care </w:t>
      </w:r>
      <w:r>
        <w:t xml:space="preserve">that </w:t>
      </w:r>
      <w:r w:rsidRPr="00601A89">
        <w:t>ROWG develop</w:t>
      </w:r>
      <w:r>
        <w:t>s</w:t>
      </w:r>
      <w:r w:rsidRPr="00601A89">
        <w:t xml:space="preserve"> will be primarily aimed at the public radiation oncology provide</w:t>
      </w:r>
      <w:r>
        <w:t>rs, private providers will be encouraged</w:t>
      </w:r>
      <w:r w:rsidRPr="00601A89">
        <w:t xml:space="preserve"> to improve services voluntarily based on analysis of the </w:t>
      </w:r>
      <w:r>
        <w:t>data</w:t>
      </w:r>
      <w:r w:rsidRPr="00601A89">
        <w:t>.</w:t>
      </w:r>
    </w:p>
    <w:p w14:paraId="58946B95" w14:textId="77777777" w:rsidR="00742CF3" w:rsidRDefault="00742CF3" w:rsidP="00742CF3"/>
    <w:p w14:paraId="50F026E4" w14:textId="77777777" w:rsidR="00E85766" w:rsidRPr="00601A89" w:rsidRDefault="00E85766" w:rsidP="00742CF3">
      <w:pPr>
        <w:pStyle w:val="Heading1"/>
      </w:pPr>
      <w:bookmarkStart w:id="58" w:name="_Toc470858853"/>
      <w:bookmarkStart w:id="59" w:name="_Toc475992510"/>
      <w:r w:rsidRPr="00601A89">
        <w:lastRenderedPageBreak/>
        <w:t>A framework for action</w:t>
      </w:r>
      <w:bookmarkEnd w:id="58"/>
      <w:bookmarkEnd w:id="59"/>
    </w:p>
    <w:p w14:paraId="2810EB05" w14:textId="77777777" w:rsidR="00E85766" w:rsidRPr="00601A89" w:rsidRDefault="00E85766" w:rsidP="00742CF3">
      <w:pPr>
        <w:pStyle w:val="Heading2"/>
      </w:pPr>
      <w:bookmarkStart w:id="60" w:name="_Toc470858854"/>
      <w:bookmarkStart w:id="61" w:name="_Toc475992511"/>
      <w:r>
        <w:t>Overview of the framework</w:t>
      </w:r>
      <w:bookmarkEnd w:id="60"/>
      <w:bookmarkEnd w:id="61"/>
    </w:p>
    <w:p w14:paraId="2C14F1C3" w14:textId="77777777" w:rsidR="00E85766" w:rsidRPr="00601A89" w:rsidRDefault="00E85766" w:rsidP="00742CF3">
      <w:r w:rsidRPr="00601A89">
        <w:t>The vision for radiation oncology services is:</w:t>
      </w:r>
    </w:p>
    <w:p w14:paraId="3A8BA29A" w14:textId="77777777" w:rsidR="00E85766" w:rsidRPr="00CD6FD0" w:rsidRDefault="00E85766" w:rsidP="00742CF3">
      <w:pPr>
        <w:pStyle w:val="Quote"/>
      </w:pPr>
      <w:r w:rsidRPr="00CD6FD0">
        <w:t>Radiation oncology services will be equitable to all New Zealanders, providing them with high</w:t>
      </w:r>
      <w:r>
        <w:t>-</w:t>
      </w:r>
      <w:r w:rsidRPr="00CD6FD0">
        <w:t>quality care to achieve the best possible outcomes.</w:t>
      </w:r>
    </w:p>
    <w:p w14:paraId="19E9C2D7" w14:textId="77777777" w:rsidR="00E85766" w:rsidRPr="00601A89" w:rsidRDefault="00E85766" w:rsidP="00742CF3"/>
    <w:p w14:paraId="37E4843A" w14:textId="77777777" w:rsidR="00E85766" w:rsidRPr="00601A89" w:rsidRDefault="00E85766" w:rsidP="00742CF3">
      <w:r w:rsidRPr="00601A89">
        <w:t>Underpinning the vision are three priority outcomes</w:t>
      </w:r>
      <w:r>
        <w:t>.</w:t>
      </w:r>
    </w:p>
    <w:p w14:paraId="54B181E8" w14:textId="77777777" w:rsidR="00E85766" w:rsidRPr="00601A89" w:rsidRDefault="00742CF3" w:rsidP="00742CF3">
      <w:pPr>
        <w:spacing w:before="90"/>
        <w:ind w:left="567" w:hanging="567"/>
      </w:pPr>
      <w:r>
        <w:t>1.</w:t>
      </w:r>
      <w:r>
        <w:tab/>
      </w:r>
      <w:r w:rsidR="00E85766">
        <w:t>P</w:t>
      </w:r>
      <w:r w:rsidR="00E85766" w:rsidRPr="00601A89">
        <w:t>eople have fair access to the treatment they need</w:t>
      </w:r>
      <w:r w:rsidR="00E85766">
        <w:t>.</w:t>
      </w:r>
    </w:p>
    <w:p w14:paraId="38D17D25" w14:textId="77777777" w:rsidR="00E85766" w:rsidRPr="00601A89" w:rsidRDefault="00742CF3" w:rsidP="00742CF3">
      <w:pPr>
        <w:spacing w:before="90"/>
        <w:ind w:left="567" w:hanging="567"/>
      </w:pPr>
      <w:r>
        <w:t>2.</w:t>
      </w:r>
      <w:r>
        <w:tab/>
      </w:r>
      <w:r w:rsidR="00E85766">
        <w:t>R</w:t>
      </w:r>
      <w:r w:rsidR="00E85766" w:rsidRPr="00601A89">
        <w:t>adiation oncology services are safe and effective</w:t>
      </w:r>
      <w:r w:rsidR="00E85766">
        <w:t>.</w:t>
      </w:r>
    </w:p>
    <w:p w14:paraId="57BAC271" w14:textId="77777777" w:rsidR="00E85766" w:rsidRPr="00601A89" w:rsidRDefault="00742CF3" w:rsidP="00742CF3">
      <w:pPr>
        <w:spacing w:before="90"/>
        <w:ind w:left="567" w:hanging="567"/>
      </w:pPr>
      <w:r>
        <w:t>3.</w:t>
      </w:r>
      <w:r>
        <w:tab/>
      </w:r>
      <w:r w:rsidR="00E85766">
        <w:t>R</w:t>
      </w:r>
      <w:r w:rsidR="00E85766" w:rsidRPr="00601A89">
        <w:t>adiation oncology services are sustainable.</w:t>
      </w:r>
    </w:p>
    <w:p w14:paraId="32C24643" w14:textId="77777777" w:rsidR="00E85766" w:rsidRPr="00601A89" w:rsidRDefault="00E85766" w:rsidP="00742CF3"/>
    <w:p w14:paraId="620E50AE" w14:textId="77777777" w:rsidR="00E85766" w:rsidRPr="00601A89" w:rsidRDefault="00E85766" w:rsidP="00742CF3">
      <w:r w:rsidRPr="00601A89">
        <w:t>Five key</w:t>
      </w:r>
      <w:r>
        <w:t xml:space="preserve"> supporting tools, structures and processes that will help to make the</w:t>
      </w:r>
      <w:r w:rsidRPr="00601A89">
        <w:t xml:space="preserve"> vision and </w:t>
      </w:r>
      <w:r>
        <w:t>outcomes</w:t>
      </w:r>
      <w:r w:rsidRPr="00601A89">
        <w:t xml:space="preserve"> </w:t>
      </w:r>
      <w:r>
        <w:t xml:space="preserve">happen </w:t>
      </w:r>
      <w:r w:rsidRPr="00601A89">
        <w:t>are:</w:t>
      </w:r>
    </w:p>
    <w:p w14:paraId="5A3A02F8" w14:textId="77777777" w:rsidR="00E85766" w:rsidRPr="00601A89" w:rsidRDefault="00742CF3" w:rsidP="00742CF3">
      <w:pPr>
        <w:spacing w:before="90"/>
        <w:ind w:left="567" w:hanging="567"/>
      </w:pPr>
      <w:r>
        <w:t>1.</w:t>
      </w:r>
      <w:r>
        <w:tab/>
      </w:r>
      <w:r w:rsidR="00E85766" w:rsidRPr="00601A89">
        <w:t>cancer information</w:t>
      </w:r>
    </w:p>
    <w:p w14:paraId="7E90C32D" w14:textId="77777777" w:rsidR="00E85766" w:rsidRPr="00601A89" w:rsidRDefault="00742CF3" w:rsidP="00742CF3">
      <w:pPr>
        <w:spacing w:before="90"/>
        <w:ind w:left="567" w:hanging="567"/>
      </w:pPr>
      <w:r>
        <w:t>2.</w:t>
      </w:r>
      <w:r>
        <w:tab/>
      </w:r>
      <w:r w:rsidR="00E85766" w:rsidRPr="00601A89">
        <w:t>clinical governance</w:t>
      </w:r>
    </w:p>
    <w:p w14:paraId="129C8272" w14:textId="77777777" w:rsidR="00E85766" w:rsidRPr="00601A89" w:rsidRDefault="00742CF3" w:rsidP="00742CF3">
      <w:pPr>
        <w:spacing w:before="90"/>
        <w:ind w:left="567" w:hanging="567"/>
      </w:pPr>
      <w:r>
        <w:t>3.</w:t>
      </w:r>
      <w:r>
        <w:tab/>
      </w:r>
      <w:r w:rsidR="00E85766" w:rsidRPr="00601A89">
        <w:t>linear accelerator capacity</w:t>
      </w:r>
    </w:p>
    <w:p w14:paraId="194514E0" w14:textId="77777777" w:rsidR="00E85766" w:rsidRPr="00601A89" w:rsidRDefault="00742CF3" w:rsidP="00742CF3">
      <w:pPr>
        <w:spacing w:before="90"/>
        <w:ind w:left="567" w:hanging="567"/>
      </w:pPr>
      <w:r>
        <w:t>4.</w:t>
      </w:r>
      <w:r>
        <w:tab/>
      </w:r>
      <w:r w:rsidR="00E85766" w:rsidRPr="00601A89">
        <w:t>workforce capacity</w:t>
      </w:r>
    </w:p>
    <w:p w14:paraId="0A3E9777" w14:textId="77777777" w:rsidR="00E85766" w:rsidRPr="00601A89" w:rsidRDefault="00742CF3" w:rsidP="00742CF3">
      <w:pPr>
        <w:spacing w:before="90"/>
        <w:ind w:left="567" w:hanging="567"/>
      </w:pPr>
      <w:r>
        <w:t>5.</w:t>
      </w:r>
      <w:r>
        <w:tab/>
      </w:r>
      <w:r w:rsidR="00E85766">
        <w:t>information technology (</w:t>
      </w:r>
      <w:r w:rsidR="00E85766" w:rsidRPr="00601A89">
        <w:t>IT</w:t>
      </w:r>
      <w:r w:rsidR="00E85766">
        <w:t>)</w:t>
      </w:r>
      <w:r w:rsidR="00E85766" w:rsidRPr="00601A89">
        <w:t xml:space="preserve"> </w:t>
      </w:r>
      <w:r w:rsidR="00E85766">
        <w:t>i</w:t>
      </w:r>
      <w:r w:rsidR="00E85766" w:rsidRPr="00601A89">
        <w:t>nfrastructure.</w:t>
      </w:r>
    </w:p>
    <w:p w14:paraId="1E456BA7" w14:textId="77777777" w:rsidR="00E85766" w:rsidRDefault="00E85766" w:rsidP="00742CF3"/>
    <w:p w14:paraId="683F9AB7" w14:textId="77777777" w:rsidR="00E85766" w:rsidRDefault="00E85766" w:rsidP="00742CF3">
      <w:r>
        <w:t>Figure 6 summarises this framework for action.</w:t>
      </w:r>
    </w:p>
    <w:p w14:paraId="6B1F4F65" w14:textId="77777777" w:rsidR="00E85766" w:rsidRDefault="00E85766" w:rsidP="00742CF3"/>
    <w:p w14:paraId="2B35CBA1" w14:textId="77777777" w:rsidR="00E85766" w:rsidRPr="00601A89" w:rsidRDefault="00E85766" w:rsidP="00742CF3">
      <w:pPr>
        <w:pStyle w:val="Figure"/>
      </w:pPr>
      <w:bookmarkStart w:id="62" w:name="_Toc475954107"/>
      <w:r>
        <w:t xml:space="preserve">Figure </w:t>
      </w:r>
      <w:r w:rsidR="003B40AB">
        <w:fldChar w:fldCharType="begin"/>
      </w:r>
      <w:r w:rsidR="003B40AB">
        <w:instrText xml:space="preserve"> SEQ Figure \* ARABIC </w:instrText>
      </w:r>
      <w:r w:rsidR="003B40AB">
        <w:fldChar w:fldCharType="separate"/>
      </w:r>
      <w:r w:rsidR="00E2252F">
        <w:rPr>
          <w:noProof/>
        </w:rPr>
        <w:t>6</w:t>
      </w:r>
      <w:r w:rsidR="003B40AB">
        <w:rPr>
          <w:noProof/>
        </w:rPr>
        <w:fldChar w:fldCharType="end"/>
      </w:r>
      <w:r>
        <w:t>: Vision and outcomes, and their supporting tools, structures and processes</w:t>
      </w:r>
      <w:bookmarkEnd w:id="62"/>
    </w:p>
    <w:p w14:paraId="0D35A366" w14:textId="001E8D1E" w:rsidR="00E85766" w:rsidRDefault="00420557" w:rsidP="00742CF3">
      <w:r w:rsidRPr="00420557">
        <w:rPr>
          <w:noProof/>
          <w:lang w:eastAsia="en-NZ"/>
        </w:rPr>
        <w:drawing>
          <wp:inline distT="0" distB="0" distL="0" distR="0" wp14:anchorId="2F185948" wp14:editId="5ED3BDDD">
            <wp:extent cx="5940425" cy="2402826"/>
            <wp:effectExtent l="0" t="0" r="3175" b="0"/>
            <wp:docPr id="14" name="Picture 14" title="Figure 6: Vision and outcomes, and their supporting tools, structures and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0425" cy="2402826"/>
                    </a:xfrm>
                    <a:prstGeom prst="rect">
                      <a:avLst/>
                    </a:prstGeom>
                  </pic:spPr>
                </pic:pic>
              </a:graphicData>
            </a:graphic>
          </wp:inline>
        </w:drawing>
      </w:r>
    </w:p>
    <w:p w14:paraId="1DA3F252" w14:textId="77777777" w:rsidR="00420557" w:rsidRDefault="00420557" w:rsidP="00742CF3"/>
    <w:p w14:paraId="5DCA3913" w14:textId="77777777" w:rsidR="00E85766" w:rsidRPr="00601A89" w:rsidRDefault="00E85766" w:rsidP="00742CF3">
      <w:pPr>
        <w:pStyle w:val="Heading2"/>
      </w:pPr>
      <w:bookmarkStart w:id="63" w:name="_Toc470858855"/>
      <w:bookmarkStart w:id="64" w:name="_Toc475992512"/>
      <w:r>
        <w:lastRenderedPageBreak/>
        <w:t>Strategic priorities</w:t>
      </w:r>
      <w:bookmarkEnd w:id="63"/>
      <w:bookmarkEnd w:id="64"/>
    </w:p>
    <w:p w14:paraId="31FC7082" w14:textId="77777777" w:rsidR="00E85766" w:rsidRPr="00601A89" w:rsidRDefault="00E85766" w:rsidP="00742CF3">
      <w:pPr>
        <w:pStyle w:val="Heading3"/>
      </w:pPr>
      <w:bookmarkStart w:id="65" w:name="_Toc470858856"/>
      <w:r w:rsidRPr="00601A89">
        <w:t>Priority 1: People have fair access to the treatment they need</w:t>
      </w:r>
      <w:bookmarkEnd w:id="65"/>
    </w:p>
    <w:p w14:paraId="3C750691" w14:textId="77777777" w:rsidR="00E85766" w:rsidRPr="00601A89" w:rsidRDefault="00E85766" w:rsidP="00742CF3">
      <w:pPr>
        <w:pStyle w:val="Heading4"/>
      </w:pPr>
      <w:r w:rsidRPr="00601A89">
        <w:t>Faster Cancer Treatment</w:t>
      </w:r>
    </w:p>
    <w:p w14:paraId="7089AC42" w14:textId="77777777" w:rsidR="007A6454" w:rsidRDefault="00E85766" w:rsidP="00742CF3">
      <w:r w:rsidRPr="00601A89">
        <w:t xml:space="preserve">The Government is committed to </w:t>
      </w:r>
      <w:r>
        <w:t>b</w:t>
      </w:r>
      <w:r w:rsidRPr="00601A89">
        <w:t xml:space="preserve">etter, </w:t>
      </w:r>
      <w:r>
        <w:t>s</w:t>
      </w:r>
      <w:r w:rsidRPr="00601A89">
        <w:t xml:space="preserve">ooner, </w:t>
      </w:r>
      <w:r>
        <w:t>m</w:t>
      </w:r>
      <w:r w:rsidRPr="00601A89">
        <w:t xml:space="preserve">ore </w:t>
      </w:r>
      <w:r>
        <w:t>c</w:t>
      </w:r>
      <w:r w:rsidRPr="00601A89">
        <w:t xml:space="preserve">onvenient </w:t>
      </w:r>
      <w:r>
        <w:t>h</w:t>
      </w:r>
      <w:r w:rsidRPr="00601A89">
        <w:t xml:space="preserve">ealth </w:t>
      </w:r>
      <w:r>
        <w:t>c</w:t>
      </w:r>
      <w:r w:rsidRPr="00601A89">
        <w:t>are, and the Fast</w:t>
      </w:r>
      <w:r>
        <w:t>er</w:t>
      </w:r>
      <w:r w:rsidRPr="00601A89">
        <w:t xml:space="preserve"> Cancer Treatment (FCT) programme is a key element </w:t>
      </w:r>
      <w:r>
        <w:t>in achieving</w:t>
      </w:r>
      <w:r w:rsidRPr="00601A89">
        <w:t xml:space="preserve"> this. The FCT programme is designed to reduce waiting times for appointments, tests and treatment, and standardise care pathways for all patients wherever they live.</w:t>
      </w:r>
    </w:p>
    <w:p w14:paraId="6CA25A08" w14:textId="77777777" w:rsidR="00742CF3" w:rsidRDefault="00742CF3" w:rsidP="00742CF3"/>
    <w:p w14:paraId="2B64E110" w14:textId="77777777" w:rsidR="007A6454" w:rsidRPr="007A6454" w:rsidRDefault="00E85766" w:rsidP="00742CF3">
      <w:r w:rsidRPr="007A6454">
        <w:t>The Faster Cancer Treatment health target is 85</w:t>
      </w:r>
      <w:r w:rsidR="00742CF3">
        <w:t> percent</w:t>
      </w:r>
      <w:r w:rsidRPr="007A6454">
        <w:t xml:space="preserve"> of patients referred urgently with a high suspicion of cancer receive their first cancer treatment (or other management) within 62</w:t>
      </w:r>
      <w:r w:rsidR="00742CF3">
        <w:t> </w:t>
      </w:r>
      <w:r w:rsidRPr="007A6454">
        <w:t>days. This will increase to 90</w:t>
      </w:r>
      <w:r w:rsidR="00742CF3">
        <w:t> percent</w:t>
      </w:r>
      <w:r w:rsidRPr="007A6454">
        <w:t xml:space="preserve"> by July 2017.</w:t>
      </w:r>
    </w:p>
    <w:p w14:paraId="581AFBE7" w14:textId="77777777" w:rsidR="00E85766" w:rsidRDefault="00E85766" w:rsidP="00742CF3"/>
    <w:p w14:paraId="1E3EA5A3" w14:textId="77777777" w:rsidR="007A6454" w:rsidRDefault="00E85766" w:rsidP="00742CF3">
      <w:r w:rsidRPr="00601A89">
        <w:t xml:space="preserve">Data from 1 October 2015 to 31 March 2016 suggests patients receiving radiation therapy as their first treatment are </w:t>
      </w:r>
      <w:r>
        <w:t>less</w:t>
      </w:r>
      <w:r w:rsidRPr="00601A89">
        <w:t xml:space="preserve"> likely to meet the 62-day target </w:t>
      </w:r>
      <w:r>
        <w:t>than patients receiving</w:t>
      </w:r>
      <w:r w:rsidRPr="00601A89">
        <w:t xml:space="preserve"> other treatment modalities (such as chemotherapy and surgery). This</w:t>
      </w:r>
      <w:r>
        <w:t xml:space="preserve"> difference</w:t>
      </w:r>
      <w:r w:rsidRPr="00601A89">
        <w:t xml:space="preserve"> highlights the need for continu</w:t>
      </w:r>
      <w:r>
        <w:t>ed effort to</w:t>
      </w:r>
      <w:r w:rsidRPr="00601A89">
        <w:t xml:space="preserve"> improv</w:t>
      </w:r>
      <w:r>
        <w:t>e</w:t>
      </w:r>
      <w:r w:rsidRPr="00601A89">
        <w:t xml:space="preserve"> timely access to radiation therapy.</w:t>
      </w:r>
    </w:p>
    <w:p w14:paraId="64651416" w14:textId="77777777" w:rsidR="00E85766" w:rsidRPr="00601A89" w:rsidRDefault="00E85766" w:rsidP="00742CF3"/>
    <w:p w14:paraId="14C080D6" w14:textId="77777777" w:rsidR="007A6454" w:rsidRDefault="00E85766" w:rsidP="00742CF3">
      <w:pPr>
        <w:pStyle w:val="Heading4"/>
      </w:pPr>
      <w:r w:rsidRPr="00601A89">
        <w:t>Fair access</w:t>
      </w:r>
    </w:p>
    <w:p w14:paraId="381B5A59" w14:textId="77777777" w:rsidR="00E85766" w:rsidRPr="00601A89" w:rsidRDefault="00E85766" w:rsidP="00742CF3">
      <w:r w:rsidRPr="00601A89">
        <w:t xml:space="preserve">In addition to </w:t>
      </w:r>
      <w:r>
        <w:t>the Faster Cancer Treatment health target</w:t>
      </w:r>
      <w:r w:rsidRPr="00601A89">
        <w:t>, the two other key indicators of access to radiation therapy</w:t>
      </w:r>
      <w:r>
        <w:t xml:space="preserve"> are</w:t>
      </w:r>
      <w:r w:rsidRPr="00601A89">
        <w:t>:</w:t>
      </w:r>
    </w:p>
    <w:p w14:paraId="0C65E28D" w14:textId="77777777" w:rsidR="00E85766" w:rsidRPr="00601A89" w:rsidRDefault="00E85766" w:rsidP="00742CF3">
      <w:pPr>
        <w:pStyle w:val="Bullet"/>
      </w:pPr>
      <w:r w:rsidRPr="00601A89">
        <w:t xml:space="preserve">intervention rate (IR): </w:t>
      </w:r>
      <w:r>
        <w:t>t</w:t>
      </w:r>
      <w:r w:rsidRPr="00601A89">
        <w:t>he proportion of all registered cancers that are treated with at least one course of radiation therapy</w:t>
      </w:r>
    </w:p>
    <w:p w14:paraId="3BB0E303" w14:textId="77777777" w:rsidR="00E85766" w:rsidRPr="00601A89" w:rsidRDefault="00E85766" w:rsidP="00742CF3">
      <w:pPr>
        <w:pStyle w:val="Bullet"/>
      </w:pPr>
      <w:r w:rsidRPr="00601A89">
        <w:t xml:space="preserve">subsequent treatment rate (STR): </w:t>
      </w:r>
      <w:r>
        <w:t>t</w:t>
      </w:r>
      <w:r w:rsidRPr="00601A89">
        <w:t>he proportion of all radiation therapy courses delivered to people who have already had at least one course for their cancer.</w:t>
      </w:r>
    </w:p>
    <w:p w14:paraId="0C01AEE1" w14:textId="77777777" w:rsidR="00E85766" w:rsidRPr="00601A89" w:rsidRDefault="00E85766" w:rsidP="00742CF3"/>
    <w:p w14:paraId="379E9779" w14:textId="77777777" w:rsidR="007A6454" w:rsidRDefault="00E85766" w:rsidP="00742CF3">
      <w:r w:rsidRPr="00601A89">
        <w:t xml:space="preserve">As discussed in </w:t>
      </w:r>
      <w:r>
        <w:t>s</w:t>
      </w:r>
      <w:r w:rsidRPr="00601A89">
        <w:t xml:space="preserve">ection 3.2.1, </w:t>
      </w:r>
      <w:r>
        <w:t>in</w:t>
      </w:r>
      <w:r w:rsidRPr="00601A89">
        <w:t xml:space="preserve"> New Zealand</w:t>
      </w:r>
      <w:r>
        <w:t xml:space="preserve"> the</w:t>
      </w:r>
      <w:r w:rsidRPr="00601A89">
        <w:t xml:space="preserve"> average IR </w:t>
      </w:r>
      <w:r>
        <w:t>is</w:t>
      </w:r>
      <w:r w:rsidRPr="00601A89">
        <w:t xml:space="preserve"> 37</w:t>
      </w:r>
      <w:r w:rsidR="00742CF3">
        <w:t> percent</w:t>
      </w:r>
      <w:r>
        <w:t xml:space="preserve"> </w:t>
      </w:r>
      <w:r w:rsidRPr="00601A89">
        <w:t xml:space="preserve">and </w:t>
      </w:r>
      <w:r>
        <w:t xml:space="preserve">average </w:t>
      </w:r>
      <w:r w:rsidRPr="00601A89">
        <w:t xml:space="preserve">STR </w:t>
      </w:r>
      <w:r>
        <w:t xml:space="preserve">is </w:t>
      </w:r>
      <w:r w:rsidRPr="00601A89">
        <w:t>23</w:t>
      </w:r>
      <w:r w:rsidR="00742CF3">
        <w:t> percent</w:t>
      </w:r>
      <w:r w:rsidRPr="00601A89">
        <w:t>. Individual DHB radiation therapy</w:t>
      </w:r>
      <w:r w:rsidRPr="00A32A32">
        <w:t xml:space="preserve"> </w:t>
      </w:r>
      <w:r w:rsidRPr="00601A89">
        <w:t>rates range from 28</w:t>
      </w:r>
      <w:r>
        <w:t>–</w:t>
      </w:r>
      <w:r w:rsidRPr="00601A89">
        <w:t>40</w:t>
      </w:r>
      <w:r w:rsidR="00742CF3">
        <w:t> percent</w:t>
      </w:r>
      <w:r>
        <w:t xml:space="preserve"> for IR</w:t>
      </w:r>
      <w:r w:rsidRPr="00601A89">
        <w:t xml:space="preserve"> and 15</w:t>
      </w:r>
      <w:r>
        <w:t>–</w:t>
      </w:r>
      <w:r w:rsidRPr="00601A89">
        <w:t>35</w:t>
      </w:r>
      <w:r w:rsidR="00742CF3">
        <w:t> percent</w:t>
      </w:r>
      <w:r>
        <w:t xml:space="preserve"> for STR</w:t>
      </w:r>
      <w:r w:rsidRPr="00601A89">
        <w:t>. Th</w:t>
      </w:r>
      <w:r>
        <w:t>ese wide ranges</w:t>
      </w:r>
      <w:r w:rsidRPr="00601A89">
        <w:t xml:space="preserve"> highlight the considerable variation in access across the DHBs. The reasons for </w:t>
      </w:r>
      <w:r>
        <w:t xml:space="preserve">these differences </w:t>
      </w:r>
      <w:r w:rsidRPr="00601A89">
        <w:t xml:space="preserve">and </w:t>
      </w:r>
      <w:r>
        <w:t xml:space="preserve">their </w:t>
      </w:r>
      <w:r w:rsidRPr="00601A89">
        <w:t>implications are not immediately apparent. However, with the Tool and the supporting clinical governance structure</w:t>
      </w:r>
      <w:r>
        <w:t xml:space="preserve"> in place,</w:t>
      </w:r>
      <w:r w:rsidRPr="00601A89">
        <w:t xml:space="preserve"> the radiation oncology sector can now investigate</w:t>
      </w:r>
      <w:r>
        <w:t xml:space="preserve"> the issue</w:t>
      </w:r>
      <w:r w:rsidRPr="00601A89">
        <w:t xml:space="preserve"> further and take action to minimise unwarranted variation in access.</w:t>
      </w:r>
    </w:p>
    <w:p w14:paraId="5A25DD77" w14:textId="77777777" w:rsidR="00E85766" w:rsidRPr="00601A89" w:rsidRDefault="00E85766" w:rsidP="00742CF3"/>
    <w:p w14:paraId="79ADF645" w14:textId="77777777" w:rsidR="007A6454" w:rsidRDefault="00E85766" w:rsidP="00742CF3">
      <w:r w:rsidRPr="00601A89">
        <w:t xml:space="preserve">There is no evidence to suggest patients </w:t>
      </w:r>
      <w:r>
        <w:t>who need</w:t>
      </w:r>
      <w:r w:rsidRPr="00601A89">
        <w:t xml:space="preserve"> radiation therapy in New Zealand are being turned away</w:t>
      </w:r>
      <w:r>
        <w:t xml:space="preserve"> because</w:t>
      </w:r>
      <w:r w:rsidRPr="00601A89">
        <w:t xml:space="preserve"> of workforce or linac capacity shortages. However, factors that can </w:t>
      </w:r>
      <w:r>
        <w:t>help or reduce</w:t>
      </w:r>
      <w:r w:rsidRPr="00601A89">
        <w:t xml:space="preserve"> a person</w:t>
      </w:r>
      <w:r w:rsidR="007A6454">
        <w:t>’</w:t>
      </w:r>
      <w:r>
        <w:t>s</w:t>
      </w:r>
      <w:r w:rsidRPr="00601A89">
        <w:t xml:space="preserve"> access</w:t>
      </w:r>
      <w:r>
        <w:t xml:space="preserve"> to</w:t>
      </w:r>
      <w:r w:rsidRPr="00601A89">
        <w:t xml:space="preserve"> services includ</w:t>
      </w:r>
      <w:r>
        <w:t>e</w:t>
      </w:r>
      <w:r w:rsidRPr="00601A89">
        <w:t>:</w:t>
      </w:r>
    </w:p>
    <w:p w14:paraId="21CD9F51" w14:textId="77777777" w:rsidR="00E85766" w:rsidRPr="00601A89" w:rsidRDefault="00E85766" w:rsidP="00742CF3">
      <w:pPr>
        <w:pStyle w:val="Bullet"/>
      </w:pPr>
      <w:r>
        <w:t xml:space="preserve">the </w:t>
      </w:r>
      <w:r w:rsidRPr="00601A89">
        <w:t xml:space="preserve">clinical practice </w:t>
      </w:r>
      <w:r>
        <w:t xml:space="preserve">of the </w:t>
      </w:r>
      <w:r w:rsidRPr="00601A89">
        <w:t>referrers</w:t>
      </w:r>
    </w:p>
    <w:p w14:paraId="6865AFC7" w14:textId="77777777" w:rsidR="00E85766" w:rsidRPr="00601A89" w:rsidRDefault="00E85766" w:rsidP="00742CF3">
      <w:pPr>
        <w:pStyle w:val="Bullet"/>
      </w:pPr>
      <w:r>
        <w:t xml:space="preserve">the </w:t>
      </w:r>
      <w:r w:rsidRPr="00601A89">
        <w:t>clinical practice of the treating radiation oncologist</w:t>
      </w:r>
    </w:p>
    <w:p w14:paraId="20155ED4" w14:textId="77777777" w:rsidR="00E85766" w:rsidRPr="00601A89" w:rsidRDefault="00E85766" w:rsidP="00742CF3">
      <w:pPr>
        <w:pStyle w:val="Bullet"/>
      </w:pPr>
      <w:r w:rsidRPr="00601A89">
        <w:t>the radiation oncology provider</w:t>
      </w:r>
      <w:r w:rsidR="007A6454">
        <w:t>’</w:t>
      </w:r>
      <w:r w:rsidRPr="00601A89">
        <w:t>s model of care</w:t>
      </w:r>
    </w:p>
    <w:p w14:paraId="6EE3B651" w14:textId="77777777" w:rsidR="00E85766" w:rsidRPr="00601A89" w:rsidRDefault="00E85766" w:rsidP="00742CF3">
      <w:pPr>
        <w:pStyle w:val="Bullet"/>
      </w:pPr>
      <w:r>
        <w:t xml:space="preserve">how far away the </w:t>
      </w:r>
      <w:r w:rsidRPr="00601A89">
        <w:t xml:space="preserve">patient </w:t>
      </w:r>
      <w:r>
        <w:t xml:space="preserve">lives </w:t>
      </w:r>
      <w:r w:rsidRPr="00601A89">
        <w:t>from</w:t>
      </w:r>
      <w:r>
        <w:t xml:space="preserve"> the</w:t>
      </w:r>
      <w:r w:rsidRPr="00601A89">
        <w:t xml:space="preserve"> radiation oncology provider</w:t>
      </w:r>
    </w:p>
    <w:p w14:paraId="30D63052" w14:textId="77777777" w:rsidR="00E85766" w:rsidRPr="00601A89" w:rsidRDefault="00E85766" w:rsidP="00742CF3">
      <w:pPr>
        <w:pStyle w:val="Bullet"/>
      </w:pPr>
      <w:r>
        <w:t xml:space="preserve">the </w:t>
      </w:r>
      <w:r w:rsidRPr="00601A89">
        <w:t>patient</w:t>
      </w:r>
      <w:r w:rsidR="007A6454">
        <w:t>’</w:t>
      </w:r>
      <w:r>
        <w:t>s own</w:t>
      </w:r>
      <w:r w:rsidRPr="00601A89">
        <w:t xml:space="preserve"> choice</w:t>
      </w:r>
    </w:p>
    <w:p w14:paraId="24088D09" w14:textId="77777777" w:rsidR="00E85766" w:rsidRPr="00601A89" w:rsidRDefault="00E85766" w:rsidP="00742CF3">
      <w:pPr>
        <w:pStyle w:val="Bullet"/>
      </w:pPr>
      <w:r>
        <w:t xml:space="preserve">the </w:t>
      </w:r>
      <w:r w:rsidRPr="00601A89">
        <w:t>tumour type</w:t>
      </w:r>
    </w:p>
    <w:p w14:paraId="7717648A" w14:textId="77777777" w:rsidR="007A6454" w:rsidRDefault="00E85766" w:rsidP="00742CF3">
      <w:pPr>
        <w:pStyle w:val="Bullet"/>
      </w:pPr>
      <w:r>
        <w:t>the patient</w:t>
      </w:r>
      <w:r w:rsidR="007A6454">
        <w:t>’</w:t>
      </w:r>
      <w:r>
        <w:t xml:space="preserve">s </w:t>
      </w:r>
      <w:r w:rsidRPr="00601A89">
        <w:t>ethnic group</w:t>
      </w:r>
    </w:p>
    <w:p w14:paraId="5778ECE8" w14:textId="77777777" w:rsidR="007A6454" w:rsidRDefault="00E85766" w:rsidP="00742CF3">
      <w:pPr>
        <w:pStyle w:val="Bullet"/>
      </w:pPr>
      <w:r>
        <w:t>the patient</w:t>
      </w:r>
      <w:r w:rsidR="007A6454">
        <w:t>’</w:t>
      </w:r>
      <w:r>
        <w:t xml:space="preserve">s socioeconomic </w:t>
      </w:r>
      <w:r w:rsidRPr="00601A89">
        <w:t>deprivation level.</w:t>
      </w:r>
    </w:p>
    <w:p w14:paraId="552553FA" w14:textId="77777777" w:rsidR="00E85766" w:rsidRPr="00601A89" w:rsidRDefault="00E85766" w:rsidP="00742CF3"/>
    <w:p w14:paraId="1413738B" w14:textId="77777777" w:rsidR="00E85766" w:rsidRPr="00601A89" w:rsidRDefault="00E85766" w:rsidP="00742CF3">
      <w:r w:rsidRPr="00601A89">
        <w:lastRenderedPageBreak/>
        <w:t xml:space="preserve">It is likely that the current variation in access reflects a complex interplay of such factors. </w:t>
      </w:r>
      <w:r>
        <w:t>Through its r</w:t>
      </w:r>
      <w:r w:rsidRPr="00601A89">
        <w:t xml:space="preserve">esearch into the </w:t>
      </w:r>
      <w:r>
        <w:t>causes</w:t>
      </w:r>
      <w:r w:rsidRPr="00601A89">
        <w:t xml:space="preserve"> of variation in access</w:t>
      </w:r>
      <w:r>
        <w:t>,</w:t>
      </w:r>
      <w:r w:rsidRPr="00601A89">
        <w:t xml:space="preserve"> New South Wales Health (2011) provides an evidence-based list of factors identified through the international literature (see </w:t>
      </w:r>
      <w:r w:rsidRPr="00601A89">
        <w:fldChar w:fldCharType="begin"/>
      </w:r>
      <w:r w:rsidRPr="00601A89">
        <w:instrText xml:space="preserve"> REF _Ref454806885 \h  \* MERGEFORMAT </w:instrText>
      </w:r>
      <w:r w:rsidRPr="00601A89">
        <w:fldChar w:fldCharType="separate"/>
      </w:r>
      <w:r w:rsidR="00E2252F" w:rsidRPr="00601A89">
        <w:t xml:space="preserve">Table </w:t>
      </w:r>
      <w:r w:rsidR="00E2252F">
        <w:rPr>
          <w:noProof/>
        </w:rPr>
        <w:t>3</w:t>
      </w:r>
      <w:r w:rsidRPr="00601A89">
        <w:fldChar w:fldCharType="end"/>
      </w:r>
      <w:r w:rsidRPr="00601A89">
        <w:t>). The evidence underpinning these factors suggests that addressing these barriers will improve access, as measured by both referral and intervention rates.</w:t>
      </w:r>
    </w:p>
    <w:p w14:paraId="4944472E" w14:textId="77777777" w:rsidR="00E85766" w:rsidRPr="00601A89" w:rsidRDefault="00E85766" w:rsidP="00742CF3"/>
    <w:p w14:paraId="5B6B8594" w14:textId="77777777" w:rsidR="007A6454" w:rsidRDefault="00E85766" w:rsidP="00742CF3">
      <w:r w:rsidRPr="00601A89">
        <w:t>The Government has prioritised improving the coverage and functionality of multidisciplinary meetings as a key initiative for the FCT programme. Cancer is often treated using multiple treatment modalities, including radiation therapy, chemotherapy and surgery. The specialty of the referrer, or the preferences of the individual specialist</w:t>
      </w:r>
      <w:r>
        <w:t xml:space="preserve">, may influence which </w:t>
      </w:r>
      <w:r w:rsidRPr="00601A89">
        <w:t xml:space="preserve">of the multiple treatment modalities </w:t>
      </w:r>
      <w:r>
        <w:t>they use and the order in which they use them</w:t>
      </w:r>
      <w:r w:rsidRPr="00601A89">
        <w:t xml:space="preserve">. </w:t>
      </w:r>
      <w:r>
        <w:t>For this reason,</w:t>
      </w:r>
      <w:r w:rsidRPr="00601A89">
        <w:t xml:space="preserve"> multidisciplinary meetings can be useful in supporting evidence-based treatment planning.</w:t>
      </w:r>
    </w:p>
    <w:p w14:paraId="46F05EC0" w14:textId="77777777" w:rsidR="00E85766" w:rsidRPr="00601A89" w:rsidRDefault="00E85766" w:rsidP="00742CF3"/>
    <w:p w14:paraId="0E6FB961" w14:textId="77777777" w:rsidR="00E85766" w:rsidRPr="00601A89" w:rsidRDefault="00E85766" w:rsidP="00742CF3">
      <w:r>
        <w:t>Those investigating</w:t>
      </w:r>
      <w:r w:rsidRPr="00601A89">
        <w:t xml:space="preserve"> variation </w:t>
      </w:r>
      <w:r>
        <w:t xml:space="preserve">in </w:t>
      </w:r>
      <w:r w:rsidRPr="00601A89">
        <w:t>access in New Zealand will consider questions such as</w:t>
      </w:r>
      <w:r>
        <w:t xml:space="preserve"> the following.</w:t>
      </w:r>
    </w:p>
    <w:p w14:paraId="6F27789B" w14:textId="77777777" w:rsidR="00E85766" w:rsidRPr="00601A89" w:rsidRDefault="00E85766" w:rsidP="00742CF3">
      <w:pPr>
        <w:pStyle w:val="Bullet"/>
      </w:pPr>
      <w:r>
        <w:t>A</w:t>
      </w:r>
      <w:r w:rsidRPr="00601A89">
        <w:t xml:space="preserve">re varying STRs simply a reflection of differing approaches to palliative care around the country, or </w:t>
      </w:r>
      <w:r>
        <w:t>are providers not offering</w:t>
      </w:r>
      <w:r w:rsidRPr="00601A89">
        <w:t xml:space="preserve"> radiation therapy as an option for some patients?</w:t>
      </w:r>
    </w:p>
    <w:p w14:paraId="584ABF41" w14:textId="77777777" w:rsidR="00E85766" w:rsidRPr="00601A89" w:rsidRDefault="00E85766" w:rsidP="00742CF3">
      <w:pPr>
        <w:pStyle w:val="Bullet"/>
      </w:pPr>
      <w:r>
        <w:t>W</w:t>
      </w:r>
      <w:r w:rsidRPr="00601A89">
        <w:t>here a DHB</w:t>
      </w:r>
      <w:r>
        <w:t xml:space="preserve"> of domicile has a lower intervention or subsequent treatment</w:t>
      </w:r>
      <w:r w:rsidRPr="00601A89">
        <w:t xml:space="preserve"> rate, what is the impact of this? </w:t>
      </w:r>
      <w:r>
        <w:t>Is the DHB using</w:t>
      </w:r>
      <w:r w:rsidRPr="00601A89">
        <w:t xml:space="preserve"> other cancer treatment modalities instead?</w:t>
      </w:r>
    </w:p>
    <w:p w14:paraId="4697FEA6" w14:textId="77777777" w:rsidR="00E85766" w:rsidRPr="00601A89" w:rsidRDefault="00E85766" w:rsidP="00742CF3"/>
    <w:p w14:paraId="5010FE92" w14:textId="77777777" w:rsidR="00E85766" w:rsidRPr="00601A89" w:rsidRDefault="00E85766" w:rsidP="00742CF3">
      <w:r w:rsidRPr="00601A89">
        <w:t>It is expected that the RCNs will lead the detailed investigation of such questions</w:t>
      </w:r>
      <w:r>
        <w:t>,</w:t>
      </w:r>
      <w:r w:rsidRPr="00601A89">
        <w:t xml:space="preserve"> with national guidance from ROWG. RCNs are well placed to take a regional view of service variation, and work locally with DHBs and radiation oncology providers on achieving national standards of access.</w:t>
      </w:r>
    </w:p>
    <w:p w14:paraId="3702FFD4" w14:textId="77777777" w:rsidR="00E85766" w:rsidRPr="00601A89" w:rsidRDefault="00E85766" w:rsidP="00742CF3">
      <w:bookmarkStart w:id="66" w:name="_Ref451782445"/>
    </w:p>
    <w:p w14:paraId="091D4B39" w14:textId="77777777" w:rsidR="00E85766" w:rsidRPr="00601A89" w:rsidRDefault="00E85766" w:rsidP="00742CF3">
      <w:pPr>
        <w:pStyle w:val="Table"/>
      </w:pPr>
      <w:bookmarkStart w:id="67" w:name="_Ref454806885"/>
      <w:bookmarkStart w:id="68" w:name="_Toc475954093"/>
      <w:r w:rsidRPr="00601A89">
        <w:t xml:space="preserve">Table </w:t>
      </w:r>
      <w:r w:rsidR="003B40AB">
        <w:fldChar w:fldCharType="begin"/>
      </w:r>
      <w:r w:rsidR="003B40AB">
        <w:instrText xml:space="preserve"> SEQ Table \* ARABIC </w:instrText>
      </w:r>
      <w:r w:rsidR="003B40AB">
        <w:fldChar w:fldCharType="separate"/>
      </w:r>
      <w:r w:rsidR="00E2252F">
        <w:rPr>
          <w:noProof/>
        </w:rPr>
        <w:t>3</w:t>
      </w:r>
      <w:r w:rsidR="003B40AB">
        <w:rPr>
          <w:noProof/>
        </w:rPr>
        <w:fldChar w:fldCharType="end"/>
      </w:r>
      <w:bookmarkEnd w:id="66"/>
      <w:bookmarkEnd w:id="67"/>
      <w:r w:rsidRPr="00601A89">
        <w:t>: Factors affecting</w:t>
      </w:r>
      <w:r>
        <w:t xml:space="preserve"> whether</w:t>
      </w:r>
      <w:r w:rsidRPr="00601A89">
        <w:t xml:space="preserve"> patient</w:t>
      </w:r>
      <w:r>
        <w:t>s</w:t>
      </w:r>
      <w:r w:rsidRPr="00601A89">
        <w:t xml:space="preserve"> and referring clinician</w:t>
      </w:r>
      <w:r>
        <w:t>s choose</w:t>
      </w:r>
      <w:r w:rsidRPr="00601A89">
        <w:t xml:space="preserve"> radiation therapy</w:t>
      </w:r>
      <w:bookmarkEnd w:id="68"/>
    </w:p>
    <w:tbl>
      <w:tblPr>
        <w:tblW w:w="9356"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76"/>
        <w:gridCol w:w="1701"/>
        <w:gridCol w:w="6379"/>
      </w:tblGrid>
      <w:tr w:rsidR="00E85766" w:rsidRPr="00742CF3" w14:paraId="441F589E" w14:textId="77777777" w:rsidTr="00562E8E">
        <w:trPr>
          <w:cantSplit/>
          <w:tblHeader/>
        </w:trPr>
        <w:tc>
          <w:tcPr>
            <w:tcW w:w="1276" w:type="dxa"/>
            <w:tcBorders>
              <w:top w:val="single" w:sz="4" w:space="0" w:color="auto"/>
              <w:bottom w:val="single" w:sz="4" w:space="0" w:color="auto"/>
            </w:tcBorders>
            <w:shd w:val="clear" w:color="auto" w:fill="auto"/>
            <w:vAlign w:val="center"/>
          </w:tcPr>
          <w:p w14:paraId="43DB9011" w14:textId="77777777" w:rsidR="00E85766" w:rsidRPr="00742CF3" w:rsidRDefault="00E85766" w:rsidP="00742CF3">
            <w:pPr>
              <w:pStyle w:val="TableText"/>
              <w:rPr>
                <w:b/>
              </w:rPr>
            </w:pPr>
            <w:r w:rsidRPr="00742CF3">
              <w:rPr>
                <w:b/>
              </w:rPr>
              <w:t>Perspective</w:t>
            </w:r>
          </w:p>
        </w:tc>
        <w:tc>
          <w:tcPr>
            <w:tcW w:w="1701" w:type="dxa"/>
            <w:tcBorders>
              <w:top w:val="single" w:sz="4" w:space="0" w:color="auto"/>
              <w:bottom w:val="single" w:sz="4" w:space="0" w:color="auto"/>
            </w:tcBorders>
            <w:shd w:val="clear" w:color="auto" w:fill="auto"/>
            <w:vAlign w:val="center"/>
          </w:tcPr>
          <w:p w14:paraId="5932A528" w14:textId="77777777" w:rsidR="00E85766" w:rsidRPr="00742CF3" w:rsidRDefault="00E85766" w:rsidP="00742CF3">
            <w:pPr>
              <w:pStyle w:val="TableText"/>
              <w:rPr>
                <w:b/>
                <w:bCs/>
              </w:rPr>
            </w:pPr>
            <w:r w:rsidRPr="00742CF3">
              <w:rPr>
                <w:b/>
                <w:bCs/>
              </w:rPr>
              <w:t>Factor</w:t>
            </w:r>
          </w:p>
        </w:tc>
        <w:tc>
          <w:tcPr>
            <w:tcW w:w="6379" w:type="dxa"/>
            <w:tcBorders>
              <w:top w:val="single" w:sz="4" w:space="0" w:color="auto"/>
              <w:bottom w:val="single" w:sz="4" w:space="0" w:color="auto"/>
            </w:tcBorders>
            <w:shd w:val="clear" w:color="auto" w:fill="auto"/>
            <w:vAlign w:val="center"/>
          </w:tcPr>
          <w:p w14:paraId="06F6C63A" w14:textId="77777777" w:rsidR="00E85766" w:rsidRPr="00742CF3" w:rsidRDefault="00E85766" w:rsidP="00742CF3">
            <w:pPr>
              <w:pStyle w:val="TableText"/>
              <w:rPr>
                <w:b/>
                <w:bCs/>
              </w:rPr>
            </w:pPr>
            <w:r w:rsidRPr="00742CF3">
              <w:rPr>
                <w:b/>
                <w:bCs/>
              </w:rPr>
              <w:t>Description</w:t>
            </w:r>
          </w:p>
        </w:tc>
      </w:tr>
      <w:tr w:rsidR="00742CF3" w:rsidRPr="00601A89" w14:paraId="28813763" w14:textId="77777777" w:rsidTr="00562E8E">
        <w:trPr>
          <w:cantSplit/>
        </w:trPr>
        <w:tc>
          <w:tcPr>
            <w:tcW w:w="1276" w:type="dxa"/>
            <w:vMerge w:val="restart"/>
            <w:tcBorders>
              <w:top w:val="single" w:sz="4" w:space="0" w:color="auto"/>
            </w:tcBorders>
            <w:shd w:val="clear" w:color="auto" w:fill="auto"/>
          </w:tcPr>
          <w:p w14:paraId="01976C0F" w14:textId="77777777" w:rsidR="00742CF3" w:rsidRPr="00601A89" w:rsidRDefault="00742CF3" w:rsidP="00742CF3">
            <w:pPr>
              <w:pStyle w:val="TableText"/>
              <w:rPr>
                <w:bCs/>
              </w:rPr>
            </w:pPr>
            <w:r>
              <w:rPr>
                <w:bCs/>
              </w:rPr>
              <w:t>Patient</w:t>
            </w:r>
          </w:p>
        </w:tc>
        <w:tc>
          <w:tcPr>
            <w:tcW w:w="1701" w:type="dxa"/>
            <w:tcBorders>
              <w:top w:val="single" w:sz="4" w:space="0" w:color="auto"/>
              <w:bottom w:val="single" w:sz="4" w:space="0" w:color="A6A6A6" w:themeColor="background1" w:themeShade="A6"/>
            </w:tcBorders>
            <w:shd w:val="clear" w:color="auto" w:fill="auto"/>
          </w:tcPr>
          <w:p w14:paraId="291939F1" w14:textId="77777777" w:rsidR="00742CF3" w:rsidRPr="00601A89" w:rsidRDefault="00742CF3" w:rsidP="00742CF3">
            <w:pPr>
              <w:pStyle w:val="TableText"/>
              <w:rPr>
                <w:rFonts w:eastAsia="MS Gothic"/>
                <w:color w:val="404040"/>
              </w:rPr>
            </w:pPr>
            <w:r>
              <w:t>Distance</w:t>
            </w:r>
          </w:p>
        </w:tc>
        <w:tc>
          <w:tcPr>
            <w:tcW w:w="6379" w:type="dxa"/>
            <w:tcBorders>
              <w:top w:val="single" w:sz="4" w:space="0" w:color="auto"/>
              <w:bottom w:val="single" w:sz="4" w:space="0" w:color="A6A6A6" w:themeColor="background1" w:themeShade="A6"/>
            </w:tcBorders>
            <w:shd w:val="clear" w:color="auto" w:fill="auto"/>
          </w:tcPr>
          <w:p w14:paraId="47D098C2" w14:textId="77777777" w:rsidR="00742CF3" w:rsidRPr="00601A89" w:rsidRDefault="00742CF3" w:rsidP="00742CF3">
            <w:pPr>
              <w:pStyle w:val="TableText"/>
              <w:rPr>
                <w:rFonts w:eastAsia="MS Gothic"/>
                <w:color w:val="404040"/>
              </w:rPr>
            </w:pPr>
            <w:r w:rsidRPr="00601A89">
              <w:t>Where the distance</w:t>
            </w:r>
            <w:r>
              <w:t xml:space="preserve"> to treatment</w:t>
            </w:r>
            <w:r w:rsidRPr="00601A89">
              <w:t xml:space="preserve"> is significant, patients may choose another treatment option. </w:t>
            </w:r>
            <w:r>
              <w:t>Factors related to e</w:t>
            </w:r>
            <w:r w:rsidRPr="00601A89">
              <w:t>ase of transport, such as availability of public transport and road quality</w:t>
            </w:r>
            <w:r>
              <w:t>, also affect their choice</w:t>
            </w:r>
            <w:r w:rsidR="00562E8E">
              <w:t>.</w:t>
            </w:r>
          </w:p>
        </w:tc>
      </w:tr>
      <w:tr w:rsidR="00742CF3" w:rsidRPr="00601A89" w14:paraId="473F8D85" w14:textId="77777777" w:rsidTr="00562E8E">
        <w:trPr>
          <w:cantSplit/>
        </w:trPr>
        <w:tc>
          <w:tcPr>
            <w:tcW w:w="1276" w:type="dxa"/>
            <w:vMerge/>
            <w:shd w:val="clear" w:color="auto" w:fill="auto"/>
          </w:tcPr>
          <w:p w14:paraId="00369827" w14:textId="77777777" w:rsidR="00742CF3" w:rsidRPr="00601A89" w:rsidRDefault="00742CF3" w:rsidP="00742CF3">
            <w:pPr>
              <w:pStyle w:val="TableText"/>
              <w:rPr>
                <w:bCs/>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4977B2B6" w14:textId="77777777" w:rsidR="00742CF3" w:rsidRPr="00601A89" w:rsidRDefault="00742CF3" w:rsidP="00742CF3">
            <w:pPr>
              <w:pStyle w:val="TableText"/>
              <w:rPr>
                <w:rFonts w:eastAsia="MS Gothic"/>
                <w:color w:val="404040"/>
              </w:rPr>
            </w:pPr>
            <w:r w:rsidRPr="00601A89">
              <w:t>Accommodation</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100FBFD8" w14:textId="77777777" w:rsidR="00742CF3" w:rsidRPr="00601A89" w:rsidRDefault="00742CF3" w:rsidP="00742CF3">
            <w:pPr>
              <w:pStyle w:val="TableText"/>
              <w:rPr>
                <w:rFonts w:eastAsia="MS Gothic"/>
                <w:color w:val="404040"/>
              </w:rPr>
            </w:pPr>
            <w:r>
              <w:t>Whether</w:t>
            </w:r>
            <w:r w:rsidRPr="00601A89">
              <w:t xml:space="preserve"> affordable accommodation </w:t>
            </w:r>
            <w:r>
              <w:t xml:space="preserve">is available </w:t>
            </w:r>
            <w:r w:rsidRPr="00601A89">
              <w:t xml:space="preserve">for the </w:t>
            </w:r>
            <w:r>
              <w:t xml:space="preserve">lengthy </w:t>
            </w:r>
            <w:r w:rsidRPr="00601A89">
              <w:t>treatment period</w:t>
            </w:r>
            <w:r>
              <w:t xml:space="preserve"> and whether financial compensation is available </w:t>
            </w:r>
            <w:r w:rsidRPr="00601A89">
              <w:t>(and eas</w:t>
            </w:r>
            <w:r>
              <w:t>y to</w:t>
            </w:r>
            <w:r w:rsidRPr="00601A89">
              <w:t xml:space="preserve"> access) may influence patient choice</w:t>
            </w:r>
            <w:r w:rsidR="00562E8E">
              <w:t>.</w:t>
            </w:r>
          </w:p>
        </w:tc>
      </w:tr>
      <w:tr w:rsidR="00742CF3" w:rsidRPr="00601A89" w14:paraId="1886F72C" w14:textId="77777777" w:rsidTr="00562E8E">
        <w:trPr>
          <w:cantSplit/>
        </w:trPr>
        <w:tc>
          <w:tcPr>
            <w:tcW w:w="1276" w:type="dxa"/>
            <w:vMerge/>
            <w:shd w:val="clear" w:color="auto" w:fill="auto"/>
          </w:tcPr>
          <w:p w14:paraId="6C250F2A" w14:textId="77777777" w:rsidR="00742CF3" w:rsidRPr="00601A89" w:rsidRDefault="00742CF3" w:rsidP="00742CF3">
            <w:pPr>
              <w:pStyle w:val="TableText"/>
              <w:rPr>
                <w:bCs/>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64C3B504" w14:textId="77777777" w:rsidR="00742CF3" w:rsidRPr="00601A89" w:rsidRDefault="00742CF3" w:rsidP="00742CF3">
            <w:pPr>
              <w:pStyle w:val="TableText"/>
              <w:rPr>
                <w:rFonts w:eastAsia="MS Gothic"/>
                <w:color w:val="404040"/>
              </w:rPr>
            </w:pPr>
            <w:r w:rsidRPr="00601A89">
              <w:t>Patient perception</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430456E9" w14:textId="77777777" w:rsidR="00742CF3" w:rsidRPr="00601A89" w:rsidRDefault="00742CF3" w:rsidP="00742CF3">
            <w:pPr>
              <w:pStyle w:val="TableText"/>
              <w:rPr>
                <w:rFonts w:eastAsia="MS Gothic"/>
                <w:color w:val="404040"/>
              </w:rPr>
            </w:pPr>
            <w:r w:rsidRPr="00601A89">
              <w:t xml:space="preserve">Perception of risk and benefit of radiotherapy </w:t>
            </w:r>
            <w:r>
              <w:t>compared with</w:t>
            </w:r>
            <w:r w:rsidRPr="00601A89">
              <w:t xml:space="preserve"> other treatment options (another treatment, or no treatment)</w:t>
            </w:r>
            <w:r w:rsidR="00562E8E">
              <w:t>.</w:t>
            </w:r>
          </w:p>
        </w:tc>
      </w:tr>
      <w:tr w:rsidR="00742CF3" w:rsidRPr="00601A89" w14:paraId="3D2E314A" w14:textId="77777777" w:rsidTr="00562E8E">
        <w:trPr>
          <w:cantSplit/>
        </w:trPr>
        <w:tc>
          <w:tcPr>
            <w:tcW w:w="1276" w:type="dxa"/>
            <w:vMerge/>
            <w:shd w:val="clear" w:color="auto" w:fill="auto"/>
          </w:tcPr>
          <w:p w14:paraId="0CC51440" w14:textId="77777777" w:rsidR="00742CF3" w:rsidRPr="00601A89" w:rsidRDefault="00742CF3" w:rsidP="00742CF3">
            <w:pPr>
              <w:pStyle w:val="TableText"/>
              <w:rPr>
                <w:bCs/>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7FA696BD" w14:textId="77777777" w:rsidR="00742CF3" w:rsidRPr="00601A89" w:rsidRDefault="00742CF3" w:rsidP="00742CF3">
            <w:pPr>
              <w:pStyle w:val="TableText"/>
              <w:rPr>
                <w:rFonts w:eastAsia="MS Gothic"/>
                <w:color w:val="404040"/>
              </w:rPr>
            </w:pPr>
            <w:r>
              <w:t>D</w:t>
            </w:r>
            <w:r w:rsidRPr="00601A89">
              <w:t>isruption</w:t>
            </w:r>
            <w:r>
              <w:t xml:space="preserve"> to patient</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34F1D968" w14:textId="77777777" w:rsidR="00742CF3" w:rsidRPr="00601A89" w:rsidRDefault="00742CF3" w:rsidP="00742CF3">
            <w:pPr>
              <w:pStyle w:val="TableText"/>
              <w:rPr>
                <w:rFonts w:eastAsia="MS Gothic"/>
                <w:color w:val="404040"/>
              </w:rPr>
            </w:pPr>
            <w:r w:rsidRPr="00601A89">
              <w:t>Degree of disruption that treatment causes to the patient and family/carers</w:t>
            </w:r>
            <w:r w:rsidR="00562E8E">
              <w:t>.</w:t>
            </w:r>
          </w:p>
        </w:tc>
      </w:tr>
      <w:tr w:rsidR="00742CF3" w:rsidRPr="00601A89" w14:paraId="4DFD404E" w14:textId="77777777" w:rsidTr="00562E8E">
        <w:trPr>
          <w:cantSplit/>
        </w:trPr>
        <w:tc>
          <w:tcPr>
            <w:tcW w:w="1276" w:type="dxa"/>
            <w:vMerge/>
            <w:shd w:val="clear" w:color="auto" w:fill="auto"/>
          </w:tcPr>
          <w:p w14:paraId="3025BACD" w14:textId="77777777" w:rsidR="00742CF3" w:rsidRPr="00601A89" w:rsidRDefault="00742CF3" w:rsidP="00742CF3">
            <w:pPr>
              <w:pStyle w:val="TableText"/>
              <w:rPr>
                <w:bCs/>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327C18EC" w14:textId="77777777" w:rsidR="00742CF3" w:rsidRPr="00601A89" w:rsidRDefault="00742CF3" w:rsidP="00742CF3">
            <w:pPr>
              <w:pStyle w:val="TableText"/>
              <w:rPr>
                <w:rFonts w:eastAsia="MS Gothic"/>
                <w:color w:val="404040"/>
              </w:rPr>
            </w:pPr>
            <w:r w:rsidRPr="00601A89">
              <w:t>Family/carer support</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5DD4F664" w14:textId="77777777" w:rsidR="00742CF3" w:rsidRPr="00601A89" w:rsidRDefault="00742CF3" w:rsidP="00742CF3">
            <w:pPr>
              <w:pStyle w:val="TableText"/>
            </w:pPr>
            <w:r w:rsidRPr="00601A89">
              <w:t>Availability of family/carer support in the location of treatment</w:t>
            </w:r>
            <w:r w:rsidR="00562E8E">
              <w:t>.</w:t>
            </w:r>
          </w:p>
        </w:tc>
      </w:tr>
      <w:tr w:rsidR="00742CF3" w:rsidRPr="00601A89" w14:paraId="00B17C96" w14:textId="77777777" w:rsidTr="00562E8E">
        <w:trPr>
          <w:cantSplit/>
        </w:trPr>
        <w:tc>
          <w:tcPr>
            <w:tcW w:w="1276" w:type="dxa"/>
            <w:vMerge/>
            <w:shd w:val="clear" w:color="auto" w:fill="auto"/>
          </w:tcPr>
          <w:p w14:paraId="0798D259" w14:textId="77777777" w:rsidR="00742CF3" w:rsidRPr="00601A89" w:rsidRDefault="00742CF3" w:rsidP="00742CF3">
            <w:pPr>
              <w:pStyle w:val="TableText"/>
              <w:rPr>
                <w:bCs/>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0CCA43ED" w14:textId="77777777" w:rsidR="00742CF3" w:rsidRPr="00601A89" w:rsidRDefault="00742CF3" w:rsidP="00742CF3">
            <w:pPr>
              <w:pStyle w:val="TableText"/>
              <w:rPr>
                <w:rFonts w:eastAsia="MS Gothic"/>
                <w:color w:val="404040"/>
              </w:rPr>
            </w:pPr>
            <w:r w:rsidRPr="00601A89">
              <w:t>Wait</w:t>
            </w:r>
            <w:r>
              <w:t>ing</w:t>
            </w:r>
            <w:r w:rsidRPr="00601A89">
              <w:t xml:space="preserve"> times</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469C994A" w14:textId="77777777" w:rsidR="00742CF3" w:rsidRPr="00601A89" w:rsidRDefault="00742CF3" w:rsidP="00742CF3">
            <w:pPr>
              <w:pStyle w:val="TableText"/>
              <w:rPr>
                <w:rFonts w:eastAsia="MS Gothic"/>
                <w:color w:val="404040"/>
              </w:rPr>
            </w:pPr>
            <w:r w:rsidRPr="00601A89">
              <w:t>Perception of waiting times, based on media, service data or other sources</w:t>
            </w:r>
            <w:r w:rsidR="00562E8E">
              <w:t>.</w:t>
            </w:r>
          </w:p>
        </w:tc>
      </w:tr>
      <w:tr w:rsidR="00742CF3" w:rsidRPr="00601A89" w14:paraId="62C282D3" w14:textId="77777777" w:rsidTr="00562E8E">
        <w:trPr>
          <w:cantSplit/>
        </w:trPr>
        <w:tc>
          <w:tcPr>
            <w:tcW w:w="1276" w:type="dxa"/>
            <w:vMerge/>
            <w:shd w:val="clear" w:color="auto" w:fill="auto"/>
          </w:tcPr>
          <w:p w14:paraId="34052BA8" w14:textId="77777777" w:rsidR="00742CF3" w:rsidRPr="00601A89" w:rsidRDefault="00742CF3" w:rsidP="00742CF3">
            <w:pPr>
              <w:pStyle w:val="TableText"/>
              <w:rPr>
                <w:bCs/>
              </w:rPr>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4568A978" w14:textId="77777777" w:rsidR="00742CF3" w:rsidRPr="00601A89" w:rsidRDefault="00742CF3" w:rsidP="00742CF3">
            <w:pPr>
              <w:pStyle w:val="TableText"/>
              <w:rPr>
                <w:rFonts w:eastAsia="MS Gothic"/>
                <w:color w:val="404040"/>
              </w:rPr>
            </w:pPr>
            <w:r w:rsidRPr="00601A89">
              <w:t>Cultural considerations</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5B3A32FA" w14:textId="77777777" w:rsidR="00742CF3" w:rsidRPr="00601A89" w:rsidRDefault="00742CF3" w:rsidP="00742CF3">
            <w:pPr>
              <w:pStyle w:val="TableText"/>
              <w:rPr>
                <w:rFonts w:eastAsia="MS Gothic"/>
                <w:color w:val="404040"/>
              </w:rPr>
            </w:pPr>
            <w:r w:rsidRPr="00601A89">
              <w:t>Rates of cancer mortality are higher among the M</w:t>
            </w:r>
            <w:r>
              <w:rPr>
                <w:rFonts w:ascii="Times New Roman" w:hAnsi="Times New Roman"/>
              </w:rPr>
              <w:t>ā</w:t>
            </w:r>
            <w:r w:rsidRPr="00601A89">
              <w:t xml:space="preserve">ori and </w:t>
            </w:r>
            <w:r>
              <w:t>Pacific</w:t>
            </w:r>
            <w:r w:rsidRPr="00601A89">
              <w:t xml:space="preserve"> populations, </w:t>
            </w:r>
            <w:r>
              <w:t>mainly because of disparities in</w:t>
            </w:r>
            <w:r w:rsidRPr="00601A89">
              <w:t xml:space="preserve"> treatment.</w:t>
            </w:r>
            <w:r>
              <w:t xml:space="preserve"> Important ways of reducing these disparities are to have</w:t>
            </w:r>
            <w:r w:rsidRPr="00601A89">
              <w:t xml:space="preserve"> </w:t>
            </w:r>
            <w:r>
              <w:t>e</w:t>
            </w:r>
            <w:r w:rsidRPr="00601A89">
              <w:t>mpathetic personal contact and</w:t>
            </w:r>
            <w:r>
              <w:t xml:space="preserve"> to</w:t>
            </w:r>
            <w:r w:rsidRPr="00601A89">
              <w:t xml:space="preserve"> acknowledge and respect M</w:t>
            </w:r>
            <w:r>
              <w:rPr>
                <w:rFonts w:ascii="Times New Roman" w:hAnsi="Times New Roman"/>
              </w:rPr>
              <w:t>ā</w:t>
            </w:r>
            <w:r w:rsidRPr="00601A89">
              <w:t xml:space="preserve">ori and </w:t>
            </w:r>
            <w:r>
              <w:t>Pacific</w:t>
            </w:r>
            <w:r w:rsidRPr="00601A89">
              <w:t xml:space="preserve"> family structures, culture and life circumstances, and the importance of history, land and community. Treatment </w:t>
            </w:r>
            <w:r>
              <w:t xml:space="preserve">that is </w:t>
            </w:r>
            <w:r w:rsidRPr="00601A89">
              <w:t>remote from the spiritual link with home and community is also a barrier</w:t>
            </w:r>
            <w:r w:rsidR="00562E8E">
              <w:t>.</w:t>
            </w:r>
          </w:p>
        </w:tc>
      </w:tr>
      <w:tr w:rsidR="00742CF3" w:rsidRPr="00601A89" w14:paraId="549024E4" w14:textId="77777777" w:rsidTr="00562E8E">
        <w:trPr>
          <w:cantSplit/>
        </w:trPr>
        <w:tc>
          <w:tcPr>
            <w:tcW w:w="1276" w:type="dxa"/>
            <w:vMerge/>
            <w:tcBorders>
              <w:bottom w:val="single" w:sz="4" w:space="0" w:color="auto"/>
            </w:tcBorders>
            <w:shd w:val="clear" w:color="auto" w:fill="auto"/>
          </w:tcPr>
          <w:p w14:paraId="5B21C8F8" w14:textId="77777777" w:rsidR="00742CF3" w:rsidRPr="00601A89" w:rsidRDefault="00742CF3" w:rsidP="00742CF3">
            <w:pPr>
              <w:pStyle w:val="TableText"/>
              <w:rPr>
                <w:bCs/>
              </w:rPr>
            </w:pPr>
          </w:p>
        </w:tc>
        <w:tc>
          <w:tcPr>
            <w:tcW w:w="1701" w:type="dxa"/>
            <w:tcBorders>
              <w:top w:val="single" w:sz="4" w:space="0" w:color="A6A6A6" w:themeColor="background1" w:themeShade="A6"/>
              <w:bottom w:val="single" w:sz="4" w:space="0" w:color="auto"/>
            </w:tcBorders>
            <w:shd w:val="clear" w:color="auto" w:fill="auto"/>
          </w:tcPr>
          <w:p w14:paraId="3A27B6A6" w14:textId="77777777" w:rsidR="00742CF3" w:rsidRPr="00601A89" w:rsidRDefault="00742CF3" w:rsidP="00742CF3">
            <w:pPr>
              <w:pStyle w:val="TableText"/>
              <w:rPr>
                <w:rFonts w:eastAsia="MS Gothic"/>
                <w:color w:val="404040"/>
              </w:rPr>
            </w:pPr>
            <w:r w:rsidRPr="00601A89">
              <w:t>Financial impacts</w:t>
            </w:r>
          </w:p>
        </w:tc>
        <w:tc>
          <w:tcPr>
            <w:tcW w:w="6379" w:type="dxa"/>
            <w:tcBorders>
              <w:top w:val="single" w:sz="4" w:space="0" w:color="A6A6A6" w:themeColor="background1" w:themeShade="A6"/>
              <w:bottom w:val="single" w:sz="4" w:space="0" w:color="auto"/>
            </w:tcBorders>
            <w:shd w:val="clear" w:color="auto" w:fill="auto"/>
          </w:tcPr>
          <w:p w14:paraId="2096CF01" w14:textId="77777777" w:rsidR="00742CF3" w:rsidRPr="00601A89" w:rsidRDefault="00742CF3" w:rsidP="00742CF3">
            <w:pPr>
              <w:pStyle w:val="TableText"/>
              <w:rPr>
                <w:rFonts w:eastAsia="MS Gothic"/>
                <w:color w:val="404040"/>
              </w:rPr>
            </w:pPr>
            <w:r w:rsidRPr="00601A89">
              <w:t>Out-of-pocket costs or upfront payment</w:t>
            </w:r>
            <w:r w:rsidR="00562E8E">
              <w:t>.</w:t>
            </w:r>
          </w:p>
        </w:tc>
      </w:tr>
      <w:tr w:rsidR="00562E8E" w:rsidRPr="00601A89" w14:paraId="1D2758AD" w14:textId="77777777" w:rsidTr="00562E8E">
        <w:trPr>
          <w:cantSplit/>
        </w:trPr>
        <w:tc>
          <w:tcPr>
            <w:tcW w:w="1276" w:type="dxa"/>
            <w:vMerge w:val="restart"/>
            <w:tcBorders>
              <w:top w:val="single" w:sz="4" w:space="0" w:color="auto"/>
            </w:tcBorders>
            <w:shd w:val="clear" w:color="auto" w:fill="auto"/>
          </w:tcPr>
          <w:p w14:paraId="38E41C44" w14:textId="77777777" w:rsidR="00562E8E" w:rsidRPr="00601A89" w:rsidRDefault="00562E8E" w:rsidP="00562E8E">
            <w:pPr>
              <w:pStyle w:val="TableText"/>
              <w:keepNext/>
              <w:rPr>
                <w:bCs/>
              </w:rPr>
            </w:pPr>
            <w:r w:rsidRPr="00601A89">
              <w:rPr>
                <w:bCs/>
              </w:rPr>
              <w:lastRenderedPageBreak/>
              <w:t>Referring clinician</w:t>
            </w:r>
          </w:p>
        </w:tc>
        <w:tc>
          <w:tcPr>
            <w:tcW w:w="1701" w:type="dxa"/>
            <w:tcBorders>
              <w:top w:val="single" w:sz="4" w:space="0" w:color="auto"/>
              <w:bottom w:val="single" w:sz="4" w:space="0" w:color="A6A6A6" w:themeColor="background1" w:themeShade="A6"/>
            </w:tcBorders>
            <w:shd w:val="clear" w:color="auto" w:fill="auto"/>
          </w:tcPr>
          <w:p w14:paraId="221D2396" w14:textId="77777777" w:rsidR="00562E8E" w:rsidRPr="00601A89" w:rsidRDefault="00562E8E" w:rsidP="00562E8E">
            <w:pPr>
              <w:pStyle w:val="TableText"/>
              <w:keepNext/>
              <w:rPr>
                <w:rFonts w:eastAsia="MS Gothic"/>
                <w:color w:val="404040"/>
              </w:rPr>
            </w:pPr>
            <w:r w:rsidRPr="00601A89">
              <w:t>Pathway</w:t>
            </w:r>
          </w:p>
        </w:tc>
        <w:tc>
          <w:tcPr>
            <w:tcW w:w="6379" w:type="dxa"/>
            <w:tcBorders>
              <w:top w:val="single" w:sz="4" w:space="0" w:color="auto"/>
              <w:bottom w:val="single" w:sz="4" w:space="0" w:color="A6A6A6" w:themeColor="background1" w:themeShade="A6"/>
            </w:tcBorders>
            <w:shd w:val="clear" w:color="auto" w:fill="auto"/>
          </w:tcPr>
          <w:p w14:paraId="52EB04E3" w14:textId="77777777" w:rsidR="00562E8E" w:rsidRPr="00601A89" w:rsidRDefault="00562E8E" w:rsidP="00562E8E">
            <w:pPr>
              <w:pStyle w:val="TableText"/>
              <w:keepNext/>
              <w:rPr>
                <w:rFonts w:eastAsia="MS Gothic"/>
                <w:color w:val="404040"/>
              </w:rPr>
            </w:pPr>
            <w:r w:rsidRPr="00601A89">
              <w:t xml:space="preserve">Understanding and knowledge of radiotherapy indications and treatment regimes. Involvement in a multidisciplinary meeting may </w:t>
            </w:r>
            <w:r>
              <w:t>help improve this understanding</w:t>
            </w:r>
            <w:r w:rsidRPr="00601A89">
              <w:t>, as would access to online referral and treatment guidelines</w:t>
            </w:r>
            <w:r>
              <w:t>.</w:t>
            </w:r>
          </w:p>
        </w:tc>
      </w:tr>
      <w:tr w:rsidR="00562E8E" w:rsidRPr="00601A89" w14:paraId="33B364BE" w14:textId="77777777" w:rsidTr="00562E8E">
        <w:trPr>
          <w:cantSplit/>
        </w:trPr>
        <w:tc>
          <w:tcPr>
            <w:tcW w:w="1276" w:type="dxa"/>
            <w:vMerge/>
            <w:shd w:val="clear" w:color="auto" w:fill="auto"/>
          </w:tcPr>
          <w:p w14:paraId="0981A105" w14:textId="77777777" w:rsidR="00562E8E" w:rsidRPr="00601A89" w:rsidRDefault="00562E8E" w:rsidP="00742CF3">
            <w:pPr>
              <w:pStyle w:val="TableText"/>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4D0AEAD2" w14:textId="77777777" w:rsidR="00562E8E" w:rsidRPr="00601A89" w:rsidRDefault="00562E8E" w:rsidP="00742CF3">
            <w:pPr>
              <w:pStyle w:val="TableText"/>
              <w:rPr>
                <w:rFonts w:eastAsia="MS Gothic"/>
                <w:color w:val="404040"/>
              </w:rPr>
            </w:pPr>
            <w:r w:rsidRPr="00601A89">
              <w:t>Specialty</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36DF685C" w14:textId="77777777" w:rsidR="00562E8E" w:rsidRPr="00601A89" w:rsidRDefault="00562E8E" w:rsidP="00742CF3">
            <w:pPr>
              <w:pStyle w:val="TableText"/>
              <w:rPr>
                <w:rFonts w:eastAsia="MS Gothic"/>
                <w:color w:val="404040"/>
              </w:rPr>
            </w:pPr>
            <w:r w:rsidRPr="00601A89">
              <w:t>Radiotherapy is often delivered in conjunction with surgery and chemotherapy. The specialty of the referrer, or the preferences of the individual specialist</w:t>
            </w:r>
            <w:r>
              <w:t>, may influence which</w:t>
            </w:r>
            <w:r w:rsidRPr="00601A89">
              <w:t xml:space="preserve"> of the multiple treatment modalities </w:t>
            </w:r>
            <w:r>
              <w:t>they use and the order in which they use them</w:t>
            </w:r>
            <w:r w:rsidRPr="00601A89">
              <w:t xml:space="preserve">. </w:t>
            </w:r>
            <w:r>
              <w:t>Having</w:t>
            </w:r>
            <w:r w:rsidRPr="00601A89">
              <w:t xml:space="preserve"> multidisciplinary meetings and </w:t>
            </w:r>
            <w:r>
              <w:t>access to</w:t>
            </w:r>
            <w:r w:rsidRPr="00601A89">
              <w:t xml:space="preserve"> referral and treatment pathways and guidelines may improve access</w:t>
            </w:r>
            <w:r>
              <w:t xml:space="preserve"> to treatment for patients.</w:t>
            </w:r>
          </w:p>
        </w:tc>
      </w:tr>
      <w:tr w:rsidR="00562E8E" w:rsidRPr="00601A89" w14:paraId="172DA44C" w14:textId="77777777" w:rsidTr="00562E8E">
        <w:trPr>
          <w:cantSplit/>
        </w:trPr>
        <w:tc>
          <w:tcPr>
            <w:tcW w:w="1276" w:type="dxa"/>
            <w:vMerge/>
            <w:shd w:val="clear" w:color="auto" w:fill="auto"/>
          </w:tcPr>
          <w:p w14:paraId="042CA644" w14:textId="77777777" w:rsidR="00562E8E" w:rsidRPr="00601A89" w:rsidRDefault="00562E8E" w:rsidP="00742CF3">
            <w:pPr>
              <w:pStyle w:val="TableText"/>
            </w:pPr>
          </w:p>
        </w:tc>
        <w:tc>
          <w:tcPr>
            <w:tcW w:w="1701" w:type="dxa"/>
            <w:tcBorders>
              <w:top w:val="single" w:sz="4" w:space="0" w:color="A6A6A6" w:themeColor="background1" w:themeShade="A6"/>
              <w:bottom w:val="single" w:sz="4" w:space="0" w:color="A6A6A6" w:themeColor="background1" w:themeShade="A6"/>
            </w:tcBorders>
            <w:shd w:val="clear" w:color="auto" w:fill="auto"/>
          </w:tcPr>
          <w:p w14:paraId="3FF33EFE" w14:textId="77777777" w:rsidR="00562E8E" w:rsidRPr="00601A89" w:rsidRDefault="00562E8E" w:rsidP="00742CF3">
            <w:pPr>
              <w:pStyle w:val="TableText"/>
              <w:rPr>
                <w:rFonts w:eastAsia="MS Gothic"/>
                <w:color w:val="404040"/>
              </w:rPr>
            </w:pPr>
            <w:r w:rsidRPr="00601A89">
              <w:t>Wait</w:t>
            </w:r>
            <w:r>
              <w:t>ing</w:t>
            </w:r>
            <w:r w:rsidRPr="00601A89">
              <w:t xml:space="preserve"> time</w:t>
            </w:r>
            <w:r>
              <w:t>s</w:t>
            </w:r>
          </w:p>
        </w:tc>
        <w:tc>
          <w:tcPr>
            <w:tcW w:w="6379" w:type="dxa"/>
            <w:tcBorders>
              <w:top w:val="single" w:sz="4" w:space="0" w:color="A6A6A6" w:themeColor="background1" w:themeShade="A6"/>
              <w:bottom w:val="single" w:sz="4" w:space="0" w:color="A6A6A6" w:themeColor="background1" w:themeShade="A6"/>
            </w:tcBorders>
            <w:shd w:val="clear" w:color="auto" w:fill="auto"/>
          </w:tcPr>
          <w:p w14:paraId="71C46A44" w14:textId="77777777" w:rsidR="00562E8E" w:rsidRPr="00601A89" w:rsidRDefault="00562E8E" w:rsidP="00742CF3">
            <w:pPr>
              <w:pStyle w:val="TableText"/>
              <w:rPr>
                <w:rFonts w:eastAsia="MS Gothic"/>
                <w:color w:val="404040"/>
              </w:rPr>
            </w:pPr>
            <w:r>
              <w:t xml:space="preserve">If the clinician perceives the patient may have a </w:t>
            </w:r>
            <w:r w:rsidRPr="00601A89">
              <w:t>lengthy wait</w:t>
            </w:r>
            <w:r>
              <w:t>,</w:t>
            </w:r>
            <w:r w:rsidRPr="00601A89">
              <w:t xml:space="preserve"> </w:t>
            </w:r>
            <w:r>
              <w:t xml:space="preserve">this </w:t>
            </w:r>
            <w:r w:rsidRPr="00601A89">
              <w:t xml:space="preserve">may discourage </w:t>
            </w:r>
            <w:r>
              <w:t xml:space="preserve">them from making </w:t>
            </w:r>
            <w:r w:rsidRPr="00601A89">
              <w:t>referrals, whether or not that perception matches reality</w:t>
            </w:r>
            <w:r>
              <w:t>.</w:t>
            </w:r>
          </w:p>
        </w:tc>
      </w:tr>
      <w:tr w:rsidR="00562E8E" w:rsidRPr="00601A89" w14:paraId="741AA926" w14:textId="77777777" w:rsidTr="00562E8E">
        <w:trPr>
          <w:cantSplit/>
        </w:trPr>
        <w:tc>
          <w:tcPr>
            <w:tcW w:w="1276" w:type="dxa"/>
            <w:vMerge/>
            <w:shd w:val="clear" w:color="auto" w:fill="auto"/>
          </w:tcPr>
          <w:p w14:paraId="4D04B92C" w14:textId="77777777" w:rsidR="00562E8E" w:rsidRPr="00601A89" w:rsidRDefault="00562E8E" w:rsidP="00742CF3">
            <w:pPr>
              <w:pStyle w:val="TableText"/>
            </w:pPr>
          </w:p>
        </w:tc>
        <w:tc>
          <w:tcPr>
            <w:tcW w:w="1701" w:type="dxa"/>
            <w:tcBorders>
              <w:top w:val="single" w:sz="4" w:space="0" w:color="A6A6A6" w:themeColor="background1" w:themeShade="A6"/>
            </w:tcBorders>
            <w:shd w:val="clear" w:color="auto" w:fill="auto"/>
          </w:tcPr>
          <w:p w14:paraId="4940A45A" w14:textId="77777777" w:rsidR="00562E8E" w:rsidRPr="00601A89" w:rsidRDefault="00562E8E" w:rsidP="00742CF3">
            <w:pPr>
              <w:pStyle w:val="TableText"/>
              <w:rPr>
                <w:rFonts w:eastAsia="MS Gothic"/>
                <w:color w:val="404040"/>
              </w:rPr>
            </w:pPr>
            <w:r w:rsidRPr="00601A89">
              <w:t>Financial impacts</w:t>
            </w:r>
          </w:p>
        </w:tc>
        <w:tc>
          <w:tcPr>
            <w:tcW w:w="6379" w:type="dxa"/>
            <w:tcBorders>
              <w:top w:val="single" w:sz="4" w:space="0" w:color="A6A6A6" w:themeColor="background1" w:themeShade="A6"/>
            </w:tcBorders>
            <w:shd w:val="clear" w:color="auto" w:fill="auto"/>
          </w:tcPr>
          <w:p w14:paraId="4FEDE297" w14:textId="77777777" w:rsidR="00562E8E" w:rsidRPr="00601A89" w:rsidRDefault="00562E8E" w:rsidP="00742CF3">
            <w:pPr>
              <w:pStyle w:val="TableText"/>
              <w:rPr>
                <w:rFonts w:eastAsia="MS Gothic"/>
                <w:color w:val="404040"/>
              </w:rPr>
            </w:pPr>
            <w:r w:rsidRPr="00601A89">
              <w:t>Financial impacts of referral on an individual practitioner or on a service</w:t>
            </w:r>
            <w:r>
              <w:t>.</w:t>
            </w:r>
          </w:p>
        </w:tc>
      </w:tr>
    </w:tbl>
    <w:p w14:paraId="3DD7FF08" w14:textId="77777777" w:rsidR="00562E8E" w:rsidRDefault="00562E8E" w:rsidP="00562E8E"/>
    <w:p w14:paraId="225FA2DC" w14:textId="77777777" w:rsidR="00E85766" w:rsidRPr="00601A89" w:rsidRDefault="00E85766" w:rsidP="00562E8E">
      <w:pPr>
        <w:pStyle w:val="Heading4"/>
      </w:pPr>
      <w:r w:rsidRPr="00601A89">
        <w:t>Priority 1: Actions – Roadmap</w:t>
      </w:r>
    </w:p>
    <w:p w14:paraId="49F79A4D" w14:textId="77777777" w:rsidR="00E85766" w:rsidRDefault="00E85766" w:rsidP="00562E8E">
      <w:r>
        <w:fldChar w:fldCharType="begin"/>
      </w:r>
      <w:r>
        <w:instrText xml:space="preserve"> REF _Ref470858331 \h </w:instrText>
      </w:r>
      <w:r>
        <w:fldChar w:fldCharType="separate"/>
      </w:r>
      <w:r w:rsidR="00E2252F">
        <w:t xml:space="preserve">Table </w:t>
      </w:r>
      <w:r w:rsidR="00E2252F">
        <w:rPr>
          <w:noProof/>
        </w:rPr>
        <w:t>4</w:t>
      </w:r>
      <w:r>
        <w:fldChar w:fldCharType="end"/>
      </w:r>
      <w:r>
        <w:t xml:space="preserve"> lists the </w:t>
      </w:r>
      <w:r w:rsidRPr="00601A89">
        <w:t>actions planned to enhance enquiry into clinical variation and improve access to services in line with Government priorities</w:t>
      </w:r>
      <w:r>
        <w:t>.</w:t>
      </w:r>
    </w:p>
    <w:p w14:paraId="3AE767A5" w14:textId="77777777" w:rsidR="00E85766" w:rsidRPr="00601A89" w:rsidRDefault="00E85766" w:rsidP="00562E8E"/>
    <w:p w14:paraId="5A7FFF74" w14:textId="77777777" w:rsidR="00E85766" w:rsidRPr="00601A89" w:rsidRDefault="00E85766" w:rsidP="00562E8E">
      <w:pPr>
        <w:pStyle w:val="Table"/>
      </w:pPr>
      <w:bookmarkStart w:id="69" w:name="_Ref470858331"/>
      <w:bookmarkStart w:id="70" w:name="_Toc475954094"/>
      <w:r>
        <w:t xml:space="preserve">Table </w:t>
      </w:r>
      <w:r w:rsidR="003B40AB">
        <w:fldChar w:fldCharType="begin"/>
      </w:r>
      <w:r w:rsidR="003B40AB">
        <w:instrText xml:space="preserve"> SEQ Table \* ARABIC </w:instrText>
      </w:r>
      <w:r w:rsidR="003B40AB">
        <w:fldChar w:fldCharType="separate"/>
      </w:r>
      <w:r w:rsidR="00E2252F">
        <w:rPr>
          <w:noProof/>
        </w:rPr>
        <w:t>4</w:t>
      </w:r>
      <w:r w:rsidR="003B40AB">
        <w:rPr>
          <w:noProof/>
        </w:rPr>
        <w:fldChar w:fldCharType="end"/>
      </w:r>
      <w:bookmarkEnd w:id="69"/>
      <w:r>
        <w:t>: Actions to</w:t>
      </w:r>
      <w:r w:rsidRPr="007D47F9">
        <w:t xml:space="preserve"> </w:t>
      </w:r>
      <w:r>
        <w:t>give people fair</w:t>
      </w:r>
      <w:r w:rsidRPr="00601A89">
        <w:t xml:space="preserve"> access to </w:t>
      </w:r>
      <w:r>
        <w:t xml:space="preserve">the </w:t>
      </w:r>
      <w:r w:rsidRPr="00601A89">
        <w:t>services</w:t>
      </w:r>
      <w:r>
        <w:t xml:space="preserve"> they need</w:t>
      </w:r>
      <w:bookmarkEnd w:id="70"/>
    </w:p>
    <w:tbl>
      <w:tblPr>
        <w:tblW w:w="9356"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567"/>
        <w:gridCol w:w="2977"/>
        <w:gridCol w:w="4678"/>
        <w:gridCol w:w="1134"/>
      </w:tblGrid>
      <w:tr w:rsidR="00E85766" w:rsidRPr="00562E8E" w14:paraId="010AE21B" w14:textId="77777777" w:rsidTr="00562E8E">
        <w:trPr>
          <w:cantSplit/>
        </w:trPr>
        <w:tc>
          <w:tcPr>
            <w:tcW w:w="567" w:type="dxa"/>
            <w:tcBorders>
              <w:top w:val="single" w:sz="4" w:space="0" w:color="auto"/>
              <w:bottom w:val="single" w:sz="4" w:space="0" w:color="auto"/>
            </w:tcBorders>
            <w:shd w:val="clear" w:color="auto" w:fill="auto"/>
          </w:tcPr>
          <w:p w14:paraId="7B77EF29" w14:textId="77777777" w:rsidR="00E85766" w:rsidRPr="00562E8E" w:rsidRDefault="00E85766" w:rsidP="00562E8E">
            <w:pPr>
              <w:pStyle w:val="TableText"/>
              <w:rPr>
                <w:b/>
                <w:lang w:eastAsia="en-NZ"/>
              </w:rPr>
            </w:pPr>
          </w:p>
        </w:tc>
        <w:tc>
          <w:tcPr>
            <w:tcW w:w="2977" w:type="dxa"/>
            <w:tcBorders>
              <w:top w:val="single" w:sz="4" w:space="0" w:color="auto"/>
              <w:bottom w:val="single" w:sz="4" w:space="0" w:color="auto"/>
            </w:tcBorders>
            <w:shd w:val="clear" w:color="auto" w:fill="auto"/>
          </w:tcPr>
          <w:p w14:paraId="431EF8EC" w14:textId="77777777" w:rsidR="00E85766" w:rsidRPr="00562E8E" w:rsidRDefault="00E85766" w:rsidP="00562E8E">
            <w:pPr>
              <w:pStyle w:val="TableText"/>
              <w:ind w:right="142"/>
              <w:rPr>
                <w:b/>
                <w:lang w:eastAsia="en-NZ"/>
              </w:rPr>
            </w:pPr>
            <w:r w:rsidRPr="00562E8E">
              <w:rPr>
                <w:b/>
                <w:lang w:eastAsia="en-NZ"/>
              </w:rPr>
              <w:t>Action</w:t>
            </w:r>
          </w:p>
        </w:tc>
        <w:tc>
          <w:tcPr>
            <w:tcW w:w="4678" w:type="dxa"/>
            <w:tcBorders>
              <w:top w:val="single" w:sz="4" w:space="0" w:color="auto"/>
              <w:bottom w:val="single" w:sz="4" w:space="0" w:color="auto"/>
            </w:tcBorders>
            <w:shd w:val="clear" w:color="auto" w:fill="auto"/>
          </w:tcPr>
          <w:p w14:paraId="1640477C" w14:textId="77777777" w:rsidR="00E85766" w:rsidRPr="00562E8E" w:rsidRDefault="00E85766" w:rsidP="00562E8E">
            <w:pPr>
              <w:pStyle w:val="TableText"/>
              <w:ind w:right="142"/>
              <w:rPr>
                <w:b/>
                <w:lang w:eastAsia="en-NZ"/>
              </w:rPr>
            </w:pPr>
            <w:r w:rsidRPr="00562E8E">
              <w:rPr>
                <w:b/>
                <w:lang w:eastAsia="en-NZ"/>
              </w:rPr>
              <w:t>Who is involved</w:t>
            </w:r>
          </w:p>
        </w:tc>
        <w:tc>
          <w:tcPr>
            <w:tcW w:w="1134" w:type="dxa"/>
            <w:tcBorders>
              <w:top w:val="single" w:sz="4" w:space="0" w:color="auto"/>
              <w:bottom w:val="single" w:sz="4" w:space="0" w:color="auto"/>
            </w:tcBorders>
            <w:shd w:val="clear" w:color="auto" w:fill="auto"/>
          </w:tcPr>
          <w:p w14:paraId="3B031A0B" w14:textId="77777777" w:rsidR="00E85766" w:rsidRPr="00562E8E" w:rsidRDefault="00E85766" w:rsidP="00562E8E">
            <w:pPr>
              <w:pStyle w:val="TableText"/>
              <w:rPr>
                <w:b/>
                <w:lang w:eastAsia="en-NZ"/>
              </w:rPr>
            </w:pPr>
            <w:r w:rsidRPr="00562E8E">
              <w:rPr>
                <w:b/>
                <w:lang w:eastAsia="en-NZ"/>
              </w:rPr>
              <w:t>By when</w:t>
            </w:r>
          </w:p>
        </w:tc>
      </w:tr>
      <w:tr w:rsidR="00E85766" w:rsidRPr="00601A89" w14:paraId="26662F26" w14:textId="77777777" w:rsidTr="00562E8E">
        <w:trPr>
          <w:cantSplit/>
        </w:trPr>
        <w:tc>
          <w:tcPr>
            <w:tcW w:w="567" w:type="dxa"/>
            <w:tcBorders>
              <w:top w:val="single" w:sz="4" w:space="0" w:color="auto"/>
              <w:bottom w:val="single" w:sz="4" w:space="0" w:color="A6A6A6" w:themeColor="background1" w:themeShade="A6"/>
            </w:tcBorders>
            <w:shd w:val="clear" w:color="auto" w:fill="auto"/>
          </w:tcPr>
          <w:p w14:paraId="1990CB93" w14:textId="77777777" w:rsidR="00E85766" w:rsidRPr="00601A89" w:rsidRDefault="00E85766" w:rsidP="00562E8E">
            <w:pPr>
              <w:pStyle w:val="TableText"/>
              <w:rPr>
                <w:color w:val="000000"/>
                <w:lang w:eastAsia="en-NZ"/>
              </w:rPr>
            </w:pPr>
            <w:r w:rsidRPr="00601A89">
              <w:rPr>
                <w:color w:val="000000"/>
                <w:lang w:eastAsia="en-NZ"/>
              </w:rPr>
              <w:t>1.1</w:t>
            </w:r>
          </w:p>
        </w:tc>
        <w:tc>
          <w:tcPr>
            <w:tcW w:w="2977" w:type="dxa"/>
            <w:tcBorders>
              <w:top w:val="single" w:sz="4" w:space="0" w:color="auto"/>
              <w:bottom w:val="single" w:sz="4" w:space="0" w:color="A6A6A6" w:themeColor="background1" w:themeShade="A6"/>
            </w:tcBorders>
            <w:shd w:val="clear" w:color="auto" w:fill="auto"/>
            <w:noWrap/>
          </w:tcPr>
          <w:p w14:paraId="62DE8EDB" w14:textId="77777777" w:rsidR="00E85766" w:rsidRPr="00601A89" w:rsidRDefault="00E85766" w:rsidP="00562E8E">
            <w:pPr>
              <w:pStyle w:val="TableText"/>
              <w:ind w:right="142"/>
              <w:rPr>
                <w:color w:val="000000"/>
                <w:lang w:eastAsia="en-NZ"/>
              </w:rPr>
            </w:pPr>
            <w:r w:rsidRPr="00601A89">
              <w:rPr>
                <w:color w:val="000000"/>
                <w:lang w:eastAsia="en-NZ"/>
              </w:rPr>
              <w:t>Prioritise at least one variation in access and/or care query of interest per year and investigate the root cause</w:t>
            </w:r>
          </w:p>
        </w:tc>
        <w:tc>
          <w:tcPr>
            <w:tcW w:w="4678" w:type="dxa"/>
            <w:tcBorders>
              <w:top w:val="single" w:sz="4" w:space="0" w:color="auto"/>
              <w:bottom w:val="single" w:sz="4" w:space="0" w:color="A6A6A6" w:themeColor="background1" w:themeShade="A6"/>
            </w:tcBorders>
            <w:shd w:val="clear" w:color="auto" w:fill="auto"/>
            <w:noWrap/>
          </w:tcPr>
          <w:p w14:paraId="0F1B65B4" w14:textId="77777777" w:rsidR="00E85766" w:rsidRPr="00601A89" w:rsidRDefault="00E85766" w:rsidP="00562E8E">
            <w:pPr>
              <w:pStyle w:val="TableText"/>
              <w:ind w:right="142"/>
              <w:rPr>
                <w:color w:val="000000"/>
                <w:lang w:eastAsia="en-NZ"/>
              </w:rPr>
            </w:pPr>
            <w:r w:rsidRPr="00601A89">
              <w:rPr>
                <w:color w:val="000000"/>
                <w:lang w:eastAsia="en-NZ"/>
              </w:rPr>
              <w:t>ROWG will review current variation/s in access and prioritise at least one query per year</w:t>
            </w:r>
          </w:p>
          <w:p w14:paraId="29196908" w14:textId="77777777" w:rsidR="00E85766" w:rsidRPr="00601A89" w:rsidRDefault="00E85766" w:rsidP="00562E8E">
            <w:pPr>
              <w:pStyle w:val="TableText"/>
              <w:ind w:right="142"/>
              <w:rPr>
                <w:color w:val="000000"/>
                <w:lang w:eastAsia="en-NZ"/>
              </w:rPr>
            </w:pPr>
            <w:r w:rsidRPr="00601A89">
              <w:rPr>
                <w:color w:val="000000"/>
                <w:lang w:eastAsia="en-NZ"/>
              </w:rPr>
              <w:t xml:space="preserve">The Ministry will undertake the </w:t>
            </w:r>
            <w:r>
              <w:rPr>
                <w:color w:val="000000"/>
                <w:lang w:eastAsia="en-NZ"/>
              </w:rPr>
              <w:t>specific</w:t>
            </w:r>
            <w:r w:rsidRPr="00601A89">
              <w:rPr>
                <w:color w:val="000000"/>
                <w:lang w:eastAsia="en-NZ"/>
              </w:rPr>
              <w:t xml:space="preserve"> analysis required</w:t>
            </w:r>
          </w:p>
          <w:p w14:paraId="4EDF2C0D" w14:textId="77777777" w:rsidR="00E85766" w:rsidRPr="00601A89" w:rsidRDefault="00E85766" w:rsidP="00562E8E">
            <w:pPr>
              <w:pStyle w:val="TableText"/>
              <w:ind w:right="142"/>
              <w:rPr>
                <w:color w:val="000000"/>
                <w:lang w:eastAsia="en-NZ"/>
              </w:rPr>
            </w:pPr>
            <w:r w:rsidRPr="00601A89">
              <w:rPr>
                <w:color w:val="000000"/>
                <w:lang w:eastAsia="en-NZ"/>
              </w:rPr>
              <w:t>RCNs will investigate the causes of variations beyond the data</w:t>
            </w:r>
          </w:p>
        </w:tc>
        <w:tc>
          <w:tcPr>
            <w:tcW w:w="1134" w:type="dxa"/>
            <w:tcBorders>
              <w:top w:val="single" w:sz="4" w:space="0" w:color="auto"/>
              <w:bottom w:val="single" w:sz="4" w:space="0" w:color="A6A6A6" w:themeColor="background1" w:themeShade="A6"/>
            </w:tcBorders>
            <w:shd w:val="clear" w:color="auto" w:fill="auto"/>
          </w:tcPr>
          <w:p w14:paraId="62A9C7E3" w14:textId="77777777" w:rsidR="00E85766" w:rsidRPr="00601A89" w:rsidRDefault="00E85766" w:rsidP="00562E8E">
            <w:pPr>
              <w:pStyle w:val="TableText"/>
              <w:rPr>
                <w:color w:val="000000"/>
                <w:lang w:eastAsia="en-NZ"/>
              </w:rPr>
            </w:pPr>
            <w:r w:rsidRPr="00601A89">
              <w:rPr>
                <w:color w:val="000000"/>
                <w:lang w:eastAsia="en-NZ"/>
              </w:rPr>
              <w:t>2017–2021</w:t>
            </w:r>
          </w:p>
        </w:tc>
      </w:tr>
      <w:tr w:rsidR="00E85766" w:rsidRPr="00601A89" w14:paraId="0AD752CF" w14:textId="77777777" w:rsidTr="00562E8E">
        <w:trPr>
          <w:cantSplit/>
        </w:trPr>
        <w:tc>
          <w:tcPr>
            <w:tcW w:w="567" w:type="dxa"/>
            <w:tcBorders>
              <w:top w:val="single" w:sz="4" w:space="0" w:color="A6A6A6" w:themeColor="background1" w:themeShade="A6"/>
              <w:bottom w:val="single" w:sz="4" w:space="0" w:color="A6A6A6" w:themeColor="background1" w:themeShade="A6"/>
            </w:tcBorders>
            <w:shd w:val="clear" w:color="auto" w:fill="auto"/>
          </w:tcPr>
          <w:p w14:paraId="392B9CEC" w14:textId="77777777" w:rsidR="00E85766" w:rsidRPr="00601A89" w:rsidRDefault="00E85766" w:rsidP="00562E8E">
            <w:pPr>
              <w:pStyle w:val="TableText"/>
              <w:rPr>
                <w:color w:val="000000"/>
                <w:lang w:eastAsia="en-NZ"/>
              </w:rPr>
            </w:pPr>
            <w:r w:rsidRPr="00601A89">
              <w:rPr>
                <w:color w:val="000000"/>
                <w:lang w:eastAsia="en-NZ"/>
              </w:rPr>
              <w:t>1.2</w:t>
            </w:r>
          </w:p>
        </w:tc>
        <w:tc>
          <w:tcPr>
            <w:tcW w:w="2977" w:type="dxa"/>
            <w:tcBorders>
              <w:top w:val="single" w:sz="4" w:space="0" w:color="A6A6A6" w:themeColor="background1" w:themeShade="A6"/>
              <w:bottom w:val="single" w:sz="4" w:space="0" w:color="A6A6A6" w:themeColor="background1" w:themeShade="A6"/>
            </w:tcBorders>
            <w:shd w:val="clear" w:color="auto" w:fill="auto"/>
            <w:noWrap/>
          </w:tcPr>
          <w:p w14:paraId="592FD496" w14:textId="77777777" w:rsidR="00E85766" w:rsidRPr="00601A89" w:rsidRDefault="00E85766" w:rsidP="00562E8E">
            <w:pPr>
              <w:pStyle w:val="TableText"/>
              <w:ind w:right="142"/>
              <w:rPr>
                <w:color w:val="000000"/>
                <w:lang w:eastAsia="en-NZ"/>
              </w:rPr>
            </w:pPr>
            <w:r w:rsidRPr="00601A89">
              <w:rPr>
                <w:color w:val="000000"/>
                <w:lang w:eastAsia="en-NZ"/>
              </w:rPr>
              <w:t>Plan and implement initiatives to manage the prioritised variation/s in access per year</w:t>
            </w:r>
          </w:p>
        </w:tc>
        <w:tc>
          <w:tcPr>
            <w:tcW w:w="4678" w:type="dxa"/>
            <w:tcBorders>
              <w:top w:val="single" w:sz="4" w:space="0" w:color="A6A6A6" w:themeColor="background1" w:themeShade="A6"/>
              <w:bottom w:val="single" w:sz="4" w:space="0" w:color="A6A6A6" w:themeColor="background1" w:themeShade="A6"/>
            </w:tcBorders>
            <w:shd w:val="clear" w:color="auto" w:fill="auto"/>
            <w:noWrap/>
          </w:tcPr>
          <w:p w14:paraId="1AFB69F1" w14:textId="77777777" w:rsidR="00E85766" w:rsidRPr="00601A89" w:rsidRDefault="00E85766" w:rsidP="00562E8E">
            <w:pPr>
              <w:pStyle w:val="TableText"/>
              <w:ind w:right="142"/>
              <w:rPr>
                <w:color w:val="000000"/>
                <w:lang w:eastAsia="en-NZ"/>
              </w:rPr>
            </w:pPr>
            <w:r w:rsidRPr="00601A89">
              <w:rPr>
                <w:color w:val="000000"/>
                <w:lang w:eastAsia="en-NZ"/>
              </w:rPr>
              <w:t>ROWG will determine the standard of care expected and monitor progress</w:t>
            </w:r>
          </w:p>
          <w:p w14:paraId="3A1C0829" w14:textId="77777777" w:rsidR="00E85766" w:rsidRPr="00601A89" w:rsidRDefault="00E85766" w:rsidP="00562E8E">
            <w:pPr>
              <w:pStyle w:val="TableText"/>
              <w:ind w:right="142"/>
              <w:rPr>
                <w:color w:val="000000"/>
                <w:lang w:eastAsia="en-NZ"/>
              </w:rPr>
            </w:pPr>
            <w:r w:rsidRPr="00601A89">
              <w:rPr>
                <w:color w:val="000000"/>
                <w:lang w:eastAsia="en-NZ"/>
              </w:rPr>
              <w:t>RCN</w:t>
            </w:r>
            <w:r>
              <w:rPr>
                <w:color w:val="000000"/>
                <w:lang w:eastAsia="en-NZ"/>
              </w:rPr>
              <w:t>s</w:t>
            </w:r>
            <w:r w:rsidRPr="00601A89">
              <w:rPr>
                <w:color w:val="000000"/>
                <w:lang w:eastAsia="en-NZ"/>
              </w:rPr>
              <w:t xml:space="preserve"> will plan the initiative in collaboration with radiation oncology providers and referrers</w:t>
            </w:r>
          </w:p>
          <w:p w14:paraId="6071DCEB" w14:textId="77777777" w:rsidR="00E85766" w:rsidRPr="00601A89" w:rsidRDefault="00E85766" w:rsidP="00562E8E">
            <w:pPr>
              <w:pStyle w:val="TableText"/>
              <w:ind w:right="142"/>
              <w:rPr>
                <w:color w:val="000000"/>
                <w:lang w:eastAsia="en-NZ"/>
              </w:rPr>
            </w:pPr>
            <w:r w:rsidRPr="00601A89">
              <w:rPr>
                <w:color w:val="000000"/>
                <w:lang w:eastAsia="en-NZ"/>
              </w:rPr>
              <w:t>Radiation oncology providers will implement the initiative in collaboration with RCNs and referrers</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0B34FCEA" w14:textId="77777777" w:rsidR="00E85766" w:rsidRPr="00601A89" w:rsidRDefault="00E85766" w:rsidP="00562E8E">
            <w:pPr>
              <w:pStyle w:val="TableText"/>
              <w:rPr>
                <w:color w:val="000000"/>
                <w:lang w:eastAsia="en-NZ"/>
              </w:rPr>
            </w:pPr>
            <w:r w:rsidRPr="00601A89">
              <w:rPr>
                <w:color w:val="000000"/>
                <w:lang w:eastAsia="en-NZ"/>
              </w:rPr>
              <w:t>2017–2021</w:t>
            </w:r>
          </w:p>
        </w:tc>
      </w:tr>
      <w:tr w:rsidR="00E85766" w:rsidRPr="00601A89" w14:paraId="7C2FDE02" w14:textId="77777777" w:rsidTr="00562E8E">
        <w:trPr>
          <w:cantSplit/>
        </w:trPr>
        <w:tc>
          <w:tcPr>
            <w:tcW w:w="567" w:type="dxa"/>
            <w:tcBorders>
              <w:top w:val="single" w:sz="4" w:space="0" w:color="A6A6A6" w:themeColor="background1" w:themeShade="A6"/>
            </w:tcBorders>
            <w:shd w:val="clear" w:color="auto" w:fill="auto"/>
          </w:tcPr>
          <w:p w14:paraId="019092B7" w14:textId="77777777" w:rsidR="00E85766" w:rsidRPr="00601A89" w:rsidRDefault="00E85766" w:rsidP="00562E8E">
            <w:pPr>
              <w:pStyle w:val="TableText"/>
              <w:rPr>
                <w:color w:val="000000"/>
                <w:lang w:eastAsia="en-NZ"/>
              </w:rPr>
            </w:pPr>
            <w:r w:rsidRPr="00601A89">
              <w:rPr>
                <w:color w:val="000000"/>
                <w:lang w:eastAsia="en-NZ"/>
              </w:rPr>
              <w:t>1.3</w:t>
            </w:r>
          </w:p>
        </w:tc>
        <w:tc>
          <w:tcPr>
            <w:tcW w:w="2977" w:type="dxa"/>
            <w:tcBorders>
              <w:top w:val="single" w:sz="4" w:space="0" w:color="A6A6A6" w:themeColor="background1" w:themeShade="A6"/>
            </w:tcBorders>
            <w:shd w:val="clear" w:color="auto" w:fill="auto"/>
            <w:noWrap/>
          </w:tcPr>
          <w:p w14:paraId="22591CD9" w14:textId="77777777" w:rsidR="00E85766" w:rsidRPr="00601A89" w:rsidRDefault="00E85766" w:rsidP="00562E8E">
            <w:pPr>
              <w:pStyle w:val="TableText"/>
              <w:ind w:right="142"/>
              <w:rPr>
                <w:color w:val="000000"/>
                <w:lang w:eastAsia="en-NZ"/>
              </w:rPr>
            </w:pPr>
            <w:r w:rsidRPr="00601A89">
              <w:rPr>
                <w:color w:val="000000"/>
                <w:lang w:eastAsia="en-NZ"/>
              </w:rPr>
              <w:t>Understand variation</w:t>
            </w:r>
          </w:p>
        </w:tc>
        <w:tc>
          <w:tcPr>
            <w:tcW w:w="4678" w:type="dxa"/>
            <w:tcBorders>
              <w:top w:val="single" w:sz="4" w:space="0" w:color="A6A6A6" w:themeColor="background1" w:themeShade="A6"/>
            </w:tcBorders>
            <w:shd w:val="clear" w:color="auto" w:fill="auto"/>
            <w:noWrap/>
          </w:tcPr>
          <w:p w14:paraId="4FB4644F" w14:textId="77777777" w:rsidR="00E85766" w:rsidRPr="00601A89" w:rsidRDefault="00E85766" w:rsidP="00562E8E">
            <w:pPr>
              <w:pStyle w:val="TableText"/>
              <w:ind w:right="142"/>
              <w:rPr>
                <w:color w:val="000000"/>
                <w:lang w:eastAsia="en-NZ"/>
              </w:rPr>
            </w:pPr>
            <w:r w:rsidRPr="00601A89">
              <w:rPr>
                <w:color w:val="000000"/>
                <w:lang w:eastAsia="en-NZ"/>
              </w:rPr>
              <w:t>RCNs and radiation oncology providers will work with DHB cancer managers to understand variation and report to ROWG</w:t>
            </w:r>
          </w:p>
        </w:tc>
        <w:tc>
          <w:tcPr>
            <w:tcW w:w="1134" w:type="dxa"/>
            <w:tcBorders>
              <w:top w:val="single" w:sz="4" w:space="0" w:color="A6A6A6" w:themeColor="background1" w:themeShade="A6"/>
            </w:tcBorders>
            <w:shd w:val="clear" w:color="auto" w:fill="auto"/>
          </w:tcPr>
          <w:p w14:paraId="567907DF" w14:textId="77777777" w:rsidR="00E85766" w:rsidRPr="00601A89" w:rsidRDefault="00E85766" w:rsidP="00562E8E">
            <w:pPr>
              <w:pStyle w:val="TableText"/>
              <w:rPr>
                <w:color w:val="000000"/>
                <w:lang w:eastAsia="en-NZ"/>
              </w:rPr>
            </w:pPr>
            <w:r w:rsidRPr="00601A89">
              <w:rPr>
                <w:color w:val="000000"/>
                <w:lang w:eastAsia="en-NZ"/>
              </w:rPr>
              <w:t>Ongoing</w:t>
            </w:r>
          </w:p>
        </w:tc>
      </w:tr>
    </w:tbl>
    <w:p w14:paraId="5364F76C" w14:textId="77777777" w:rsidR="00562E8E" w:rsidRDefault="00562E8E" w:rsidP="00562E8E"/>
    <w:p w14:paraId="6374DE72" w14:textId="77777777" w:rsidR="00E85766" w:rsidRPr="00601A89" w:rsidRDefault="00E85766" w:rsidP="00562E8E">
      <w:pPr>
        <w:pStyle w:val="Heading3"/>
      </w:pPr>
      <w:bookmarkStart w:id="71" w:name="_Toc470858857"/>
      <w:r w:rsidRPr="00601A89">
        <w:t>Priority 2: Radiation oncology services are safe and effective</w:t>
      </w:r>
      <w:bookmarkEnd w:id="71"/>
    </w:p>
    <w:p w14:paraId="1586B10E" w14:textId="77777777" w:rsidR="00E85766" w:rsidRPr="00601A89" w:rsidRDefault="00E85766" w:rsidP="00562E8E">
      <w:pPr>
        <w:pStyle w:val="Heading4"/>
      </w:pPr>
      <w:r w:rsidRPr="00601A89">
        <w:t>Evidence-based care and variation in clinical practice</w:t>
      </w:r>
    </w:p>
    <w:p w14:paraId="6B43204E" w14:textId="77777777" w:rsidR="007A6454" w:rsidRDefault="00E85766" w:rsidP="00562E8E">
      <w:r w:rsidRPr="00601A89">
        <w:t xml:space="preserve">In addition to variable intervention rates, the first national plan identified significant variation between radiation oncology providers in their subsequent treatment rates, treatment times and numbers of treatments per course for the same cancers. Challenges with the accuracy of data made it difficult </w:t>
      </w:r>
      <w:r>
        <w:t>to validate</w:t>
      </w:r>
      <w:r w:rsidRPr="00601A89">
        <w:t xml:space="preserve"> the variation </w:t>
      </w:r>
      <w:r>
        <w:t>for</w:t>
      </w:r>
      <w:r w:rsidRPr="00601A89">
        <w:t xml:space="preserve"> the first national plan. However, </w:t>
      </w:r>
      <w:r>
        <w:t xml:space="preserve">the plan considered </w:t>
      </w:r>
      <w:r w:rsidRPr="00601A89">
        <w:t>that while some variation in clinical practice is to be expected, e</w:t>
      </w:r>
      <w:r>
        <w:t xml:space="preserve">vidence-based care would drive convergence towards the same </w:t>
      </w:r>
      <w:r w:rsidRPr="00601A89">
        <w:t xml:space="preserve">specific care pathways. </w:t>
      </w:r>
      <w:r>
        <w:t>It would therefore be worthwhile to further investigate the</w:t>
      </w:r>
      <w:r w:rsidRPr="00601A89">
        <w:t xml:space="preserve"> potential</w:t>
      </w:r>
      <w:r>
        <w:t xml:space="preserve"> benefits</w:t>
      </w:r>
      <w:r w:rsidRPr="00601A89">
        <w:t xml:space="preserve"> </w:t>
      </w:r>
      <w:r>
        <w:t>of</w:t>
      </w:r>
      <w:r w:rsidRPr="00601A89">
        <w:t xml:space="preserve"> increas</w:t>
      </w:r>
      <w:r>
        <w:t>ing</w:t>
      </w:r>
      <w:r w:rsidRPr="00601A89">
        <w:t xml:space="preserve"> standardisation and cross-provider learning.</w:t>
      </w:r>
    </w:p>
    <w:p w14:paraId="093B2F59" w14:textId="77777777" w:rsidR="00E85766" w:rsidRPr="00601A89" w:rsidRDefault="00E85766" w:rsidP="00562E8E"/>
    <w:p w14:paraId="3E942919" w14:textId="77777777" w:rsidR="007A6454" w:rsidRDefault="00E85766" w:rsidP="00562E8E">
      <w:pPr>
        <w:keepLines/>
      </w:pPr>
      <w:r>
        <w:lastRenderedPageBreak/>
        <w:t xml:space="preserve">Using </w:t>
      </w:r>
      <w:r w:rsidRPr="00601A89">
        <w:t xml:space="preserve">ROMDS </w:t>
      </w:r>
      <w:r>
        <w:t xml:space="preserve">under the guidance </w:t>
      </w:r>
      <w:r w:rsidRPr="00601A89">
        <w:t xml:space="preserve">of this second national plan will provide the sector with a more reliable means of evaluating variation in clinical practice. While the data </w:t>
      </w:r>
      <w:r>
        <w:t>reported</w:t>
      </w:r>
      <w:r w:rsidRPr="00601A89">
        <w:t xml:space="preserve"> in this Plan </w:t>
      </w:r>
      <w:r>
        <w:t>is</w:t>
      </w:r>
      <w:r w:rsidRPr="00601A89">
        <w:t xml:space="preserve"> provisional, initial findings suggest the providers </w:t>
      </w:r>
      <w:r>
        <w:t xml:space="preserve">are reasonably consistent </w:t>
      </w:r>
      <w:r w:rsidRPr="00601A89">
        <w:t xml:space="preserve">in </w:t>
      </w:r>
      <w:r>
        <w:t xml:space="preserve">their </w:t>
      </w:r>
      <w:r w:rsidRPr="00601A89">
        <w:t>treatment patterns for the major cancers. Some differences are noticeable though</w:t>
      </w:r>
      <w:r>
        <w:t>.</w:t>
      </w:r>
      <w:r w:rsidRPr="00601A89">
        <w:t xml:space="preserve"> </w:t>
      </w:r>
      <w:r>
        <w:t>F</w:t>
      </w:r>
      <w:r w:rsidRPr="00601A89">
        <w:t>or example, for curative treatment for breast cancer</w:t>
      </w:r>
      <w:r>
        <w:t>,</w:t>
      </w:r>
      <w:r w:rsidRPr="00601A89">
        <w:t xml:space="preserve"> current evidence suggests the majority of women </w:t>
      </w:r>
      <w:r>
        <w:t>can</w:t>
      </w:r>
      <w:r w:rsidRPr="00601A89">
        <w:t xml:space="preserve"> be treated with a 15- or 16-day course</w:t>
      </w:r>
      <w:r>
        <w:t>;</w:t>
      </w:r>
      <w:r w:rsidRPr="00601A89">
        <w:t xml:space="preserve"> however</w:t>
      </w:r>
      <w:r>
        <w:t>,</w:t>
      </w:r>
      <w:r w:rsidRPr="00601A89">
        <w:t xml:space="preserve"> some providers</w:t>
      </w:r>
      <w:r>
        <w:t xml:space="preserve"> continue to provide mainly</w:t>
      </w:r>
      <w:r w:rsidRPr="00601A89">
        <w:t xml:space="preserve"> 25-day courses (see Figure 3</w:t>
      </w:r>
      <w:r>
        <w:t xml:space="preserve"> in section 3.2.3</w:t>
      </w:r>
      <w:r w:rsidRPr="00601A89">
        <w:t xml:space="preserve">). Similar types of variation across providers are </w:t>
      </w:r>
      <w:r>
        <w:t>evident</w:t>
      </w:r>
      <w:r w:rsidRPr="00601A89">
        <w:t xml:space="preserve"> for prostate and lung cancer.</w:t>
      </w:r>
    </w:p>
    <w:p w14:paraId="54F96DA9" w14:textId="77777777" w:rsidR="00E85766" w:rsidRPr="00601A89" w:rsidRDefault="00E85766" w:rsidP="00562E8E"/>
    <w:p w14:paraId="7FF0D477" w14:textId="77777777" w:rsidR="00E85766" w:rsidRPr="00601A89" w:rsidRDefault="00E85766" w:rsidP="00562E8E">
      <w:r w:rsidRPr="00601A89">
        <w:t>However, it is important to note that not all variation is undesirable or unwarranted. As Mulley (2010) write</w:t>
      </w:r>
      <w:r>
        <w:t>s</w:t>
      </w:r>
      <w:r w:rsidRPr="00601A89">
        <w:t xml:space="preserve">, </w:t>
      </w:r>
      <w:r w:rsidR="007A6454">
        <w:t>‘</w:t>
      </w:r>
      <w:r w:rsidRPr="00601A89">
        <w:t>The trick is in reducing the bad variation, which reflects the limits of professional knowledge and failures in its application, while preserving the good variation that makes care patient centred</w:t>
      </w:r>
      <w:r w:rsidR="00562E8E">
        <w:t>’</w:t>
      </w:r>
      <w:r w:rsidRPr="00601A89">
        <w:t>. Through ROWG</w:t>
      </w:r>
      <w:r>
        <w:t>,</w:t>
      </w:r>
      <w:r w:rsidRPr="00601A89">
        <w:t xml:space="preserve"> national direction on the best evidence-based treatment pathways will </w:t>
      </w:r>
      <w:r>
        <w:t>help the sector to</w:t>
      </w:r>
      <w:r w:rsidRPr="00601A89">
        <w:t xml:space="preserve"> interpret variation and </w:t>
      </w:r>
      <w:r>
        <w:t xml:space="preserve">identify </w:t>
      </w:r>
      <w:r w:rsidRPr="00601A89">
        <w:t>approaches to address it.</w:t>
      </w:r>
    </w:p>
    <w:p w14:paraId="5513E4E5" w14:textId="77777777" w:rsidR="00E85766" w:rsidRPr="00601A89" w:rsidRDefault="00E85766" w:rsidP="00562E8E"/>
    <w:p w14:paraId="77411535" w14:textId="77777777" w:rsidR="00E85766" w:rsidRPr="00803461" w:rsidRDefault="00E85766" w:rsidP="00562E8E">
      <w:r w:rsidRPr="00601A89">
        <w:t xml:space="preserve">At a national level it is difficult to determine whether local variation is warranted. Local initiatives and analyses are required to understand the reasons for the variation and to identify </w:t>
      </w:r>
      <w:r>
        <w:t>any</w:t>
      </w:r>
      <w:r w:rsidRPr="00601A89">
        <w:t xml:space="preserve"> variation that is unwarranted. This is why ROMDS </w:t>
      </w:r>
      <w:r>
        <w:t>has the</w:t>
      </w:r>
      <w:r w:rsidRPr="00601A89">
        <w:t xml:space="preserve"> support</w:t>
      </w:r>
      <w:r>
        <w:t xml:space="preserve"> of</w:t>
      </w:r>
      <w:r w:rsidRPr="00601A89">
        <w:t xml:space="preserve"> a governance and accountability structure that </w:t>
      </w:r>
      <w:r>
        <w:t>operates throughout the sector from</w:t>
      </w:r>
      <w:r w:rsidRPr="00601A89">
        <w:t xml:space="preserve"> national through to regional and local levels (see </w:t>
      </w:r>
      <w:r>
        <w:t>s</w:t>
      </w:r>
      <w:r w:rsidRPr="00601A89">
        <w:t xml:space="preserve">ection 6.2). The aim is to achieve the </w:t>
      </w:r>
      <w:r>
        <w:t>related</w:t>
      </w:r>
      <w:r w:rsidRPr="00601A89">
        <w:t xml:space="preserve"> prerequisite of a world-class radiation therapy service</w:t>
      </w:r>
      <w:r>
        <w:t>: to</w:t>
      </w:r>
      <w:r w:rsidRPr="00601A89">
        <w:t xml:space="preserve"> </w:t>
      </w:r>
      <w:r w:rsidRPr="00CD6FD0">
        <w:rPr>
          <w:b/>
        </w:rPr>
        <w:t>create an evaluation culture by providing robust measurement tools to support evidence-based</w:t>
      </w:r>
      <w:r>
        <w:rPr>
          <w:b/>
        </w:rPr>
        <w:t>, high-quality</w:t>
      </w:r>
      <w:r w:rsidRPr="00CD6FD0">
        <w:rPr>
          <w:b/>
        </w:rPr>
        <w:t xml:space="preserve"> practice</w:t>
      </w:r>
      <w:r w:rsidRPr="00803461">
        <w:t>.</w:t>
      </w:r>
    </w:p>
    <w:p w14:paraId="16D7814D" w14:textId="77777777" w:rsidR="00E85766" w:rsidRPr="00601A89" w:rsidRDefault="00E85766" w:rsidP="00562E8E"/>
    <w:p w14:paraId="648821F0" w14:textId="77777777" w:rsidR="00E85766" w:rsidRPr="00601A89" w:rsidRDefault="00E85766" w:rsidP="00562E8E">
      <w:r w:rsidRPr="00601A89">
        <w:t>The</w:t>
      </w:r>
      <w:r w:rsidRPr="00803461">
        <w:t xml:space="preserve"> </w:t>
      </w:r>
      <w:r w:rsidRPr="00601A89">
        <w:t xml:space="preserve">learnings of the </w:t>
      </w:r>
      <w:r>
        <w:t>Health Quality &amp; Safety Commission</w:t>
      </w:r>
      <w:r w:rsidRPr="00601A89">
        <w:t xml:space="preserve"> and</w:t>
      </w:r>
      <w:r>
        <w:t xml:space="preserve"> of</w:t>
      </w:r>
      <w:r w:rsidRPr="00601A89">
        <w:t xml:space="preserve"> existing national and regional clinical networks </w:t>
      </w:r>
      <w:r>
        <w:t xml:space="preserve">will inform the </w:t>
      </w:r>
      <w:r w:rsidRPr="00601A89">
        <w:t xml:space="preserve">approach to reducing unwarranted clinical variation </w:t>
      </w:r>
      <w:r>
        <w:t xml:space="preserve">that </w:t>
      </w:r>
      <w:r w:rsidRPr="00601A89">
        <w:t xml:space="preserve">the radiation oncology sector </w:t>
      </w:r>
      <w:r>
        <w:t>uses</w:t>
      </w:r>
      <w:r w:rsidRPr="00601A89">
        <w:t>.</w:t>
      </w:r>
    </w:p>
    <w:p w14:paraId="558AF284" w14:textId="77777777" w:rsidR="00E85766" w:rsidRPr="00601A89" w:rsidRDefault="00E85766" w:rsidP="00562E8E"/>
    <w:p w14:paraId="4E86953C" w14:textId="77777777" w:rsidR="00E85766" w:rsidRPr="00601A89" w:rsidRDefault="00E85766" w:rsidP="00562E8E">
      <w:pPr>
        <w:pStyle w:val="Heading4"/>
      </w:pPr>
      <w:r w:rsidRPr="00601A89">
        <w:t>Research</w:t>
      </w:r>
    </w:p>
    <w:p w14:paraId="1C17EC20" w14:textId="77777777" w:rsidR="00E85766" w:rsidRPr="00601A89" w:rsidRDefault="00E85766" w:rsidP="00562E8E">
      <w:r w:rsidRPr="00CD6FD0">
        <w:rPr>
          <w:b/>
        </w:rPr>
        <w:t>High</w:t>
      </w:r>
      <w:r>
        <w:rPr>
          <w:b/>
        </w:rPr>
        <w:t>-</w:t>
      </w:r>
      <w:r w:rsidRPr="00CD6FD0">
        <w:rPr>
          <w:b/>
        </w:rPr>
        <w:t xml:space="preserve">quality research and the transfer of research knowledge into practice </w:t>
      </w:r>
      <w:r w:rsidRPr="00601A89">
        <w:t xml:space="preserve">drive the evidence-based care noted above and </w:t>
      </w:r>
      <w:r>
        <w:t>form</w:t>
      </w:r>
      <w:r w:rsidRPr="00601A89">
        <w:t xml:space="preserve"> another prerequisite for deliver</w:t>
      </w:r>
      <w:r>
        <w:t>ing</w:t>
      </w:r>
      <w:r w:rsidRPr="00601A89">
        <w:t xml:space="preserve"> world</w:t>
      </w:r>
      <w:r>
        <w:t>-</w:t>
      </w:r>
      <w:r w:rsidRPr="00601A89">
        <w:t xml:space="preserve">class radiation therapy. Directly contributing to and participating in research is considered a marker of good practice. Nations with a reputation for delivering effective radiation oncology services </w:t>
      </w:r>
      <w:r>
        <w:t>–</w:t>
      </w:r>
      <w:r w:rsidRPr="00601A89">
        <w:t xml:space="preserve"> such as the Netherlands, Canada and Sweden </w:t>
      </w:r>
      <w:r>
        <w:t>–</w:t>
      </w:r>
      <w:r w:rsidRPr="00601A89">
        <w:t xml:space="preserve"> all </w:t>
      </w:r>
      <w:r>
        <w:t>conduct extensive</w:t>
      </w:r>
      <w:r w:rsidRPr="00601A89">
        <w:t xml:space="preserve"> research. This </w:t>
      </w:r>
      <w:r>
        <w:t xml:space="preserve">work </w:t>
      </w:r>
      <w:r w:rsidRPr="00601A89">
        <w:t xml:space="preserve">includes </w:t>
      </w:r>
      <w:r>
        <w:t>conducting many</w:t>
      </w:r>
      <w:r w:rsidRPr="00601A89">
        <w:t xml:space="preserve"> clinical trials and </w:t>
      </w:r>
      <w:r>
        <w:t xml:space="preserve">adopting any beneficial </w:t>
      </w:r>
      <w:r w:rsidRPr="00601A89">
        <w:t xml:space="preserve">learnings. </w:t>
      </w:r>
      <w:r>
        <w:t>When findings are</w:t>
      </w:r>
      <w:r w:rsidRPr="00601A89">
        <w:t xml:space="preserve"> translat</w:t>
      </w:r>
      <w:r>
        <w:t>ed</w:t>
      </w:r>
      <w:r w:rsidRPr="00601A89">
        <w:t xml:space="preserve"> into routine clinical practice</w:t>
      </w:r>
      <w:r>
        <w:t>, this</w:t>
      </w:r>
      <w:r w:rsidRPr="00601A89">
        <w:t xml:space="preserve"> in turn promotes inquiry, innovation, </w:t>
      </w:r>
      <w:r>
        <w:t xml:space="preserve">the spread of </w:t>
      </w:r>
      <w:r w:rsidRPr="00601A89">
        <w:t>knowledge and retention of staff.</w:t>
      </w:r>
    </w:p>
    <w:p w14:paraId="5CCA4C7C" w14:textId="77777777" w:rsidR="00E85766" w:rsidRPr="00601A89" w:rsidRDefault="00E85766" w:rsidP="00562E8E"/>
    <w:p w14:paraId="57E5081D" w14:textId="77777777" w:rsidR="00E85766" w:rsidRPr="00601A89" w:rsidRDefault="00E85766" w:rsidP="00562E8E">
      <w:pPr>
        <w:pStyle w:val="Heading4"/>
      </w:pPr>
      <w:r w:rsidRPr="00601A89">
        <w:t>Tripartite Radiation Oncology Practice Standards</w:t>
      </w:r>
    </w:p>
    <w:p w14:paraId="08751CED" w14:textId="77777777" w:rsidR="007A6454" w:rsidRDefault="00E85766" w:rsidP="00562E8E">
      <w:r w:rsidRPr="00601A89">
        <w:t xml:space="preserve">This </w:t>
      </w:r>
      <w:r>
        <w:t>P</w:t>
      </w:r>
      <w:r w:rsidRPr="00601A89">
        <w:t>lan recognises that implement</w:t>
      </w:r>
      <w:r>
        <w:t>ing</w:t>
      </w:r>
      <w:r w:rsidRPr="00601A89">
        <w:t xml:space="preserve"> mandatory standards of care can be an effective way of increasing safety and quality of care. In 2013 t</w:t>
      </w:r>
      <w:r>
        <w:t>he ROWG</w:t>
      </w:r>
      <w:r w:rsidRPr="00601A89">
        <w:t xml:space="preserve"> adapted the Tripartite Radiation Oncology Practice Standards</w:t>
      </w:r>
      <w:r>
        <w:t>,</w:t>
      </w:r>
      <w:r w:rsidRPr="00601A89">
        <w:t xml:space="preserve"> developed by the Royal Australian and New Zealand College of Radiologists</w:t>
      </w:r>
      <w:r>
        <w:t xml:space="preserve"> (Tripartite Committee 2008),</w:t>
      </w:r>
      <w:r w:rsidRPr="00601A89">
        <w:t xml:space="preserve"> for use in New Zealand. At this stage it is too early to recommend </w:t>
      </w:r>
      <w:r>
        <w:t>that those standards should be</w:t>
      </w:r>
      <w:r w:rsidRPr="00601A89">
        <w:t xml:space="preserve"> implement</w:t>
      </w:r>
      <w:r>
        <w:t>ed</w:t>
      </w:r>
      <w:r w:rsidRPr="00601A89">
        <w:t xml:space="preserve">, either partially or in full. Further investigation is </w:t>
      </w:r>
      <w:r>
        <w:t>needed</w:t>
      </w:r>
      <w:r w:rsidRPr="00601A89">
        <w:t xml:space="preserve"> to assess </w:t>
      </w:r>
      <w:r>
        <w:t>whether it is</w:t>
      </w:r>
      <w:r w:rsidRPr="00601A89">
        <w:t xml:space="preserve"> feasib</w:t>
      </w:r>
      <w:r>
        <w:t>le to implement them</w:t>
      </w:r>
      <w:r w:rsidRPr="00601A89">
        <w:t xml:space="preserve"> and </w:t>
      </w:r>
      <w:r>
        <w:t xml:space="preserve">what their </w:t>
      </w:r>
      <w:r w:rsidRPr="00601A89">
        <w:t xml:space="preserve">costing implications </w:t>
      </w:r>
      <w:r>
        <w:t>would be</w:t>
      </w:r>
      <w:r w:rsidRPr="00601A89">
        <w:t xml:space="preserve">. </w:t>
      </w:r>
      <w:r>
        <w:t>This Plan includes an</w:t>
      </w:r>
      <w:r w:rsidRPr="00601A89">
        <w:t xml:space="preserve"> action to review the standards by 2018 (see </w:t>
      </w:r>
      <w:r w:rsidRPr="00562E8E">
        <w:fldChar w:fldCharType="begin"/>
      </w:r>
      <w:r w:rsidRPr="00562E8E">
        <w:instrText xml:space="preserve"> REF _Ref453582643 \h </w:instrText>
      </w:r>
      <w:r w:rsidR="00562E8E" w:rsidRPr="00562E8E">
        <w:instrText xml:space="preserve"> \* MERGEFORMAT </w:instrText>
      </w:r>
      <w:r w:rsidRPr="00562E8E">
        <w:fldChar w:fldCharType="separate"/>
      </w:r>
      <w:r w:rsidR="00E2252F" w:rsidRPr="00601A89">
        <w:t>Table</w:t>
      </w:r>
      <w:r w:rsidR="00E2252F" w:rsidRPr="00E2252F">
        <w:rPr>
          <w:b/>
        </w:rPr>
        <w:t xml:space="preserve"> </w:t>
      </w:r>
      <w:r w:rsidR="00E2252F">
        <w:rPr>
          <w:noProof/>
        </w:rPr>
        <w:t>8</w:t>
      </w:r>
      <w:r w:rsidRPr="00562E8E">
        <w:fldChar w:fldCharType="end"/>
      </w:r>
      <w:r w:rsidRPr="00562E8E">
        <w:t xml:space="preserve"> in secti</w:t>
      </w:r>
      <w:r>
        <w:t>on</w:t>
      </w:r>
      <w:r w:rsidR="00562E8E">
        <w:t> </w:t>
      </w:r>
      <w:r>
        <w:t>6.2</w:t>
      </w:r>
      <w:r w:rsidRPr="00601A89">
        <w:t>).</w:t>
      </w:r>
    </w:p>
    <w:p w14:paraId="0FE36227" w14:textId="77777777" w:rsidR="00E85766" w:rsidRPr="00601A89" w:rsidRDefault="00E85766" w:rsidP="00562E8E"/>
    <w:p w14:paraId="21393289" w14:textId="77777777" w:rsidR="00E85766" w:rsidRPr="00601A89" w:rsidRDefault="00E85766" w:rsidP="00562E8E">
      <w:pPr>
        <w:pStyle w:val="Heading4"/>
      </w:pPr>
      <w:r w:rsidRPr="00601A89">
        <w:lastRenderedPageBreak/>
        <w:t>Patient experience</w:t>
      </w:r>
    </w:p>
    <w:p w14:paraId="2A54665F" w14:textId="77777777" w:rsidR="00562E8E" w:rsidRDefault="00E85766" w:rsidP="00562E8E">
      <w:pPr>
        <w:keepLines/>
      </w:pPr>
      <w:r w:rsidRPr="00601A89">
        <w:t xml:space="preserve">This </w:t>
      </w:r>
      <w:r>
        <w:t>P</w:t>
      </w:r>
      <w:r w:rsidRPr="00601A89">
        <w:t>lan recognises the importance of patient experience and patient</w:t>
      </w:r>
      <w:r>
        <w:t>-</w:t>
      </w:r>
      <w:r w:rsidRPr="00601A89">
        <w:t>centred care. Patient experience is an indicator of quality of care. The Health Quality &amp; Safety Commission</w:t>
      </w:r>
      <w:r>
        <w:t xml:space="preserve"> (HQSC)</w:t>
      </w:r>
      <w:r w:rsidRPr="00601A89">
        <w:t xml:space="preserve"> currently publishes summary indicators for adult inpatient experience and </w:t>
      </w:r>
      <w:r>
        <w:t>is</w:t>
      </w:r>
      <w:r w:rsidRPr="00601A89">
        <w:t xml:space="preserve"> developing measures </w:t>
      </w:r>
      <w:r>
        <w:t xml:space="preserve">of the experience of </w:t>
      </w:r>
      <w:r w:rsidRPr="00601A89">
        <w:t>primary care patient</w:t>
      </w:r>
      <w:r>
        <w:t>s</w:t>
      </w:r>
      <w:r w:rsidRPr="00601A89">
        <w:t xml:space="preserve">. </w:t>
      </w:r>
      <w:r>
        <w:t xml:space="preserve">Although this Plan does not include </w:t>
      </w:r>
      <w:r w:rsidRPr="00601A89">
        <w:t xml:space="preserve">metrics based on patient experience, </w:t>
      </w:r>
      <w:r>
        <w:t xml:space="preserve">an option is to </w:t>
      </w:r>
      <w:r w:rsidRPr="00601A89">
        <w:t>develop</w:t>
      </w:r>
      <w:r>
        <w:t xml:space="preserve"> them</w:t>
      </w:r>
      <w:r w:rsidRPr="00601A89">
        <w:t xml:space="preserve"> in future. </w:t>
      </w:r>
      <w:r>
        <w:t>Any p</w:t>
      </w:r>
      <w:r w:rsidRPr="00601A89">
        <w:t xml:space="preserve">atient experience metrics developed for radiation oncology should </w:t>
      </w:r>
      <w:r>
        <w:t>be consistent</w:t>
      </w:r>
      <w:r w:rsidRPr="00601A89">
        <w:t xml:space="preserve"> </w:t>
      </w:r>
      <w:r>
        <w:t>with the HQSC</w:t>
      </w:r>
      <w:r w:rsidR="007A6454">
        <w:t>’</w:t>
      </w:r>
      <w:r>
        <w:t xml:space="preserve">s </w:t>
      </w:r>
      <w:r w:rsidRPr="00601A89">
        <w:t>work</w:t>
      </w:r>
      <w:r>
        <w:t>.</w:t>
      </w:r>
    </w:p>
    <w:p w14:paraId="02E8119F" w14:textId="77777777" w:rsidR="00562E8E" w:rsidRDefault="00562E8E" w:rsidP="00562E8E"/>
    <w:p w14:paraId="1BF8C2B3" w14:textId="77777777" w:rsidR="00E85766" w:rsidRPr="00601A89" w:rsidRDefault="00562E8E" w:rsidP="00562E8E">
      <w:pPr>
        <w:pStyle w:val="Heading4"/>
      </w:pPr>
      <w:r>
        <w:t>P</w:t>
      </w:r>
      <w:r w:rsidR="00E85766" w:rsidRPr="00601A89">
        <w:t>riority 2: Actions – Roadmap</w:t>
      </w:r>
    </w:p>
    <w:p w14:paraId="315220E0" w14:textId="77777777" w:rsidR="00E85766" w:rsidRPr="00601A89" w:rsidRDefault="00E85766" w:rsidP="00562E8E">
      <w:r>
        <w:fldChar w:fldCharType="begin"/>
      </w:r>
      <w:r>
        <w:instrText xml:space="preserve"> REF _Ref470858607 \h </w:instrText>
      </w:r>
      <w:r>
        <w:fldChar w:fldCharType="separate"/>
      </w:r>
      <w:r w:rsidR="00E2252F">
        <w:t xml:space="preserve">Table </w:t>
      </w:r>
      <w:r w:rsidR="00E2252F">
        <w:rPr>
          <w:noProof/>
        </w:rPr>
        <w:t>5</w:t>
      </w:r>
      <w:r>
        <w:fldChar w:fldCharType="end"/>
      </w:r>
      <w:r>
        <w:t xml:space="preserve"> lists the </w:t>
      </w:r>
      <w:r w:rsidRPr="00601A89">
        <w:t>actions planned to enhance enquiry into variation in clinical practice and improve</w:t>
      </w:r>
      <w:r>
        <w:t xml:space="preserve"> safety and effectiveness i</w:t>
      </w:r>
      <w:r w:rsidRPr="00601A89">
        <w:t>n line with Government priorities</w:t>
      </w:r>
      <w:r>
        <w:t>.</w:t>
      </w:r>
    </w:p>
    <w:p w14:paraId="36C405AC" w14:textId="77777777" w:rsidR="00E85766" w:rsidRDefault="00E85766" w:rsidP="00562E8E"/>
    <w:p w14:paraId="191A583A" w14:textId="77777777" w:rsidR="00E85766" w:rsidRPr="00601A89" w:rsidRDefault="00E85766" w:rsidP="00562E8E">
      <w:pPr>
        <w:pStyle w:val="Table"/>
      </w:pPr>
      <w:bookmarkStart w:id="72" w:name="_Ref470858607"/>
      <w:bookmarkStart w:id="73" w:name="_Toc475954095"/>
      <w:r>
        <w:t xml:space="preserve">Table </w:t>
      </w:r>
      <w:r w:rsidR="003B40AB">
        <w:fldChar w:fldCharType="begin"/>
      </w:r>
      <w:r w:rsidR="003B40AB">
        <w:instrText xml:space="preserve"> SEQ Table \* ARABIC </w:instrText>
      </w:r>
      <w:r w:rsidR="003B40AB">
        <w:fldChar w:fldCharType="separate"/>
      </w:r>
      <w:r w:rsidR="00E2252F">
        <w:rPr>
          <w:noProof/>
        </w:rPr>
        <w:t>5</w:t>
      </w:r>
      <w:r w:rsidR="003B40AB">
        <w:rPr>
          <w:noProof/>
        </w:rPr>
        <w:fldChar w:fldCharType="end"/>
      </w:r>
      <w:bookmarkEnd w:id="72"/>
      <w:r>
        <w:t>: Actions to make radiation oncology services safe and effective</w:t>
      </w:r>
      <w:bookmarkEnd w:id="73"/>
    </w:p>
    <w:tbl>
      <w:tblPr>
        <w:tblW w:w="9356"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26"/>
        <w:gridCol w:w="2976"/>
        <w:gridCol w:w="4820"/>
        <w:gridCol w:w="1134"/>
      </w:tblGrid>
      <w:tr w:rsidR="00E85766" w:rsidRPr="00562E8E" w14:paraId="61AB2521" w14:textId="77777777" w:rsidTr="00562E8E">
        <w:trPr>
          <w:cantSplit/>
        </w:trPr>
        <w:tc>
          <w:tcPr>
            <w:tcW w:w="426" w:type="dxa"/>
            <w:tcBorders>
              <w:top w:val="single" w:sz="4" w:space="0" w:color="auto"/>
              <w:bottom w:val="single" w:sz="4" w:space="0" w:color="auto"/>
            </w:tcBorders>
            <w:shd w:val="clear" w:color="auto" w:fill="auto"/>
          </w:tcPr>
          <w:p w14:paraId="22B75A27" w14:textId="77777777" w:rsidR="00E85766" w:rsidRPr="00562E8E" w:rsidRDefault="00E85766" w:rsidP="00562E8E">
            <w:pPr>
              <w:pStyle w:val="TableText"/>
              <w:rPr>
                <w:b/>
                <w:lang w:eastAsia="en-NZ"/>
              </w:rPr>
            </w:pPr>
          </w:p>
        </w:tc>
        <w:tc>
          <w:tcPr>
            <w:tcW w:w="2976" w:type="dxa"/>
            <w:tcBorders>
              <w:top w:val="single" w:sz="4" w:space="0" w:color="auto"/>
              <w:bottom w:val="single" w:sz="4" w:space="0" w:color="auto"/>
            </w:tcBorders>
            <w:shd w:val="clear" w:color="auto" w:fill="auto"/>
          </w:tcPr>
          <w:p w14:paraId="6F0A3CAB" w14:textId="77777777" w:rsidR="00E85766" w:rsidRPr="00562E8E" w:rsidRDefault="00E85766" w:rsidP="00562E8E">
            <w:pPr>
              <w:pStyle w:val="TableText"/>
              <w:ind w:right="142"/>
              <w:rPr>
                <w:b/>
                <w:lang w:eastAsia="en-NZ"/>
              </w:rPr>
            </w:pPr>
            <w:r w:rsidRPr="00562E8E">
              <w:rPr>
                <w:b/>
                <w:lang w:eastAsia="en-NZ"/>
              </w:rPr>
              <w:t>Action</w:t>
            </w:r>
          </w:p>
        </w:tc>
        <w:tc>
          <w:tcPr>
            <w:tcW w:w="4820" w:type="dxa"/>
            <w:tcBorders>
              <w:top w:val="single" w:sz="4" w:space="0" w:color="auto"/>
              <w:bottom w:val="single" w:sz="4" w:space="0" w:color="auto"/>
            </w:tcBorders>
            <w:shd w:val="clear" w:color="auto" w:fill="auto"/>
          </w:tcPr>
          <w:p w14:paraId="76C6564B" w14:textId="77777777" w:rsidR="00E85766" w:rsidRPr="00562E8E" w:rsidRDefault="00E85766" w:rsidP="00562E8E">
            <w:pPr>
              <w:pStyle w:val="TableText"/>
              <w:ind w:right="142"/>
              <w:rPr>
                <w:b/>
                <w:lang w:eastAsia="en-NZ"/>
              </w:rPr>
            </w:pPr>
            <w:r w:rsidRPr="00562E8E">
              <w:rPr>
                <w:b/>
                <w:lang w:eastAsia="en-NZ"/>
              </w:rPr>
              <w:t>Who is involved</w:t>
            </w:r>
          </w:p>
        </w:tc>
        <w:tc>
          <w:tcPr>
            <w:tcW w:w="1134" w:type="dxa"/>
            <w:tcBorders>
              <w:top w:val="single" w:sz="4" w:space="0" w:color="auto"/>
              <w:bottom w:val="single" w:sz="4" w:space="0" w:color="auto"/>
            </w:tcBorders>
            <w:shd w:val="clear" w:color="auto" w:fill="auto"/>
          </w:tcPr>
          <w:p w14:paraId="31E963EC" w14:textId="77777777" w:rsidR="00E85766" w:rsidRPr="00562E8E" w:rsidRDefault="00E85766" w:rsidP="00562E8E">
            <w:pPr>
              <w:pStyle w:val="TableText"/>
              <w:rPr>
                <w:b/>
                <w:lang w:eastAsia="en-NZ"/>
              </w:rPr>
            </w:pPr>
            <w:r w:rsidRPr="00562E8E">
              <w:rPr>
                <w:b/>
                <w:lang w:eastAsia="en-NZ"/>
              </w:rPr>
              <w:t>By when</w:t>
            </w:r>
          </w:p>
        </w:tc>
      </w:tr>
      <w:tr w:rsidR="00562E8E" w:rsidRPr="00601A89" w14:paraId="45E582C6" w14:textId="77777777" w:rsidTr="00AC0924">
        <w:trPr>
          <w:cantSplit/>
        </w:trPr>
        <w:tc>
          <w:tcPr>
            <w:tcW w:w="426" w:type="dxa"/>
            <w:vMerge w:val="restart"/>
            <w:tcBorders>
              <w:top w:val="single" w:sz="4" w:space="0" w:color="auto"/>
            </w:tcBorders>
            <w:shd w:val="clear" w:color="auto" w:fill="auto"/>
          </w:tcPr>
          <w:p w14:paraId="7DBC5F5E" w14:textId="77777777" w:rsidR="00562E8E" w:rsidRPr="00601A89" w:rsidRDefault="00562E8E" w:rsidP="00562E8E">
            <w:pPr>
              <w:pStyle w:val="TableText"/>
            </w:pPr>
            <w:r w:rsidRPr="00601A89">
              <w:t>2.1</w:t>
            </w:r>
          </w:p>
        </w:tc>
        <w:tc>
          <w:tcPr>
            <w:tcW w:w="2976" w:type="dxa"/>
            <w:vMerge w:val="restart"/>
            <w:tcBorders>
              <w:top w:val="single" w:sz="4" w:space="0" w:color="auto"/>
            </w:tcBorders>
            <w:shd w:val="clear" w:color="auto" w:fill="auto"/>
            <w:noWrap/>
          </w:tcPr>
          <w:p w14:paraId="3EA38712" w14:textId="77777777" w:rsidR="00562E8E" w:rsidRPr="00601A89" w:rsidRDefault="00562E8E" w:rsidP="00562E8E">
            <w:pPr>
              <w:pStyle w:val="TableText"/>
              <w:ind w:right="142"/>
              <w:rPr>
                <w:color w:val="000000"/>
                <w:lang w:eastAsia="en-NZ"/>
              </w:rPr>
            </w:pPr>
            <w:r w:rsidRPr="00601A89">
              <w:t xml:space="preserve">Support the </w:t>
            </w:r>
            <w:r>
              <w:t>continued</w:t>
            </w:r>
            <w:r w:rsidRPr="00601A89">
              <w:t xml:space="preserve"> development of a quality improvement culture within the radiation oncology sector</w:t>
            </w:r>
            <w:r>
              <w:t xml:space="preserve"> by implementing</w:t>
            </w:r>
            <w:r w:rsidRPr="00601A89">
              <w:t xml:space="preserve"> a nation</w:t>
            </w:r>
            <w:r>
              <w:t>wide clinical governance system</w:t>
            </w:r>
          </w:p>
        </w:tc>
        <w:tc>
          <w:tcPr>
            <w:tcW w:w="4820" w:type="dxa"/>
            <w:tcBorders>
              <w:top w:val="single" w:sz="4" w:space="0" w:color="auto"/>
              <w:bottom w:val="nil"/>
            </w:tcBorders>
            <w:shd w:val="clear" w:color="auto" w:fill="auto"/>
            <w:noWrap/>
          </w:tcPr>
          <w:p w14:paraId="22818300" w14:textId="77777777" w:rsidR="00562E8E" w:rsidRPr="00601A89" w:rsidRDefault="00562E8E" w:rsidP="00562E8E">
            <w:pPr>
              <w:pStyle w:val="TableText"/>
              <w:ind w:right="142"/>
              <w:rPr>
                <w:color w:val="000000"/>
                <w:lang w:eastAsia="en-NZ"/>
              </w:rPr>
            </w:pPr>
            <w:r w:rsidRPr="00601A89">
              <w:rPr>
                <w:color w:val="000000"/>
                <w:lang w:eastAsia="en-NZ"/>
              </w:rPr>
              <w:t>The Ministry will review the terms of reference, membership and resourcing of ROWG to ensure appropriateness for the clinical governance function</w:t>
            </w:r>
            <w:r>
              <w:rPr>
                <w:color w:val="000000"/>
                <w:lang w:eastAsia="en-NZ"/>
              </w:rPr>
              <w:t>.</w:t>
            </w:r>
          </w:p>
        </w:tc>
        <w:tc>
          <w:tcPr>
            <w:tcW w:w="1134" w:type="dxa"/>
            <w:tcBorders>
              <w:top w:val="single" w:sz="4" w:space="0" w:color="auto"/>
              <w:bottom w:val="nil"/>
            </w:tcBorders>
            <w:shd w:val="clear" w:color="auto" w:fill="auto"/>
          </w:tcPr>
          <w:p w14:paraId="5D8B5916" w14:textId="77777777" w:rsidR="00562E8E" w:rsidRPr="00601A89" w:rsidRDefault="00562E8E" w:rsidP="00562E8E">
            <w:pPr>
              <w:pStyle w:val="TableText"/>
              <w:rPr>
                <w:color w:val="000000"/>
                <w:lang w:eastAsia="en-NZ"/>
              </w:rPr>
            </w:pPr>
            <w:r w:rsidRPr="00601A89">
              <w:rPr>
                <w:color w:val="000000"/>
                <w:lang w:eastAsia="en-NZ"/>
              </w:rPr>
              <w:t>2017</w:t>
            </w:r>
          </w:p>
        </w:tc>
      </w:tr>
      <w:tr w:rsidR="00562E8E" w:rsidRPr="00601A89" w14:paraId="2520CC48" w14:textId="77777777" w:rsidTr="00562E8E">
        <w:trPr>
          <w:cantSplit/>
        </w:trPr>
        <w:tc>
          <w:tcPr>
            <w:tcW w:w="426" w:type="dxa"/>
            <w:vMerge/>
            <w:tcBorders>
              <w:bottom w:val="single" w:sz="4" w:space="0" w:color="A6A6A6" w:themeColor="background1" w:themeShade="A6"/>
            </w:tcBorders>
            <w:shd w:val="clear" w:color="auto" w:fill="auto"/>
          </w:tcPr>
          <w:p w14:paraId="10D6C158" w14:textId="77777777" w:rsidR="00562E8E" w:rsidRPr="00601A89" w:rsidRDefault="00562E8E" w:rsidP="00562E8E">
            <w:pPr>
              <w:pStyle w:val="TableText"/>
            </w:pPr>
          </w:p>
        </w:tc>
        <w:tc>
          <w:tcPr>
            <w:tcW w:w="2976" w:type="dxa"/>
            <w:vMerge/>
            <w:tcBorders>
              <w:bottom w:val="single" w:sz="4" w:space="0" w:color="A6A6A6" w:themeColor="background1" w:themeShade="A6"/>
            </w:tcBorders>
            <w:shd w:val="clear" w:color="auto" w:fill="auto"/>
            <w:noWrap/>
          </w:tcPr>
          <w:p w14:paraId="19C41786" w14:textId="77777777" w:rsidR="00562E8E" w:rsidRPr="00601A89" w:rsidRDefault="00562E8E" w:rsidP="00562E8E">
            <w:pPr>
              <w:pStyle w:val="TableText"/>
              <w:ind w:right="142"/>
            </w:pPr>
          </w:p>
        </w:tc>
        <w:tc>
          <w:tcPr>
            <w:tcW w:w="4820" w:type="dxa"/>
            <w:tcBorders>
              <w:top w:val="nil"/>
              <w:bottom w:val="single" w:sz="4" w:space="0" w:color="A6A6A6" w:themeColor="background1" w:themeShade="A6"/>
            </w:tcBorders>
            <w:shd w:val="clear" w:color="auto" w:fill="auto"/>
            <w:noWrap/>
          </w:tcPr>
          <w:p w14:paraId="12C73F42" w14:textId="77777777" w:rsidR="00562E8E" w:rsidRPr="00601A89" w:rsidRDefault="00562E8E" w:rsidP="00562E8E">
            <w:pPr>
              <w:pStyle w:val="TableText"/>
              <w:ind w:right="142"/>
              <w:rPr>
                <w:color w:val="000000"/>
                <w:lang w:eastAsia="en-NZ"/>
              </w:rPr>
            </w:pPr>
            <w:r w:rsidRPr="00601A89">
              <w:rPr>
                <w:color w:val="000000"/>
                <w:lang w:eastAsia="en-NZ"/>
              </w:rPr>
              <w:t xml:space="preserve">The Ministry will appoint a clinical governance group with the required capabilities (see </w:t>
            </w:r>
            <w:r>
              <w:rPr>
                <w:color w:val="000000"/>
                <w:lang w:eastAsia="en-NZ"/>
              </w:rPr>
              <w:t>s</w:t>
            </w:r>
            <w:r w:rsidRPr="00601A89">
              <w:rPr>
                <w:color w:val="000000"/>
                <w:lang w:eastAsia="en-NZ"/>
              </w:rPr>
              <w:t xml:space="preserve">ection 6.2 for </w:t>
            </w:r>
            <w:r>
              <w:rPr>
                <w:color w:val="000000"/>
                <w:lang w:eastAsia="en-NZ"/>
              </w:rPr>
              <w:t xml:space="preserve">more </w:t>
            </w:r>
            <w:r w:rsidRPr="00601A89">
              <w:rPr>
                <w:color w:val="000000"/>
                <w:lang w:eastAsia="en-NZ"/>
              </w:rPr>
              <w:t>detail)</w:t>
            </w:r>
            <w:r>
              <w:rPr>
                <w:color w:val="000000"/>
                <w:lang w:eastAsia="en-NZ"/>
              </w:rPr>
              <w:t>.</w:t>
            </w:r>
          </w:p>
        </w:tc>
        <w:tc>
          <w:tcPr>
            <w:tcW w:w="1134" w:type="dxa"/>
            <w:tcBorders>
              <w:top w:val="nil"/>
              <w:bottom w:val="single" w:sz="4" w:space="0" w:color="A6A6A6" w:themeColor="background1" w:themeShade="A6"/>
            </w:tcBorders>
            <w:shd w:val="clear" w:color="auto" w:fill="auto"/>
          </w:tcPr>
          <w:p w14:paraId="00D276B6" w14:textId="77777777" w:rsidR="00562E8E" w:rsidRPr="00601A89" w:rsidRDefault="00562E8E" w:rsidP="00562E8E">
            <w:pPr>
              <w:pStyle w:val="TableText"/>
              <w:rPr>
                <w:color w:val="000000"/>
                <w:lang w:eastAsia="en-NZ"/>
              </w:rPr>
            </w:pPr>
            <w:r>
              <w:rPr>
                <w:color w:val="000000"/>
                <w:lang w:eastAsia="en-NZ"/>
              </w:rPr>
              <w:t>2017</w:t>
            </w:r>
          </w:p>
        </w:tc>
      </w:tr>
      <w:tr w:rsidR="00E85766" w:rsidRPr="00601A89" w14:paraId="397B18ED" w14:textId="77777777" w:rsidTr="00562E8E">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7649A76B" w14:textId="77777777" w:rsidR="00E85766" w:rsidRPr="00601A89" w:rsidRDefault="00E85766" w:rsidP="00562E8E">
            <w:pPr>
              <w:pStyle w:val="TableText"/>
            </w:pPr>
            <w:r w:rsidRPr="00601A89">
              <w:t>2.2</w:t>
            </w:r>
          </w:p>
        </w:tc>
        <w:tc>
          <w:tcPr>
            <w:tcW w:w="2976" w:type="dxa"/>
            <w:tcBorders>
              <w:top w:val="single" w:sz="4" w:space="0" w:color="A6A6A6" w:themeColor="background1" w:themeShade="A6"/>
              <w:bottom w:val="single" w:sz="4" w:space="0" w:color="A6A6A6" w:themeColor="background1" w:themeShade="A6"/>
            </w:tcBorders>
            <w:shd w:val="clear" w:color="auto" w:fill="auto"/>
            <w:noWrap/>
          </w:tcPr>
          <w:p w14:paraId="02A8A13C" w14:textId="77777777" w:rsidR="00E85766" w:rsidRPr="00601A89" w:rsidRDefault="00E85766" w:rsidP="00562E8E">
            <w:pPr>
              <w:pStyle w:val="TableText"/>
              <w:ind w:right="142"/>
            </w:pPr>
            <w:r w:rsidRPr="00601A89">
              <w:t>ROWG</w:t>
            </w:r>
            <w:r>
              <w:t>, with</w:t>
            </w:r>
            <w:r w:rsidRPr="00601A89">
              <w:t xml:space="preserve"> support and resource</w:t>
            </w:r>
            <w:r>
              <w:t>s from</w:t>
            </w:r>
            <w:r w:rsidRPr="00601A89">
              <w:t xml:space="preserve"> the Ministry</w:t>
            </w:r>
            <w:r>
              <w:t xml:space="preserve">, will </w:t>
            </w:r>
            <w:r w:rsidRPr="00601A89">
              <w:t>provide national leadership and promote system-wide improvements</w:t>
            </w:r>
          </w:p>
        </w:tc>
        <w:tc>
          <w:tcPr>
            <w:tcW w:w="4820" w:type="dxa"/>
            <w:tcBorders>
              <w:top w:val="single" w:sz="4" w:space="0" w:color="A6A6A6" w:themeColor="background1" w:themeShade="A6"/>
              <w:bottom w:val="single" w:sz="4" w:space="0" w:color="A6A6A6" w:themeColor="background1" w:themeShade="A6"/>
            </w:tcBorders>
            <w:shd w:val="clear" w:color="auto" w:fill="auto"/>
            <w:noWrap/>
          </w:tcPr>
          <w:p w14:paraId="1A3E1F24" w14:textId="77777777" w:rsidR="00E85766" w:rsidRPr="00601A89" w:rsidRDefault="00E85766" w:rsidP="00562E8E">
            <w:pPr>
              <w:pStyle w:val="TableText"/>
              <w:ind w:right="142"/>
              <w:rPr>
                <w:color w:val="000000"/>
                <w:lang w:eastAsia="en-NZ"/>
              </w:rPr>
            </w:pPr>
            <w:r w:rsidRPr="00601A89">
              <w:rPr>
                <w:color w:val="000000"/>
                <w:lang w:eastAsia="en-NZ"/>
              </w:rPr>
              <w:t xml:space="preserve">The Ministry will review the terms of reference, membership and resourcing of ROWG to ensure </w:t>
            </w:r>
            <w:r>
              <w:rPr>
                <w:color w:val="000000"/>
                <w:lang w:eastAsia="en-NZ"/>
              </w:rPr>
              <w:t xml:space="preserve">they are </w:t>
            </w:r>
            <w:r w:rsidRPr="00601A89">
              <w:rPr>
                <w:color w:val="000000"/>
                <w:lang w:eastAsia="en-NZ"/>
              </w:rPr>
              <w:t xml:space="preserve">appropriate for </w:t>
            </w:r>
            <w:r>
              <w:rPr>
                <w:color w:val="000000"/>
                <w:lang w:eastAsia="en-NZ"/>
              </w:rPr>
              <w:t xml:space="preserve">it to provide </w:t>
            </w:r>
            <w:r w:rsidRPr="00601A89">
              <w:rPr>
                <w:color w:val="000000"/>
                <w:lang w:eastAsia="en-NZ"/>
              </w:rPr>
              <w:t>clinical governance</w:t>
            </w:r>
            <w:r w:rsidR="00562E8E">
              <w:rPr>
                <w:color w:val="000000"/>
                <w:lang w:eastAsia="en-NZ"/>
              </w:rPr>
              <w:t>.</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5C3D5F3A" w14:textId="77777777" w:rsidR="00E85766" w:rsidRPr="00601A89" w:rsidRDefault="00E85766" w:rsidP="00562E8E">
            <w:pPr>
              <w:pStyle w:val="TableText"/>
              <w:rPr>
                <w:color w:val="000000"/>
                <w:lang w:eastAsia="en-NZ"/>
              </w:rPr>
            </w:pPr>
            <w:r w:rsidRPr="00601A89">
              <w:rPr>
                <w:color w:val="000000"/>
                <w:lang w:eastAsia="en-NZ"/>
              </w:rPr>
              <w:t>2017</w:t>
            </w:r>
          </w:p>
        </w:tc>
      </w:tr>
      <w:tr w:rsidR="00E85766" w:rsidRPr="00601A89" w14:paraId="22955CF6" w14:textId="77777777" w:rsidTr="00562E8E">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4278024E" w14:textId="77777777" w:rsidR="00E85766" w:rsidRPr="00601A89" w:rsidRDefault="00E85766" w:rsidP="00562E8E">
            <w:pPr>
              <w:pStyle w:val="TableText"/>
            </w:pPr>
            <w:r w:rsidRPr="00601A89">
              <w:t>2.3</w:t>
            </w:r>
          </w:p>
        </w:tc>
        <w:tc>
          <w:tcPr>
            <w:tcW w:w="2976" w:type="dxa"/>
            <w:tcBorders>
              <w:top w:val="single" w:sz="4" w:space="0" w:color="A6A6A6" w:themeColor="background1" w:themeShade="A6"/>
              <w:bottom w:val="single" w:sz="4" w:space="0" w:color="A6A6A6" w:themeColor="background1" w:themeShade="A6"/>
            </w:tcBorders>
            <w:shd w:val="clear" w:color="auto" w:fill="auto"/>
            <w:noWrap/>
          </w:tcPr>
          <w:p w14:paraId="10FD4BBF" w14:textId="77777777" w:rsidR="00E85766" w:rsidRPr="00601A89" w:rsidRDefault="00E85766" w:rsidP="00562E8E">
            <w:pPr>
              <w:pStyle w:val="TableText"/>
              <w:ind w:right="142"/>
            </w:pPr>
            <w:r w:rsidRPr="00601A89">
              <w:t xml:space="preserve">Develop and implement a process for managing unwarranted variation, informed by the learnings of the </w:t>
            </w:r>
            <w:r>
              <w:t>Health Quality &amp; Safety Commission</w:t>
            </w:r>
            <w:r w:rsidRPr="00601A89">
              <w:t xml:space="preserve"> and national and regional clinical networks</w:t>
            </w:r>
          </w:p>
        </w:tc>
        <w:tc>
          <w:tcPr>
            <w:tcW w:w="4820" w:type="dxa"/>
            <w:tcBorders>
              <w:top w:val="single" w:sz="4" w:space="0" w:color="A6A6A6" w:themeColor="background1" w:themeShade="A6"/>
              <w:bottom w:val="single" w:sz="4" w:space="0" w:color="A6A6A6" w:themeColor="background1" w:themeShade="A6"/>
            </w:tcBorders>
            <w:shd w:val="clear" w:color="auto" w:fill="auto"/>
            <w:noWrap/>
          </w:tcPr>
          <w:p w14:paraId="604F96F5" w14:textId="77777777" w:rsidR="00E85766" w:rsidRPr="00601A89" w:rsidRDefault="00E85766" w:rsidP="00562E8E">
            <w:pPr>
              <w:pStyle w:val="TableText"/>
              <w:ind w:right="142"/>
              <w:rPr>
                <w:color w:val="000000"/>
                <w:lang w:eastAsia="en-NZ"/>
              </w:rPr>
            </w:pPr>
            <w:r>
              <w:rPr>
                <w:color w:val="000000"/>
                <w:lang w:eastAsia="en-NZ"/>
              </w:rPr>
              <w:t>This Plan includes</w:t>
            </w:r>
            <w:r w:rsidRPr="00601A89">
              <w:rPr>
                <w:color w:val="000000"/>
                <w:lang w:eastAsia="en-NZ"/>
              </w:rPr>
              <w:t xml:space="preserve"> </w:t>
            </w:r>
            <w:r>
              <w:rPr>
                <w:color w:val="000000"/>
                <w:lang w:eastAsia="en-NZ"/>
              </w:rPr>
              <w:t>actions</w:t>
            </w:r>
            <w:r w:rsidRPr="00601A89">
              <w:rPr>
                <w:color w:val="000000"/>
                <w:lang w:eastAsia="en-NZ"/>
              </w:rPr>
              <w:t xml:space="preserve"> to implement a process for managing unwarranted variation. This is expected to be </w:t>
            </w:r>
            <w:r>
              <w:rPr>
                <w:color w:val="000000"/>
                <w:lang w:eastAsia="en-NZ"/>
              </w:rPr>
              <w:t>in place</w:t>
            </w:r>
            <w:r w:rsidRPr="00601A89">
              <w:rPr>
                <w:color w:val="000000"/>
                <w:lang w:eastAsia="en-NZ"/>
              </w:rPr>
              <w:t xml:space="preserve"> by December 2017. </w:t>
            </w:r>
            <w:r>
              <w:rPr>
                <w:color w:val="000000"/>
                <w:lang w:eastAsia="en-NZ"/>
              </w:rPr>
              <w:t>For m</w:t>
            </w:r>
            <w:r w:rsidRPr="00601A89">
              <w:rPr>
                <w:color w:val="000000"/>
                <w:lang w:eastAsia="en-NZ"/>
              </w:rPr>
              <w:t>ore information</w:t>
            </w:r>
            <w:r>
              <w:rPr>
                <w:color w:val="000000"/>
                <w:lang w:eastAsia="en-NZ"/>
              </w:rPr>
              <w:t>, see</w:t>
            </w:r>
            <w:r w:rsidRPr="00601A89">
              <w:rPr>
                <w:color w:val="000000"/>
                <w:lang w:eastAsia="en-NZ"/>
              </w:rPr>
              <w:t xml:space="preserve"> </w:t>
            </w:r>
            <w:r>
              <w:rPr>
                <w:color w:val="000000"/>
                <w:lang w:eastAsia="en-NZ"/>
              </w:rPr>
              <w:t>s</w:t>
            </w:r>
            <w:r w:rsidRPr="00601A89">
              <w:rPr>
                <w:color w:val="000000"/>
                <w:lang w:eastAsia="en-NZ"/>
              </w:rPr>
              <w:t>ection 6.1</w:t>
            </w:r>
            <w:r w:rsidR="00562E8E">
              <w:rPr>
                <w:color w:val="000000"/>
                <w:lang w:eastAsia="en-NZ"/>
              </w:rPr>
              <w:t>.</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685F1429" w14:textId="77777777" w:rsidR="00E85766" w:rsidRPr="00601A89" w:rsidRDefault="00E85766" w:rsidP="00562E8E">
            <w:pPr>
              <w:pStyle w:val="TableText"/>
              <w:rPr>
                <w:color w:val="000000"/>
                <w:lang w:eastAsia="en-NZ"/>
              </w:rPr>
            </w:pPr>
            <w:r w:rsidRPr="00601A89">
              <w:rPr>
                <w:color w:val="000000"/>
                <w:lang w:eastAsia="en-NZ"/>
              </w:rPr>
              <w:t>2017</w:t>
            </w:r>
          </w:p>
        </w:tc>
      </w:tr>
      <w:tr w:rsidR="00E85766" w:rsidRPr="00601A89" w14:paraId="67E2DA19" w14:textId="77777777" w:rsidTr="00562E8E">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571C0AB4" w14:textId="77777777" w:rsidR="00E85766" w:rsidRPr="00601A89" w:rsidRDefault="00E85766" w:rsidP="00562E8E">
            <w:pPr>
              <w:pStyle w:val="TableText"/>
            </w:pPr>
            <w:r w:rsidRPr="00601A89">
              <w:t>2.4</w:t>
            </w:r>
          </w:p>
        </w:tc>
        <w:tc>
          <w:tcPr>
            <w:tcW w:w="2976" w:type="dxa"/>
            <w:tcBorders>
              <w:top w:val="single" w:sz="4" w:space="0" w:color="A6A6A6" w:themeColor="background1" w:themeShade="A6"/>
              <w:bottom w:val="single" w:sz="4" w:space="0" w:color="A6A6A6" w:themeColor="background1" w:themeShade="A6"/>
            </w:tcBorders>
            <w:shd w:val="clear" w:color="auto" w:fill="auto"/>
            <w:noWrap/>
          </w:tcPr>
          <w:p w14:paraId="69D38437" w14:textId="77777777" w:rsidR="00E85766" w:rsidRPr="00601A89" w:rsidRDefault="00E85766" w:rsidP="00562E8E">
            <w:pPr>
              <w:pStyle w:val="TableText"/>
              <w:ind w:right="142"/>
            </w:pPr>
            <w:r w:rsidRPr="00601A89">
              <w:t xml:space="preserve">Develop and implement a system to support the </w:t>
            </w:r>
            <w:r>
              <w:t xml:space="preserve">whole </w:t>
            </w:r>
            <w:r w:rsidRPr="00601A89">
              <w:t>radiation oncology</w:t>
            </w:r>
            <w:r>
              <w:t xml:space="preserve"> sector to</w:t>
            </w:r>
            <w:r w:rsidRPr="00601A89">
              <w:t xml:space="preserve"> identif</w:t>
            </w:r>
            <w:r>
              <w:t>y</w:t>
            </w:r>
            <w:r w:rsidRPr="00601A89">
              <w:t>, spread and adopt performance improvement innovations and evidence-based best practice</w:t>
            </w:r>
          </w:p>
        </w:tc>
        <w:tc>
          <w:tcPr>
            <w:tcW w:w="4820" w:type="dxa"/>
            <w:tcBorders>
              <w:top w:val="single" w:sz="4" w:space="0" w:color="A6A6A6" w:themeColor="background1" w:themeShade="A6"/>
              <w:bottom w:val="single" w:sz="4" w:space="0" w:color="A6A6A6" w:themeColor="background1" w:themeShade="A6"/>
            </w:tcBorders>
            <w:shd w:val="clear" w:color="auto" w:fill="auto"/>
            <w:noWrap/>
          </w:tcPr>
          <w:p w14:paraId="7284103D" w14:textId="77777777" w:rsidR="00E85766" w:rsidRPr="00601A89" w:rsidRDefault="00E85766" w:rsidP="00562E8E">
            <w:pPr>
              <w:pStyle w:val="TableText"/>
              <w:ind w:right="142"/>
              <w:rPr>
                <w:color w:val="000000"/>
                <w:lang w:eastAsia="en-NZ"/>
              </w:rPr>
            </w:pPr>
            <w:r w:rsidRPr="00601A89">
              <w:rPr>
                <w:color w:val="000000"/>
                <w:lang w:eastAsia="en-NZ"/>
              </w:rPr>
              <w:t xml:space="preserve">ROWG will work with RCNs as the vehicle to identify, adopt and spread innovations </w:t>
            </w:r>
            <w:r>
              <w:rPr>
                <w:color w:val="000000"/>
                <w:lang w:eastAsia="en-NZ"/>
              </w:rPr>
              <w:t xml:space="preserve">that improve </w:t>
            </w:r>
            <w:r w:rsidRPr="00601A89">
              <w:rPr>
                <w:color w:val="000000"/>
                <w:lang w:eastAsia="en-NZ"/>
              </w:rPr>
              <w:t xml:space="preserve">performance. This </w:t>
            </w:r>
            <w:r>
              <w:rPr>
                <w:color w:val="000000"/>
                <w:lang w:eastAsia="en-NZ"/>
              </w:rPr>
              <w:t xml:space="preserve">work </w:t>
            </w:r>
            <w:r w:rsidRPr="00601A89">
              <w:rPr>
                <w:color w:val="000000"/>
                <w:lang w:eastAsia="en-NZ"/>
              </w:rPr>
              <w:t>will include:</w:t>
            </w:r>
          </w:p>
          <w:p w14:paraId="4F6FE154" w14:textId="77777777" w:rsidR="00E85766" w:rsidRPr="00601A89" w:rsidRDefault="00E85766" w:rsidP="00562E8E">
            <w:pPr>
              <w:pStyle w:val="TableBullet"/>
              <w:rPr>
                <w:lang w:eastAsia="en-NZ"/>
              </w:rPr>
            </w:pPr>
            <w:r>
              <w:rPr>
                <w:lang w:eastAsia="en-NZ"/>
              </w:rPr>
              <w:t>e</w:t>
            </w:r>
            <w:r w:rsidRPr="00601A89">
              <w:rPr>
                <w:lang w:eastAsia="en-NZ"/>
              </w:rPr>
              <w:t>stablishing a mechanism for sharing learnings and practice</w:t>
            </w:r>
          </w:p>
          <w:p w14:paraId="12244662" w14:textId="77777777" w:rsidR="00E85766" w:rsidRPr="00601A89" w:rsidRDefault="00E85766" w:rsidP="00562E8E">
            <w:pPr>
              <w:pStyle w:val="TableBullet"/>
              <w:rPr>
                <w:lang w:eastAsia="en-NZ"/>
              </w:rPr>
            </w:pPr>
            <w:r>
              <w:rPr>
                <w:lang w:eastAsia="en-NZ"/>
              </w:rPr>
              <w:t xml:space="preserve">distributing </w:t>
            </w:r>
            <w:r w:rsidRPr="00601A89">
              <w:rPr>
                <w:lang w:eastAsia="en-NZ"/>
              </w:rPr>
              <w:t>guidance on how to adopt and spread specific innovations</w:t>
            </w:r>
          </w:p>
          <w:p w14:paraId="14ACE28A" w14:textId="77777777" w:rsidR="00E85766" w:rsidRPr="00601A89" w:rsidRDefault="00E85766" w:rsidP="00562E8E">
            <w:pPr>
              <w:pStyle w:val="TableBullet"/>
              <w:rPr>
                <w:lang w:eastAsia="en-NZ"/>
              </w:rPr>
            </w:pPr>
            <w:r>
              <w:rPr>
                <w:lang w:eastAsia="en-NZ"/>
              </w:rPr>
              <w:t>s</w:t>
            </w:r>
            <w:r w:rsidRPr="00601A89">
              <w:rPr>
                <w:lang w:eastAsia="en-NZ"/>
              </w:rPr>
              <w:t xml:space="preserve">upporting individual radiation oncology providers </w:t>
            </w:r>
            <w:r>
              <w:rPr>
                <w:lang w:eastAsia="en-NZ"/>
              </w:rPr>
              <w:t>to</w:t>
            </w:r>
            <w:r w:rsidRPr="00601A89">
              <w:rPr>
                <w:lang w:eastAsia="en-NZ"/>
              </w:rPr>
              <w:t xml:space="preserve"> implement innovations</w:t>
            </w:r>
            <w:r w:rsidR="00562E8E">
              <w:rPr>
                <w:lang w:eastAsia="en-NZ"/>
              </w:rPr>
              <w:t>.</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477B7FCE" w14:textId="77777777" w:rsidR="00E85766" w:rsidRPr="00601A89" w:rsidRDefault="00E85766" w:rsidP="00562E8E">
            <w:pPr>
              <w:pStyle w:val="TableText"/>
              <w:rPr>
                <w:color w:val="000000"/>
                <w:lang w:eastAsia="en-NZ"/>
              </w:rPr>
            </w:pPr>
            <w:r w:rsidRPr="00601A89">
              <w:rPr>
                <w:color w:val="000000"/>
                <w:lang w:eastAsia="en-NZ"/>
              </w:rPr>
              <w:t>2019</w:t>
            </w:r>
            <w:r>
              <w:rPr>
                <w:color w:val="000000"/>
                <w:lang w:eastAsia="en-NZ"/>
              </w:rPr>
              <w:t>–</w:t>
            </w:r>
            <w:r w:rsidRPr="00601A89">
              <w:rPr>
                <w:color w:val="000000"/>
                <w:lang w:eastAsia="en-NZ"/>
              </w:rPr>
              <w:t>2020</w:t>
            </w:r>
          </w:p>
        </w:tc>
      </w:tr>
      <w:tr w:rsidR="00E85766" w:rsidRPr="00601A89" w14:paraId="6FE6E347" w14:textId="77777777" w:rsidTr="00562E8E">
        <w:trPr>
          <w:cantSplit/>
        </w:trPr>
        <w:tc>
          <w:tcPr>
            <w:tcW w:w="426" w:type="dxa"/>
            <w:tcBorders>
              <w:top w:val="single" w:sz="4" w:space="0" w:color="A6A6A6" w:themeColor="background1" w:themeShade="A6"/>
              <w:bottom w:val="single" w:sz="4" w:space="0" w:color="A6A6A6" w:themeColor="background1" w:themeShade="A6"/>
            </w:tcBorders>
            <w:shd w:val="clear" w:color="auto" w:fill="auto"/>
          </w:tcPr>
          <w:p w14:paraId="04D5F03D" w14:textId="77777777" w:rsidR="00E85766" w:rsidRPr="00601A89" w:rsidRDefault="00E85766" w:rsidP="00562E8E">
            <w:pPr>
              <w:pStyle w:val="TableText"/>
            </w:pPr>
            <w:r w:rsidRPr="00601A89">
              <w:t>2.5</w:t>
            </w:r>
          </w:p>
        </w:tc>
        <w:tc>
          <w:tcPr>
            <w:tcW w:w="2976" w:type="dxa"/>
            <w:tcBorders>
              <w:top w:val="single" w:sz="4" w:space="0" w:color="A6A6A6" w:themeColor="background1" w:themeShade="A6"/>
              <w:bottom w:val="single" w:sz="4" w:space="0" w:color="A6A6A6" w:themeColor="background1" w:themeShade="A6"/>
            </w:tcBorders>
            <w:shd w:val="clear" w:color="auto" w:fill="auto"/>
            <w:noWrap/>
          </w:tcPr>
          <w:p w14:paraId="1E6E1101" w14:textId="77777777" w:rsidR="00E85766" w:rsidRPr="00601A89" w:rsidRDefault="00E85766" w:rsidP="00562E8E">
            <w:pPr>
              <w:pStyle w:val="TableText"/>
              <w:ind w:right="142"/>
            </w:pPr>
            <w:r w:rsidRPr="00601A89">
              <w:t xml:space="preserve">Use the regional reviews of services against national </w:t>
            </w:r>
            <w:r>
              <w:t>t</w:t>
            </w:r>
            <w:r w:rsidRPr="00601A89">
              <w:t xml:space="preserve">umour </w:t>
            </w:r>
            <w:r>
              <w:t>s</w:t>
            </w:r>
            <w:r w:rsidRPr="00601A89">
              <w:t xml:space="preserve">tandards as a </w:t>
            </w:r>
            <w:r>
              <w:t>way</w:t>
            </w:r>
            <w:r w:rsidRPr="00601A89">
              <w:t xml:space="preserve"> of limiting unwarranted variation through standardis</w:t>
            </w:r>
            <w:r>
              <w:t xml:space="preserve">ing </w:t>
            </w:r>
            <w:r w:rsidRPr="00601A89">
              <w:t>treatment</w:t>
            </w:r>
          </w:p>
        </w:tc>
        <w:tc>
          <w:tcPr>
            <w:tcW w:w="4820" w:type="dxa"/>
            <w:tcBorders>
              <w:top w:val="single" w:sz="4" w:space="0" w:color="A6A6A6" w:themeColor="background1" w:themeShade="A6"/>
              <w:bottom w:val="single" w:sz="4" w:space="0" w:color="A6A6A6" w:themeColor="background1" w:themeShade="A6"/>
            </w:tcBorders>
            <w:shd w:val="clear" w:color="auto" w:fill="auto"/>
            <w:noWrap/>
          </w:tcPr>
          <w:p w14:paraId="7F8F19B8" w14:textId="77777777" w:rsidR="00E85766" w:rsidRPr="00601A89" w:rsidRDefault="00E85766" w:rsidP="00562E8E">
            <w:pPr>
              <w:pStyle w:val="TableText"/>
              <w:ind w:right="142"/>
              <w:rPr>
                <w:color w:val="000000"/>
                <w:lang w:eastAsia="en-NZ"/>
              </w:rPr>
            </w:pPr>
            <w:r w:rsidRPr="00601A89">
              <w:rPr>
                <w:color w:val="000000"/>
                <w:lang w:eastAsia="en-NZ"/>
              </w:rPr>
              <w:t xml:space="preserve">RCNs and </w:t>
            </w:r>
            <w:r>
              <w:rPr>
                <w:color w:val="000000"/>
                <w:lang w:eastAsia="en-NZ"/>
              </w:rPr>
              <w:t>radiation oncology</w:t>
            </w:r>
            <w:r w:rsidRPr="00601A89">
              <w:rPr>
                <w:color w:val="000000"/>
                <w:lang w:eastAsia="en-NZ"/>
              </w:rPr>
              <w:t xml:space="preserve"> providers will identify and address any service gaps against each tumour stream as </w:t>
            </w:r>
            <w:r>
              <w:rPr>
                <w:color w:val="000000"/>
                <w:lang w:eastAsia="en-NZ"/>
              </w:rPr>
              <w:t>it is</w:t>
            </w:r>
            <w:r w:rsidRPr="00601A89">
              <w:rPr>
                <w:color w:val="000000"/>
                <w:lang w:eastAsia="en-NZ"/>
              </w:rPr>
              <w:t xml:space="preserve"> prioriti</w:t>
            </w:r>
            <w:r>
              <w:rPr>
                <w:color w:val="000000"/>
                <w:lang w:eastAsia="en-NZ"/>
              </w:rPr>
              <w:t>s</w:t>
            </w:r>
            <w:r w:rsidRPr="00601A89">
              <w:rPr>
                <w:color w:val="000000"/>
                <w:lang w:eastAsia="en-NZ"/>
              </w:rPr>
              <w:t>ed for review</w:t>
            </w:r>
            <w:r w:rsidR="00562E8E">
              <w:rPr>
                <w:color w:val="000000"/>
                <w:lang w:eastAsia="en-NZ"/>
              </w:rPr>
              <w:t>.</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2FDA9730" w14:textId="77777777" w:rsidR="00E85766" w:rsidRPr="00601A89" w:rsidRDefault="00E85766" w:rsidP="00562E8E">
            <w:pPr>
              <w:pStyle w:val="TableText"/>
              <w:rPr>
                <w:color w:val="000000"/>
                <w:lang w:eastAsia="en-NZ"/>
              </w:rPr>
            </w:pPr>
            <w:r>
              <w:rPr>
                <w:color w:val="000000"/>
                <w:lang w:eastAsia="en-NZ"/>
              </w:rPr>
              <w:t>2017</w:t>
            </w:r>
            <w:r w:rsidRPr="00601A89">
              <w:rPr>
                <w:color w:val="000000"/>
                <w:lang w:eastAsia="en-NZ"/>
              </w:rPr>
              <w:t>–2021</w:t>
            </w:r>
          </w:p>
        </w:tc>
      </w:tr>
      <w:tr w:rsidR="00E85766" w:rsidRPr="00601A89" w14:paraId="491B74E2" w14:textId="77777777" w:rsidTr="00562E8E">
        <w:trPr>
          <w:cantSplit/>
        </w:trPr>
        <w:tc>
          <w:tcPr>
            <w:tcW w:w="426" w:type="dxa"/>
            <w:tcBorders>
              <w:top w:val="single" w:sz="4" w:space="0" w:color="A6A6A6" w:themeColor="background1" w:themeShade="A6"/>
            </w:tcBorders>
            <w:shd w:val="clear" w:color="auto" w:fill="auto"/>
          </w:tcPr>
          <w:p w14:paraId="07AA08A4" w14:textId="77777777" w:rsidR="00E85766" w:rsidRPr="00601A89" w:rsidRDefault="00E85766" w:rsidP="00562E8E">
            <w:pPr>
              <w:pStyle w:val="TableText"/>
            </w:pPr>
            <w:r w:rsidRPr="00601A89">
              <w:t>2.6</w:t>
            </w:r>
          </w:p>
        </w:tc>
        <w:tc>
          <w:tcPr>
            <w:tcW w:w="2976" w:type="dxa"/>
            <w:tcBorders>
              <w:top w:val="single" w:sz="4" w:space="0" w:color="A6A6A6" w:themeColor="background1" w:themeShade="A6"/>
            </w:tcBorders>
            <w:shd w:val="clear" w:color="auto" w:fill="auto"/>
            <w:noWrap/>
          </w:tcPr>
          <w:p w14:paraId="211A3A25" w14:textId="77777777" w:rsidR="00E85766" w:rsidRPr="00601A89" w:rsidRDefault="00E85766" w:rsidP="00562E8E">
            <w:pPr>
              <w:pStyle w:val="TableText"/>
              <w:ind w:right="142"/>
            </w:pPr>
            <w:r w:rsidRPr="00601A89">
              <w:t xml:space="preserve">Encourage all radiation oncology providers to engage in research and be </w:t>
            </w:r>
            <w:r w:rsidR="007A6454">
              <w:t>‘</w:t>
            </w:r>
            <w:r w:rsidRPr="00601A89">
              <w:t>learning organisations</w:t>
            </w:r>
            <w:r w:rsidR="007A6454">
              <w:t>’</w:t>
            </w:r>
          </w:p>
        </w:tc>
        <w:tc>
          <w:tcPr>
            <w:tcW w:w="4820" w:type="dxa"/>
            <w:tcBorders>
              <w:top w:val="single" w:sz="4" w:space="0" w:color="A6A6A6" w:themeColor="background1" w:themeShade="A6"/>
            </w:tcBorders>
            <w:shd w:val="clear" w:color="auto" w:fill="auto"/>
            <w:noWrap/>
          </w:tcPr>
          <w:p w14:paraId="06356A9F" w14:textId="77777777" w:rsidR="00E85766" w:rsidRPr="00601A89" w:rsidRDefault="00E85766" w:rsidP="00562E8E">
            <w:pPr>
              <w:pStyle w:val="TableText"/>
              <w:ind w:right="142"/>
              <w:rPr>
                <w:color w:val="000000"/>
                <w:lang w:eastAsia="en-NZ"/>
              </w:rPr>
            </w:pPr>
            <w:r w:rsidRPr="00601A89">
              <w:rPr>
                <w:color w:val="000000"/>
                <w:lang w:eastAsia="en-NZ"/>
              </w:rPr>
              <w:t>ROWG will review the</w:t>
            </w:r>
            <w:r>
              <w:rPr>
                <w:color w:val="000000"/>
                <w:lang w:eastAsia="en-NZ"/>
              </w:rPr>
              <w:t xml:space="preserve"> New Zealand</w:t>
            </w:r>
            <w:r w:rsidRPr="00601A89">
              <w:rPr>
                <w:color w:val="000000"/>
                <w:lang w:eastAsia="en-NZ"/>
              </w:rPr>
              <w:t xml:space="preserve"> National Research Strategy</w:t>
            </w:r>
            <w:r>
              <w:rPr>
                <w:color w:val="000000"/>
                <w:lang w:eastAsia="en-NZ"/>
              </w:rPr>
              <w:t xml:space="preserve"> currently being developed,</w:t>
            </w:r>
            <w:r w:rsidRPr="00601A89">
              <w:rPr>
                <w:color w:val="000000"/>
                <w:lang w:eastAsia="en-NZ"/>
              </w:rPr>
              <w:t xml:space="preserve"> and explore </w:t>
            </w:r>
            <w:r>
              <w:rPr>
                <w:color w:val="000000"/>
                <w:lang w:eastAsia="en-NZ"/>
              </w:rPr>
              <w:t>ways of</w:t>
            </w:r>
            <w:r w:rsidRPr="00601A89">
              <w:rPr>
                <w:color w:val="000000"/>
                <w:lang w:eastAsia="en-NZ"/>
              </w:rPr>
              <w:t xml:space="preserve"> enhanc</w:t>
            </w:r>
            <w:r>
              <w:rPr>
                <w:color w:val="000000"/>
                <w:lang w:eastAsia="en-NZ"/>
              </w:rPr>
              <w:t>ing</w:t>
            </w:r>
            <w:r w:rsidRPr="00601A89">
              <w:rPr>
                <w:color w:val="000000"/>
                <w:lang w:eastAsia="en-NZ"/>
              </w:rPr>
              <w:t xml:space="preserve"> </w:t>
            </w:r>
            <w:r>
              <w:rPr>
                <w:color w:val="000000"/>
                <w:lang w:eastAsia="en-NZ"/>
              </w:rPr>
              <w:t>radiation oncology</w:t>
            </w:r>
            <w:r w:rsidRPr="00601A89">
              <w:rPr>
                <w:color w:val="000000"/>
                <w:lang w:eastAsia="en-NZ"/>
              </w:rPr>
              <w:t xml:space="preserve"> research within the sector</w:t>
            </w:r>
            <w:r w:rsidR="00562E8E">
              <w:rPr>
                <w:color w:val="000000"/>
                <w:lang w:eastAsia="en-NZ"/>
              </w:rPr>
              <w:t>.</w:t>
            </w:r>
          </w:p>
        </w:tc>
        <w:tc>
          <w:tcPr>
            <w:tcW w:w="1134" w:type="dxa"/>
            <w:tcBorders>
              <w:top w:val="single" w:sz="4" w:space="0" w:color="A6A6A6" w:themeColor="background1" w:themeShade="A6"/>
            </w:tcBorders>
            <w:shd w:val="clear" w:color="auto" w:fill="auto"/>
          </w:tcPr>
          <w:p w14:paraId="4A480CAF" w14:textId="77777777" w:rsidR="00E85766" w:rsidRPr="00601A89" w:rsidRDefault="00E85766" w:rsidP="00562E8E">
            <w:pPr>
              <w:pStyle w:val="TableText"/>
              <w:rPr>
                <w:color w:val="000000"/>
                <w:lang w:eastAsia="en-NZ"/>
              </w:rPr>
            </w:pPr>
            <w:r w:rsidRPr="00601A89">
              <w:rPr>
                <w:color w:val="000000"/>
                <w:lang w:eastAsia="en-NZ"/>
              </w:rPr>
              <w:t>2020</w:t>
            </w:r>
            <w:r>
              <w:rPr>
                <w:color w:val="000000"/>
                <w:lang w:eastAsia="en-NZ"/>
              </w:rPr>
              <w:t>–</w:t>
            </w:r>
            <w:r w:rsidRPr="00601A89">
              <w:rPr>
                <w:color w:val="000000"/>
                <w:lang w:eastAsia="en-NZ"/>
              </w:rPr>
              <w:t>2021</w:t>
            </w:r>
          </w:p>
        </w:tc>
      </w:tr>
    </w:tbl>
    <w:p w14:paraId="3D5FDDBD" w14:textId="77777777" w:rsidR="00562E8E" w:rsidRDefault="00562E8E" w:rsidP="00562E8E"/>
    <w:p w14:paraId="21CA7B1F" w14:textId="77777777" w:rsidR="00E85766" w:rsidRPr="00601A89" w:rsidRDefault="00E85766" w:rsidP="00562E8E">
      <w:pPr>
        <w:pStyle w:val="Heading3"/>
      </w:pPr>
      <w:bookmarkStart w:id="74" w:name="_Toc470858858"/>
      <w:r w:rsidRPr="00601A89">
        <w:lastRenderedPageBreak/>
        <w:t>Priority 3: Radiation oncology services are sustainable</w:t>
      </w:r>
      <w:bookmarkEnd w:id="74"/>
    </w:p>
    <w:p w14:paraId="6FE21778" w14:textId="77777777" w:rsidR="00E85766" w:rsidRPr="00601A89" w:rsidRDefault="00E85766" w:rsidP="00562E8E">
      <w:pPr>
        <w:keepLines/>
      </w:pPr>
      <w:r w:rsidRPr="00601A89">
        <w:t xml:space="preserve">The New Zealand health system is operating in an environment of increasing demand </w:t>
      </w:r>
      <w:r>
        <w:t xml:space="preserve">for services </w:t>
      </w:r>
      <w:r w:rsidRPr="00601A89">
        <w:t>and constrained resources</w:t>
      </w:r>
      <w:r>
        <w:t>, and it is</w:t>
      </w:r>
      <w:r w:rsidRPr="00601A89">
        <w:t xml:space="preserve"> expected </w:t>
      </w:r>
      <w:r>
        <w:t>that these trends will</w:t>
      </w:r>
      <w:r w:rsidRPr="00601A89">
        <w:t xml:space="preserve"> continue for the foreseeable future. </w:t>
      </w:r>
      <w:r>
        <w:t>The</w:t>
      </w:r>
      <w:r w:rsidRPr="00601A89">
        <w:t xml:space="preserve"> sustainability </w:t>
      </w:r>
      <w:r>
        <w:t xml:space="preserve">of services </w:t>
      </w:r>
      <w:r w:rsidRPr="00601A89">
        <w:t xml:space="preserve">has therefore become </w:t>
      </w:r>
      <w:r>
        <w:t>an important consideration in</w:t>
      </w:r>
      <w:r w:rsidRPr="00601A89">
        <w:t xml:space="preserve"> longer</w:t>
      </w:r>
      <w:r>
        <w:t>-</w:t>
      </w:r>
      <w:r w:rsidRPr="00601A89">
        <w:t>term service and capacity planning. Sustainability</w:t>
      </w:r>
      <w:r>
        <w:t>, which</w:t>
      </w:r>
      <w:r w:rsidRPr="00601A89">
        <w:t xml:space="preserve"> has both clinical and financial dimensions, </w:t>
      </w:r>
      <w:r>
        <w:t xml:space="preserve">means that </w:t>
      </w:r>
      <w:r w:rsidRPr="00601A89">
        <w:t xml:space="preserve">a health service </w:t>
      </w:r>
      <w:r>
        <w:t>can</w:t>
      </w:r>
      <w:r w:rsidRPr="00601A89">
        <w:t xml:space="preserve"> provide ongoing access to high</w:t>
      </w:r>
      <w:r>
        <w:t>-</w:t>
      </w:r>
      <w:r w:rsidRPr="00601A89">
        <w:t>quality care efficient</w:t>
      </w:r>
      <w:r>
        <w:t>ly</w:t>
      </w:r>
      <w:r w:rsidRPr="00601A89">
        <w:t xml:space="preserve"> and effective</w:t>
      </w:r>
      <w:r>
        <w:t>ly</w:t>
      </w:r>
      <w:r w:rsidRPr="00601A89">
        <w:t xml:space="preserve"> in a changing environment.</w:t>
      </w:r>
    </w:p>
    <w:p w14:paraId="4FAB542C" w14:textId="77777777" w:rsidR="00E85766" w:rsidRPr="00601A89" w:rsidRDefault="00E85766" w:rsidP="00562E8E"/>
    <w:p w14:paraId="7AC9064E" w14:textId="77777777" w:rsidR="00E85766" w:rsidRPr="00601A89" w:rsidRDefault="00E85766" w:rsidP="00562E8E">
      <w:r>
        <w:t>Recognising</w:t>
      </w:r>
      <w:r w:rsidRPr="00601A89">
        <w:t xml:space="preserve"> the recommendation of the first national plan</w:t>
      </w:r>
      <w:r>
        <w:t>,</w:t>
      </w:r>
      <w:r w:rsidRPr="00601A89">
        <w:t xml:space="preserve"> the Ministry is anticipating a growth in IR as services become more standardised and access to radiation therapy improves. </w:t>
      </w:r>
      <w:r>
        <w:t>It has used the</w:t>
      </w:r>
      <w:r w:rsidRPr="00601A89">
        <w:t xml:space="preserve"> 45</w:t>
      </w:r>
      <w:r w:rsidR="00562E8E">
        <w:t> percent</w:t>
      </w:r>
      <w:r w:rsidRPr="00601A89">
        <w:t xml:space="preserve"> IR as a likely maxim</w:t>
      </w:r>
      <w:r>
        <w:t>um</w:t>
      </w:r>
      <w:r w:rsidRPr="00601A89">
        <w:t xml:space="preserve">, </w:t>
      </w:r>
      <w:r>
        <w:t>allowing for</w:t>
      </w:r>
      <w:r w:rsidRPr="00601A89">
        <w:t xml:space="preserve"> a range of 40</w:t>
      </w:r>
      <w:r>
        <w:t>–</w:t>
      </w:r>
      <w:r w:rsidRPr="00601A89">
        <w:t>45</w:t>
      </w:r>
      <w:r w:rsidR="00562E8E">
        <w:t> percent</w:t>
      </w:r>
      <w:r w:rsidRPr="00601A89">
        <w:t xml:space="preserve"> by 2022 </w:t>
      </w:r>
      <w:r>
        <w:t>in planning for</w:t>
      </w:r>
      <w:r w:rsidRPr="00601A89">
        <w:t xml:space="preserve"> service</w:t>
      </w:r>
      <w:r>
        <w:t>s</w:t>
      </w:r>
      <w:r w:rsidRPr="00601A89">
        <w:t xml:space="preserve"> and capacity. </w:t>
      </w:r>
      <w:r>
        <w:t>To respond to such growth, it</w:t>
      </w:r>
      <w:r w:rsidRPr="00601A89">
        <w:t xml:space="preserve"> would </w:t>
      </w:r>
      <w:r>
        <w:t xml:space="preserve">be necessary to </w:t>
      </w:r>
      <w:r w:rsidRPr="00601A89">
        <w:t>expan</w:t>
      </w:r>
      <w:r>
        <w:t>d</w:t>
      </w:r>
      <w:r w:rsidRPr="00601A89">
        <w:t xml:space="preserve"> service capacity to serve DHB populations at currently lower IRs, and </w:t>
      </w:r>
      <w:r>
        <w:t>to take</w:t>
      </w:r>
      <w:r w:rsidRPr="00601A89">
        <w:t xml:space="preserve"> a collective approach to planning. </w:t>
      </w:r>
      <w:r>
        <w:t>In</w:t>
      </w:r>
      <w:r w:rsidRPr="00601A89">
        <w:t xml:space="preserve"> this context the three </w:t>
      </w:r>
      <w:r>
        <w:t xml:space="preserve">crucial </w:t>
      </w:r>
      <w:r w:rsidRPr="00601A89">
        <w:t>considerations</w:t>
      </w:r>
      <w:r>
        <w:t xml:space="preserve"> are</w:t>
      </w:r>
      <w:r w:rsidRPr="00601A89">
        <w:t>:</w:t>
      </w:r>
    </w:p>
    <w:p w14:paraId="0D03D4E0" w14:textId="77777777" w:rsidR="00E85766" w:rsidRPr="00601A89" w:rsidRDefault="00E85766" w:rsidP="00562E8E">
      <w:pPr>
        <w:pStyle w:val="Bullet"/>
      </w:pPr>
      <w:r w:rsidRPr="00601A89">
        <w:t>innovation in radiation therapy techniques and technology</w:t>
      </w:r>
    </w:p>
    <w:p w14:paraId="670A56A3" w14:textId="77777777" w:rsidR="00E85766" w:rsidRPr="00601A89" w:rsidRDefault="00E85766" w:rsidP="00562E8E">
      <w:pPr>
        <w:pStyle w:val="Bullet"/>
      </w:pPr>
      <w:r w:rsidRPr="00601A89">
        <w:t>workforce (</w:t>
      </w:r>
      <w:r>
        <w:t>see</w:t>
      </w:r>
      <w:r w:rsidRPr="00601A89">
        <w:t xml:space="preserve"> </w:t>
      </w:r>
      <w:r>
        <w:t>s</w:t>
      </w:r>
      <w:r w:rsidRPr="00601A89">
        <w:t>ection 6.4)</w:t>
      </w:r>
    </w:p>
    <w:p w14:paraId="12AA8D13" w14:textId="77777777" w:rsidR="007A6454" w:rsidRDefault="00E85766" w:rsidP="00562E8E">
      <w:pPr>
        <w:pStyle w:val="Bullet"/>
      </w:pPr>
      <w:r w:rsidRPr="00601A89">
        <w:t>efficiency.</w:t>
      </w:r>
    </w:p>
    <w:p w14:paraId="33F2CDEC" w14:textId="77777777" w:rsidR="00E85766" w:rsidRPr="00601A89" w:rsidRDefault="00E85766" w:rsidP="00562E8E"/>
    <w:p w14:paraId="04D29D2C" w14:textId="77777777" w:rsidR="00E85766" w:rsidRPr="00601A89" w:rsidRDefault="00E85766" w:rsidP="00562E8E">
      <w:pPr>
        <w:pStyle w:val="Heading4"/>
      </w:pPr>
      <w:r w:rsidRPr="00601A89">
        <w:t>Innovation in radiation therapy techniques and technology</w:t>
      </w:r>
    </w:p>
    <w:p w14:paraId="1EE44A92" w14:textId="77777777" w:rsidR="00E85766" w:rsidRPr="00601A89" w:rsidRDefault="00E85766" w:rsidP="00562E8E">
      <w:r w:rsidRPr="00601A89">
        <w:t xml:space="preserve">As </w:t>
      </w:r>
      <w:r>
        <w:t>s</w:t>
      </w:r>
      <w:r w:rsidRPr="00601A89">
        <w:t>ection 2.2</w:t>
      </w:r>
      <w:r>
        <w:t xml:space="preserve"> outlines</w:t>
      </w:r>
      <w:r w:rsidRPr="00601A89">
        <w:t xml:space="preserve">, future innovations in radiation therapy treatment have the potential to significantly change the treatment of specific cancers, </w:t>
      </w:r>
      <w:r>
        <w:t>which would in turn have</w:t>
      </w:r>
      <w:r w:rsidRPr="00601A89">
        <w:t xml:space="preserve"> material impacts on capacity requirements. The Service Planning Tool </w:t>
      </w:r>
      <w:r>
        <w:t>is</w:t>
      </w:r>
      <w:r w:rsidRPr="00601A89">
        <w:t xml:space="preserve"> </w:t>
      </w:r>
      <w:r>
        <w:t>particularly well</w:t>
      </w:r>
      <w:r w:rsidRPr="00601A89">
        <w:t xml:space="preserve"> </w:t>
      </w:r>
      <w:r>
        <w:t xml:space="preserve">suited </w:t>
      </w:r>
      <w:r w:rsidRPr="00601A89">
        <w:t xml:space="preserve">to </w:t>
      </w:r>
      <w:r>
        <w:t>the task of strengthening</w:t>
      </w:r>
      <w:r w:rsidRPr="00601A89">
        <w:t xml:space="preserve"> capacity planning through innovations in service delivery, including variables such as average attendance time per cancer, average attendance per course per cancer, and workforce ratio adjustments. The Tool will support more accurate projections with reduced variation</w:t>
      </w:r>
      <w:r>
        <w:t>. Efficiency can be improved further</w:t>
      </w:r>
      <w:r w:rsidRPr="00601A89">
        <w:t xml:space="preserve"> (</w:t>
      </w:r>
      <w:r>
        <w:t xml:space="preserve">through </w:t>
      </w:r>
      <w:r w:rsidRPr="00601A89">
        <w:t>standardisation and technological</w:t>
      </w:r>
      <w:r>
        <w:t xml:space="preserve"> developments</w:t>
      </w:r>
      <w:r w:rsidRPr="00601A89">
        <w:t>)</w:t>
      </w:r>
      <w:r>
        <w:t xml:space="preserve"> </w:t>
      </w:r>
      <w:r w:rsidRPr="00601A89">
        <w:t xml:space="preserve">and </w:t>
      </w:r>
      <w:r>
        <w:t>included</w:t>
      </w:r>
      <w:r w:rsidRPr="00601A89">
        <w:t xml:space="preserve"> in future implementation planning.</w:t>
      </w:r>
    </w:p>
    <w:p w14:paraId="370D959C" w14:textId="77777777" w:rsidR="00E85766" w:rsidRPr="00601A89" w:rsidRDefault="00E85766" w:rsidP="00562E8E"/>
    <w:p w14:paraId="1F3161F5" w14:textId="77777777" w:rsidR="00E85766" w:rsidRPr="00601A89" w:rsidRDefault="00E85766" w:rsidP="00562E8E">
      <w:r w:rsidRPr="00601A89">
        <w:t>To date</w:t>
      </w:r>
      <w:r>
        <w:t>,</w:t>
      </w:r>
      <w:r w:rsidRPr="00601A89">
        <w:t xml:space="preserve"> new technologies and techniques have been introduced to the New Zealand health system in a relatively ad hoc manner. However</w:t>
      </w:r>
      <w:r>
        <w:t>,</w:t>
      </w:r>
      <w:r w:rsidRPr="00601A89">
        <w:t xml:space="preserve"> </w:t>
      </w:r>
      <w:r>
        <w:t>given that</w:t>
      </w:r>
      <w:r w:rsidRPr="00601A89">
        <w:t xml:space="preserve"> radiation oncology innovation</w:t>
      </w:r>
      <w:r>
        <w:t xml:space="preserve"> is expected to accelerate, the sector needs</w:t>
      </w:r>
      <w:r w:rsidRPr="00601A89">
        <w:t xml:space="preserve"> a more systematic approach to evaluati</w:t>
      </w:r>
      <w:r>
        <w:t>ng</w:t>
      </w:r>
      <w:r w:rsidRPr="00601A89">
        <w:t xml:space="preserve"> and adopti</w:t>
      </w:r>
      <w:r>
        <w:t>ng</w:t>
      </w:r>
      <w:r w:rsidRPr="00601A89">
        <w:t xml:space="preserve"> new techniques and technologies </w:t>
      </w:r>
      <w:r>
        <w:t>that</w:t>
      </w:r>
      <w:r w:rsidRPr="00601A89">
        <w:t xml:space="preserve"> support</w:t>
      </w:r>
      <w:r>
        <w:t>s</w:t>
      </w:r>
      <w:r w:rsidRPr="00601A89">
        <w:t xml:space="preserve"> the </w:t>
      </w:r>
      <w:r>
        <w:t>related</w:t>
      </w:r>
      <w:r w:rsidRPr="00601A89">
        <w:t xml:space="preserve"> prerequisite for a world</w:t>
      </w:r>
      <w:r>
        <w:t>-</w:t>
      </w:r>
      <w:r w:rsidRPr="00601A89">
        <w:t>class radiation therapy service</w:t>
      </w:r>
      <w:r>
        <w:t>: to</w:t>
      </w:r>
      <w:r w:rsidRPr="00CD6FD0">
        <w:rPr>
          <w:b/>
        </w:rPr>
        <w:t xml:space="preserve"> full</w:t>
      </w:r>
      <w:r>
        <w:rPr>
          <w:b/>
        </w:rPr>
        <w:t>y</w:t>
      </w:r>
      <w:r w:rsidRPr="00CD6FD0">
        <w:rPr>
          <w:b/>
        </w:rPr>
        <w:t xml:space="preserve"> </w:t>
      </w:r>
      <w:r>
        <w:rPr>
          <w:b/>
        </w:rPr>
        <w:t>use</w:t>
      </w:r>
      <w:r w:rsidRPr="00CD6FD0">
        <w:rPr>
          <w:b/>
        </w:rPr>
        <w:t xml:space="preserve"> up-to-date technology and equipment</w:t>
      </w:r>
      <w:r w:rsidRPr="00601A89">
        <w:rPr>
          <w:i/>
        </w:rPr>
        <w:t>.</w:t>
      </w:r>
    </w:p>
    <w:p w14:paraId="4487B724" w14:textId="77777777" w:rsidR="00E85766" w:rsidRPr="00601A89" w:rsidRDefault="00E85766" w:rsidP="00562E8E"/>
    <w:p w14:paraId="2589B054" w14:textId="77777777" w:rsidR="007A6454" w:rsidRDefault="00E85766" w:rsidP="00562E8E">
      <w:r w:rsidRPr="00601A89">
        <w:t>As radiation therapy continues to become more sophisticated</w:t>
      </w:r>
      <w:r>
        <w:t>, it is important to consider</w:t>
      </w:r>
      <w:r w:rsidRPr="00601A89">
        <w:t xml:space="preserve"> the need to develop specialised radiation oncology providers for treatment of particular tumours. </w:t>
      </w:r>
      <w:r>
        <w:t>As the</w:t>
      </w:r>
      <w:r w:rsidRPr="00601A89">
        <w:t xml:space="preserve"> new technologies tend to be significantly more expensive</w:t>
      </w:r>
      <w:r>
        <w:t xml:space="preserve"> than existing ones</w:t>
      </w:r>
      <w:r w:rsidRPr="00601A89">
        <w:t xml:space="preserve">, it is unlikely </w:t>
      </w:r>
      <w:r>
        <w:t>that</w:t>
      </w:r>
      <w:r w:rsidRPr="00601A89">
        <w:t xml:space="preserve"> all radiation oncology providers </w:t>
      </w:r>
      <w:r>
        <w:t xml:space="preserve">will be able </w:t>
      </w:r>
      <w:r w:rsidRPr="00601A89">
        <w:t xml:space="preserve">to </w:t>
      </w:r>
      <w:r>
        <w:t>buy</w:t>
      </w:r>
      <w:r w:rsidRPr="00601A89">
        <w:t xml:space="preserve"> and operate them. In addition, developing </w:t>
      </w:r>
      <w:r>
        <w:t xml:space="preserve">specialised </w:t>
      </w:r>
      <w:r w:rsidRPr="00601A89">
        <w:t>provider</w:t>
      </w:r>
      <w:r>
        <w:t>s</w:t>
      </w:r>
      <w:r w:rsidRPr="00601A89">
        <w:t xml:space="preserve"> would </w:t>
      </w:r>
      <w:r>
        <w:t>help to</w:t>
      </w:r>
      <w:r w:rsidRPr="00601A89">
        <w:t xml:space="preserve"> minimis</w:t>
      </w:r>
      <w:r>
        <w:t>e</w:t>
      </w:r>
      <w:r w:rsidRPr="00601A89">
        <w:t xml:space="preserve"> variation in access and </w:t>
      </w:r>
      <w:r>
        <w:t xml:space="preserve">to </w:t>
      </w:r>
      <w:r w:rsidRPr="00601A89">
        <w:t>use the new technologies</w:t>
      </w:r>
      <w:r>
        <w:t xml:space="preserve"> more efficiently</w:t>
      </w:r>
      <w:r w:rsidRPr="00601A89">
        <w:t>.</w:t>
      </w:r>
    </w:p>
    <w:p w14:paraId="2E3E4E99" w14:textId="77777777" w:rsidR="00E85766" w:rsidRPr="00601A89" w:rsidRDefault="00E85766" w:rsidP="00562E8E"/>
    <w:p w14:paraId="275A1362" w14:textId="77777777" w:rsidR="007A6454" w:rsidRDefault="00E85766" w:rsidP="00562E8E">
      <w:r w:rsidRPr="00601A89">
        <w:t>Anothe</w:t>
      </w:r>
      <w:r w:rsidRPr="00562E8E">
        <w:t>r</w:t>
      </w:r>
      <w:r w:rsidRPr="00601A89">
        <w:t xml:space="preserve"> of the seven prerequisites for world</w:t>
      </w:r>
      <w:r>
        <w:t>-</w:t>
      </w:r>
      <w:r w:rsidRPr="00601A89">
        <w:t xml:space="preserve">class radiation therapy services is </w:t>
      </w:r>
      <w:r>
        <w:t xml:space="preserve">to </w:t>
      </w:r>
      <w:r w:rsidRPr="00CD6FD0">
        <w:rPr>
          <w:b/>
        </w:rPr>
        <w:t>have sufficient capacity and activity volume to create economies of scale</w:t>
      </w:r>
      <w:r w:rsidRPr="00601A89">
        <w:t xml:space="preserve">. Having specialised </w:t>
      </w:r>
      <w:r w:rsidR="007A6454">
        <w:t>‘</w:t>
      </w:r>
      <w:r w:rsidRPr="00601A89">
        <w:t>hubs</w:t>
      </w:r>
      <w:r w:rsidR="007A6454">
        <w:t>’</w:t>
      </w:r>
      <w:r w:rsidRPr="00601A89">
        <w:t xml:space="preserve"> </w:t>
      </w:r>
      <w:r>
        <w:t>to</w:t>
      </w:r>
      <w:r w:rsidRPr="00601A89">
        <w:t xml:space="preserve"> treat particular tumours would support such economies of scale while creating further opportunities for training and research, but may also </w:t>
      </w:r>
      <w:r>
        <w:t>make</w:t>
      </w:r>
      <w:r w:rsidRPr="00601A89">
        <w:t xml:space="preserve"> access to care</w:t>
      </w:r>
      <w:r>
        <w:t xml:space="preserve"> more difficult</w:t>
      </w:r>
      <w:r w:rsidRPr="00601A89">
        <w:t xml:space="preserve">. </w:t>
      </w:r>
      <w:r>
        <w:t>Specialised working environments</w:t>
      </w:r>
      <w:r w:rsidRPr="00601A89">
        <w:t xml:space="preserve"> are typically rewarding for health professional</w:t>
      </w:r>
      <w:r>
        <w:t>s</w:t>
      </w:r>
      <w:r w:rsidRPr="00601A89">
        <w:t xml:space="preserve"> and are likely to help retain the highly specialised radiation oncology workforce while supporting quality improvement</w:t>
      </w:r>
      <w:r>
        <w:t>.</w:t>
      </w:r>
      <w:r w:rsidRPr="00601A89">
        <w:t xml:space="preserve"> However</w:t>
      </w:r>
      <w:r>
        <w:t>,</w:t>
      </w:r>
      <w:r w:rsidRPr="00601A89">
        <w:t xml:space="preserve"> </w:t>
      </w:r>
      <w:r>
        <w:t>such specialisation</w:t>
      </w:r>
      <w:r w:rsidRPr="00601A89">
        <w:t xml:space="preserve"> could </w:t>
      </w:r>
      <w:r>
        <w:t xml:space="preserve">make it more difficult for </w:t>
      </w:r>
      <w:r w:rsidRPr="00601A89">
        <w:t xml:space="preserve">regional radiation oncology providers to attract the workforce </w:t>
      </w:r>
      <w:r>
        <w:t xml:space="preserve">they need </w:t>
      </w:r>
      <w:r w:rsidRPr="00601A89">
        <w:t>if opportunities for training and research were consolidated in major metropolitan centres.</w:t>
      </w:r>
      <w:r>
        <w:t xml:space="preserve"> Having</w:t>
      </w:r>
      <w:r w:rsidRPr="00601A89">
        <w:t xml:space="preserve"> new technologies in </w:t>
      </w:r>
      <w:r w:rsidR="007A6454">
        <w:t>‘</w:t>
      </w:r>
      <w:r w:rsidRPr="00601A89">
        <w:t>hubs</w:t>
      </w:r>
      <w:r w:rsidR="007A6454">
        <w:t>’</w:t>
      </w:r>
      <w:r w:rsidRPr="00601A89">
        <w:t xml:space="preserve"> could also </w:t>
      </w:r>
      <w:r>
        <w:t>make treatment less accessible for patients living in areas outside those hubs</w:t>
      </w:r>
      <w:r w:rsidRPr="00601A89">
        <w:t>.</w:t>
      </w:r>
    </w:p>
    <w:p w14:paraId="45A65B3C" w14:textId="77777777" w:rsidR="00E85766" w:rsidRPr="00601A89" w:rsidRDefault="00E85766" w:rsidP="00562E8E">
      <w:pPr>
        <w:pStyle w:val="Heading4"/>
        <w:spacing w:before="360"/>
      </w:pPr>
      <w:r w:rsidRPr="00601A89">
        <w:lastRenderedPageBreak/>
        <w:t>Efficiency</w:t>
      </w:r>
    </w:p>
    <w:p w14:paraId="1A06F553" w14:textId="77777777" w:rsidR="007A6454" w:rsidRDefault="00E85766" w:rsidP="00562E8E">
      <w:r w:rsidRPr="00601A89">
        <w:t xml:space="preserve">Each DHB funds access to radiation therapy for its resident population. All DHBs are likely to need to allocate additional funds to radiation therapy to </w:t>
      </w:r>
      <w:r>
        <w:t>respond to</w:t>
      </w:r>
      <w:r w:rsidRPr="00601A89">
        <w:t xml:space="preserve"> the predicted increasing incidence of cancer. Some DHBs may also expect an increase in the proportion of cancers being treated with radiation therapy, </w:t>
      </w:r>
      <w:r>
        <w:t xml:space="preserve">for </w:t>
      </w:r>
      <w:r w:rsidRPr="00601A89">
        <w:t xml:space="preserve">which </w:t>
      </w:r>
      <w:r>
        <w:t xml:space="preserve">they </w:t>
      </w:r>
      <w:r w:rsidRPr="00601A89">
        <w:t xml:space="preserve">will need </w:t>
      </w:r>
      <w:r>
        <w:t xml:space="preserve">to allocate </w:t>
      </w:r>
      <w:r w:rsidRPr="00601A89">
        <w:t xml:space="preserve">appropriate funds. </w:t>
      </w:r>
      <w:r>
        <w:t>As</w:t>
      </w:r>
      <w:r w:rsidRPr="00601A89">
        <w:t xml:space="preserve"> radiation providers</w:t>
      </w:r>
      <w:r w:rsidR="007A6454">
        <w:t>’</w:t>
      </w:r>
      <w:r w:rsidRPr="00601A89">
        <w:t xml:space="preserve"> capacity </w:t>
      </w:r>
      <w:r>
        <w:t xml:space="preserve">grows, DHBs </w:t>
      </w:r>
      <w:r w:rsidRPr="00601A89">
        <w:t>will need to support</w:t>
      </w:r>
      <w:r>
        <w:t xml:space="preserve"> them</w:t>
      </w:r>
      <w:r w:rsidRPr="00601A89">
        <w:t xml:space="preserve"> by allocat</w:t>
      </w:r>
      <w:r>
        <w:t>ing</w:t>
      </w:r>
      <w:r w:rsidRPr="00601A89">
        <w:t xml:space="preserve"> the required operating funds, </w:t>
      </w:r>
      <w:r>
        <w:t>and</w:t>
      </w:r>
      <w:r w:rsidRPr="00601A89">
        <w:t xml:space="preserve"> regional capital committees </w:t>
      </w:r>
      <w:r>
        <w:t>will need to approve</w:t>
      </w:r>
      <w:r w:rsidRPr="00601A89">
        <w:t xml:space="preserve"> capital investment by the DHB radiation therapy providers.</w:t>
      </w:r>
    </w:p>
    <w:p w14:paraId="17FE338B" w14:textId="77777777" w:rsidR="00E85766" w:rsidRPr="00601A89" w:rsidRDefault="00E85766" w:rsidP="00562E8E"/>
    <w:p w14:paraId="0E0C0C6D" w14:textId="77777777" w:rsidR="007A6454" w:rsidRDefault="00E85766" w:rsidP="00562E8E">
      <w:r w:rsidRPr="00601A89">
        <w:t>Through this process</w:t>
      </w:r>
      <w:r>
        <w:t>,</w:t>
      </w:r>
      <w:r w:rsidRPr="00601A89">
        <w:t xml:space="preserve"> radiation therapy will be competing for investment against other services, </w:t>
      </w:r>
      <w:r>
        <w:t>so it is critical</w:t>
      </w:r>
      <w:r w:rsidRPr="00601A89">
        <w:t xml:space="preserve"> to demonstrate value for money. </w:t>
      </w:r>
      <w:r>
        <w:t>In reviewing c</w:t>
      </w:r>
      <w:r w:rsidRPr="00601A89">
        <w:t>ost information from five DHB radiation oncology providers</w:t>
      </w:r>
      <w:r>
        <w:t>, the first national plan</w:t>
      </w:r>
      <w:r w:rsidRPr="00601A89">
        <w:t xml:space="preserve"> </w:t>
      </w:r>
      <w:r>
        <w:t>found indications of</w:t>
      </w:r>
      <w:r w:rsidRPr="00601A89">
        <w:t xml:space="preserve"> considerable variation.</w:t>
      </w:r>
      <w:r>
        <w:t xml:space="preserve"> It also identified</w:t>
      </w:r>
      <w:r w:rsidRPr="00601A89">
        <w:t xml:space="preserve"> significant opportunities to improve operational performance. For example, </w:t>
      </w:r>
      <w:r>
        <w:t>it would be possible to reduce the</w:t>
      </w:r>
      <w:r w:rsidRPr="00601A89">
        <w:t xml:space="preserve"> additional linacs</w:t>
      </w:r>
      <w:r>
        <w:t xml:space="preserve"> required</w:t>
      </w:r>
      <w:r w:rsidRPr="00601A89">
        <w:t xml:space="preserve"> for the growth scenario </w:t>
      </w:r>
      <w:r>
        <w:t>by up to six linacs by</w:t>
      </w:r>
      <w:r w:rsidRPr="00601A89">
        <w:t xml:space="preserve"> coupling a 1</w:t>
      </w:r>
      <w:r w:rsidR="00562E8E">
        <w:t> percent</w:t>
      </w:r>
      <w:r w:rsidRPr="00601A89">
        <w:t xml:space="preserve"> operational gain per year with a longer </w:t>
      </w:r>
      <w:r>
        <w:t xml:space="preserve">day of </w:t>
      </w:r>
      <w:r w:rsidRPr="00601A89">
        <w:t xml:space="preserve">linac </w:t>
      </w:r>
      <w:r>
        <w:t>use</w:t>
      </w:r>
      <w:r w:rsidRPr="00601A89">
        <w:t xml:space="preserve"> (</w:t>
      </w:r>
      <w:r>
        <w:t>for example</w:t>
      </w:r>
      <w:r w:rsidRPr="00601A89">
        <w:t>, 10</w:t>
      </w:r>
      <w:r w:rsidR="00562E8E">
        <w:t> </w:t>
      </w:r>
      <w:r w:rsidRPr="00601A89">
        <w:t xml:space="preserve">instead of 8 hours in peak months). </w:t>
      </w:r>
      <w:r>
        <w:t>S</w:t>
      </w:r>
      <w:r w:rsidRPr="00601A89">
        <w:t>taff numbers and ratios across the providers</w:t>
      </w:r>
      <w:r>
        <w:t xml:space="preserve"> vary,</w:t>
      </w:r>
      <w:r w:rsidRPr="00601A89">
        <w:t xml:space="preserve"> suggest</w:t>
      </w:r>
      <w:r>
        <w:t>ing providers differ in</w:t>
      </w:r>
      <w:r w:rsidRPr="00601A89">
        <w:t xml:space="preserve"> </w:t>
      </w:r>
      <w:r>
        <w:t xml:space="preserve">their </w:t>
      </w:r>
      <w:r w:rsidRPr="00601A89">
        <w:t>model</w:t>
      </w:r>
      <w:r>
        <w:t>s</w:t>
      </w:r>
      <w:r w:rsidRPr="00601A89">
        <w:t xml:space="preserve"> of care. Attention to this </w:t>
      </w:r>
      <w:r>
        <w:t xml:space="preserve">issue </w:t>
      </w:r>
      <w:r w:rsidRPr="00601A89">
        <w:t>could also improve operational efficiencies.</w:t>
      </w:r>
    </w:p>
    <w:p w14:paraId="7F457C86" w14:textId="77777777" w:rsidR="00E85766" w:rsidRPr="00601A89" w:rsidRDefault="00E85766" w:rsidP="00562E8E"/>
    <w:p w14:paraId="27C71319" w14:textId="77777777" w:rsidR="00E85766" w:rsidRPr="00601A89" w:rsidRDefault="00E85766" w:rsidP="00562E8E">
      <w:pPr>
        <w:pStyle w:val="Heading4"/>
      </w:pPr>
      <w:r w:rsidRPr="00601A89">
        <w:t>Priority 3: Actions – Roadmap</w:t>
      </w:r>
    </w:p>
    <w:p w14:paraId="1B3467A6" w14:textId="77777777" w:rsidR="00E85766" w:rsidRPr="00601A89" w:rsidRDefault="00E85766" w:rsidP="00562E8E">
      <w:r>
        <w:fldChar w:fldCharType="begin"/>
      </w:r>
      <w:r>
        <w:instrText xml:space="preserve"> REF _Ref470858704 \h </w:instrText>
      </w:r>
      <w:r>
        <w:fldChar w:fldCharType="separate"/>
      </w:r>
      <w:r w:rsidR="00E2252F">
        <w:t xml:space="preserve">Table </w:t>
      </w:r>
      <w:r w:rsidR="00E2252F">
        <w:rPr>
          <w:noProof/>
        </w:rPr>
        <w:t>6</w:t>
      </w:r>
      <w:r>
        <w:fldChar w:fldCharType="end"/>
      </w:r>
      <w:r>
        <w:t xml:space="preserve"> lists the</w:t>
      </w:r>
      <w:r w:rsidRPr="00601A89">
        <w:t xml:space="preserve"> actions </w:t>
      </w:r>
      <w:r>
        <w:t xml:space="preserve">planned to </w:t>
      </w:r>
      <w:r w:rsidRPr="00601A89">
        <w:t xml:space="preserve">support capacity and service planning to </w:t>
      </w:r>
      <w:r>
        <w:t>make radiation oncology services</w:t>
      </w:r>
      <w:r w:rsidRPr="00601A89">
        <w:t xml:space="preserve"> sustainab</w:t>
      </w:r>
      <w:r>
        <w:t>le.</w:t>
      </w:r>
    </w:p>
    <w:p w14:paraId="4478FC4F" w14:textId="77777777" w:rsidR="00E85766" w:rsidRDefault="00E85766" w:rsidP="00562E8E"/>
    <w:p w14:paraId="70743498" w14:textId="77777777" w:rsidR="00E85766" w:rsidRPr="00601A89" w:rsidRDefault="00E85766" w:rsidP="00562E8E">
      <w:pPr>
        <w:pStyle w:val="Table"/>
      </w:pPr>
      <w:bookmarkStart w:id="75" w:name="_Ref470858704"/>
      <w:bookmarkStart w:id="76" w:name="_Toc475954096"/>
      <w:r>
        <w:t xml:space="preserve">Table </w:t>
      </w:r>
      <w:r w:rsidR="003B40AB">
        <w:fldChar w:fldCharType="begin"/>
      </w:r>
      <w:r w:rsidR="003B40AB">
        <w:instrText xml:space="preserve"> SEQ Table \* ARABIC </w:instrText>
      </w:r>
      <w:r w:rsidR="003B40AB">
        <w:fldChar w:fldCharType="separate"/>
      </w:r>
      <w:r w:rsidR="00E2252F">
        <w:rPr>
          <w:noProof/>
        </w:rPr>
        <w:t>6</w:t>
      </w:r>
      <w:r w:rsidR="003B40AB">
        <w:rPr>
          <w:noProof/>
        </w:rPr>
        <w:fldChar w:fldCharType="end"/>
      </w:r>
      <w:bookmarkEnd w:id="75"/>
      <w:r>
        <w:t>: Actions to make radiation oncology services sustainable</w:t>
      </w:r>
      <w:bookmarkEnd w:id="76"/>
    </w:p>
    <w:tbl>
      <w:tblPr>
        <w:tblW w:w="9356"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26"/>
        <w:gridCol w:w="2693"/>
        <w:gridCol w:w="5103"/>
        <w:gridCol w:w="1134"/>
      </w:tblGrid>
      <w:tr w:rsidR="00E85766" w:rsidRPr="00562E8E" w14:paraId="0AE1A4AF" w14:textId="77777777" w:rsidTr="00056483">
        <w:trPr>
          <w:cantSplit/>
          <w:tblHeader/>
        </w:trPr>
        <w:tc>
          <w:tcPr>
            <w:tcW w:w="426" w:type="dxa"/>
            <w:tcBorders>
              <w:top w:val="single" w:sz="4" w:space="0" w:color="auto"/>
              <w:bottom w:val="single" w:sz="4" w:space="0" w:color="auto"/>
            </w:tcBorders>
            <w:shd w:val="clear" w:color="auto" w:fill="auto"/>
          </w:tcPr>
          <w:p w14:paraId="35129984" w14:textId="77777777" w:rsidR="00E85766" w:rsidRPr="00562E8E" w:rsidRDefault="00E85766" w:rsidP="00562E8E">
            <w:pPr>
              <w:pStyle w:val="TableText"/>
              <w:rPr>
                <w:b/>
                <w:lang w:eastAsia="en-NZ"/>
              </w:rPr>
            </w:pPr>
          </w:p>
        </w:tc>
        <w:tc>
          <w:tcPr>
            <w:tcW w:w="2693" w:type="dxa"/>
            <w:tcBorders>
              <w:top w:val="single" w:sz="4" w:space="0" w:color="auto"/>
              <w:bottom w:val="single" w:sz="4" w:space="0" w:color="auto"/>
            </w:tcBorders>
            <w:shd w:val="clear" w:color="auto" w:fill="auto"/>
          </w:tcPr>
          <w:p w14:paraId="25981ED1" w14:textId="77777777" w:rsidR="00E85766" w:rsidRPr="00562E8E" w:rsidRDefault="00E85766" w:rsidP="002A70F6">
            <w:pPr>
              <w:pStyle w:val="TableText"/>
              <w:ind w:right="142"/>
              <w:rPr>
                <w:b/>
                <w:lang w:eastAsia="en-NZ"/>
              </w:rPr>
            </w:pPr>
            <w:r w:rsidRPr="00562E8E">
              <w:rPr>
                <w:b/>
                <w:lang w:eastAsia="en-NZ"/>
              </w:rPr>
              <w:t>Action</w:t>
            </w:r>
          </w:p>
        </w:tc>
        <w:tc>
          <w:tcPr>
            <w:tcW w:w="5103" w:type="dxa"/>
            <w:tcBorders>
              <w:top w:val="single" w:sz="4" w:space="0" w:color="auto"/>
              <w:bottom w:val="single" w:sz="4" w:space="0" w:color="auto"/>
            </w:tcBorders>
            <w:shd w:val="clear" w:color="auto" w:fill="auto"/>
          </w:tcPr>
          <w:p w14:paraId="57E304CD" w14:textId="77777777" w:rsidR="00E85766" w:rsidRPr="00562E8E" w:rsidRDefault="00E85766" w:rsidP="002A70F6">
            <w:pPr>
              <w:pStyle w:val="TableText"/>
              <w:ind w:right="142"/>
              <w:rPr>
                <w:b/>
                <w:lang w:eastAsia="en-NZ"/>
              </w:rPr>
            </w:pPr>
            <w:r w:rsidRPr="00562E8E">
              <w:rPr>
                <w:b/>
                <w:lang w:eastAsia="en-NZ"/>
              </w:rPr>
              <w:t>Who is involved</w:t>
            </w:r>
          </w:p>
        </w:tc>
        <w:tc>
          <w:tcPr>
            <w:tcW w:w="1134" w:type="dxa"/>
            <w:tcBorders>
              <w:top w:val="single" w:sz="4" w:space="0" w:color="auto"/>
              <w:bottom w:val="single" w:sz="4" w:space="0" w:color="auto"/>
            </w:tcBorders>
            <w:shd w:val="clear" w:color="auto" w:fill="auto"/>
          </w:tcPr>
          <w:p w14:paraId="3B3C1440" w14:textId="77777777" w:rsidR="00E85766" w:rsidRPr="00562E8E" w:rsidRDefault="00E85766" w:rsidP="00562E8E">
            <w:pPr>
              <w:pStyle w:val="TableText"/>
              <w:rPr>
                <w:b/>
                <w:lang w:eastAsia="en-NZ"/>
              </w:rPr>
            </w:pPr>
            <w:r w:rsidRPr="00562E8E">
              <w:rPr>
                <w:b/>
                <w:lang w:eastAsia="en-NZ"/>
              </w:rPr>
              <w:t>By when</w:t>
            </w:r>
          </w:p>
        </w:tc>
      </w:tr>
      <w:tr w:rsidR="00E85766" w:rsidRPr="00601A89" w14:paraId="2E7442CA" w14:textId="77777777" w:rsidTr="00056483">
        <w:trPr>
          <w:cantSplit/>
        </w:trPr>
        <w:tc>
          <w:tcPr>
            <w:tcW w:w="426" w:type="dxa"/>
            <w:tcBorders>
              <w:top w:val="single" w:sz="4" w:space="0" w:color="auto"/>
              <w:bottom w:val="single" w:sz="4" w:space="0" w:color="BFBFBF" w:themeColor="background1" w:themeShade="BF"/>
            </w:tcBorders>
            <w:shd w:val="clear" w:color="auto" w:fill="auto"/>
          </w:tcPr>
          <w:p w14:paraId="0D77815A" w14:textId="77777777" w:rsidR="00E85766" w:rsidRPr="00601A89" w:rsidRDefault="00E85766" w:rsidP="00562E8E">
            <w:pPr>
              <w:pStyle w:val="TableText"/>
              <w:rPr>
                <w:color w:val="000000"/>
                <w:lang w:eastAsia="en-NZ"/>
              </w:rPr>
            </w:pPr>
            <w:r w:rsidRPr="00601A89">
              <w:rPr>
                <w:color w:val="000000"/>
                <w:lang w:eastAsia="en-NZ"/>
              </w:rPr>
              <w:t>3.1</w:t>
            </w:r>
          </w:p>
        </w:tc>
        <w:tc>
          <w:tcPr>
            <w:tcW w:w="2693" w:type="dxa"/>
            <w:tcBorders>
              <w:top w:val="single" w:sz="4" w:space="0" w:color="auto"/>
              <w:bottom w:val="single" w:sz="4" w:space="0" w:color="BFBFBF" w:themeColor="background1" w:themeShade="BF"/>
            </w:tcBorders>
            <w:shd w:val="clear" w:color="auto" w:fill="auto"/>
            <w:noWrap/>
          </w:tcPr>
          <w:p w14:paraId="3CAA20E1" w14:textId="77777777" w:rsidR="00E85766" w:rsidRPr="00601A89" w:rsidRDefault="00E85766" w:rsidP="002A70F6">
            <w:pPr>
              <w:pStyle w:val="TableText"/>
              <w:ind w:right="142"/>
              <w:rPr>
                <w:color w:val="000000"/>
                <w:lang w:eastAsia="en-NZ"/>
              </w:rPr>
            </w:pPr>
            <w:r>
              <w:rPr>
                <w:color w:val="000000"/>
                <w:lang w:eastAsia="en-NZ"/>
              </w:rPr>
              <w:t>R</w:t>
            </w:r>
            <w:r w:rsidRPr="00601A89">
              <w:rPr>
                <w:color w:val="000000"/>
                <w:lang w:eastAsia="en-NZ"/>
              </w:rPr>
              <w:t>eview the radiation oncology service and capacity implementation plan</w:t>
            </w:r>
            <w:r>
              <w:rPr>
                <w:color w:val="000000"/>
                <w:lang w:eastAsia="en-NZ"/>
              </w:rPr>
              <w:t xml:space="preserve"> every two years</w:t>
            </w:r>
            <w:r w:rsidRPr="00601A89">
              <w:rPr>
                <w:color w:val="000000"/>
                <w:lang w:eastAsia="en-NZ"/>
              </w:rPr>
              <w:t xml:space="preserve">, </w:t>
            </w:r>
            <w:r>
              <w:rPr>
                <w:color w:val="000000"/>
                <w:lang w:eastAsia="en-NZ"/>
              </w:rPr>
              <w:t>which includes</w:t>
            </w:r>
            <w:r w:rsidRPr="00601A89">
              <w:rPr>
                <w:color w:val="000000"/>
                <w:lang w:eastAsia="en-NZ"/>
              </w:rPr>
              <w:t xml:space="preserve"> review</w:t>
            </w:r>
            <w:r>
              <w:rPr>
                <w:color w:val="000000"/>
                <w:lang w:eastAsia="en-NZ"/>
              </w:rPr>
              <w:t>ing</w:t>
            </w:r>
            <w:r w:rsidRPr="00601A89">
              <w:rPr>
                <w:color w:val="000000"/>
                <w:lang w:eastAsia="en-NZ"/>
              </w:rPr>
              <w:t xml:space="preserve"> the Tool</w:t>
            </w:r>
            <w:r w:rsidR="007A6454">
              <w:rPr>
                <w:color w:val="000000"/>
                <w:lang w:eastAsia="en-NZ"/>
              </w:rPr>
              <w:t>’</w:t>
            </w:r>
            <w:r w:rsidRPr="00601A89">
              <w:rPr>
                <w:color w:val="000000"/>
                <w:lang w:eastAsia="en-NZ"/>
              </w:rPr>
              <w:t>s variables and assumptions</w:t>
            </w:r>
          </w:p>
        </w:tc>
        <w:tc>
          <w:tcPr>
            <w:tcW w:w="5103" w:type="dxa"/>
            <w:tcBorders>
              <w:top w:val="single" w:sz="4" w:space="0" w:color="auto"/>
              <w:bottom w:val="single" w:sz="4" w:space="0" w:color="BFBFBF" w:themeColor="background1" w:themeShade="BF"/>
            </w:tcBorders>
            <w:shd w:val="clear" w:color="auto" w:fill="auto"/>
            <w:noWrap/>
          </w:tcPr>
          <w:p w14:paraId="65BC20A4" w14:textId="77777777" w:rsidR="00E85766" w:rsidRPr="00601A89" w:rsidRDefault="00E85766" w:rsidP="002A70F6">
            <w:pPr>
              <w:pStyle w:val="TableText"/>
              <w:ind w:right="142"/>
              <w:rPr>
                <w:color w:val="000000"/>
                <w:lang w:eastAsia="en-NZ"/>
              </w:rPr>
            </w:pPr>
            <w:r w:rsidRPr="00601A89">
              <w:rPr>
                <w:color w:val="000000"/>
                <w:lang w:eastAsia="en-NZ"/>
              </w:rPr>
              <w:t>ROWG will review the variables applied for service and capacity planning and make recommendations to the Ministry on suggested changes</w:t>
            </w:r>
            <w:r w:rsidR="00056483">
              <w:rPr>
                <w:color w:val="000000"/>
                <w:lang w:eastAsia="en-NZ"/>
              </w:rPr>
              <w:t>.</w:t>
            </w:r>
          </w:p>
        </w:tc>
        <w:tc>
          <w:tcPr>
            <w:tcW w:w="1134" w:type="dxa"/>
            <w:tcBorders>
              <w:top w:val="single" w:sz="4" w:space="0" w:color="auto"/>
              <w:bottom w:val="single" w:sz="4" w:space="0" w:color="BFBFBF" w:themeColor="background1" w:themeShade="BF"/>
            </w:tcBorders>
            <w:shd w:val="clear" w:color="auto" w:fill="auto"/>
          </w:tcPr>
          <w:p w14:paraId="7D3D29A9" w14:textId="77777777" w:rsidR="00E85766" w:rsidRPr="00601A89" w:rsidRDefault="00E85766" w:rsidP="00562E8E">
            <w:pPr>
              <w:pStyle w:val="TableText"/>
              <w:rPr>
                <w:color w:val="000000"/>
                <w:lang w:eastAsia="en-NZ"/>
              </w:rPr>
            </w:pPr>
            <w:r>
              <w:rPr>
                <w:color w:val="000000"/>
                <w:lang w:eastAsia="en-NZ"/>
              </w:rPr>
              <w:t>2017</w:t>
            </w:r>
            <w:r w:rsidRPr="00601A89">
              <w:rPr>
                <w:color w:val="000000"/>
                <w:lang w:eastAsia="en-NZ"/>
              </w:rPr>
              <w:t>–2021</w:t>
            </w:r>
          </w:p>
        </w:tc>
      </w:tr>
      <w:tr w:rsidR="002A70F6" w:rsidRPr="00601A89" w14:paraId="0677194C" w14:textId="77777777" w:rsidTr="00056483">
        <w:trPr>
          <w:cantSplit/>
        </w:trPr>
        <w:tc>
          <w:tcPr>
            <w:tcW w:w="426" w:type="dxa"/>
            <w:vMerge w:val="restart"/>
            <w:tcBorders>
              <w:top w:val="single" w:sz="4" w:space="0" w:color="BFBFBF" w:themeColor="background1" w:themeShade="BF"/>
              <w:bottom w:val="nil"/>
            </w:tcBorders>
            <w:shd w:val="clear" w:color="auto" w:fill="auto"/>
          </w:tcPr>
          <w:p w14:paraId="3D3305BE" w14:textId="77777777" w:rsidR="002A70F6" w:rsidRPr="00601A89" w:rsidRDefault="002A70F6" w:rsidP="00562E8E">
            <w:pPr>
              <w:pStyle w:val="TableText"/>
              <w:rPr>
                <w:color w:val="000000"/>
                <w:lang w:eastAsia="en-NZ"/>
              </w:rPr>
            </w:pPr>
            <w:r>
              <w:rPr>
                <w:color w:val="000000"/>
                <w:lang w:eastAsia="en-NZ"/>
              </w:rPr>
              <w:t>3.2</w:t>
            </w:r>
          </w:p>
        </w:tc>
        <w:tc>
          <w:tcPr>
            <w:tcW w:w="2693" w:type="dxa"/>
            <w:vMerge w:val="restart"/>
            <w:tcBorders>
              <w:top w:val="single" w:sz="4" w:space="0" w:color="BFBFBF" w:themeColor="background1" w:themeShade="BF"/>
              <w:bottom w:val="nil"/>
            </w:tcBorders>
            <w:shd w:val="clear" w:color="auto" w:fill="auto"/>
            <w:noWrap/>
          </w:tcPr>
          <w:p w14:paraId="69701300" w14:textId="77777777" w:rsidR="002A70F6" w:rsidRPr="00601A89" w:rsidRDefault="002A70F6" w:rsidP="002A70F6">
            <w:pPr>
              <w:pStyle w:val="TableText"/>
              <w:ind w:right="142"/>
              <w:rPr>
                <w:color w:val="000000"/>
                <w:lang w:eastAsia="en-NZ"/>
              </w:rPr>
            </w:pPr>
            <w:r w:rsidRPr="00601A89">
              <w:rPr>
                <w:color w:val="000000"/>
                <w:lang w:eastAsia="en-NZ"/>
              </w:rPr>
              <w:t>Establish a nationwide process for evaluati</w:t>
            </w:r>
            <w:r>
              <w:rPr>
                <w:color w:val="000000"/>
                <w:lang w:eastAsia="en-NZ"/>
              </w:rPr>
              <w:t>ng</w:t>
            </w:r>
            <w:r w:rsidRPr="00601A89">
              <w:rPr>
                <w:color w:val="000000"/>
                <w:lang w:eastAsia="en-NZ"/>
              </w:rPr>
              <w:t xml:space="preserve"> and adopti</w:t>
            </w:r>
            <w:r>
              <w:rPr>
                <w:color w:val="000000"/>
                <w:lang w:eastAsia="en-NZ"/>
              </w:rPr>
              <w:t>ng</w:t>
            </w:r>
            <w:r w:rsidRPr="00601A89">
              <w:rPr>
                <w:color w:val="000000"/>
                <w:lang w:eastAsia="en-NZ"/>
              </w:rPr>
              <w:t xml:space="preserve"> new radiation oncology technologies</w:t>
            </w:r>
          </w:p>
        </w:tc>
        <w:tc>
          <w:tcPr>
            <w:tcW w:w="5103" w:type="dxa"/>
            <w:tcBorders>
              <w:top w:val="single" w:sz="4" w:space="0" w:color="BFBFBF" w:themeColor="background1" w:themeShade="BF"/>
              <w:bottom w:val="nil"/>
            </w:tcBorders>
            <w:shd w:val="clear" w:color="auto" w:fill="auto"/>
            <w:noWrap/>
          </w:tcPr>
          <w:p w14:paraId="0B95E40F" w14:textId="77777777" w:rsidR="002A70F6" w:rsidRPr="00601A89" w:rsidRDefault="002A70F6" w:rsidP="002A70F6">
            <w:pPr>
              <w:pStyle w:val="TableText"/>
              <w:ind w:right="142"/>
              <w:rPr>
                <w:color w:val="000000"/>
                <w:lang w:eastAsia="en-NZ"/>
              </w:rPr>
            </w:pPr>
            <w:r w:rsidRPr="00601A89">
              <w:rPr>
                <w:color w:val="000000"/>
                <w:lang w:eastAsia="en-NZ"/>
              </w:rPr>
              <w:t xml:space="preserve">ROWG and the Ministry will define the criteria for technologies that require national evaluation </w:t>
            </w:r>
            <w:r>
              <w:rPr>
                <w:color w:val="000000"/>
                <w:lang w:eastAsia="en-NZ"/>
              </w:rPr>
              <w:t>before they are adopted</w:t>
            </w:r>
            <w:r w:rsidR="00056483">
              <w:rPr>
                <w:color w:val="000000"/>
                <w:lang w:eastAsia="en-NZ"/>
              </w:rPr>
              <w:t>.</w:t>
            </w:r>
          </w:p>
        </w:tc>
        <w:tc>
          <w:tcPr>
            <w:tcW w:w="1134" w:type="dxa"/>
            <w:tcBorders>
              <w:top w:val="single" w:sz="4" w:space="0" w:color="BFBFBF" w:themeColor="background1" w:themeShade="BF"/>
              <w:bottom w:val="nil"/>
            </w:tcBorders>
            <w:shd w:val="clear" w:color="auto" w:fill="auto"/>
          </w:tcPr>
          <w:p w14:paraId="105ACCFF" w14:textId="77777777" w:rsidR="002A70F6" w:rsidRPr="00601A89" w:rsidRDefault="002A70F6" w:rsidP="00562E8E">
            <w:pPr>
              <w:pStyle w:val="TableText"/>
              <w:rPr>
                <w:color w:val="000000"/>
                <w:lang w:eastAsia="en-NZ"/>
              </w:rPr>
            </w:pPr>
            <w:r>
              <w:rPr>
                <w:color w:val="000000"/>
                <w:lang w:eastAsia="en-NZ"/>
              </w:rPr>
              <w:t>2018</w:t>
            </w:r>
          </w:p>
        </w:tc>
      </w:tr>
      <w:tr w:rsidR="002A70F6" w:rsidRPr="00601A89" w14:paraId="603B58C4" w14:textId="77777777" w:rsidTr="00056483">
        <w:trPr>
          <w:cantSplit/>
        </w:trPr>
        <w:tc>
          <w:tcPr>
            <w:tcW w:w="426" w:type="dxa"/>
            <w:vMerge/>
            <w:tcBorders>
              <w:top w:val="nil"/>
              <w:bottom w:val="single" w:sz="4" w:space="0" w:color="BFBFBF" w:themeColor="background1" w:themeShade="BF"/>
            </w:tcBorders>
            <w:shd w:val="clear" w:color="auto" w:fill="auto"/>
          </w:tcPr>
          <w:p w14:paraId="2212371A" w14:textId="77777777" w:rsidR="002A70F6" w:rsidRPr="00601A89" w:rsidRDefault="002A70F6" w:rsidP="00562E8E">
            <w:pPr>
              <w:pStyle w:val="TableText"/>
              <w:rPr>
                <w:color w:val="000000"/>
                <w:lang w:eastAsia="en-NZ"/>
              </w:rPr>
            </w:pPr>
          </w:p>
        </w:tc>
        <w:tc>
          <w:tcPr>
            <w:tcW w:w="2693" w:type="dxa"/>
            <w:vMerge/>
            <w:tcBorders>
              <w:top w:val="nil"/>
              <w:bottom w:val="single" w:sz="4" w:space="0" w:color="BFBFBF" w:themeColor="background1" w:themeShade="BF"/>
            </w:tcBorders>
            <w:shd w:val="clear" w:color="auto" w:fill="auto"/>
            <w:noWrap/>
          </w:tcPr>
          <w:p w14:paraId="2FD8A6A8" w14:textId="77777777" w:rsidR="002A70F6" w:rsidRPr="00601A89" w:rsidRDefault="002A70F6" w:rsidP="002A70F6">
            <w:pPr>
              <w:pStyle w:val="TableText"/>
              <w:ind w:right="142"/>
              <w:rPr>
                <w:color w:val="000000"/>
                <w:lang w:eastAsia="en-NZ"/>
              </w:rPr>
            </w:pPr>
          </w:p>
        </w:tc>
        <w:tc>
          <w:tcPr>
            <w:tcW w:w="5103" w:type="dxa"/>
            <w:tcBorders>
              <w:top w:val="nil"/>
              <w:bottom w:val="single" w:sz="4" w:space="0" w:color="BFBFBF" w:themeColor="background1" w:themeShade="BF"/>
            </w:tcBorders>
            <w:shd w:val="clear" w:color="auto" w:fill="auto"/>
            <w:noWrap/>
          </w:tcPr>
          <w:p w14:paraId="257E3614" w14:textId="77777777" w:rsidR="002A70F6" w:rsidRPr="00601A89" w:rsidRDefault="002A70F6" w:rsidP="002A70F6">
            <w:pPr>
              <w:pStyle w:val="TableText"/>
              <w:ind w:right="142"/>
              <w:rPr>
                <w:color w:val="000000"/>
                <w:lang w:eastAsia="en-NZ"/>
              </w:rPr>
            </w:pPr>
            <w:r w:rsidRPr="00601A89">
              <w:rPr>
                <w:color w:val="000000"/>
                <w:lang w:eastAsia="en-NZ"/>
              </w:rPr>
              <w:t>The Ministry will work with ROWG, the RCNs and the radiation oncology providers to establish a nationwide process for evaluati</w:t>
            </w:r>
            <w:r>
              <w:rPr>
                <w:color w:val="000000"/>
                <w:lang w:eastAsia="en-NZ"/>
              </w:rPr>
              <w:t xml:space="preserve">ng </w:t>
            </w:r>
            <w:r w:rsidRPr="00601A89">
              <w:rPr>
                <w:color w:val="000000"/>
                <w:lang w:eastAsia="en-NZ"/>
              </w:rPr>
              <w:t>and adopti</w:t>
            </w:r>
            <w:r>
              <w:rPr>
                <w:color w:val="000000"/>
                <w:lang w:eastAsia="en-NZ"/>
              </w:rPr>
              <w:t>ng</w:t>
            </w:r>
            <w:r w:rsidRPr="00601A89">
              <w:rPr>
                <w:color w:val="000000"/>
                <w:lang w:eastAsia="en-NZ"/>
              </w:rPr>
              <w:t xml:space="preserve"> new technologies</w:t>
            </w:r>
            <w:r w:rsidR="00056483">
              <w:rPr>
                <w:color w:val="000000"/>
                <w:lang w:eastAsia="en-NZ"/>
              </w:rPr>
              <w:t>.</w:t>
            </w:r>
          </w:p>
          <w:p w14:paraId="75ED55D5" w14:textId="77777777" w:rsidR="002A70F6" w:rsidRPr="00601A89" w:rsidRDefault="002A70F6" w:rsidP="002A70F6">
            <w:pPr>
              <w:pStyle w:val="TableText"/>
              <w:ind w:right="142"/>
              <w:rPr>
                <w:color w:val="000000"/>
                <w:lang w:eastAsia="en-NZ"/>
              </w:rPr>
            </w:pPr>
            <w:r>
              <w:rPr>
                <w:color w:val="000000"/>
                <w:lang w:eastAsia="en-NZ"/>
              </w:rPr>
              <w:t>Following</w:t>
            </w:r>
            <w:r w:rsidRPr="00601A89">
              <w:rPr>
                <w:color w:val="000000"/>
                <w:lang w:eastAsia="en-NZ"/>
              </w:rPr>
              <w:t xml:space="preserve"> the process for evaluati</w:t>
            </w:r>
            <w:r>
              <w:rPr>
                <w:color w:val="000000"/>
                <w:lang w:eastAsia="en-NZ"/>
              </w:rPr>
              <w:t>ng</w:t>
            </w:r>
            <w:r w:rsidRPr="00601A89">
              <w:rPr>
                <w:color w:val="000000"/>
                <w:lang w:eastAsia="en-NZ"/>
              </w:rPr>
              <w:t xml:space="preserve"> and adopti</w:t>
            </w:r>
            <w:r>
              <w:rPr>
                <w:color w:val="000000"/>
                <w:lang w:eastAsia="en-NZ"/>
              </w:rPr>
              <w:t>ng</w:t>
            </w:r>
            <w:r w:rsidRPr="00601A89">
              <w:rPr>
                <w:color w:val="000000"/>
                <w:lang w:eastAsia="en-NZ"/>
              </w:rPr>
              <w:t xml:space="preserve"> new technologies will include nationwide service and capacity planning to identify the appropriate configuration</w:t>
            </w:r>
            <w:r w:rsidR="00056483">
              <w:rPr>
                <w:color w:val="000000"/>
                <w:lang w:eastAsia="en-NZ"/>
              </w:rPr>
              <w:t>.</w:t>
            </w:r>
          </w:p>
        </w:tc>
        <w:tc>
          <w:tcPr>
            <w:tcW w:w="1134" w:type="dxa"/>
            <w:tcBorders>
              <w:top w:val="nil"/>
              <w:bottom w:val="single" w:sz="4" w:space="0" w:color="BFBFBF" w:themeColor="background1" w:themeShade="BF"/>
            </w:tcBorders>
            <w:shd w:val="clear" w:color="auto" w:fill="auto"/>
          </w:tcPr>
          <w:p w14:paraId="2D02D1E7" w14:textId="77777777" w:rsidR="002A70F6" w:rsidRPr="00601A89" w:rsidRDefault="002A70F6" w:rsidP="00562E8E">
            <w:pPr>
              <w:pStyle w:val="TableText"/>
              <w:rPr>
                <w:color w:val="000000"/>
                <w:lang w:eastAsia="en-NZ"/>
              </w:rPr>
            </w:pPr>
            <w:r w:rsidRPr="00601A89">
              <w:rPr>
                <w:color w:val="000000"/>
                <w:lang w:eastAsia="en-NZ"/>
              </w:rPr>
              <w:t>2019 onwards</w:t>
            </w:r>
          </w:p>
        </w:tc>
      </w:tr>
      <w:tr w:rsidR="002A70F6" w:rsidRPr="00601A89" w14:paraId="1C1B3BA0" w14:textId="77777777" w:rsidTr="00056483">
        <w:trPr>
          <w:cantSplit/>
        </w:trPr>
        <w:tc>
          <w:tcPr>
            <w:tcW w:w="426" w:type="dxa"/>
            <w:vMerge w:val="restart"/>
            <w:tcBorders>
              <w:top w:val="single" w:sz="4" w:space="0" w:color="BFBFBF" w:themeColor="background1" w:themeShade="BF"/>
            </w:tcBorders>
            <w:shd w:val="clear" w:color="auto" w:fill="auto"/>
          </w:tcPr>
          <w:p w14:paraId="5FC94CD7" w14:textId="77777777" w:rsidR="002A70F6" w:rsidRPr="00601A89" w:rsidRDefault="002A70F6" w:rsidP="00562E8E">
            <w:pPr>
              <w:pStyle w:val="TableText"/>
              <w:rPr>
                <w:color w:val="000000"/>
                <w:lang w:eastAsia="en-NZ"/>
              </w:rPr>
            </w:pPr>
            <w:r w:rsidRPr="00601A89">
              <w:rPr>
                <w:color w:val="000000"/>
                <w:lang w:eastAsia="en-NZ"/>
              </w:rPr>
              <w:t>3.3</w:t>
            </w:r>
          </w:p>
        </w:tc>
        <w:tc>
          <w:tcPr>
            <w:tcW w:w="2693" w:type="dxa"/>
            <w:vMerge w:val="restart"/>
            <w:tcBorders>
              <w:top w:val="single" w:sz="4" w:space="0" w:color="BFBFBF" w:themeColor="background1" w:themeShade="BF"/>
            </w:tcBorders>
            <w:shd w:val="clear" w:color="auto" w:fill="auto"/>
            <w:noWrap/>
          </w:tcPr>
          <w:p w14:paraId="4895B4B0" w14:textId="77777777" w:rsidR="002A70F6" w:rsidRPr="00601A89" w:rsidRDefault="002A70F6" w:rsidP="002A70F6">
            <w:pPr>
              <w:pStyle w:val="TableText"/>
              <w:ind w:right="142"/>
              <w:rPr>
                <w:color w:val="000000"/>
                <w:lang w:eastAsia="en-NZ"/>
              </w:rPr>
            </w:pPr>
            <w:r w:rsidRPr="00601A89">
              <w:rPr>
                <w:color w:val="000000"/>
                <w:lang w:eastAsia="en-NZ"/>
              </w:rPr>
              <w:t>Explore developing areas of specialisation for radiation oncology providers to support more efficient use of high</w:t>
            </w:r>
            <w:r>
              <w:rPr>
                <w:color w:val="000000"/>
                <w:lang w:eastAsia="en-NZ"/>
              </w:rPr>
              <w:t>-</w:t>
            </w:r>
            <w:r w:rsidRPr="00601A89">
              <w:rPr>
                <w:color w:val="000000"/>
                <w:lang w:eastAsia="en-NZ"/>
              </w:rPr>
              <w:t>cost technologies</w:t>
            </w:r>
          </w:p>
        </w:tc>
        <w:tc>
          <w:tcPr>
            <w:tcW w:w="5103" w:type="dxa"/>
            <w:tcBorders>
              <w:top w:val="single" w:sz="4" w:space="0" w:color="BFBFBF" w:themeColor="background1" w:themeShade="BF"/>
            </w:tcBorders>
            <w:shd w:val="clear" w:color="auto" w:fill="auto"/>
            <w:noWrap/>
          </w:tcPr>
          <w:p w14:paraId="3241A2F3" w14:textId="77777777" w:rsidR="002A70F6" w:rsidRPr="00601A89" w:rsidRDefault="002A70F6" w:rsidP="002A70F6">
            <w:pPr>
              <w:pStyle w:val="TableText"/>
              <w:ind w:right="142"/>
              <w:rPr>
                <w:color w:val="000000"/>
                <w:lang w:eastAsia="en-NZ"/>
              </w:rPr>
            </w:pPr>
            <w:r w:rsidRPr="00601A89">
              <w:rPr>
                <w:color w:val="000000"/>
                <w:lang w:eastAsia="en-NZ"/>
              </w:rPr>
              <w:t>ROWG, DHBs and RCNs will work with radiation oncology providers to develop areas of specialisation that:</w:t>
            </w:r>
          </w:p>
          <w:p w14:paraId="1B15040B" w14:textId="77777777" w:rsidR="002A70F6" w:rsidRPr="00601A89" w:rsidRDefault="002A70F6" w:rsidP="002A70F6">
            <w:pPr>
              <w:pStyle w:val="TableBullet"/>
              <w:ind w:right="142"/>
              <w:rPr>
                <w:lang w:eastAsia="en-NZ"/>
              </w:rPr>
            </w:pPr>
            <w:r w:rsidRPr="00601A89">
              <w:rPr>
                <w:lang w:eastAsia="en-NZ"/>
              </w:rPr>
              <w:t>align with population flow and need</w:t>
            </w:r>
          </w:p>
          <w:p w14:paraId="1048E394" w14:textId="77777777" w:rsidR="002A70F6" w:rsidRPr="00601A89" w:rsidRDefault="002A70F6" w:rsidP="002A70F6">
            <w:pPr>
              <w:pStyle w:val="TableBullet"/>
              <w:ind w:right="142"/>
              <w:rPr>
                <w:color w:val="000000"/>
                <w:lang w:eastAsia="en-NZ"/>
              </w:rPr>
            </w:pPr>
            <w:r w:rsidRPr="00601A89">
              <w:rPr>
                <w:lang w:eastAsia="en-NZ"/>
              </w:rPr>
              <w:t>consider nationwide service and capacity planning to identify the appropriate configuration</w:t>
            </w:r>
            <w:r w:rsidR="00056483">
              <w:rPr>
                <w:lang w:eastAsia="en-NZ"/>
              </w:rPr>
              <w:t>.</w:t>
            </w:r>
          </w:p>
        </w:tc>
        <w:tc>
          <w:tcPr>
            <w:tcW w:w="1134" w:type="dxa"/>
            <w:tcBorders>
              <w:top w:val="single" w:sz="4" w:space="0" w:color="BFBFBF" w:themeColor="background1" w:themeShade="BF"/>
            </w:tcBorders>
            <w:shd w:val="clear" w:color="auto" w:fill="auto"/>
          </w:tcPr>
          <w:p w14:paraId="574F667A" w14:textId="77777777" w:rsidR="002A70F6" w:rsidRPr="00601A89" w:rsidRDefault="002A70F6" w:rsidP="00562E8E">
            <w:pPr>
              <w:pStyle w:val="TableText"/>
              <w:rPr>
                <w:color w:val="000000"/>
                <w:lang w:eastAsia="en-NZ"/>
              </w:rPr>
            </w:pPr>
            <w:r w:rsidRPr="00601A89">
              <w:rPr>
                <w:color w:val="000000"/>
                <w:lang w:eastAsia="en-NZ"/>
              </w:rPr>
              <w:t>2018</w:t>
            </w:r>
            <w:r>
              <w:rPr>
                <w:color w:val="000000"/>
                <w:lang w:eastAsia="en-NZ"/>
              </w:rPr>
              <w:t>–2019</w:t>
            </w:r>
          </w:p>
        </w:tc>
      </w:tr>
      <w:tr w:rsidR="002A70F6" w:rsidRPr="00601A89" w14:paraId="43E1A3A6" w14:textId="77777777" w:rsidTr="00056483">
        <w:trPr>
          <w:cantSplit/>
        </w:trPr>
        <w:tc>
          <w:tcPr>
            <w:tcW w:w="426" w:type="dxa"/>
            <w:vMerge/>
            <w:tcBorders>
              <w:bottom w:val="single" w:sz="4" w:space="0" w:color="auto"/>
            </w:tcBorders>
            <w:shd w:val="clear" w:color="auto" w:fill="auto"/>
          </w:tcPr>
          <w:p w14:paraId="5BCB32C7" w14:textId="77777777" w:rsidR="002A70F6" w:rsidRPr="00601A89" w:rsidRDefault="002A70F6" w:rsidP="00562E8E">
            <w:pPr>
              <w:pStyle w:val="TableText"/>
              <w:rPr>
                <w:color w:val="000000"/>
                <w:lang w:eastAsia="en-NZ"/>
              </w:rPr>
            </w:pPr>
          </w:p>
        </w:tc>
        <w:tc>
          <w:tcPr>
            <w:tcW w:w="2693" w:type="dxa"/>
            <w:vMerge/>
            <w:tcBorders>
              <w:bottom w:val="single" w:sz="4" w:space="0" w:color="auto"/>
            </w:tcBorders>
            <w:shd w:val="clear" w:color="auto" w:fill="auto"/>
            <w:noWrap/>
          </w:tcPr>
          <w:p w14:paraId="1D67EB57" w14:textId="77777777" w:rsidR="002A70F6" w:rsidRPr="00601A89" w:rsidRDefault="002A70F6" w:rsidP="002A70F6">
            <w:pPr>
              <w:pStyle w:val="TableText"/>
              <w:ind w:right="142"/>
              <w:rPr>
                <w:color w:val="000000"/>
                <w:lang w:eastAsia="en-NZ"/>
              </w:rPr>
            </w:pPr>
          </w:p>
        </w:tc>
        <w:tc>
          <w:tcPr>
            <w:tcW w:w="5103" w:type="dxa"/>
            <w:shd w:val="clear" w:color="auto" w:fill="auto"/>
            <w:noWrap/>
          </w:tcPr>
          <w:p w14:paraId="36BC236D" w14:textId="77777777" w:rsidR="002A70F6" w:rsidRPr="00601A89" w:rsidRDefault="002A70F6" w:rsidP="002A70F6">
            <w:pPr>
              <w:pStyle w:val="TableText"/>
              <w:ind w:right="142"/>
              <w:rPr>
                <w:color w:val="000000"/>
                <w:lang w:eastAsia="en-NZ"/>
              </w:rPr>
            </w:pPr>
            <w:r w:rsidRPr="00601A89">
              <w:rPr>
                <w:color w:val="000000"/>
                <w:lang w:eastAsia="en-NZ"/>
              </w:rPr>
              <w:t>Radiation oncology providers will begin to develop areas of specialisation</w:t>
            </w:r>
            <w:r w:rsidR="00056483">
              <w:rPr>
                <w:color w:val="000000"/>
                <w:lang w:eastAsia="en-NZ"/>
              </w:rPr>
              <w:t>.</w:t>
            </w:r>
          </w:p>
        </w:tc>
        <w:tc>
          <w:tcPr>
            <w:tcW w:w="1134" w:type="dxa"/>
            <w:shd w:val="clear" w:color="auto" w:fill="auto"/>
          </w:tcPr>
          <w:p w14:paraId="6AA7D6A0" w14:textId="77777777" w:rsidR="002A70F6" w:rsidRPr="00601A89" w:rsidRDefault="002A70F6" w:rsidP="00562E8E">
            <w:pPr>
              <w:pStyle w:val="TableText"/>
              <w:rPr>
                <w:color w:val="000000"/>
                <w:lang w:eastAsia="en-NZ"/>
              </w:rPr>
            </w:pPr>
            <w:r w:rsidRPr="00601A89">
              <w:rPr>
                <w:color w:val="000000"/>
                <w:lang w:eastAsia="en-NZ"/>
              </w:rPr>
              <w:t>2019</w:t>
            </w:r>
            <w:r>
              <w:rPr>
                <w:color w:val="000000"/>
                <w:lang w:eastAsia="en-NZ"/>
              </w:rPr>
              <w:t>–</w:t>
            </w:r>
            <w:r w:rsidRPr="00601A89">
              <w:rPr>
                <w:color w:val="000000"/>
                <w:lang w:eastAsia="en-NZ"/>
              </w:rPr>
              <w:t>2020</w:t>
            </w:r>
          </w:p>
        </w:tc>
      </w:tr>
      <w:tr w:rsidR="001162AC" w:rsidRPr="00601A89" w14:paraId="0F92D10E" w14:textId="77777777" w:rsidTr="00056483">
        <w:trPr>
          <w:cantSplit/>
        </w:trPr>
        <w:tc>
          <w:tcPr>
            <w:tcW w:w="426" w:type="dxa"/>
            <w:vMerge w:val="restart"/>
            <w:tcBorders>
              <w:top w:val="single" w:sz="4" w:space="0" w:color="auto"/>
              <w:bottom w:val="nil"/>
            </w:tcBorders>
            <w:shd w:val="clear" w:color="auto" w:fill="auto"/>
          </w:tcPr>
          <w:p w14:paraId="424FE3E2" w14:textId="77777777" w:rsidR="001162AC" w:rsidRPr="00601A89" w:rsidRDefault="001162AC" w:rsidP="001162AC">
            <w:pPr>
              <w:pStyle w:val="TableText"/>
              <w:keepNext/>
              <w:rPr>
                <w:color w:val="000000"/>
                <w:lang w:eastAsia="en-NZ"/>
              </w:rPr>
            </w:pPr>
            <w:r w:rsidRPr="00601A89">
              <w:rPr>
                <w:color w:val="000000"/>
                <w:lang w:eastAsia="en-NZ"/>
              </w:rPr>
              <w:lastRenderedPageBreak/>
              <w:t>3.4</w:t>
            </w:r>
          </w:p>
        </w:tc>
        <w:tc>
          <w:tcPr>
            <w:tcW w:w="2693" w:type="dxa"/>
            <w:vMerge w:val="restart"/>
            <w:tcBorders>
              <w:top w:val="single" w:sz="4" w:space="0" w:color="auto"/>
              <w:bottom w:val="nil"/>
            </w:tcBorders>
            <w:shd w:val="clear" w:color="auto" w:fill="auto"/>
            <w:noWrap/>
          </w:tcPr>
          <w:p w14:paraId="0DE62102" w14:textId="77777777" w:rsidR="001162AC" w:rsidRPr="00601A89" w:rsidRDefault="001162AC" w:rsidP="001162AC">
            <w:pPr>
              <w:pStyle w:val="TableText"/>
              <w:keepNext/>
              <w:ind w:right="142"/>
              <w:rPr>
                <w:color w:val="000000"/>
                <w:lang w:eastAsia="en-NZ"/>
              </w:rPr>
            </w:pPr>
            <w:r w:rsidRPr="00601A89">
              <w:rPr>
                <w:color w:val="000000"/>
                <w:lang w:eastAsia="en-NZ"/>
              </w:rPr>
              <w:t xml:space="preserve">Understand variation in productivity and efficiency across radiation oncology providers and take action to </w:t>
            </w:r>
            <w:r>
              <w:rPr>
                <w:color w:val="000000"/>
                <w:lang w:eastAsia="en-NZ"/>
              </w:rPr>
              <w:t>reduce this variation</w:t>
            </w:r>
          </w:p>
        </w:tc>
        <w:tc>
          <w:tcPr>
            <w:tcW w:w="5103" w:type="dxa"/>
            <w:shd w:val="clear" w:color="auto" w:fill="auto"/>
            <w:noWrap/>
          </w:tcPr>
          <w:p w14:paraId="508CFD47" w14:textId="77777777" w:rsidR="001162AC" w:rsidRPr="00601A89" w:rsidRDefault="001162AC" w:rsidP="001162AC">
            <w:pPr>
              <w:pStyle w:val="TableText"/>
              <w:keepNext/>
              <w:ind w:right="142"/>
              <w:rPr>
                <w:color w:val="000000"/>
                <w:lang w:eastAsia="en-NZ"/>
              </w:rPr>
            </w:pPr>
            <w:r w:rsidRPr="00601A89">
              <w:rPr>
                <w:color w:val="000000"/>
                <w:lang w:eastAsia="en-NZ"/>
              </w:rPr>
              <w:t>The Ministry and ROWG will incorporate productivity and efficiency metrics</w:t>
            </w:r>
            <w:r>
              <w:rPr>
                <w:color w:val="000000"/>
                <w:lang w:eastAsia="en-NZ"/>
              </w:rPr>
              <w:t>.</w:t>
            </w:r>
            <w:r w:rsidRPr="00601A89">
              <w:rPr>
                <w:color w:val="000000"/>
                <w:lang w:eastAsia="en-NZ"/>
              </w:rPr>
              <w:t xml:space="preserve"> </w:t>
            </w:r>
            <w:r>
              <w:rPr>
                <w:color w:val="000000"/>
                <w:lang w:eastAsia="en-NZ"/>
              </w:rPr>
              <w:t>Some of these metrics will be</w:t>
            </w:r>
            <w:r w:rsidRPr="00601A89">
              <w:rPr>
                <w:color w:val="000000"/>
                <w:lang w:eastAsia="en-NZ"/>
              </w:rPr>
              <w:t>:</w:t>
            </w:r>
          </w:p>
          <w:p w14:paraId="4BDD656F" w14:textId="77777777" w:rsidR="001162AC" w:rsidRPr="00601A89" w:rsidRDefault="001162AC" w:rsidP="001162AC">
            <w:pPr>
              <w:pStyle w:val="TableBullet"/>
              <w:keepNext/>
              <w:rPr>
                <w:lang w:eastAsia="en-NZ"/>
              </w:rPr>
            </w:pPr>
            <w:r w:rsidRPr="00601A89">
              <w:rPr>
                <w:lang w:eastAsia="en-NZ"/>
              </w:rPr>
              <w:t>workforce ratios</w:t>
            </w:r>
          </w:p>
          <w:p w14:paraId="07892899" w14:textId="77777777" w:rsidR="001162AC" w:rsidRPr="00601A89" w:rsidRDefault="001162AC" w:rsidP="001162AC">
            <w:pPr>
              <w:pStyle w:val="TableBullet"/>
              <w:keepNext/>
              <w:rPr>
                <w:lang w:eastAsia="en-NZ"/>
              </w:rPr>
            </w:pPr>
            <w:r w:rsidRPr="00601A89">
              <w:rPr>
                <w:lang w:eastAsia="en-NZ"/>
              </w:rPr>
              <w:t>average attendance time</w:t>
            </w:r>
          </w:p>
          <w:p w14:paraId="33E71DD2" w14:textId="77777777" w:rsidR="001162AC" w:rsidRPr="00601A89" w:rsidRDefault="001162AC" w:rsidP="001162AC">
            <w:pPr>
              <w:pStyle w:val="TableBullet"/>
              <w:keepNext/>
              <w:rPr>
                <w:lang w:eastAsia="en-NZ"/>
              </w:rPr>
            </w:pPr>
            <w:r>
              <w:rPr>
                <w:lang w:eastAsia="en-NZ"/>
              </w:rPr>
              <w:t>linac hours</w:t>
            </w:r>
            <w:r w:rsidR="00056483">
              <w:rPr>
                <w:lang w:eastAsia="en-NZ"/>
              </w:rPr>
              <w:t>.</w:t>
            </w:r>
          </w:p>
        </w:tc>
        <w:tc>
          <w:tcPr>
            <w:tcW w:w="1134" w:type="dxa"/>
            <w:shd w:val="clear" w:color="auto" w:fill="auto"/>
          </w:tcPr>
          <w:p w14:paraId="446FC985" w14:textId="77777777" w:rsidR="001162AC" w:rsidRPr="00601A89" w:rsidRDefault="001162AC" w:rsidP="001162AC">
            <w:pPr>
              <w:pStyle w:val="TableText"/>
              <w:keepNext/>
              <w:rPr>
                <w:color w:val="000000"/>
                <w:lang w:eastAsia="en-NZ"/>
              </w:rPr>
            </w:pPr>
            <w:r>
              <w:rPr>
                <w:color w:val="000000"/>
                <w:lang w:eastAsia="en-NZ"/>
              </w:rPr>
              <w:t>2017</w:t>
            </w:r>
          </w:p>
        </w:tc>
      </w:tr>
      <w:tr w:rsidR="001162AC" w:rsidRPr="00601A89" w14:paraId="17BFE395" w14:textId="77777777" w:rsidTr="00056483">
        <w:trPr>
          <w:cantSplit/>
        </w:trPr>
        <w:tc>
          <w:tcPr>
            <w:tcW w:w="426" w:type="dxa"/>
            <w:vMerge/>
            <w:tcBorders>
              <w:top w:val="nil"/>
              <w:bottom w:val="single" w:sz="4" w:space="0" w:color="A6A6A6" w:themeColor="background1" w:themeShade="A6"/>
            </w:tcBorders>
            <w:shd w:val="clear" w:color="auto" w:fill="auto"/>
          </w:tcPr>
          <w:p w14:paraId="0E6AC27B" w14:textId="77777777" w:rsidR="001162AC" w:rsidRPr="00601A89" w:rsidRDefault="001162AC" w:rsidP="00562E8E">
            <w:pPr>
              <w:pStyle w:val="TableText"/>
              <w:rPr>
                <w:color w:val="000000"/>
                <w:lang w:eastAsia="en-NZ"/>
              </w:rPr>
            </w:pPr>
          </w:p>
        </w:tc>
        <w:tc>
          <w:tcPr>
            <w:tcW w:w="2693" w:type="dxa"/>
            <w:vMerge/>
            <w:tcBorders>
              <w:top w:val="nil"/>
              <w:bottom w:val="single" w:sz="4" w:space="0" w:color="A6A6A6" w:themeColor="background1" w:themeShade="A6"/>
            </w:tcBorders>
            <w:shd w:val="clear" w:color="auto" w:fill="auto"/>
            <w:noWrap/>
          </w:tcPr>
          <w:p w14:paraId="30B3AB99" w14:textId="77777777" w:rsidR="001162AC" w:rsidRPr="00601A89" w:rsidRDefault="001162AC" w:rsidP="002A70F6">
            <w:pPr>
              <w:pStyle w:val="TableText"/>
              <w:ind w:right="142"/>
              <w:rPr>
                <w:color w:val="000000"/>
                <w:lang w:eastAsia="en-NZ"/>
              </w:rPr>
            </w:pPr>
          </w:p>
        </w:tc>
        <w:tc>
          <w:tcPr>
            <w:tcW w:w="5103" w:type="dxa"/>
            <w:tcBorders>
              <w:bottom w:val="single" w:sz="4" w:space="0" w:color="A6A6A6" w:themeColor="background1" w:themeShade="A6"/>
            </w:tcBorders>
            <w:shd w:val="clear" w:color="auto" w:fill="auto"/>
            <w:noWrap/>
          </w:tcPr>
          <w:p w14:paraId="77CAC7EC" w14:textId="77777777" w:rsidR="001162AC" w:rsidRDefault="001162AC" w:rsidP="002A70F6">
            <w:pPr>
              <w:pStyle w:val="TableText"/>
              <w:ind w:right="142"/>
              <w:rPr>
                <w:color w:val="000000"/>
                <w:lang w:eastAsia="en-NZ"/>
              </w:rPr>
            </w:pPr>
            <w:r w:rsidRPr="00601A89">
              <w:rPr>
                <w:color w:val="000000"/>
                <w:lang w:eastAsia="en-NZ"/>
              </w:rPr>
              <w:t>When necessary, RCNs will support radiation oncology providers to understand variation in productivity and efficiency metrics</w:t>
            </w:r>
            <w:r w:rsidR="00056483">
              <w:rPr>
                <w:color w:val="000000"/>
                <w:lang w:eastAsia="en-NZ"/>
              </w:rPr>
              <w:t>.</w:t>
            </w:r>
          </w:p>
          <w:p w14:paraId="3964A38B" w14:textId="77777777" w:rsidR="001162AC" w:rsidRPr="00601A89" w:rsidRDefault="001162AC" w:rsidP="002A70F6">
            <w:pPr>
              <w:pStyle w:val="TableText"/>
              <w:ind w:right="142"/>
              <w:rPr>
                <w:color w:val="000000"/>
                <w:lang w:eastAsia="en-NZ"/>
              </w:rPr>
            </w:pPr>
            <w:r w:rsidRPr="00601A89">
              <w:rPr>
                <w:color w:val="000000"/>
                <w:lang w:eastAsia="en-NZ"/>
              </w:rPr>
              <w:t>RCNs will support shared learning across radiation oncology providers to standardise productivity and efficiency</w:t>
            </w:r>
            <w:r>
              <w:rPr>
                <w:color w:val="000000"/>
                <w:lang w:eastAsia="en-NZ"/>
              </w:rPr>
              <w:t>.</w:t>
            </w:r>
          </w:p>
          <w:p w14:paraId="64E2DA3E" w14:textId="77777777" w:rsidR="001162AC" w:rsidRPr="00601A89" w:rsidRDefault="001162AC" w:rsidP="002A70F6">
            <w:pPr>
              <w:pStyle w:val="TableText"/>
              <w:ind w:right="142"/>
              <w:rPr>
                <w:color w:val="000000"/>
                <w:lang w:eastAsia="en-NZ"/>
              </w:rPr>
            </w:pPr>
            <w:r w:rsidRPr="00601A89">
              <w:rPr>
                <w:color w:val="000000"/>
                <w:lang w:eastAsia="en-NZ"/>
              </w:rPr>
              <w:t>The radiation oncology providers, with support from RCNs, will take action to standardise and improve productivity and efficiency to support sustainable radiation oncology services</w:t>
            </w:r>
            <w:r w:rsidR="00056483">
              <w:rPr>
                <w:color w:val="000000"/>
                <w:lang w:eastAsia="en-NZ"/>
              </w:rPr>
              <w:t>.</w:t>
            </w:r>
          </w:p>
        </w:tc>
        <w:tc>
          <w:tcPr>
            <w:tcW w:w="1134" w:type="dxa"/>
            <w:tcBorders>
              <w:bottom w:val="single" w:sz="4" w:space="0" w:color="A6A6A6" w:themeColor="background1" w:themeShade="A6"/>
            </w:tcBorders>
            <w:shd w:val="clear" w:color="auto" w:fill="auto"/>
          </w:tcPr>
          <w:p w14:paraId="6DDB790D" w14:textId="77777777" w:rsidR="001162AC" w:rsidRPr="00601A89" w:rsidRDefault="001162AC" w:rsidP="00562E8E">
            <w:pPr>
              <w:pStyle w:val="TableText"/>
              <w:rPr>
                <w:color w:val="000000"/>
                <w:lang w:eastAsia="en-NZ"/>
              </w:rPr>
            </w:pPr>
            <w:r w:rsidRPr="00601A89">
              <w:rPr>
                <w:color w:val="000000"/>
                <w:lang w:eastAsia="en-NZ"/>
              </w:rPr>
              <w:t>2017 onwards</w:t>
            </w:r>
          </w:p>
        </w:tc>
      </w:tr>
      <w:tr w:rsidR="001162AC" w:rsidRPr="00601A89" w14:paraId="29D4F857" w14:textId="77777777" w:rsidTr="00056483">
        <w:trPr>
          <w:cantSplit/>
        </w:trPr>
        <w:tc>
          <w:tcPr>
            <w:tcW w:w="426" w:type="dxa"/>
            <w:tcBorders>
              <w:top w:val="single" w:sz="4" w:space="0" w:color="A6A6A6" w:themeColor="background1" w:themeShade="A6"/>
              <w:bottom w:val="single" w:sz="4" w:space="0" w:color="auto"/>
            </w:tcBorders>
            <w:shd w:val="clear" w:color="auto" w:fill="auto"/>
          </w:tcPr>
          <w:p w14:paraId="378A8859" w14:textId="77777777" w:rsidR="001162AC" w:rsidRPr="00601A89" w:rsidRDefault="001162AC" w:rsidP="00562E8E">
            <w:pPr>
              <w:pStyle w:val="TableText"/>
            </w:pPr>
            <w:r w:rsidRPr="00601A89">
              <w:t>3.5</w:t>
            </w:r>
          </w:p>
        </w:tc>
        <w:tc>
          <w:tcPr>
            <w:tcW w:w="2693" w:type="dxa"/>
            <w:tcBorders>
              <w:top w:val="single" w:sz="4" w:space="0" w:color="A6A6A6" w:themeColor="background1" w:themeShade="A6"/>
              <w:bottom w:val="single" w:sz="4" w:space="0" w:color="auto"/>
            </w:tcBorders>
            <w:shd w:val="clear" w:color="auto" w:fill="auto"/>
            <w:noWrap/>
          </w:tcPr>
          <w:p w14:paraId="589D812B" w14:textId="77777777" w:rsidR="001162AC" w:rsidRPr="00601A89" w:rsidRDefault="001162AC" w:rsidP="00056483">
            <w:pPr>
              <w:pStyle w:val="TableText"/>
              <w:ind w:right="142"/>
              <w:rPr>
                <w:color w:val="000000"/>
                <w:lang w:eastAsia="en-NZ"/>
              </w:rPr>
            </w:pPr>
            <w:r w:rsidRPr="00601A89">
              <w:t>Explore innovative models of care to support delivery of care through lower</w:t>
            </w:r>
            <w:r>
              <w:t>-</w:t>
            </w:r>
            <w:r w:rsidRPr="00601A89">
              <w:t xml:space="preserve">cost models such as </w:t>
            </w:r>
            <w:r>
              <w:t>‘</w:t>
            </w:r>
            <w:r w:rsidRPr="00601A89">
              <w:t>virtual</w:t>
            </w:r>
            <w:r>
              <w:t>’</w:t>
            </w:r>
            <w:r w:rsidRPr="00601A89">
              <w:t xml:space="preserve"> follow</w:t>
            </w:r>
            <w:r w:rsidR="00056483">
              <w:noBreakHyphen/>
            </w:r>
            <w:r w:rsidRPr="00601A89">
              <w:t>ups via telemedicine as an alternative to specialist or patient travel</w:t>
            </w:r>
          </w:p>
        </w:tc>
        <w:tc>
          <w:tcPr>
            <w:tcW w:w="5103" w:type="dxa"/>
            <w:tcBorders>
              <w:top w:val="single" w:sz="4" w:space="0" w:color="A6A6A6" w:themeColor="background1" w:themeShade="A6"/>
              <w:bottom w:val="single" w:sz="4" w:space="0" w:color="auto"/>
            </w:tcBorders>
            <w:shd w:val="clear" w:color="auto" w:fill="auto"/>
            <w:noWrap/>
          </w:tcPr>
          <w:p w14:paraId="2D71295C" w14:textId="77777777" w:rsidR="001162AC" w:rsidRPr="00601A89" w:rsidRDefault="001162AC" w:rsidP="002A70F6">
            <w:pPr>
              <w:pStyle w:val="TableText"/>
              <w:ind w:right="142"/>
              <w:rPr>
                <w:color w:val="000000"/>
                <w:lang w:eastAsia="en-NZ"/>
              </w:rPr>
            </w:pPr>
            <w:r w:rsidRPr="00601A89">
              <w:rPr>
                <w:color w:val="000000"/>
                <w:lang w:eastAsia="en-NZ"/>
              </w:rPr>
              <w:t xml:space="preserve">The radiation oncology providers and RCNs will work regionally to assess opportunities, and link with each other and with </w:t>
            </w:r>
            <w:r w:rsidRPr="00601A89">
              <w:t>Health Workforce New Zealand</w:t>
            </w:r>
            <w:r w:rsidRPr="00601A89">
              <w:rPr>
                <w:color w:val="000000"/>
                <w:lang w:eastAsia="en-NZ"/>
              </w:rPr>
              <w:t xml:space="preserve"> as appropriate</w:t>
            </w:r>
            <w:r w:rsidR="00056483">
              <w:rPr>
                <w:color w:val="000000"/>
                <w:lang w:eastAsia="en-NZ"/>
              </w:rPr>
              <w:t>.</w:t>
            </w:r>
          </w:p>
          <w:p w14:paraId="694C86FC" w14:textId="77777777" w:rsidR="001162AC" w:rsidRPr="00601A89" w:rsidRDefault="001162AC" w:rsidP="002A70F6">
            <w:pPr>
              <w:pStyle w:val="TableText"/>
              <w:ind w:right="142"/>
              <w:rPr>
                <w:color w:val="000000"/>
                <w:lang w:eastAsia="en-NZ"/>
              </w:rPr>
            </w:pPr>
            <w:r w:rsidRPr="00601A89">
              <w:rPr>
                <w:color w:val="000000"/>
                <w:lang w:eastAsia="en-NZ"/>
              </w:rPr>
              <w:t xml:space="preserve">This information will be provided to ROWG </w:t>
            </w:r>
            <w:r>
              <w:rPr>
                <w:color w:val="000000"/>
                <w:lang w:eastAsia="en-NZ"/>
              </w:rPr>
              <w:t>each year</w:t>
            </w:r>
            <w:r w:rsidRPr="00601A89">
              <w:rPr>
                <w:color w:val="000000"/>
                <w:lang w:eastAsia="en-NZ"/>
              </w:rPr>
              <w:t xml:space="preserve"> to</w:t>
            </w:r>
            <w:r>
              <w:rPr>
                <w:color w:val="000000"/>
                <w:lang w:eastAsia="en-NZ"/>
              </w:rPr>
              <w:t xml:space="preserve"> contribute to</w:t>
            </w:r>
            <w:r w:rsidRPr="00601A89">
              <w:rPr>
                <w:color w:val="000000"/>
                <w:lang w:eastAsia="en-NZ"/>
              </w:rPr>
              <w:t xml:space="preserve"> national capacity planning (see </w:t>
            </w:r>
            <w:r>
              <w:rPr>
                <w:color w:val="000000"/>
                <w:lang w:eastAsia="en-NZ"/>
              </w:rPr>
              <w:t>s</w:t>
            </w:r>
            <w:r w:rsidRPr="00601A89">
              <w:rPr>
                <w:color w:val="000000"/>
                <w:lang w:eastAsia="en-NZ"/>
              </w:rPr>
              <w:t>ection 6.3)</w:t>
            </w:r>
            <w:r w:rsidR="00056483">
              <w:rPr>
                <w:color w:val="000000"/>
                <w:lang w:eastAsia="en-NZ"/>
              </w:rPr>
              <w:t>.</w:t>
            </w:r>
          </w:p>
        </w:tc>
        <w:tc>
          <w:tcPr>
            <w:tcW w:w="1134" w:type="dxa"/>
            <w:tcBorders>
              <w:top w:val="single" w:sz="4" w:space="0" w:color="A6A6A6" w:themeColor="background1" w:themeShade="A6"/>
              <w:bottom w:val="single" w:sz="4" w:space="0" w:color="auto"/>
            </w:tcBorders>
            <w:shd w:val="clear" w:color="auto" w:fill="auto"/>
          </w:tcPr>
          <w:p w14:paraId="37E36636" w14:textId="77777777" w:rsidR="001162AC" w:rsidRPr="00601A89" w:rsidRDefault="001162AC" w:rsidP="00562E8E">
            <w:pPr>
              <w:pStyle w:val="TableText"/>
              <w:rPr>
                <w:color w:val="000000"/>
                <w:lang w:eastAsia="en-NZ"/>
              </w:rPr>
            </w:pPr>
            <w:r w:rsidRPr="00601A89">
              <w:rPr>
                <w:color w:val="000000"/>
                <w:lang w:eastAsia="en-NZ"/>
              </w:rPr>
              <w:t>2018</w:t>
            </w:r>
            <w:r>
              <w:rPr>
                <w:color w:val="000000"/>
                <w:lang w:eastAsia="en-NZ"/>
              </w:rPr>
              <w:t>–</w:t>
            </w:r>
            <w:r w:rsidRPr="00601A89">
              <w:rPr>
                <w:color w:val="000000"/>
                <w:lang w:eastAsia="en-NZ"/>
              </w:rPr>
              <w:t>2021</w:t>
            </w:r>
          </w:p>
        </w:tc>
      </w:tr>
    </w:tbl>
    <w:p w14:paraId="6A47E976" w14:textId="77777777" w:rsidR="00E85766" w:rsidRPr="00601A89" w:rsidRDefault="00E85766" w:rsidP="00056483"/>
    <w:p w14:paraId="63D4351F" w14:textId="77777777" w:rsidR="00E85766" w:rsidRPr="00601A89" w:rsidRDefault="00E85766" w:rsidP="00056483">
      <w:pPr>
        <w:pStyle w:val="Heading1"/>
      </w:pPr>
      <w:bookmarkStart w:id="77" w:name="_Toc470858859"/>
      <w:bookmarkStart w:id="78" w:name="_Toc475992513"/>
      <w:r>
        <w:lastRenderedPageBreak/>
        <w:t>Making it happen – tools, structures and processes</w:t>
      </w:r>
      <w:bookmarkEnd w:id="77"/>
      <w:bookmarkEnd w:id="78"/>
    </w:p>
    <w:p w14:paraId="5F06DD9F" w14:textId="77777777" w:rsidR="00E85766" w:rsidRPr="00601A89" w:rsidRDefault="00E85766" w:rsidP="00056483">
      <w:r w:rsidRPr="00601A89">
        <w:t>A set of tools, structures and processes will support radiation oncology providers, networks, DHBs and the Ministry of Health in achieving the priorities</w:t>
      </w:r>
      <w:r>
        <w:t xml:space="preserve"> set out in section 5.2</w:t>
      </w:r>
      <w:r w:rsidRPr="00601A89">
        <w:t>.</w:t>
      </w:r>
    </w:p>
    <w:p w14:paraId="2571042A" w14:textId="77777777" w:rsidR="00E85766" w:rsidRPr="00601A89" w:rsidRDefault="00E85766" w:rsidP="00056483"/>
    <w:p w14:paraId="7BB98C35" w14:textId="77777777" w:rsidR="00E85766" w:rsidRPr="00601A89" w:rsidRDefault="00E85766" w:rsidP="00056483">
      <w:pPr>
        <w:pStyle w:val="Heading2"/>
      </w:pPr>
      <w:bookmarkStart w:id="79" w:name="_Toc470858860"/>
      <w:bookmarkStart w:id="80" w:name="_Toc475992514"/>
      <w:r w:rsidRPr="00601A89">
        <w:t>Cancer information</w:t>
      </w:r>
      <w:bookmarkEnd w:id="79"/>
      <w:bookmarkEnd w:id="80"/>
    </w:p>
    <w:p w14:paraId="1844BC00" w14:textId="77777777" w:rsidR="00E85766" w:rsidRPr="00601A89" w:rsidRDefault="00E85766" w:rsidP="00056483">
      <w:r w:rsidRPr="00601A89">
        <w:t xml:space="preserve">As </w:t>
      </w:r>
      <w:r>
        <w:t>s</w:t>
      </w:r>
      <w:r w:rsidRPr="00601A89">
        <w:t>ection 4.1</w:t>
      </w:r>
      <w:r>
        <w:t xml:space="preserve"> outlines</w:t>
      </w:r>
      <w:r w:rsidRPr="00601A89">
        <w:t>, the radiation oncology sector</w:t>
      </w:r>
      <w:r>
        <w:t xml:space="preserve"> can use</w:t>
      </w:r>
      <w:r w:rsidRPr="00601A89">
        <w:t xml:space="preserve"> the data from</w:t>
      </w:r>
      <w:r>
        <w:t xml:space="preserve"> the</w:t>
      </w:r>
      <w:r w:rsidRPr="00601A89">
        <w:t xml:space="preserve"> ROMDS to understand variation</w:t>
      </w:r>
      <w:r>
        <w:t xml:space="preserve"> more accurately and</w:t>
      </w:r>
      <w:r w:rsidRPr="00601A89">
        <w:t xml:space="preserve"> </w:t>
      </w:r>
      <w:r>
        <w:t>in greater detail</w:t>
      </w:r>
      <w:r w:rsidRPr="00601A89">
        <w:t>. However,</w:t>
      </w:r>
      <w:r>
        <w:t xml:space="preserve"> to</w:t>
      </w:r>
      <w:r w:rsidRPr="00601A89">
        <w:t xml:space="preserve"> effectively address variation</w:t>
      </w:r>
      <w:r>
        <w:t>, it is necessary to</w:t>
      </w:r>
      <w:r w:rsidRPr="00601A89">
        <w:t xml:space="preserve"> establish an appropriate structure with the resources to </w:t>
      </w:r>
      <w:r>
        <w:t>fulfil</w:t>
      </w:r>
      <w:r w:rsidRPr="00601A89">
        <w:t xml:space="preserve"> the</w:t>
      </w:r>
      <w:r>
        <w:t xml:space="preserve"> following</w:t>
      </w:r>
      <w:r w:rsidRPr="00601A89">
        <w:t xml:space="preserve"> six key functions associated with captur</w:t>
      </w:r>
      <w:r>
        <w:t>ing</w:t>
      </w:r>
      <w:r w:rsidRPr="00601A89">
        <w:t xml:space="preserve"> and us</w:t>
      </w:r>
      <w:r>
        <w:t>ing</w:t>
      </w:r>
      <w:r w:rsidRPr="00601A89">
        <w:t xml:space="preserve"> </w:t>
      </w:r>
      <w:r w:rsidRPr="00C237AC">
        <w:t>ROMDS</w:t>
      </w:r>
      <w:r>
        <w:t xml:space="preserve"> data.</w:t>
      </w:r>
    </w:p>
    <w:p w14:paraId="1FED1176" w14:textId="77777777" w:rsidR="00E85766" w:rsidRPr="00601A89" w:rsidRDefault="00E85766" w:rsidP="00056483"/>
    <w:p w14:paraId="3F8F7B6C" w14:textId="045E349B" w:rsidR="00E85766" w:rsidRPr="00601A89" w:rsidRDefault="00743CD5" w:rsidP="00056483">
      <w:r w:rsidRPr="00743CD5">
        <w:rPr>
          <w:noProof/>
          <w:lang w:eastAsia="en-NZ"/>
        </w:rPr>
        <w:drawing>
          <wp:inline distT="0" distB="0" distL="0" distR="0" wp14:anchorId="2D14C8B8" wp14:editId="4AFD0847">
            <wp:extent cx="5940425" cy="600389"/>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0425" cy="600389"/>
                    </a:xfrm>
                    <a:prstGeom prst="rect">
                      <a:avLst/>
                    </a:prstGeom>
                  </pic:spPr>
                </pic:pic>
              </a:graphicData>
            </a:graphic>
          </wp:inline>
        </w:drawing>
      </w:r>
    </w:p>
    <w:p w14:paraId="4F76CFB0" w14:textId="77777777" w:rsidR="00743CD5" w:rsidRDefault="00743CD5" w:rsidP="00056483"/>
    <w:p w14:paraId="7E7EB9A5" w14:textId="77777777" w:rsidR="00E85766" w:rsidRPr="00601A89" w:rsidRDefault="00E85766" w:rsidP="00056483">
      <w:r w:rsidRPr="00601A89">
        <w:t xml:space="preserve">The Ministry will be primarily accountable and responsible for the ongoing management of ROMDS, which includes the first three functions. </w:t>
      </w:r>
      <w:r w:rsidRPr="00601A89">
        <w:fldChar w:fldCharType="begin"/>
      </w:r>
      <w:r w:rsidRPr="00601A89">
        <w:instrText xml:space="preserve"> REF _Ref453579228 \h  \* MERGEFORMAT </w:instrText>
      </w:r>
      <w:r w:rsidRPr="00601A89">
        <w:fldChar w:fldCharType="separate"/>
      </w:r>
      <w:r w:rsidR="00E2252F" w:rsidRPr="00601A89">
        <w:t xml:space="preserve">Table </w:t>
      </w:r>
      <w:r w:rsidR="00E2252F">
        <w:rPr>
          <w:noProof/>
        </w:rPr>
        <w:t>7</w:t>
      </w:r>
      <w:r w:rsidRPr="00601A89">
        <w:fldChar w:fldCharType="end"/>
      </w:r>
      <w:r w:rsidRPr="00601A89">
        <w:t xml:space="preserve"> identifies actions </w:t>
      </w:r>
      <w:r>
        <w:t>needed</w:t>
      </w:r>
      <w:r w:rsidRPr="00601A89">
        <w:t xml:space="preserve"> to </w:t>
      </w:r>
      <w:r>
        <w:t xml:space="preserve">make </w:t>
      </w:r>
      <w:r w:rsidRPr="00601A89">
        <w:t xml:space="preserve">the new information collection </w:t>
      </w:r>
      <w:r>
        <w:t>part of everyday</w:t>
      </w:r>
      <w:r w:rsidRPr="00601A89">
        <w:t xml:space="preserve"> practice and</w:t>
      </w:r>
      <w:r>
        <w:t xml:space="preserve"> to</w:t>
      </w:r>
      <w:r w:rsidRPr="00601A89">
        <w:t xml:space="preserve"> use the insights generated</w:t>
      </w:r>
      <w:r>
        <w:t xml:space="preserve"> from that data</w:t>
      </w:r>
      <w:r w:rsidRPr="00601A89">
        <w:t xml:space="preserve"> to reduce unwarranted variation, improve service performance, and support service and capacity planning.</w:t>
      </w:r>
    </w:p>
    <w:p w14:paraId="5EA4DFDB" w14:textId="77777777" w:rsidR="00E85766" w:rsidRPr="00601A89" w:rsidRDefault="00E85766" w:rsidP="00056483"/>
    <w:p w14:paraId="762CCA91" w14:textId="77777777" w:rsidR="00E85766" w:rsidRPr="00601A89" w:rsidRDefault="00E85766" w:rsidP="00056483">
      <w:pPr>
        <w:pStyle w:val="Heading3"/>
      </w:pPr>
      <w:r w:rsidRPr="00601A89">
        <w:t>Submission of data and input into the Tool</w:t>
      </w:r>
    </w:p>
    <w:p w14:paraId="2F64201A" w14:textId="77777777" w:rsidR="00E85766" w:rsidRPr="00601A89" w:rsidRDefault="00E85766" w:rsidP="00056483">
      <w:r>
        <w:t>Making</w:t>
      </w:r>
      <w:r w:rsidRPr="00601A89">
        <w:t xml:space="preserve"> ROMDS part of ongoing data collection is fundamental to this Plan. </w:t>
      </w:r>
      <w:r>
        <w:t>With this data, it will be possible to</w:t>
      </w:r>
      <w:r w:rsidRPr="00601A89">
        <w:t xml:space="preserve"> assess care pathways</w:t>
      </w:r>
      <w:r>
        <w:t xml:space="preserve"> clearly</w:t>
      </w:r>
      <w:r w:rsidRPr="00601A89">
        <w:t xml:space="preserve">, and </w:t>
      </w:r>
      <w:r>
        <w:t>to make better-informed decisions on</w:t>
      </w:r>
      <w:r w:rsidRPr="00601A89">
        <w:t xml:space="preserve"> capacity planning </w:t>
      </w:r>
      <w:r>
        <w:t>using</w:t>
      </w:r>
      <w:r w:rsidRPr="00601A89">
        <w:t xml:space="preserve"> the Service </w:t>
      </w:r>
      <w:r>
        <w:t xml:space="preserve">Planning </w:t>
      </w:r>
      <w:r w:rsidRPr="00601A89">
        <w:t>Tool (</w:t>
      </w:r>
      <w:r>
        <w:t>s</w:t>
      </w:r>
      <w:r w:rsidRPr="00601A89">
        <w:t xml:space="preserve">ection 6.2). A key </w:t>
      </w:r>
      <w:r>
        <w:t>step</w:t>
      </w:r>
      <w:r w:rsidRPr="00601A89">
        <w:t xml:space="preserve"> will be </w:t>
      </w:r>
      <w:r>
        <w:t xml:space="preserve">to </w:t>
      </w:r>
      <w:r w:rsidRPr="00601A89">
        <w:t>integrat</w:t>
      </w:r>
      <w:r>
        <w:t>e</w:t>
      </w:r>
      <w:r w:rsidRPr="00601A89">
        <w:t xml:space="preserve"> ROMDS into the wider Cancer Health Information Strategy architecture, </w:t>
      </w:r>
      <w:r>
        <w:t>so that researchers can</w:t>
      </w:r>
      <w:r w:rsidRPr="00601A89">
        <w:t xml:space="preserve"> analys</w:t>
      </w:r>
      <w:r>
        <w:t>e</w:t>
      </w:r>
      <w:r w:rsidRPr="00601A89">
        <w:t xml:space="preserve"> care pathways across all cancer treatment modalities.</w:t>
      </w:r>
    </w:p>
    <w:p w14:paraId="2F305000" w14:textId="77777777" w:rsidR="00E85766" w:rsidRPr="00601A89" w:rsidRDefault="00E85766" w:rsidP="00056483"/>
    <w:p w14:paraId="6B79DF92" w14:textId="77777777" w:rsidR="007A6454" w:rsidRDefault="00E85766" w:rsidP="00E85766">
      <w:pPr>
        <w:spacing w:line="276" w:lineRule="auto"/>
      </w:pPr>
      <w:r>
        <w:t>As part of the process of t</w:t>
      </w:r>
      <w:r w:rsidRPr="00601A89">
        <w:t>esting and developing ROMDS</w:t>
      </w:r>
      <w:r>
        <w:t>,</w:t>
      </w:r>
      <w:r w:rsidRPr="009207A7">
        <w:t xml:space="preserve"> </w:t>
      </w:r>
      <w:r w:rsidRPr="00601A89">
        <w:t>radiation therapy providers</w:t>
      </w:r>
      <w:r w:rsidRPr="009207A7">
        <w:t xml:space="preserve"> </w:t>
      </w:r>
      <w:r w:rsidRPr="00601A89">
        <w:t>submitted a te</w:t>
      </w:r>
      <w:r w:rsidRPr="00056483">
        <w:t>s</w:t>
      </w:r>
      <w:r w:rsidRPr="00601A89">
        <w:t>t data</w:t>
      </w:r>
      <w:r>
        <w:t xml:space="preserve"> </w:t>
      </w:r>
      <w:r w:rsidRPr="00601A89">
        <w:t>set covering the years 2012</w:t>
      </w:r>
      <w:r>
        <w:t>–</w:t>
      </w:r>
      <w:r w:rsidRPr="00601A89">
        <w:t xml:space="preserve">2015 at the end of 2015. </w:t>
      </w:r>
      <w:r>
        <w:t xml:space="preserve">This data is provisional and will need to be updated because </w:t>
      </w:r>
      <w:r w:rsidRPr="00601A89">
        <w:t>the definitions and data elements</w:t>
      </w:r>
      <w:r>
        <w:t xml:space="preserve"> have been updated</w:t>
      </w:r>
      <w:r w:rsidRPr="00601A89">
        <w:t xml:space="preserve"> since</w:t>
      </w:r>
      <w:r>
        <w:t xml:space="preserve"> it was collected</w:t>
      </w:r>
      <w:r w:rsidRPr="00601A89">
        <w:t xml:space="preserve">. The first action is to establish an interim solution </w:t>
      </w:r>
      <w:r>
        <w:t xml:space="preserve">that </w:t>
      </w:r>
      <w:r w:rsidRPr="00601A89">
        <w:t xml:space="preserve">the radiation oncology sector </w:t>
      </w:r>
      <w:r>
        <w:t xml:space="preserve">can use </w:t>
      </w:r>
      <w:r w:rsidRPr="00601A89">
        <w:t xml:space="preserve">to continue </w:t>
      </w:r>
      <w:r>
        <w:t xml:space="preserve">to build on </w:t>
      </w:r>
      <w:r w:rsidRPr="00601A89">
        <w:t>its us</w:t>
      </w:r>
      <w:r>
        <w:t>e of</w:t>
      </w:r>
      <w:r w:rsidRPr="00601A89">
        <w:t xml:space="preserve"> data to inform clinical practice. This</w:t>
      </w:r>
      <w:r>
        <w:t xml:space="preserve"> interim solution</w:t>
      </w:r>
      <w:r w:rsidRPr="00601A89">
        <w:t xml:space="preserve"> will be established in such a way</w:t>
      </w:r>
      <w:r>
        <w:t xml:space="preserve"> as</w:t>
      </w:r>
      <w:r w:rsidRPr="00601A89">
        <w:t xml:space="preserve"> to allow a straightforward transition to the future Cancer Health Information Strategy.</w:t>
      </w:r>
    </w:p>
    <w:p w14:paraId="3D82E07F" w14:textId="77777777" w:rsidR="00E85766" w:rsidRPr="00601A89" w:rsidRDefault="00E85766" w:rsidP="00056483"/>
    <w:p w14:paraId="60EB36BC" w14:textId="77777777" w:rsidR="00E85766" w:rsidRPr="00601A89" w:rsidRDefault="00E85766" w:rsidP="00056483">
      <w:pPr>
        <w:pStyle w:val="Heading3"/>
      </w:pPr>
      <w:r w:rsidRPr="00601A89">
        <w:t>Analysis and reporting</w:t>
      </w:r>
    </w:p>
    <w:p w14:paraId="3A9FB8E4" w14:textId="77777777" w:rsidR="007A6454" w:rsidRDefault="00E85766" w:rsidP="00056483">
      <w:r w:rsidRPr="00601A89">
        <w:t xml:space="preserve">As </w:t>
      </w:r>
      <w:r>
        <w:t>s</w:t>
      </w:r>
      <w:r w:rsidRPr="00601A89">
        <w:t>ection 4.5</w:t>
      </w:r>
      <w:r w:rsidRPr="00773975">
        <w:t xml:space="preserve"> </w:t>
      </w:r>
      <w:r w:rsidRPr="00601A89">
        <w:t>outline</w:t>
      </w:r>
      <w:r>
        <w:t>s</w:t>
      </w:r>
      <w:r w:rsidRPr="00601A89">
        <w:t>, the long</w:t>
      </w:r>
      <w:r>
        <w:t>-</w:t>
      </w:r>
      <w:r w:rsidRPr="00601A89">
        <w:t>term vision for manag</w:t>
      </w:r>
      <w:r>
        <w:t>ing</w:t>
      </w:r>
      <w:r w:rsidRPr="00601A89">
        <w:t xml:space="preserve"> cancer data is </w:t>
      </w:r>
      <w:r>
        <w:t>for</w:t>
      </w:r>
      <w:r w:rsidRPr="00601A89">
        <w:t xml:space="preserve"> the required information </w:t>
      </w:r>
      <w:r>
        <w:t xml:space="preserve">to </w:t>
      </w:r>
      <w:r w:rsidRPr="00601A89">
        <w:t>flow</w:t>
      </w:r>
      <w:r>
        <w:t xml:space="preserve"> </w:t>
      </w:r>
      <w:r w:rsidRPr="00601A89">
        <w:t xml:space="preserve">into a central analysis hub </w:t>
      </w:r>
      <w:r>
        <w:t>that</w:t>
      </w:r>
      <w:r w:rsidRPr="00601A89">
        <w:t xml:space="preserve"> the Ministry</w:t>
      </w:r>
      <w:r>
        <w:t xml:space="preserve"> operates</w:t>
      </w:r>
      <w:r w:rsidRPr="00601A89">
        <w:t xml:space="preserve">, </w:t>
      </w:r>
      <w:r>
        <w:t xml:space="preserve">and for the Ministry to </w:t>
      </w:r>
      <w:r w:rsidRPr="00601A89">
        <w:t>then be responsible for analysi</w:t>
      </w:r>
      <w:r>
        <w:t>ng</w:t>
      </w:r>
      <w:r w:rsidRPr="00601A89">
        <w:t>, reporting, interpret</w:t>
      </w:r>
      <w:r>
        <w:t>ing</w:t>
      </w:r>
      <w:r w:rsidRPr="00601A89">
        <w:t xml:space="preserve"> and circulati</w:t>
      </w:r>
      <w:r>
        <w:t>ng</w:t>
      </w:r>
      <w:r w:rsidRPr="00601A89">
        <w:t xml:space="preserve"> </w:t>
      </w:r>
      <w:r>
        <w:t>the data</w:t>
      </w:r>
      <w:r w:rsidRPr="00601A89">
        <w:t>. Given the Cancer Health Information Strategy</w:t>
      </w:r>
      <w:r>
        <w:t xml:space="preserve"> will not be fully implemented before the sector is using the tool</w:t>
      </w:r>
      <w:r w:rsidRPr="00601A89">
        <w:t xml:space="preserve">, an interim solution is </w:t>
      </w:r>
      <w:r>
        <w:t>needed</w:t>
      </w:r>
      <w:r w:rsidRPr="00601A89">
        <w:t xml:space="preserve"> to support the radiation oncology sector to use its data</w:t>
      </w:r>
      <w:r>
        <w:t xml:space="preserve"> well</w:t>
      </w:r>
      <w:r w:rsidRPr="00601A89">
        <w:t xml:space="preserve">. </w:t>
      </w:r>
      <w:r w:rsidRPr="00601A89">
        <w:lastRenderedPageBreak/>
        <w:t>Preliminary work is under</w:t>
      </w:r>
      <w:r>
        <w:t xml:space="preserve"> </w:t>
      </w:r>
      <w:r w:rsidRPr="00601A89">
        <w:t>way to develop a solution that will support an easy transition to the future central analysis hub.</w:t>
      </w:r>
    </w:p>
    <w:p w14:paraId="1C84E091" w14:textId="77777777" w:rsidR="00E85766" w:rsidRPr="00601A89" w:rsidRDefault="00E85766" w:rsidP="00056483"/>
    <w:p w14:paraId="30A7D712" w14:textId="77777777" w:rsidR="00E85766" w:rsidRPr="00601A89" w:rsidRDefault="00E85766" w:rsidP="00056483">
      <w:pPr>
        <w:pStyle w:val="Heading3"/>
      </w:pPr>
      <w:r w:rsidRPr="00601A89">
        <w:t>Interpretation and circulation</w:t>
      </w:r>
    </w:p>
    <w:p w14:paraId="31F29074" w14:textId="77777777" w:rsidR="00E85766" w:rsidRPr="00601A89" w:rsidRDefault="00E85766" w:rsidP="00056483">
      <w:r>
        <w:t>I</w:t>
      </w:r>
      <w:r w:rsidRPr="00601A89">
        <w:t xml:space="preserve">nterpretation and circulation </w:t>
      </w:r>
      <w:r>
        <w:t xml:space="preserve">are highly </w:t>
      </w:r>
      <w:r w:rsidRPr="00601A89">
        <w:t>significan</w:t>
      </w:r>
      <w:r>
        <w:t>t</w:t>
      </w:r>
      <w:r w:rsidRPr="00601A89">
        <w:t xml:space="preserve"> but often overlooked</w:t>
      </w:r>
      <w:r>
        <w:t xml:space="preserve"> activities</w:t>
      </w:r>
      <w:r w:rsidRPr="00601A89">
        <w:t xml:space="preserve">. </w:t>
      </w:r>
      <w:r>
        <w:t>They involve</w:t>
      </w:r>
      <w:r w:rsidRPr="00601A89">
        <w:t xml:space="preserve"> developing a clear narrative to explain what the data show</w:t>
      </w:r>
      <w:r>
        <w:t>s</w:t>
      </w:r>
      <w:r w:rsidRPr="00601A89">
        <w:t xml:space="preserve"> and why this is important. The</w:t>
      </w:r>
      <w:r w:rsidRPr="00C73E93">
        <w:t xml:space="preserve"> </w:t>
      </w:r>
      <w:r w:rsidRPr="00601A89">
        <w:t xml:space="preserve">literature </w:t>
      </w:r>
      <w:r>
        <w:t>identifies the</w:t>
      </w:r>
      <w:r w:rsidRPr="00601A89">
        <w:t xml:space="preserve"> narrative as the most crucial step on the pathway from data to change when managing unwarranted variation. It helps clinicians, managers and commissioners understand the size and nature of the issue, the impact on population access and outcomes, and the opportunity cost of not chang</w:t>
      </w:r>
      <w:r>
        <w:t>ing</w:t>
      </w:r>
      <w:r w:rsidRPr="00601A89">
        <w:t>. Supported with the right accountability structures, the narrative</w:t>
      </w:r>
      <w:r>
        <w:t xml:space="preserve"> helps the sector to take</w:t>
      </w:r>
      <w:r w:rsidRPr="00601A89">
        <w:t xml:space="preserve"> ownership of variation and driv</w:t>
      </w:r>
      <w:r>
        <w:t>es</w:t>
      </w:r>
      <w:r w:rsidRPr="00601A89">
        <w:t xml:space="preserve"> change</w:t>
      </w:r>
      <w:r>
        <w:t xml:space="preserve"> (HQSC 2014)</w:t>
      </w:r>
      <w:r w:rsidRPr="00601A89">
        <w:t>.</w:t>
      </w:r>
    </w:p>
    <w:p w14:paraId="419C6D7C" w14:textId="77777777" w:rsidR="00E85766" w:rsidRPr="00601A89" w:rsidRDefault="00E85766" w:rsidP="00056483"/>
    <w:p w14:paraId="2921027E" w14:textId="77777777" w:rsidR="00E85766" w:rsidRPr="00601A89" w:rsidRDefault="00E85766" w:rsidP="00056483">
      <w:r w:rsidRPr="00601A89">
        <w:t>Th</w:t>
      </w:r>
      <w:r>
        <w:t xml:space="preserve">e party that </w:t>
      </w:r>
      <w:r w:rsidRPr="00601A89">
        <w:t>typically carr</w:t>
      </w:r>
      <w:r>
        <w:t>ies</w:t>
      </w:r>
      <w:r w:rsidRPr="00601A89">
        <w:t xml:space="preserve"> out </w:t>
      </w:r>
      <w:r>
        <w:t xml:space="preserve">this function has </w:t>
      </w:r>
      <w:r w:rsidRPr="00601A89">
        <w:t>a sound understanding of national data collections for radiation oncology and the limitations of the data</w:t>
      </w:r>
      <w:r>
        <w:t>. They also have</w:t>
      </w:r>
      <w:r w:rsidRPr="00601A89">
        <w:t xml:space="preserve"> clinical understanding to interpret the data correctly and undertak</w:t>
      </w:r>
      <w:r>
        <w:t>e</w:t>
      </w:r>
      <w:r w:rsidRPr="00601A89">
        <w:t xml:space="preserve"> more detailed analyses.</w:t>
      </w:r>
    </w:p>
    <w:p w14:paraId="72696A72" w14:textId="77777777" w:rsidR="00E85766" w:rsidRPr="00601A89" w:rsidRDefault="00E85766" w:rsidP="00056483"/>
    <w:p w14:paraId="51258CFA" w14:textId="77777777" w:rsidR="00E85766" w:rsidRPr="00601A89" w:rsidRDefault="00E85766" w:rsidP="00056483">
      <w:pPr>
        <w:pStyle w:val="Heading3"/>
      </w:pPr>
      <w:r w:rsidRPr="00601A89">
        <w:t>Clinical governance</w:t>
      </w:r>
    </w:p>
    <w:p w14:paraId="289E2C83" w14:textId="77777777" w:rsidR="00E85766" w:rsidRDefault="00E85766" w:rsidP="00056483">
      <w:r>
        <w:t>C</w:t>
      </w:r>
      <w:r w:rsidRPr="00601A89">
        <w:t xml:space="preserve">linical governance is focused on adding a formal layer of clinical responsibility for maintaining and improving the clinical quality of care for patients who receive radiation oncology services. This function is discussed in more detail in </w:t>
      </w:r>
      <w:r>
        <w:t>s</w:t>
      </w:r>
      <w:r w:rsidRPr="00601A89">
        <w:t>ection 6.2.</w:t>
      </w:r>
    </w:p>
    <w:p w14:paraId="571E6153" w14:textId="77777777" w:rsidR="00E85766" w:rsidRPr="00601A89" w:rsidRDefault="00E85766" w:rsidP="00056483"/>
    <w:p w14:paraId="43888EC9" w14:textId="77777777" w:rsidR="00E85766" w:rsidRPr="00601A89" w:rsidRDefault="00E85766" w:rsidP="00056483">
      <w:pPr>
        <w:pStyle w:val="Heading3"/>
      </w:pPr>
      <w:r w:rsidRPr="00601A89">
        <w:t>Take action</w:t>
      </w:r>
    </w:p>
    <w:p w14:paraId="68DA827E" w14:textId="77777777" w:rsidR="007A6454" w:rsidRDefault="00E85766" w:rsidP="00056483">
      <w:r>
        <w:t>Taking action</w:t>
      </w:r>
      <w:r w:rsidRPr="00601A89">
        <w:t xml:space="preserve"> is concerned with understanding the </w:t>
      </w:r>
      <w:r>
        <w:t>causes</w:t>
      </w:r>
      <w:r w:rsidRPr="00601A89">
        <w:t xml:space="preserve"> of unwarranted variation and applying quality improvement tools to address these</w:t>
      </w:r>
      <w:r>
        <w:t xml:space="preserve"> causes</w:t>
      </w:r>
      <w:r w:rsidRPr="00601A89">
        <w:t xml:space="preserve">. </w:t>
      </w:r>
      <w:r>
        <w:t>M</w:t>
      </w:r>
      <w:r w:rsidRPr="00601A89">
        <w:t xml:space="preserve">any quality improvement tools and methodologies </w:t>
      </w:r>
      <w:r>
        <w:t>help to understand the problem</w:t>
      </w:r>
      <w:r w:rsidRPr="00601A89">
        <w:t xml:space="preserve"> rapid</w:t>
      </w:r>
      <w:r>
        <w:t>ly</w:t>
      </w:r>
      <w:r w:rsidRPr="00601A89">
        <w:t xml:space="preserve"> and </w:t>
      </w:r>
      <w:r>
        <w:t xml:space="preserve">develop </w:t>
      </w:r>
      <w:r w:rsidRPr="00601A89">
        <w:t>solution</w:t>
      </w:r>
      <w:r>
        <w:t>s</w:t>
      </w:r>
      <w:r w:rsidRPr="00601A89">
        <w:t>.</w:t>
      </w:r>
    </w:p>
    <w:p w14:paraId="21CD14EF" w14:textId="77777777" w:rsidR="00E85766" w:rsidRPr="00601A89" w:rsidRDefault="00E85766" w:rsidP="00056483"/>
    <w:p w14:paraId="53A8E3A6" w14:textId="77777777" w:rsidR="007A6454" w:rsidRDefault="00E85766" w:rsidP="00056483">
      <w:r w:rsidRPr="00601A89">
        <w:t xml:space="preserve">This function is an area where RCNs will play a key leadership role in supporting radiation oncology providers with quality improvement. It is envisaged that ROWG </w:t>
      </w:r>
      <w:r>
        <w:t xml:space="preserve">will guide </w:t>
      </w:r>
      <w:r w:rsidRPr="00601A89">
        <w:t xml:space="preserve">RCNs on unwarranted variation, and </w:t>
      </w:r>
      <w:r>
        <w:t xml:space="preserve">RCNs will </w:t>
      </w:r>
      <w:r w:rsidRPr="00601A89">
        <w:t>work with their constituent DHBs and radiation oncology provider(s) to define and act</w:t>
      </w:r>
      <w:r>
        <w:t xml:space="preserve"> on</w:t>
      </w:r>
      <w:r w:rsidRPr="00601A89">
        <w:t xml:space="preserve"> regional plans </w:t>
      </w:r>
      <w:r>
        <w:t>to</w:t>
      </w:r>
      <w:r w:rsidRPr="00601A89">
        <w:t xml:space="preserve"> address that variation. The Ministry and DHBs </w:t>
      </w:r>
      <w:r>
        <w:t xml:space="preserve">will need to prioritise this work so that </w:t>
      </w:r>
      <w:r w:rsidRPr="00601A89">
        <w:t>RCNs have sufficient resources to deliver on objectives.</w:t>
      </w:r>
    </w:p>
    <w:p w14:paraId="11323472" w14:textId="77777777" w:rsidR="00E85766" w:rsidRPr="00601A89" w:rsidRDefault="00E85766" w:rsidP="00056483"/>
    <w:p w14:paraId="4E12A46C" w14:textId="77777777" w:rsidR="00E85766" w:rsidRPr="00601A89" w:rsidRDefault="00E85766" w:rsidP="00056483">
      <w:pPr>
        <w:pStyle w:val="Heading3"/>
      </w:pPr>
      <w:r w:rsidRPr="00601A89">
        <w:t>Monitor and escalate</w:t>
      </w:r>
    </w:p>
    <w:p w14:paraId="3C3AA71D" w14:textId="77777777" w:rsidR="007A6454" w:rsidRDefault="00E85766" w:rsidP="00056483">
      <w:r>
        <w:t>M</w:t>
      </w:r>
      <w:r w:rsidRPr="00601A89">
        <w:t>onitor</w:t>
      </w:r>
      <w:r>
        <w:t>ing</w:t>
      </w:r>
      <w:r w:rsidRPr="00601A89">
        <w:t xml:space="preserve"> and escalat</w:t>
      </w:r>
      <w:r>
        <w:t>ing form</w:t>
      </w:r>
      <w:r w:rsidRPr="00601A89">
        <w:t xml:space="preserve"> the feedback loop </w:t>
      </w:r>
      <w:r>
        <w:t>when the sector is</w:t>
      </w:r>
      <w:r w:rsidRPr="00601A89">
        <w:t xml:space="preserve"> using ROMDS. </w:t>
      </w:r>
      <w:r>
        <w:t>These activities</w:t>
      </w:r>
      <w:r w:rsidRPr="00601A89">
        <w:t xml:space="preserve"> will ensure the process is working as intended and</w:t>
      </w:r>
      <w:r>
        <w:t xml:space="preserve"> is achieving the intended</w:t>
      </w:r>
      <w:r w:rsidRPr="00601A89">
        <w:t xml:space="preserve"> outcomes. ROWG</w:t>
      </w:r>
      <w:r>
        <w:t>,</w:t>
      </w:r>
      <w:r w:rsidRPr="00601A89">
        <w:t xml:space="preserve"> as the clinical governance lead</w:t>
      </w:r>
      <w:r>
        <w:t>,</w:t>
      </w:r>
      <w:r w:rsidRPr="00601A89">
        <w:t xml:space="preserve"> and the Ministry Cancer Team</w:t>
      </w:r>
      <w:r>
        <w:t xml:space="preserve"> will be responsible for these activities</w:t>
      </w:r>
      <w:r w:rsidRPr="00601A89">
        <w:t>.</w:t>
      </w:r>
    </w:p>
    <w:p w14:paraId="3129E23F" w14:textId="77777777" w:rsidR="00E85766" w:rsidRPr="00601A89" w:rsidRDefault="00E85766" w:rsidP="00056483"/>
    <w:p w14:paraId="2ED95524" w14:textId="77777777" w:rsidR="00E85766" w:rsidRPr="00601A89" w:rsidRDefault="00E85766" w:rsidP="00056483">
      <w:pPr>
        <w:pStyle w:val="Table"/>
      </w:pPr>
      <w:bookmarkStart w:id="81" w:name="_Ref453579228"/>
      <w:bookmarkStart w:id="82" w:name="_Toc475954097"/>
      <w:r w:rsidRPr="00601A89">
        <w:lastRenderedPageBreak/>
        <w:t xml:space="preserve">Table </w:t>
      </w:r>
      <w:r w:rsidR="003B40AB">
        <w:fldChar w:fldCharType="begin"/>
      </w:r>
      <w:r w:rsidR="003B40AB">
        <w:instrText xml:space="preserve"> SEQ Table \* ARABIC </w:instrText>
      </w:r>
      <w:r w:rsidR="003B40AB">
        <w:fldChar w:fldCharType="separate"/>
      </w:r>
      <w:r w:rsidR="00E2252F">
        <w:rPr>
          <w:noProof/>
        </w:rPr>
        <w:t>7</w:t>
      </w:r>
      <w:r w:rsidR="003B40AB">
        <w:rPr>
          <w:noProof/>
        </w:rPr>
        <w:fldChar w:fldCharType="end"/>
      </w:r>
      <w:bookmarkEnd w:id="81"/>
      <w:r w:rsidRPr="00601A89">
        <w:t xml:space="preserve">: Actions </w:t>
      </w:r>
      <w:r>
        <w:t>to improve</w:t>
      </w:r>
      <w:r w:rsidRPr="00601A89">
        <w:t xml:space="preserve"> cancer information</w:t>
      </w:r>
      <w:bookmarkEnd w:id="82"/>
    </w:p>
    <w:tbl>
      <w:tblPr>
        <w:tblW w:w="9356"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560"/>
        <w:gridCol w:w="2551"/>
        <w:gridCol w:w="4253"/>
        <w:gridCol w:w="992"/>
      </w:tblGrid>
      <w:tr w:rsidR="00E85766" w:rsidRPr="00AC0924" w14:paraId="3FEC70A9" w14:textId="77777777" w:rsidTr="00AC0924">
        <w:trPr>
          <w:cantSplit/>
          <w:tblHeader/>
        </w:trPr>
        <w:tc>
          <w:tcPr>
            <w:tcW w:w="1560" w:type="dxa"/>
            <w:tcBorders>
              <w:top w:val="single" w:sz="4" w:space="0" w:color="auto"/>
              <w:bottom w:val="single" w:sz="4" w:space="0" w:color="auto"/>
            </w:tcBorders>
            <w:shd w:val="clear" w:color="auto" w:fill="auto"/>
          </w:tcPr>
          <w:p w14:paraId="62A42024" w14:textId="77777777" w:rsidR="00E85766" w:rsidRPr="00AC0924" w:rsidRDefault="00E85766" w:rsidP="00AC0924">
            <w:pPr>
              <w:pStyle w:val="TableText"/>
              <w:keepNext/>
              <w:ind w:right="142"/>
              <w:rPr>
                <w:b/>
                <w:lang w:eastAsia="en-NZ"/>
              </w:rPr>
            </w:pPr>
            <w:r w:rsidRPr="00AC0924">
              <w:rPr>
                <w:b/>
                <w:lang w:eastAsia="en-NZ"/>
              </w:rPr>
              <w:t>Function</w:t>
            </w:r>
          </w:p>
        </w:tc>
        <w:tc>
          <w:tcPr>
            <w:tcW w:w="2551" w:type="dxa"/>
            <w:tcBorders>
              <w:top w:val="single" w:sz="4" w:space="0" w:color="auto"/>
              <w:bottom w:val="single" w:sz="4" w:space="0" w:color="auto"/>
            </w:tcBorders>
            <w:shd w:val="clear" w:color="auto" w:fill="auto"/>
          </w:tcPr>
          <w:p w14:paraId="4D71EBA8" w14:textId="77777777" w:rsidR="00E85766" w:rsidRPr="00AC0924" w:rsidRDefault="00E85766" w:rsidP="00AC0924">
            <w:pPr>
              <w:pStyle w:val="TableText"/>
              <w:keepNext/>
              <w:ind w:right="142"/>
              <w:rPr>
                <w:b/>
                <w:lang w:eastAsia="en-NZ"/>
              </w:rPr>
            </w:pPr>
            <w:r w:rsidRPr="00AC0924">
              <w:rPr>
                <w:b/>
                <w:lang w:eastAsia="en-NZ"/>
              </w:rPr>
              <w:t>Action</w:t>
            </w:r>
          </w:p>
        </w:tc>
        <w:tc>
          <w:tcPr>
            <w:tcW w:w="4253" w:type="dxa"/>
            <w:tcBorders>
              <w:top w:val="single" w:sz="4" w:space="0" w:color="auto"/>
              <w:bottom w:val="single" w:sz="4" w:space="0" w:color="auto"/>
            </w:tcBorders>
            <w:shd w:val="clear" w:color="auto" w:fill="auto"/>
          </w:tcPr>
          <w:p w14:paraId="266A590F" w14:textId="77777777" w:rsidR="00E85766" w:rsidRPr="00AC0924" w:rsidRDefault="00E85766" w:rsidP="00AC0924">
            <w:pPr>
              <w:pStyle w:val="TableText"/>
              <w:keepNext/>
              <w:ind w:right="142"/>
              <w:rPr>
                <w:b/>
                <w:lang w:eastAsia="en-NZ"/>
              </w:rPr>
            </w:pPr>
            <w:r w:rsidRPr="00AC0924">
              <w:rPr>
                <w:b/>
                <w:lang w:eastAsia="en-NZ"/>
              </w:rPr>
              <w:t>Who is involved</w:t>
            </w:r>
          </w:p>
        </w:tc>
        <w:tc>
          <w:tcPr>
            <w:tcW w:w="992" w:type="dxa"/>
            <w:tcBorders>
              <w:top w:val="single" w:sz="4" w:space="0" w:color="auto"/>
              <w:bottom w:val="single" w:sz="4" w:space="0" w:color="auto"/>
            </w:tcBorders>
            <w:shd w:val="clear" w:color="auto" w:fill="auto"/>
          </w:tcPr>
          <w:p w14:paraId="58E763CC" w14:textId="77777777" w:rsidR="00E85766" w:rsidRPr="00AC0924" w:rsidRDefault="00E85766" w:rsidP="00AC0924">
            <w:pPr>
              <w:pStyle w:val="TableText"/>
              <w:keepNext/>
              <w:rPr>
                <w:b/>
                <w:lang w:eastAsia="en-NZ"/>
              </w:rPr>
            </w:pPr>
            <w:r w:rsidRPr="00AC0924">
              <w:rPr>
                <w:b/>
                <w:lang w:eastAsia="en-NZ"/>
              </w:rPr>
              <w:t>By when</w:t>
            </w:r>
          </w:p>
        </w:tc>
      </w:tr>
      <w:tr w:rsidR="00E85766" w:rsidRPr="00601A89" w14:paraId="5924B7B8" w14:textId="77777777" w:rsidTr="00AC0924">
        <w:trPr>
          <w:cantSplit/>
        </w:trPr>
        <w:tc>
          <w:tcPr>
            <w:tcW w:w="1560" w:type="dxa"/>
            <w:vMerge w:val="restart"/>
            <w:tcBorders>
              <w:top w:val="single" w:sz="4" w:space="0" w:color="auto"/>
            </w:tcBorders>
            <w:shd w:val="clear" w:color="auto" w:fill="auto"/>
          </w:tcPr>
          <w:p w14:paraId="6CAADE48" w14:textId="77777777" w:rsidR="00E85766" w:rsidRPr="00601A89" w:rsidRDefault="00E85766" w:rsidP="00AC0924">
            <w:pPr>
              <w:pStyle w:val="TableText"/>
              <w:keepNext/>
              <w:ind w:right="142"/>
              <w:rPr>
                <w:color w:val="000000"/>
                <w:lang w:eastAsia="en-NZ"/>
              </w:rPr>
            </w:pPr>
            <w:r w:rsidRPr="00601A89">
              <w:t>Submi</w:t>
            </w:r>
            <w:r>
              <w:t>tting</w:t>
            </w:r>
            <w:r w:rsidRPr="00601A89">
              <w:t xml:space="preserve"> data and input</w:t>
            </w:r>
            <w:r>
              <w:t>ting it</w:t>
            </w:r>
            <w:r w:rsidR="00AC0924">
              <w:t xml:space="preserve"> to the Tool</w:t>
            </w:r>
          </w:p>
        </w:tc>
        <w:tc>
          <w:tcPr>
            <w:tcW w:w="2551" w:type="dxa"/>
            <w:tcBorders>
              <w:top w:val="single" w:sz="4" w:space="0" w:color="auto"/>
              <w:bottom w:val="dashSmallGap" w:sz="4" w:space="0" w:color="A6A6A6" w:themeColor="background1" w:themeShade="A6"/>
            </w:tcBorders>
            <w:shd w:val="clear" w:color="auto" w:fill="auto"/>
            <w:noWrap/>
          </w:tcPr>
          <w:p w14:paraId="721E56A8" w14:textId="77777777" w:rsidR="00E85766" w:rsidRPr="00601A89" w:rsidRDefault="00E85766" w:rsidP="00AC0924">
            <w:pPr>
              <w:pStyle w:val="TableText"/>
              <w:keepNext/>
              <w:ind w:right="142"/>
              <w:rPr>
                <w:color w:val="000000"/>
                <w:lang w:eastAsia="en-NZ"/>
              </w:rPr>
            </w:pPr>
            <w:r w:rsidRPr="00601A89">
              <w:rPr>
                <w:color w:val="000000"/>
                <w:lang w:eastAsia="en-NZ"/>
              </w:rPr>
              <w:t>Publi</w:t>
            </w:r>
            <w:r>
              <w:rPr>
                <w:color w:val="000000"/>
                <w:lang w:eastAsia="en-NZ"/>
              </w:rPr>
              <w:t>sh</w:t>
            </w:r>
            <w:r w:rsidRPr="00601A89">
              <w:rPr>
                <w:color w:val="000000"/>
                <w:lang w:eastAsia="en-NZ"/>
              </w:rPr>
              <w:t xml:space="preserve"> business rules to guide data collection f</w:t>
            </w:r>
            <w:r w:rsidR="00AC0924">
              <w:rPr>
                <w:color w:val="000000"/>
                <w:lang w:eastAsia="en-NZ"/>
              </w:rPr>
              <w:t>or radiation oncology providers</w:t>
            </w:r>
          </w:p>
        </w:tc>
        <w:tc>
          <w:tcPr>
            <w:tcW w:w="4253" w:type="dxa"/>
            <w:tcBorders>
              <w:top w:val="single" w:sz="4" w:space="0" w:color="auto"/>
              <w:bottom w:val="dashSmallGap" w:sz="4" w:space="0" w:color="A6A6A6" w:themeColor="background1" w:themeShade="A6"/>
            </w:tcBorders>
            <w:shd w:val="clear" w:color="auto" w:fill="auto"/>
            <w:noWrap/>
          </w:tcPr>
          <w:p w14:paraId="10EF5775" w14:textId="77777777" w:rsidR="00E85766" w:rsidRPr="00601A89" w:rsidRDefault="00E85766" w:rsidP="00AC0924">
            <w:pPr>
              <w:pStyle w:val="TableText"/>
              <w:keepNext/>
              <w:ind w:right="142"/>
              <w:rPr>
                <w:color w:val="000000"/>
                <w:lang w:eastAsia="en-NZ"/>
              </w:rPr>
            </w:pPr>
            <w:r w:rsidRPr="00601A89">
              <w:rPr>
                <w:color w:val="000000"/>
                <w:lang w:eastAsia="en-NZ"/>
              </w:rPr>
              <w:t xml:space="preserve">The Ministry will publish a business rules document that </w:t>
            </w:r>
            <w:r>
              <w:rPr>
                <w:color w:val="000000"/>
                <w:lang w:eastAsia="en-NZ"/>
              </w:rPr>
              <w:t>sets out</w:t>
            </w:r>
            <w:r w:rsidRPr="00601A89">
              <w:rPr>
                <w:color w:val="000000"/>
                <w:lang w:eastAsia="en-NZ"/>
              </w:rPr>
              <w:t xml:space="preserve"> agreed data items to collect, data definitions and frequency of collection</w:t>
            </w:r>
            <w:r w:rsidR="00C71F60">
              <w:rPr>
                <w:color w:val="000000"/>
                <w:lang w:eastAsia="en-NZ"/>
              </w:rPr>
              <w:t>.</w:t>
            </w:r>
          </w:p>
        </w:tc>
        <w:tc>
          <w:tcPr>
            <w:tcW w:w="992" w:type="dxa"/>
            <w:tcBorders>
              <w:top w:val="single" w:sz="4" w:space="0" w:color="auto"/>
              <w:bottom w:val="dashSmallGap" w:sz="4" w:space="0" w:color="A6A6A6" w:themeColor="background1" w:themeShade="A6"/>
            </w:tcBorders>
            <w:shd w:val="clear" w:color="auto" w:fill="auto"/>
          </w:tcPr>
          <w:p w14:paraId="48FAD0AF" w14:textId="77777777" w:rsidR="00E85766" w:rsidRPr="00601A89" w:rsidRDefault="00E85766" w:rsidP="00AC0924">
            <w:pPr>
              <w:pStyle w:val="TableText"/>
              <w:keepNext/>
              <w:rPr>
                <w:color w:val="000000"/>
                <w:lang w:eastAsia="en-NZ"/>
              </w:rPr>
            </w:pPr>
            <w:r w:rsidRPr="00601A89">
              <w:rPr>
                <w:color w:val="000000"/>
                <w:lang w:eastAsia="en-NZ"/>
              </w:rPr>
              <w:t>2017</w:t>
            </w:r>
          </w:p>
        </w:tc>
      </w:tr>
      <w:tr w:rsidR="00E85766" w:rsidRPr="00601A89" w14:paraId="6C95E9C8" w14:textId="77777777" w:rsidTr="00AC0924">
        <w:trPr>
          <w:cantSplit/>
        </w:trPr>
        <w:tc>
          <w:tcPr>
            <w:tcW w:w="1560" w:type="dxa"/>
            <w:vMerge/>
            <w:shd w:val="clear" w:color="auto" w:fill="auto"/>
          </w:tcPr>
          <w:p w14:paraId="70A8E821" w14:textId="77777777" w:rsidR="00E85766" w:rsidRPr="00601A89" w:rsidRDefault="00E85766" w:rsidP="00AC0924">
            <w:pPr>
              <w:pStyle w:val="TableText"/>
              <w:keepNext/>
              <w:ind w:right="142"/>
            </w:pPr>
          </w:p>
        </w:tc>
        <w:tc>
          <w:tcPr>
            <w:tcW w:w="2551" w:type="dxa"/>
            <w:tcBorders>
              <w:top w:val="dashSmallGap" w:sz="4" w:space="0" w:color="A6A6A6" w:themeColor="background1" w:themeShade="A6"/>
              <w:bottom w:val="dashSmallGap" w:sz="4" w:space="0" w:color="A6A6A6" w:themeColor="background1" w:themeShade="A6"/>
            </w:tcBorders>
            <w:shd w:val="clear" w:color="auto" w:fill="auto"/>
            <w:noWrap/>
          </w:tcPr>
          <w:p w14:paraId="1ADE3579" w14:textId="77777777" w:rsidR="00E85766" w:rsidRPr="00601A89" w:rsidRDefault="00E85766" w:rsidP="00AC0924">
            <w:pPr>
              <w:pStyle w:val="TableText"/>
              <w:keepNext/>
              <w:ind w:right="142"/>
              <w:rPr>
                <w:color w:val="000000"/>
                <w:lang w:eastAsia="en-NZ"/>
              </w:rPr>
            </w:pPr>
            <w:r w:rsidRPr="00601A89">
              <w:rPr>
                <w:color w:val="000000"/>
                <w:lang w:eastAsia="en-NZ"/>
              </w:rPr>
              <w:t>Implement ROMDS</w:t>
            </w:r>
          </w:p>
        </w:tc>
        <w:tc>
          <w:tcPr>
            <w:tcW w:w="4253" w:type="dxa"/>
            <w:tcBorders>
              <w:top w:val="dashSmallGap" w:sz="4" w:space="0" w:color="A6A6A6" w:themeColor="background1" w:themeShade="A6"/>
              <w:bottom w:val="dashSmallGap" w:sz="4" w:space="0" w:color="A6A6A6" w:themeColor="background1" w:themeShade="A6"/>
            </w:tcBorders>
            <w:shd w:val="clear" w:color="auto" w:fill="auto"/>
            <w:noWrap/>
          </w:tcPr>
          <w:p w14:paraId="59B6239E" w14:textId="77777777" w:rsidR="00E85766" w:rsidRPr="00601A89" w:rsidRDefault="00E85766" w:rsidP="00AC0924">
            <w:pPr>
              <w:pStyle w:val="TableText"/>
              <w:keepNext/>
              <w:ind w:right="142"/>
              <w:rPr>
                <w:color w:val="000000"/>
                <w:lang w:eastAsia="en-NZ"/>
              </w:rPr>
            </w:pPr>
            <w:r w:rsidRPr="00601A89">
              <w:rPr>
                <w:color w:val="000000"/>
                <w:lang w:eastAsia="en-NZ"/>
              </w:rPr>
              <w:t>Each radiation oncology provider will supply data at least quarterly to the Ministry</w:t>
            </w:r>
            <w:r w:rsidR="00C71F60">
              <w:rPr>
                <w:color w:val="000000"/>
                <w:lang w:eastAsia="en-NZ"/>
              </w:rPr>
              <w:t>.</w:t>
            </w:r>
          </w:p>
        </w:tc>
        <w:tc>
          <w:tcPr>
            <w:tcW w:w="992" w:type="dxa"/>
            <w:tcBorders>
              <w:top w:val="dashSmallGap" w:sz="4" w:space="0" w:color="A6A6A6" w:themeColor="background1" w:themeShade="A6"/>
              <w:bottom w:val="dashSmallGap" w:sz="4" w:space="0" w:color="A6A6A6" w:themeColor="background1" w:themeShade="A6"/>
            </w:tcBorders>
            <w:shd w:val="clear" w:color="auto" w:fill="auto"/>
          </w:tcPr>
          <w:p w14:paraId="3B815B3C" w14:textId="77777777" w:rsidR="00E85766" w:rsidRPr="00601A89" w:rsidRDefault="00E85766" w:rsidP="00AC0924">
            <w:pPr>
              <w:pStyle w:val="TableText"/>
              <w:keepNext/>
              <w:rPr>
                <w:color w:val="000000"/>
                <w:lang w:eastAsia="en-NZ"/>
              </w:rPr>
            </w:pPr>
            <w:r w:rsidRPr="00601A89">
              <w:rPr>
                <w:color w:val="000000"/>
                <w:lang w:eastAsia="en-NZ"/>
              </w:rPr>
              <w:t>2017</w:t>
            </w:r>
          </w:p>
        </w:tc>
      </w:tr>
      <w:tr w:rsidR="00E85766" w:rsidRPr="00601A89" w14:paraId="001327FB" w14:textId="77777777" w:rsidTr="00AC0924">
        <w:trPr>
          <w:cantSplit/>
        </w:trPr>
        <w:tc>
          <w:tcPr>
            <w:tcW w:w="1560" w:type="dxa"/>
            <w:vMerge/>
            <w:shd w:val="clear" w:color="auto" w:fill="auto"/>
          </w:tcPr>
          <w:p w14:paraId="4E368774" w14:textId="77777777" w:rsidR="00E85766" w:rsidRPr="00601A89" w:rsidRDefault="00E85766" w:rsidP="00AC0924">
            <w:pPr>
              <w:pStyle w:val="TableText"/>
              <w:keepNext/>
              <w:ind w:right="142"/>
            </w:pPr>
          </w:p>
        </w:tc>
        <w:tc>
          <w:tcPr>
            <w:tcW w:w="2551" w:type="dxa"/>
            <w:tcBorders>
              <w:top w:val="dashSmallGap" w:sz="4" w:space="0" w:color="A6A6A6" w:themeColor="background1" w:themeShade="A6"/>
              <w:bottom w:val="dashSmallGap" w:sz="4" w:space="0" w:color="A6A6A6" w:themeColor="background1" w:themeShade="A6"/>
            </w:tcBorders>
            <w:shd w:val="clear" w:color="auto" w:fill="auto"/>
            <w:noWrap/>
          </w:tcPr>
          <w:p w14:paraId="1CF75944" w14:textId="77777777" w:rsidR="00E85766" w:rsidRPr="00601A89" w:rsidRDefault="00E85766" w:rsidP="00AC0924">
            <w:pPr>
              <w:pStyle w:val="TableText"/>
              <w:keepNext/>
              <w:ind w:right="142"/>
              <w:rPr>
                <w:color w:val="000000"/>
                <w:lang w:eastAsia="en-NZ"/>
              </w:rPr>
            </w:pPr>
            <w:r w:rsidRPr="00601A89">
              <w:rPr>
                <w:color w:val="000000"/>
                <w:lang w:eastAsia="en-NZ"/>
              </w:rPr>
              <w:t>Updat</w:t>
            </w:r>
            <w:r>
              <w:rPr>
                <w:color w:val="000000"/>
                <w:lang w:eastAsia="en-NZ"/>
              </w:rPr>
              <w:t>e</w:t>
            </w:r>
            <w:r w:rsidRPr="00601A89">
              <w:rPr>
                <w:color w:val="000000"/>
                <w:lang w:eastAsia="en-NZ"/>
              </w:rPr>
              <w:t xml:space="preserve"> 2012</w:t>
            </w:r>
            <w:r>
              <w:rPr>
                <w:color w:val="000000"/>
                <w:lang w:eastAsia="en-NZ"/>
              </w:rPr>
              <w:t>–</w:t>
            </w:r>
            <w:r w:rsidRPr="00601A89">
              <w:rPr>
                <w:color w:val="000000"/>
                <w:lang w:eastAsia="en-NZ"/>
              </w:rPr>
              <w:t>2015 baseline data</w:t>
            </w:r>
          </w:p>
        </w:tc>
        <w:tc>
          <w:tcPr>
            <w:tcW w:w="4253" w:type="dxa"/>
            <w:tcBorders>
              <w:top w:val="dashSmallGap" w:sz="4" w:space="0" w:color="A6A6A6" w:themeColor="background1" w:themeShade="A6"/>
              <w:bottom w:val="dashSmallGap" w:sz="4" w:space="0" w:color="A6A6A6" w:themeColor="background1" w:themeShade="A6"/>
            </w:tcBorders>
            <w:shd w:val="clear" w:color="auto" w:fill="auto"/>
            <w:noWrap/>
          </w:tcPr>
          <w:p w14:paraId="58283D4C" w14:textId="77777777" w:rsidR="00E85766" w:rsidRPr="00601A89" w:rsidRDefault="00E85766" w:rsidP="00AC0924">
            <w:pPr>
              <w:pStyle w:val="TableText"/>
              <w:keepNext/>
              <w:ind w:right="142"/>
              <w:rPr>
                <w:color w:val="000000"/>
                <w:lang w:eastAsia="en-NZ"/>
              </w:rPr>
            </w:pPr>
            <w:r w:rsidRPr="00601A89">
              <w:rPr>
                <w:color w:val="000000"/>
                <w:lang w:eastAsia="en-NZ"/>
              </w:rPr>
              <w:t xml:space="preserve">The Ministry will update baseline metric reports with </w:t>
            </w:r>
            <w:r>
              <w:rPr>
                <w:color w:val="000000"/>
                <w:lang w:eastAsia="en-NZ"/>
              </w:rPr>
              <w:t xml:space="preserve">new </w:t>
            </w:r>
            <w:r w:rsidRPr="00601A89">
              <w:rPr>
                <w:color w:val="000000"/>
                <w:lang w:eastAsia="en-NZ"/>
              </w:rPr>
              <w:t xml:space="preserve">data </w:t>
            </w:r>
            <w:r>
              <w:rPr>
                <w:color w:val="000000"/>
                <w:lang w:eastAsia="en-NZ"/>
              </w:rPr>
              <w:t xml:space="preserve">from </w:t>
            </w:r>
            <w:r w:rsidRPr="00601A89">
              <w:rPr>
                <w:color w:val="000000"/>
                <w:lang w:eastAsia="en-NZ"/>
              </w:rPr>
              <w:t>the radiation oncology providers</w:t>
            </w:r>
            <w:r w:rsidR="00C71F60">
              <w:rPr>
                <w:color w:val="000000"/>
                <w:lang w:eastAsia="en-NZ"/>
              </w:rPr>
              <w:t>.</w:t>
            </w:r>
          </w:p>
        </w:tc>
        <w:tc>
          <w:tcPr>
            <w:tcW w:w="992" w:type="dxa"/>
            <w:tcBorders>
              <w:top w:val="dashSmallGap" w:sz="4" w:space="0" w:color="A6A6A6" w:themeColor="background1" w:themeShade="A6"/>
              <w:bottom w:val="dashSmallGap" w:sz="4" w:space="0" w:color="A6A6A6" w:themeColor="background1" w:themeShade="A6"/>
            </w:tcBorders>
            <w:shd w:val="clear" w:color="auto" w:fill="auto"/>
          </w:tcPr>
          <w:p w14:paraId="1AC48446" w14:textId="77777777" w:rsidR="00E85766" w:rsidRPr="00601A89" w:rsidRDefault="00E85766" w:rsidP="00AC0924">
            <w:pPr>
              <w:pStyle w:val="TableText"/>
              <w:keepNext/>
              <w:rPr>
                <w:color w:val="000000"/>
                <w:lang w:eastAsia="en-NZ"/>
              </w:rPr>
            </w:pPr>
            <w:r w:rsidRPr="00601A89">
              <w:rPr>
                <w:color w:val="000000"/>
                <w:lang w:eastAsia="en-NZ"/>
              </w:rPr>
              <w:t>2017</w:t>
            </w:r>
          </w:p>
        </w:tc>
      </w:tr>
      <w:tr w:rsidR="00E85766" w:rsidRPr="00601A89" w14:paraId="56DC52D5" w14:textId="77777777" w:rsidTr="00AC0924">
        <w:trPr>
          <w:cantSplit/>
        </w:trPr>
        <w:tc>
          <w:tcPr>
            <w:tcW w:w="1560" w:type="dxa"/>
            <w:vMerge/>
            <w:shd w:val="clear" w:color="auto" w:fill="auto"/>
          </w:tcPr>
          <w:p w14:paraId="79F184A6" w14:textId="77777777" w:rsidR="00E85766" w:rsidRPr="00601A89" w:rsidRDefault="00E85766" w:rsidP="00AC0924">
            <w:pPr>
              <w:pStyle w:val="TableText"/>
              <w:ind w:right="142"/>
            </w:pPr>
          </w:p>
        </w:tc>
        <w:tc>
          <w:tcPr>
            <w:tcW w:w="2551" w:type="dxa"/>
            <w:tcBorders>
              <w:top w:val="dashSmallGap" w:sz="4" w:space="0" w:color="A6A6A6" w:themeColor="background1" w:themeShade="A6"/>
              <w:bottom w:val="dashSmallGap" w:sz="4" w:space="0" w:color="A6A6A6" w:themeColor="background1" w:themeShade="A6"/>
            </w:tcBorders>
            <w:shd w:val="clear" w:color="auto" w:fill="auto"/>
            <w:noWrap/>
          </w:tcPr>
          <w:p w14:paraId="417AC48D" w14:textId="77777777" w:rsidR="00E85766" w:rsidRPr="00601A89" w:rsidRDefault="00E85766" w:rsidP="00AC0924">
            <w:pPr>
              <w:pStyle w:val="TableText"/>
              <w:ind w:right="142"/>
              <w:rPr>
                <w:color w:val="000000"/>
                <w:lang w:eastAsia="en-NZ"/>
              </w:rPr>
            </w:pPr>
            <w:r w:rsidRPr="00601A89">
              <w:rPr>
                <w:color w:val="000000"/>
                <w:lang w:eastAsia="en-NZ"/>
              </w:rPr>
              <w:t>Develop metric reporting systems</w:t>
            </w:r>
          </w:p>
        </w:tc>
        <w:tc>
          <w:tcPr>
            <w:tcW w:w="4253" w:type="dxa"/>
            <w:tcBorders>
              <w:top w:val="dashSmallGap" w:sz="4" w:space="0" w:color="A6A6A6" w:themeColor="background1" w:themeShade="A6"/>
              <w:bottom w:val="dashSmallGap" w:sz="4" w:space="0" w:color="A6A6A6" w:themeColor="background1" w:themeShade="A6"/>
            </w:tcBorders>
            <w:shd w:val="clear" w:color="auto" w:fill="auto"/>
            <w:noWrap/>
          </w:tcPr>
          <w:p w14:paraId="1DD31A3C" w14:textId="77777777" w:rsidR="00E85766" w:rsidRPr="00601A89" w:rsidRDefault="00E85766" w:rsidP="00AC0924">
            <w:pPr>
              <w:pStyle w:val="TableText"/>
              <w:ind w:right="142"/>
              <w:rPr>
                <w:color w:val="000000"/>
                <w:lang w:eastAsia="en-NZ"/>
              </w:rPr>
            </w:pPr>
            <w:r w:rsidRPr="00601A89">
              <w:rPr>
                <w:color w:val="000000"/>
                <w:lang w:eastAsia="en-NZ"/>
              </w:rPr>
              <w:t>The Ministry will develop metric reporting systems</w:t>
            </w:r>
            <w:r w:rsidR="00C71F60">
              <w:rPr>
                <w:color w:val="000000"/>
                <w:lang w:eastAsia="en-NZ"/>
              </w:rPr>
              <w:t>.</w:t>
            </w:r>
          </w:p>
        </w:tc>
        <w:tc>
          <w:tcPr>
            <w:tcW w:w="992" w:type="dxa"/>
            <w:tcBorders>
              <w:top w:val="dashSmallGap" w:sz="4" w:space="0" w:color="A6A6A6" w:themeColor="background1" w:themeShade="A6"/>
              <w:bottom w:val="dashSmallGap" w:sz="4" w:space="0" w:color="A6A6A6" w:themeColor="background1" w:themeShade="A6"/>
            </w:tcBorders>
            <w:shd w:val="clear" w:color="auto" w:fill="auto"/>
          </w:tcPr>
          <w:p w14:paraId="46A22E70" w14:textId="77777777" w:rsidR="00E85766" w:rsidRPr="00601A89" w:rsidRDefault="00E85766" w:rsidP="00AC0924">
            <w:pPr>
              <w:pStyle w:val="TableText"/>
              <w:rPr>
                <w:color w:val="000000"/>
                <w:lang w:eastAsia="en-NZ"/>
              </w:rPr>
            </w:pPr>
            <w:r w:rsidRPr="00601A89">
              <w:rPr>
                <w:color w:val="000000"/>
                <w:lang w:eastAsia="en-NZ"/>
              </w:rPr>
              <w:t>2017</w:t>
            </w:r>
          </w:p>
        </w:tc>
      </w:tr>
      <w:tr w:rsidR="00E85766" w:rsidRPr="00601A89" w14:paraId="0CC3312D" w14:textId="77777777" w:rsidTr="00AC0924">
        <w:trPr>
          <w:cantSplit/>
        </w:trPr>
        <w:tc>
          <w:tcPr>
            <w:tcW w:w="1560" w:type="dxa"/>
            <w:vMerge/>
            <w:shd w:val="clear" w:color="auto" w:fill="auto"/>
          </w:tcPr>
          <w:p w14:paraId="5D628E8B" w14:textId="77777777" w:rsidR="00E85766" w:rsidRPr="00601A89" w:rsidRDefault="00E85766" w:rsidP="00AC0924">
            <w:pPr>
              <w:pStyle w:val="TableText"/>
              <w:ind w:right="142"/>
            </w:pPr>
          </w:p>
        </w:tc>
        <w:tc>
          <w:tcPr>
            <w:tcW w:w="2551" w:type="dxa"/>
            <w:tcBorders>
              <w:top w:val="dashSmallGap" w:sz="4" w:space="0" w:color="A6A6A6" w:themeColor="background1" w:themeShade="A6"/>
              <w:bottom w:val="dashSmallGap" w:sz="4" w:space="0" w:color="A6A6A6" w:themeColor="background1" w:themeShade="A6"/>
            </w:tcBorders>
            <w:shd w:val="clear" w:color="auto" w:fill="auto"/>
            <w:noWrap/>
          </w:tcPr>
          <w:p w14:paraId="29034A2E" w14:textId="77777777" w:rsidR="00E85766" w:rsidRPr="00601A89" w:rsidRDefault="00E85766" w:rsidP="00AC0924">
            <w:pPr>
              <w:pStyle w:val="TableText"/>
              <w:ind w:right="142"/>
              <w:rPr>
                <w:color w:val="000000"/>
                <w:lang w:eastAsia="en-NZ"/>
              </w:rPr>
            </w:pPr>
            <w:r w:rsidRPr="00601A89">
              <w:rPr>
                <w:color w:val="000000"/>
                <w:lang w:eastAsia="en-NZ"/>
              </w:rPr>
              <w:t xml:space="preserve">Develop metrics that accurately measure service performance, </w:t>
            </w:r>
            <w:r>
              <w:rPr>
                <w:color w:val="000000"/>
                <w:lang w:eastAsia="en-NZ"/>
              </w:rPr>
              <w:t xml:space="preserve">and continue to </w:t>
            </w:r>
            <w:r w:rsidRPr="00601A89">
              <w:rPr>
                <w:color w:val="000000"/>
                <w:lang w:eastAsia="en-NZ"/>
              </w:rPr>
              <w:t>refine</w:t>
            </w:r>
            <w:r>
              <w:rPr>
                <w:color w:val="000000"/>
                <w:lang w:eastAsia="en-NZ"/>
              </w:rPr>
              <w:t xml:space="preserve"> them</w:t>
            </w:r>
          </w:p>
        </w:tc>
        <w:tc>
          <w:tcPr>
            <w:tcW w:w="4253" w:type="dxa"/>
            <w:tcBorders>
              <w:top w:val="dashSmallGap" w:sz="4" w:space="0" w:color="A6A6A6" w:themeColor="background1" w:themeShade="A6"/>
              <w:bottom w:val="dashSmallGap" w:sz="4" w:space="0" w:color="A6A6A6" w:themeColor="background1" w:themeShade="A6"/>
            </w:tcBorders>
            <w:shd w:val="clear" w:color="auto" w:fill="auto"/>
            <w:noWrap/>
          </w:tcPr>
          <w:p w14:paraId="7E419ED3" w14:textId="77777777" w:rsidR="00E85766" w:rsidRPr="00601A89" w:rsidRDefault="00E85766" w:rsidP="00AC0924">
            <w:pPr>
              <w:pStyle w:val="TableText"/>
              <w:ind w:right="142"/>
              <w:rPr>
                <w:color w:val="000000"/>
                <w:lang w:eastAsia="en-NZ"/>
              </w:rPr>
            </w:pPr>
            <w:r w:rsidRPr="00601A89">
              <w:rPr>
                <w:color w:val="000000"/>
                <w:lang w:eastAsia="en-NZ"/>
              </w:rPr>
              <w:t>The Ministry will work with ROWG to refine and optimise the system</w:t>
            </w:r>
            <w:r w:rsidR="00C71F60">
              <w:rPr>
                <w:color w:val="000000"/>
                <w:lang w:eastAsia="en-NZ"/>
              </w:rPr>
              <w:t>.</w:t>
            </w:r>
          </w:p>
        </w:tc>
        <w:tc>
          <w:tcPr>
            <w:tcW w:w="992" w:type="dxa"/>
            <w:tcBorders>
              <w:top w:val="dashSmallGap" w:sz="4" w:space="0" w:color="A6A6A6" w:themeColor="background1" w:themeShade="A6"/>
              <w:bottom w:val="dashSmallGap" w:sz="4" w:space="0" w:color="A6A6A6" w:themeColor="background1" w:themeShade="A6"/>
            </w:tcBorders>
            <w:shd w:val="clear" w:color="auto" w:fill="auto"/>
          </w:tcPr>
          <w:p w14:paraId="3676F5DF" w14:textId="77777777" w:rsidR="00E85766" w:rsidRPr="00601A89" w:rsidRDefault="00E85766" w:rsidP="00AC0924">
            <w:pPr>
              <w:pStyle w:val="TableText"/>
              <w:rPr>
                <w:color w:val="000000"/>
                <w:lang w:eastAsia="en-NZ"/>
              </w:rPr>
            </w:pPr>
            <w:r w:rsidRPr="00601A89">
              <w:rPr>
                <w:color w:val="000000"/>
                <w:lang w:eastAsia="en-NZ"/>
              </w:rPr>
              <w:t>2017</w:t>
            </w:r>
          </w:p>
        </w:tc>
      </w:tr>
      <w:tr w:rsidR="00E85766" w:rsidRPr="00601A89" w14:paraId="5B5BA11C" w14:textId="77777777" w:rsidTr="00AC0924">
        <w:trPr>
          <w:cantSplit/>
        </w:trPr>
        <w:tc>
          <w:tcPr>
            <w:tcW w:w="1560" w:type="dxa"/>
            <w:vMerge/>
            <w:shd w:val="clear" w:color="auto" w:fill="auto"/>
          </w:tcPr>
          <w:p w14:paraId="37423190" w14:textId="77777777" w:rsidR="00E85766" w:rsidRPr="00601A89" w:rsidRDefault="00E85766" w:rsidP="00AC0924">
            <w:pPr>
              <w:pStyle w:val="TableText"/>
              <w:ind w:right="142"/>
            </w:pPr>
          </w:p>
        </w:tc>
        <w:tc>
          <w:tcPr>
            <w:tcW w:w="2551" w:type="dxa"/>
            <w:tcBorders>
              <w:top w:val="dashSmallGap" w:sz="4" w:space="0" w:color="A6A6A6" w:themeColor="background1" w:themeShade="A6"/>
              <w:bottom w:val="dashSmallGap" w:sz="4" w:space="0" w:color="A6A6A6" w:themeColor="background1" w:themeShade="A6"/>
            </w:tcBorders>
            <w:shd w:val="clear" w:color="auto" w:fill="auto"/>
            <w:noWrap/>
          </w:tcPr>
          <w:p w14:paraId="01742D38" w14:textId="77777777" w:rsidR="00E85766" w:rsidRPr="00601A89" w:rsidRDefault="00E85766" w:rsidP="00AC0924">
            <w:pPr>
              <w:pStyle w:val="TableText"/>
              <w:ind w:right="142"/>
              <w:rPr>
                <w:color w:val="000000"/>
                <w:lang w:eastAsia="en-NZ"/>
              </w:rPr>
            </w:pPr>
            <w:r>
              <w:rPr>
                <w:color w:val="000000"/>
                <w:lang w:eastAsia="en-NZ"/>
              </w:rPr>
              <w:t>E</w:t>
            </w:r>
            <w:r w:rsidRPr="00601A89">
              <w:rPr>
                <w:color w:val="000000"/>
                <w:lang w:eastAsia="en-NZ"/>
              </w:rPr>
              <w:t>xtract</w:t>
            </w:r>
            <w:r>
              <w:rPr>
                <w:color w:val="000000"/>
                <w:lang w:eastAsia="en-NZ"/>
              </w:rPr>
              <w:t xml:space="preserve"> data</w:t>
            </w:r>
            <w:r w:rsidRPr="00601A89">
              <w:rPr>
                <w:color w:val="000000"/>
                <w:lang w:eastAsia="en-NZ"/>
              </w:rPr>
              <w:t xml:space="preserve"> and </w:t>
            </w:r>
            <w:r>
              <w:rPr>
                <w:color w:val="000000"/>
                <w:lang w:eastAsia="en-NZ"/>
              </w:rPr>
              <w:t xml:space="preserve">make it </w:t>
            </w:r>
            <w:r w:rsidRPr="00601A89">
              <w:rPr>
                <w:color w:val="000000"/>
                <w:lang w:eastAsia="en-NZ"/>
              </w:rPr>
              <w:t xml:space="preserve">available to update the Service </w:t>
            </w:r>
            <w:r>
              <w:rPr>
                <w:color w:val="000000"/>
                <w:lang w:eastAsia="en-NZ"/>
              </w:rPr>
              <w:t xml:space="preserve">Planning </w:t>
            </w:r>
            <w:r w:rsidRPr="00601A89">
              <w:rPr>
                <w:color w:val="000000"/>
                <w:lang w:eastAsia="en-NZ"/>
              </w:rPr>
              <w:t>Tool</w:t>
            </w:r>
          </w:p>
        </w:tc>
        <w:tc>
          <w:tcPr>
            <w:tcW w:w="4253" w:type="dxa"/>
            <w:tcBorders>
              <w:top w:val="dashSmallGap" w:sz="4" w:space="0" w:color="A6A6A6" w:themeColor="background1" w:themeShade="A6"/>
              <w:bottom w:val="dashSmallGap" w:sz="4" w:space="0" w:color="A6A6A6" w:themeColor="background1" w:themeShade="A6"/>
            </w:tcBorders>
            <w:shd w:val="clear" w:color="auto" w:fill="auto"/>
            <w:noWrap/>
          </w:tcPr>
          <w:p w14:paraId="60F770E5" w14:textId="77777777" w:rsidR="00E85766" w:rsidRPr="00601A89" w:rsidRDefault="00E85766" w:rsidP="00AC0924">
            <w:pPr>
              <w:pStyle w:val="TableText"/>
              <w:ind w:right="142"/>
              <w:rPr>
                <w:color w:val="000000"/>
                <w:lang w:eastAsia="en-NZ"/>
              </w:rPr>
            </w:pPr>
            <w:r w:rsidRPr="00601A89">
              <w:rPr>
                <w:color w:val="000000"/>
                <w:lang w:eastAsia="en-NZ"/>
              </w:rPr>
              <w:t xml:space="preserve">The Ministry will work with ROWG and radiation oncology providers to update the Service </w:t>
            </w:r>
            <w:r>
              <w:rPr>
                <w:color w:val="000000"/>
                <w:lang w:eastAsia="en-NZ"/>
              </w:rPr>
              <w:t xml:space="preserve">Planning </w:t>
            </w:r>
            <w:r w:rsidRPr="00601A89">
              <w:rPr>
                <w:color w:val="000000"/>
                <w:lang w:eastAsia="en-NZ"/>
              </w:rPr>
              <w:t>Tool</w:t>
            </w:r>
            <w:r w:rsidR="00C71F60">
              <w:rPr>
                <w:color w:val="000000"/>
                <w:lang w:eastAsia="en-NZ"/>
              </w:rPr>
              <w:t>.</w:t>
            </w:r>
          </w:p>
        </w:tc>
        <w:tc>
          <w:tcPr>
            <w:tcW w:w="992" w:type="dxa"/>
            <w:tcBorders>
              <w:top w:val="dashSmallGap" w:sz="4" w:space="0" w:color="A6A6A6" w:themeColor="background1" w:themeShade="A6"/>
              <w:bottom w:val="dashSmallGap" w:sz="4" w:space="0" w:color="A6A6A6" w:themeColor="background1" w:themeShade="A6"/>
            </w:tcBorders>
            <w:shd w:val="clear" w:color="auto" w:fill="auto"/>
          </w:tcPr>
          <w:p w14:paraId="0FB2D9D6" w14:textId="77777777" w:rsidR="00E85766" w:rsidRPr="00601A89" w:rsidRDefault="00E85766" w:rsidP="00AC0924">
            <w:pPr>
              <w:pStyle w:val="TableText"/>
              <w:rPr>
                <w:color w:val="000000"/>
                <w:lang w:eastAsia="en-NZ"/>
              </w:rPr>
            </w:pPr>
            <w:r w:rsidRPr="00601A89">
              <w:rPr>
                <w:color w:val="000000"/>
                <w:lang w:eastAsia="en-NZ"/>
              </w:rPr>
              <w:t>2017</w:t>
            </w:r>
          </w:p>
        </w:tc>
      </w:tr>
      <w:tr w:rsidR="00E85766" w:rsidRPr="00601A89" w14:paraId="453AE63E" w14:textId="77777777" w:rsidTr="00AC0924">
        <w:trPr>
          <w:cantSplit/>
        </w:trPr>
        <w:tc>
          <w:tcPr>
            <w:tcW w:w="1560" w:type="dxa"/>
            <w:vMerge/>
            <w:tcBorders>
              <w:bottom w:val="single" w:sz="4" w:space="0" w:color="A6A6A6" w:themeColor="background1" w:themeShade="A6"/>
            </w:tcBorders>
            <w:shd w:val="clear" w:color="auto" w:fill="auto"/>
          </w:tcPr>
          <w:p w14:paraId="65409C1E" w14:textId="77777777" w:rsidR="00E85766" w:rsidRPr="00601A89" w:rsidRDefault="00E85766" w:rsidP="00AC0924">
            <w:pPr>
              <w:pStyle w:val="TableText"/>
              <w:ind w:right="142"/>
            </w:pPr>
          </w:p>
        </w:tc>
        <w:tc>
          <w:tcPr>
            <w:tcW w:w="2551" w:type="dxa"/>
            <w:tcBorders>
              <w:top w:val="dashSmallGap" w:sz="4" w:space="0" w:color="A6A6A6" w:themeColor="background1" w:themeShade="A6"/>
              <w:bottom w:val="single" w:sz="4" w:space="0" w:color="A6A6A6" w:themeColor="background1" w:themeShade="A6"/>
            </w:tcBorders>
            <w:shd w:val="clear" w:color="auto" w:fill="auto"/>
            <w:noWrap/>
          </w:tcPr>
          <w:p w14:paraId="7AB208C8" w14:textId="77777777" w:rsidR="00E85766" w:rsidRPr="00601A89" w:rsidRDefault="00E85766" w:rsidP="00AC0924">
            <w:pPr>
              <w:pStyle w:val="TableText"/>
              <w:ind w:right="142"/>
              <w:rPr>
                <w:color w:val="000000"/>
                <w:lang w:eastAsia="en-NZ"/>
              </w:rPr>
            </w:pPr>
            <w:r w:rsidRPr="00601A89">
              <w:rPr>
                <w:color w:val="000000"/>
                <w:lang w:eastAsia="en-NZ"/>
              </w:rPr>
              <w:t>Integrat</w:t>
            </w:r>
            <w:r>
              <w:rPr>
                <w:color w:val="000000"/>
                <w:lang w:eastAsia="en-NZ"/>
              </w:rPr>
              <w:t>e</w:t>
            </w:r>
            <w:r w:rsidRPr="00601A89">
              <w:rPr>
                <w:color w:val="000000"/>
                <w:lang w:eastAsia="en-NZ"/>
              </w:rPr>
              <w:t xml:space="preserve"> ROMDS into the Ministry</w:t>
            </w:r>
            <w:r w:rsidR="007A6454">
              <w:rPr>
                <w:color w:val="000000"/>
                <w:lang w:eastAsia="en-NZ"/>
              </w:rPr>
              <w:t>’</w:t>
            </w:r>
            <w:r w:rsidRPr="00601A89">
              <w:rPr>
                <w:color w:val="000000"/>
                <w:lang w:eastAsia="en-NZ"/>
              </w:rPr>
              <w:t>s central analysis hub</w:t>
            </w:r>
          </w:p>
        </w:tc>
        <w:tc>
          <w:tcPr>
            <w:tcW w:w="4253" w:type="dxa"/>
            <w:tcBorders>
              <w:top w:val="dashSmallGap" w:sz="4" w:space="0" w:color="A6A6A6" w:themeColor="background1" w:themeShade="A6"/>
              <w:bottom w:val="single" w:sz="4" w:space="0" w:color="A6A6A6" w:themeColor="background1" w:themeShade="A6"/>
            </w:tcBorders>
            <w:shd w:val="clear" w:color="auto" w:fill="auto"/>
            <w:noWrap/>
          </w:tcPr>
          <w:p w14:paraId="1B07D15A" w14:textId="77777777" w:rsidR="00E85766" w:rsidRPr="00601A89" w:rsidRDefault="00E85766" w:rsidP="00AC0924">
            <w:pPr>
              <w:pStyle w:val="TableText"/>
              <w:ind w:right="142"/>
              <w:rPr>
                <w:color w:val="000000"/>
                <w:lang w:eastAsia="en-NZ"/>
              </w:rPr>
            </w:pPr>
            <w:r w:rsidRPr="00601A89">
              <w:rPr>
                <w:color w:val="000000"/>
                <w:lang w:eastAsia="en-NZ"/>
              </w:rPr>
              <w:t>The Ministry</w:t>
            </w:r>
            <w:r w:rsidR="007A6454">
              <w:rPr>
                <w:color w:val="000000"/>
                <w:lang w:eastAsia="en-NZ"/>
              </w:rPr>
              <w:t>’</w:t>
            </w:r>
            <w:r w:rsidRPr="00601A89">
              <w:rPr>
                <w:color w:val="000000"/>
                <w:lang w:eastAsia="en-NZ"/>
              </w:rPr>
              <w:t>s Cancer Health Information Strategy (CHIS) team will integrate ROMDS into the central analysis hub</w:t>
            </w:r>
            <w:r w:rsidR="00C71F60">
              <w:rPr>
                <w:color w:val="000000"/>
                <w:lang w:eastAsia="en-NZ"/>
              </w:rPr>
              <w:t>.</w:t>
            </w:r>
          </w:p>
        </w:tc>
        <w:tc>
          <w:tcPr>
            <w:tcW w:w="992" w:type="dxa"/>
            <w:tcBorders>
              <w:top w:val="dashSmallGap" w:sz="4" w:space="0" w:color="A6A6A6" w:themeColor="background1" w:themeShade="A6"/>
              <w:bottom w:val="single" w:sz="4" w:space="0" w:color="A6A6A6" w:themeColor="background1" w:themeShade="A6"/>
            </w:tcBorders>
            <w:shd w:val="clear" w:color="auto" w:fill="auto"/>
          </w:tcPr>
          <w:p w14:paraId="15F7245E" w14:textId="77777777" w:rsidR="00E85766" w:rsidRPr="00601A89" w:rsidRDefault="00E85766" w:rsidP="00AC0924">
            <w:pPr>
              <w:pStyle w:val="TableText"/>
              <w:rPr>
                <w:color w:val="000000"/>
                <w:lang w:eastAsia="en-NZ"/>
              </w:rPr>
            </w:pPr>
            <w:r w:rsidRPr="00601A89">
              <w:rPr>
                <w:color w:val="000000"/>
                <w:lang w:eastAsia="en-NZ"/>
              </w:rPr>
              <w:t>2018</w:t>
            </w:r>
          </w:p>
        </w:tc>
      </w:tr>
      <w:tr w:rsidR="00E85766" w:rsidRPr="00601A89" w14:paraId="3116FEA2" w14:textId="77777777" w:rsidTr="00AC0924">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14:paraId="7F9FA5EC" w14:textId="77777777" w:rsidR="00E85766" w:rsidRPr="00601A89" w:rsidRDefault="00E85766" w:rsidP="00AC0924">
            <w:pPr>
              <w:pStyle w:val="TableText"/>
              <w:ind w:right="142"/>
              <w:rPr>
                <w:color w:val="000000"/>
                <w:lang w:eastAsia="en-NZ"/>
              </w:rPr>
            </w:pPr>
            <w:r w:rsidRPr="00601A89">
              <w:t>Analys</w:t>
            </w:r>
            <w:r>
              <w:t>e</w:t>
            </w:r>
            <w:r w:rsidRPr="00601A89">
              <w:t xml:space="preserve"> and report</w:t>
            </w:r>
          </w:p>
        </w:tc>
        <w:tc>
          <w:tcPr>
            <w:tcW w:w="2551" w:type="dxa"/>
            <w:tcBorders>
              <w:top w:val="single" w:sz="4" w:space="0" w:color="A6A6A6" w:themeColor="background1" w:themeShade="A6"/>
              <w:bottom w:val="single" w:sz="4" w:space="0" w:color="A6A6A6" w:themeColor="background1" w:themeShade="A6"/>
            </w:tcBorders>
            <w:shd w:val="clear" w:color="auto" w:fill="auto"/>
            <w:noWrap/>
          </w:tcPr>
          <w:p w14:paraId="2AAD40ED" w14:textId="77777777" w:rsidR="00E85766" w:rsidRPr="00601A89" w:rsidRDefault="00E85766" w:rsidP="00AC0924">
            <w:pPr>
              <w:pStyle w:val="TableText"/>
              <w:ind w:right="142"/>
              <w:rPr>
                <w:color w:val="000000"/>
                <w:lang w:eastAsia="en-NZ"/>
              </w:rPr>
            </w:pPr>
            <w:r w:rsidRPr="00601A89">
              <w:rPr>
                <w:color w:val="000000"/>
                <w:lang w:eastAsia="en-NZ"/>
              </w:rPr>
              <w:t xml:space="preserve">Establish an interim solution to support the radiation oncology sector </w:t>
            </w:r>
            <w:r>
              <w:rPr>
                <w:color w:val="000000"/>
                <w:lang w:eastAsia="en-NZ"/>
              </w:rPr>
              <w:t>to</w:t>
            </w:r>
            <w:r w:rsidRPr="00601A89">
              <w:rPr>
                <w:color w:val="000000"/>
                <w:lang w:eastAsia="en-NZ"/>
              </w:rPr>
              <w:t xml:space="preserve"> use its data</w:t>
            </w:r>
            <w:r>
              <w:rPr>
                <w:color w:val="000000"/>
                <w:lang w:eastAsia="en-NZ"/>
              </w:rPr>
              <w:t xml:space="preserve"> well</w:t>
            </w:r>
            <w:r w:rsidRPr="00601A89">
              <w:rPr>
                <w:color w:val="000000"/>
                <w:lang w:eastAsia="en-NZ"/>
              </w:rPr>
              <w:t>, while the CHIS is being implemented</w:t>
            </w:r>
          </w:p>
        </w:tc>
        <w:tc>
          <w:tcPr>
            <w:tcW w:w="4253" w:type="dxa"/>
            <w:tcBorders>
              <w:top w:val="single" w:sz="4" w:space="0" w:color="A6A6A6" w:themeColor="background1" w:themeShade="A6"/>
              <w:bottom w:val="single" w:sz="4" w:space="0" w:color="A6A6A6" w:themeColor="background1" w:themeShade="A6"/>
            </w:tcBorders>
            <w:shd w:val="clear" w:color="auto" w:fill="auto"/>
            <w:noWrap/>
          </w:tcPr>
          <w:p w14:paraId="53A0970B" w14:textId="77777777" w:rsidR="00E85766" w:rsidRPr="00601A89" w:rsidRDefault="00E85766" w:rsidP="00AC0924">
            <w:pPr>
              <w:pStyle w:val="TableText"/>
              <w:ind w:right="142"/>
              <w:rPr>
                <w:color w:val="000000"/>
                <w:lang w:eastAsia="en-NZ"/>
              </w:rPr>
            </w:pPr>
            <w:r w:rsidRPr="00601A89">
              <w:rPr>
                <w:color w:val="000000"/>
                <w:lang w:eastAsia="en-NZ"/>
              </w:rPr>
              <w:t>The Ministry</w:t>
            </w:r>
            <w:r w:rsidR="007A6454">
              <w:rPr>
                <w:color w:val="000000"/>
                <w:lang w:eastAsia="en-NZ"/>
              </w:rPr>
              <w:t>’</w:t>
            </w:r>
            <w:r w:rsidRPr="00601A89">
              <w:rPr>
                <w:color w:val="000000"/>
                <w:lang w:eastAsia="en-NZ"/>
              </w:rPr>
              <w:t>s CHIS team will document plans for the central analysis hub</w:t>
            </w:r>
            <w:r w:rsidR="00C71F60">
              <w:rPr>
                <w:color w:val="000000"/>
                <w:lang w:eastAsia="en-NZ"/>
              </w:rPr>
              <w:t>.</w:t>
            </w:r>
          </w:p>
          <w:p w14:paraId="52CF5DC2" w14:textId="77777777" w:rsidR="00E85766" w:rsidRPr="00601A89" w:rsidRDefault="00E85766" w:rsidP="00AC0924">
            <w:pPr>
              <w:pStyle w:val="TableText"/>
              <w:ind w:right="142"/>
              <w:rPr>
                <w:color w:val="000000"/>
                <w:lang w:eastAsia="en-NZ"/>
              </w:rPr>
            </w:pPr>
            <w:r w:rsidRPr="00601A89">
              <w:rPr>
                <w:color w:val="000000"/>
                <w:lang w:eastAsia="en-NZ"/>
              </w:rPr>
              <w:t>The Ministry will develop an interim solution</w:t>
            </w:r>
            <w:r w:rsidRPr="00601A89">
              <w:t xml:space="preserve"> </w:t>
            </w:r>
            <w:r w:rsidRPr="00601A89">
              <w:rPr>
                <w:color w:val="000000"/>
                <w:lang w:eastAsia="en-NZ"/>
              </w:rPr>
              <w:t>that support</w:t>
            </w:r>
            <w:r>
              <w:rPr>
                <w:color w:val="000000"/>
                <w:lang w:eastAsia="en-NZ"/>
              </w:rPr>
              <w:t>s</w:t>
            </w:r>
            <w:r w:rsidRPr="00601A89">
              <w:rPr>
                <w:color w:val="000000"/>
                <w:lang w:eastAsia="en-NZ"/>
              </w:rPr>
              <w:t xml:space="preserve"> an easy transition to the future central analysis hub</w:t>
            </w:r>
            <w:r w:rsidR="00C71F60">
              <w:rPr>
                <w:color w:val="000000"/>
                <w:lang w:eastAsia="en-NZ"/>
              </w:rPr>
              <w:t>.</w:t>
            </w:r>
          </w:p>
        </w:tc>
        <w:tc>
          <w:tcPr>
            <w:tcW w:w="992" w:type="dxa"/>
            <w:tcBorders>
              <w:top w:val="single" w:sz="4" w:space="0" w:color="A6A6A6" w:themeColor="background1" w:themeShade="A6"/>
              <w:bottom w:val="single" w:sz="4" w:space="0" w:color="A6A6A6" w:themeColor="background1" w:themeShade="A6"/>
            </w:tcBorders>
            <w:shd w:val="clear" w:color="auto" w:fill="auto"/>
          </w:tcPr>
          <w:p w14:paraId="784CB05E" w14:textId="77777777" w:rsidR="00E85766" w:rsidRPr="00601A89" w:rsidRDefault="00E85766" w:rsidP="00AC0924">
            <w:pPr>
              <w:pStyle w:val="TableText"/>
              <w:rPr>
                <w:color w:val="000000"/>
                <w:lang w:eastAsia="en-NZ"/>
              </w:rPr>
            </w:pPr>
            <w:r w:rsidRPr="00601A89">
              <w:rPr>
                <w:color w:val="000000"/>
                <w:lang w:eastAsia="en-NZ"/>
              </w:rPr>
              <w:t>TBC</w:t>
            </w:r>
          </w:p>
        </w:tc>
      </w:tr>
      <w:tr w:rsidR="00AC0924" w:rsidRPr="00601A89" w14:paraId="425E0E6D" w14:textId="77777777" w:rsidTr="00AC0924">
        <w:trPr>
          <w:cantSplit/>
        </w:trPr>
        <w:tc>
          <w:tcPr>
            <w:tcW w:w="1560" w:type="dxa"/>
            <w:vMerge w:val="restart"/>
            <w:tcBorders>
              <w:top w:val="single" w:sz="4" w:space="0" w:color="A6A6A6" w:themeColor="background1" w:themeShade="A6"/>
            </w:tcBorders>
            <w:shd w:val="clear" w:color="auto" w:fill="auto"/>
          </w:tcPr>
          <w:p w14:paraId="5A3369B0" w14:textId="77777777" w:rsidR="00AC0924" w:rsidRPr="00601A89" w:rsidRDefault="00AC0924" w:rsidP="00AC0924">
            <w:pPr>
              <w:pStyle w:val="TableText"/>
              <w:ind w:right="142"/>
              <w:rPr>
                <w:color w:val="000000"/>
                <w:lang w:eastAsia="en-NZ"/>
              </w:rPr>
            </w:pPr>
            <w:r w:rsidRPr="00601A89">
              <w:t>Interpret and circulat</w:t>
            </w:r>
            <w:r>
              <w:t>e</w:t>
            </w:r>
          </w:p>
        </w:tc>
        <w:tc>
          <w:tcPr>
            <w:tcW w:w="2551" w:type="dxa"/>
            <w:vMerge w:val="restart"/>
            <w:tcBorders>
              <w:top w:val="single" w:sz="4" w:space="0" w:color="A6A6A6" w:themeColor="background1" w:themeShade="A6"/>
            </w:tcBorders>
            <w:shd w:val="clear" w:color="auto" w:fill="auto"/>
            <w:noWrap/>
          </w:tcPr>
          <w:p w14:paraId="016A60CE" w14:textId="77777777" w:rsidR="00AC0924" w:rsidRPr="00601A89" w:rsidRDefault="00AC0924" w:rsidP="00AC0924">
            <w:pPr>
              <w:pStyle w:val="TableText"/>
              <w:ind w:right="142"/>
              <w:rPr>
                <w:color w:val="000000"/>
                <w:lang w:eastAsia="en-NZ"/>
              </w:rPr>
            </w:pPr>
            <w:r>
              <w:rPr>
                <w:color w:val="000000"/>
                <w:lang w:eastAsia="en-NZ"/>
              </w:rPr>
              <w:t>Develop</w:t>
            </w:r>
            <w:r w:rsidRPr="00601A89">
              <w:rPr>
                <w:color w:val="000000"/>
                <w:lang w:eastAsia="en-NZ"/>
              </w:rPr>
              <w:t xml:space="preserve"> the capabilities </w:t>
            </w:r>
            <w:r>
              <w:rPr>
                <w:color w:val="000000"/>
                <w:lang w:eastAsia="en-NZ"/>
              </w:rPr>
              <w:t xml:space="preserve">needed </w:t>
            </w:r>
            <w:r w:rsidRPr="00601A89">
              <w:rPr>
                <w:color w:val="000000"/>
                <w:lang w:eastAsia="en-NZ"/>
              </w:rPr>
              <w:t xml:space="preserve">to </w:t>
            </w:r>
            <w:r>
              <w:rPr>
                <w:color w:val="000000"/>
                <w:lang w:eastAsia="en-NZ"/>
              </w:rPr>
              <w:t xml:space="preserve">perform </w:t>
            </w:r>
            <w:r w:rsidRPr="00601A89">
              <w:rPr>
                <w:color w:val="000000"/>
                <w:lang w:eastAsia="en-NZ"/>
              </w:rPr>
              <w:t>this function</w:t>
            </w:r>
          </w:p>
        </w:tc>
        <w:tc>
          <w:tcPr>
            <w:tcW w:w="4253" w:type="dxa"/>
            <w:tcBorders>
              <w:top w:val="single" w:sz="4" w:space="0" w:color="A6A6A6" w:themeColor="background1" w:themeShade="A6"/>
              <w:bottom w:val="nil"/>
            </w:tcBorders>
            <w:shd w:val="clear" w:color="auto" w:fill="auto"/>
            <w:noWrap/>
          </w:tcPr>
          <w:p w14:paraId="69106679" w14:textId="77777777" w:rsidR="00AC0924" w:rsidRPr="00601A89" w:rsidRDefault="00AC0924" w:rsidP="00AC0924">
            <w:pPr>
              <w:pStyle w:val="TableText"/>
              <w:ind w:right="142"/>
              <w:rPr>
                <w:color w:val="000000"/>
                <w:lang w:eastAsia="en-NZ"/>
              </w:rPr>
            </w:pPr>
            <w:r w:rsidRPr="00601A89">
              <w:rPr>
                <w:color w:val="000000"/>
                <w:lang w:eastAsia="en-NZ"/>
              </w:rPr>
              <w:t xml:space="preserve">The Ministry will ensure that the interim solution has the capabilities </w:t>
            </w:r>
            <w:r>
              <w:rPr>
                <w:color w:val="000000"/>
                <w:lang w:eastAsia="en-NZ"/>
              </w:rPr>
              <w:t xml:space="preserve">needed </w:t>
            </w:r>
            <w:r w:rsidRPr="00601A89">
              <w:rPr>
                <w:color w:val="000000"/>
                <w:lang w:eastAsia="en-NZ"/>
              </w:rPr>
              <w:t>to carry out this function</w:t>
            </w:r>
            <w:r w:rsidR="00C71F60">
              <w:rPr>
                <w:color w:val="000000"/>
                <w:lang w:eastAsia="en-NZ"/>
              </w:rPr>
              <w:t>.</w:t>
            </w:r>
          </w:p>
        </w:tc>
        <w:tc>
          <w:tcPr>
            <w:tcW w:w="992" w:type="dxa"/>
            <w:tcBorders>
              <w:top w:val="single" w:sz="4" w:space="0" w:color="A6A6A6" w:themeColor="background1" w:themeShade="A6"/>
              <w:bottom w:val="nil"/>
            </w:tcBorders>
            <w:shd w:val="clear" w:color="auto" w:fill="auto"/>
          </w:tcPr>
          <w:p w14:paraId="35380D2C" w14:textId="77777777" w:rsidR="00AC0924" w:rsidRPr="00601A89" w:rsidRDefault="00AC0924" w:rsidP="00AC0924">
            <w:pPr>
              <w:pStyle w:val="TableText"/>
              <w:rPr>
                <w:color w:val="000000"/>
                <w:lang w:eastAsia="en-NZ"/>
              </w:rPr>
            </w:pPr>
            <w:r>
              <w:rPr>
                <w:color w:val="000000"/>
                <w:lang w:eastAsia="en-NZ"/>
              </w:rPr>
              <w:t>2017</w:t>
            </w:r>
          </w:p>
        </w:tc>
      </w:tr>
      <w:tr w:rsidR="00AC0924" w:rsidRPr="00601A89" w14:paraId="750180CD" w14:textId="77777777" w:rsidTr="00AC0924">
        <w:trPr>
          <w:cantSplit/>
        </w:trPr>
        <w:tc>
          <w:tcPr>
            <w:tcW w:w="1560" w:type="dxa"/>
            <w:vMerge/>
            <w:tcBorders>
              <w:bottom w:val="single" w:sz="4" w:space="0" w:color="A6A6A6" w:themeColor="background1" w:themeShade="A6"/>
            </w:tcBorders>
            <w:shd w:val="clear" w:color="auto" w:fill="auto"/>
          </w:tcPr>
          <w:p w14:paraId="2D5C4357" w14:textId="77777777" w:rsidR="00AC0924" w:rsidRPr="00601A89" w:rsidRDefault="00AC0924" w:rsidP="00AC0924">
            <w:pPr>
              <w:pStyle w:val="TableText"/>
              <w:ind w:right="142"/>
            </w:pPr>
          </w:p>
        </w:tc>
        <w:tc>
          <w:tcPr>
            <w:tcW w:w="2551" w:type="dxa"/>
            <w:vMerge/>
            <w:tcBorders>
              <w:bottom w:val="single" w:sz="4" w:space="0" w:color="A6A6A6" w:themeColor="background1" w:themeShade="A6"/>
            </w:tcBorders>
            <w:shd w:val="clear" w:color="auto" w:fill="auto"/>
            <w:noWrap/>
          </w:tcPr>
          <w:p w14:paraId="47902EFB" w14:textId="77777777" w:rsidR="00AC0924" w:rsidRDefault="00AC0924" w:rsidP="00AC0924">
            <w:pPr>
              <w:pStyle w:val="TableText"/>
              <w:ind w:right="142"/>
              <w:rPr>
                <w:color w:val="000000"/>
                <w:lang w:eastAsia="en-NZ"/>
              </w:rPr>
            </w:pPr>
          </w:p>
        </w:tc>
        <w:tc>
          <w:tcPr>
            <w:tcW w:w="4253" w:type="dxa"/>
            <w:tcBorders>
              <w:top w:val="nil"/>
              <w:bottom w:val="single" w:sz="4" w:space="0" w:color="A6A6A6" w:themeColor="background1" w:themeShade="A6"/>
            </w:tcBorders>
            <w:shd w:val="clear" w:color="auto" w:fill="auto"/>
            <w:noWrap/>
          </w:tcPr>
          <w:p w14:paraId="01672CE0" w14:textId="77777777" w:rsidR="00AC0924" w:rsidRPr="00601A89" w:rsidRDefault="00AC0924" w:rsidP="00AC0924">
            <w:pPr>
              <w:pStyle w:val="TableText"/>
              <w:ind w:right="142"/>
              <w:rPr>
                <w:color w:val="000000"/>
                <w:lang w:eastAsia="en-NZ"/>
              </w:rPr>
            </w:pPr>
            <w:r w:rsidRPr="00601A89">
              <w:rPr>
                <w:color w:val="000000"/>
                <w:lang w:eastAsia="en-NZ"/>
              </w:rPr>
              <w:t xml:space="preserve">The Ministry will explore potential for </w:t>
            </w:r>
            <w:r>
              <w:rPr>
                <w:color w:val="000000"/>
                <w:lang w:eastAsia="en-NZ"/>
              </w:rPr>
              <w:t>developing</w:t>
            </w:r>
            <w:r w:rsidRPr="00601A89">
              <w:rPr>
                <w:color w:val="000000"/>
                <w:lang w:eastAsia="en-NZ"/>
              </w:rPr>
              <w:t xml:space="preserve"> the capabilities</w:t>
            </w:r>
            <w:r>
              <w:rPr>
                <w:color w:val="000000"/>
                <w:lang w:eastAsia="en-NZ"/>
              </w:rPr>
              <w:t xml:space="preserve"> needed</w:t>
            </w:r>
            <w:r w:rsidRPr="00601A89">
              <w:rPr>
                <w:color w:val="000000"/>
                <w:lang w:eastAsia="en-NZ"/>
              </w:rPr>
              <w:t xml:space="preserve"> in the long</w:t>
            </w:r>
            <w:r>
              <w:rPr>
                <w:color w:val="000000"/>
                <w:lang w:eastAsia="en-NZ"/>
              </w:rPr>
              <w:t xml:space="preserve"> </w:t>
            </w:r>
            <w:r w:rsidRPr="00601A89">
              <w:rPr>
                <w:color w:val="000000"/>
                <w:lang w:eastAsia="en-NZ"/>
              </w:rPr>
              <w:t>term</w:t>
            </w:r>
            <w:r w:rsidR="00C71F60">
              <w:rPr>
                <w:color w:val="000000"/>
                <w:lang w:eastAsia="en-NZ"/>
              </w:rPr>
              <w:t>.</w:t>
            </w:r>
          </w:p>
        </w:tc>
        <w:tc>
          <w:tcPr>
            <w:tcW w:w="992" w:type="dxa"/>
            <w:tcBorders>
              <w:top w:val="nil"/>
              <w:bottom w:val="single" w:sz="4" w:space="0" w:color="A6A6A6" w:themeColor="background1" w:themeShade="A6"/>
            </w:tcBorders>
            <w:shd w:val="clear" w:color="auto" w:fill="auto"/>
          </w:tcPr>
          <w:p w14:paraId="6E31511C" w14:textId="77777777" w:rsidR="00AC0924" w:rsidRDefault="00AC0924" w:rsidP="00AC0924">
            <w:pPr>
              <w:pStyle w:val="TableText"/>
              <w:rPr>
                <w:color w:val="000000"/>
                <w:lang w:eastAsia="en-NZ"/>
              </w:rPr>
            </w:pPr>
            <w:r w:rsidRPr="00601A89">
              <w:rPr>
                <w:color w:val="000000"/>
                <w:lang w:eastAsia="en-NZ"/>
              </w:rPr>
              <w:t>2018</w:t>
            </w:r>
          </w:p>
        </w:tc>
      </w:tr>
      <w:tr w:rsidR="00E85766" w:rsidRPr="00601A89" w14:paraId="37DB1573" w14:textId="77777777" w:rsidTr="00AC0924">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14:paraId="55B737ED" w14:textId="77777777" w:rsidR="00E85766" w:rsidRPr="00601A89" w:rsidRDefault="00E85766" w:rsidP="00AC0924">
            <w:pPr>
              <w:pStyle w:val="TableText"/>
              <w:ind w:right="142"/>
              <w:rPr>
                <w:color w:val="000000"/>
                <w:lang w:eastAsia="en-NZ"/>
              </w:rPr>
            </w:pPr>
            <w:r w:rsidRPr="00601A89">
              <w:t>Clinical governance</w:t>
            </w:r>
          </w:p>
        </w:tc>
        <w:tc>
          <w:tcPr>
            <w:tcW w:w="2551" w:type="dxa"/>
            <w:tcBorders>
              <w:top w:val="single" w:sz="4" w:space="0" w:color="A6A6A6" w:themeColor="background1" w:themeShade="A6"/>
              <w:bottom w:val="single" w:sz="4" w:space="0" w:color="A6A6A6" w:themeColor="background1" w:themeShade="A6"/>
            </w:tcBorders>
            <w:shd w:val="clear" w:color="auto" w:fill="auto"/>
            <w:noWrap/>
          </w:tcPr>
          <w:p w14:paraId="70E957E3" w14:textId="77777777" w:rsidR="00E85766" w:rsidRPr="00601A89" w:rsidRDefault="00E85766" w:rsidP="00AC0924">
            <w:pPr>
              <w:pStyle w:val="TableText"/>
              <w:ind w:right="142"/>
              <w:rPr>
                <w:color w:val="000000"/>
                <w:lang w:eastAsia="en-NZ"/>
              </w:rPr>
            </w:pPr>
            <w:r w:rsidRPr="00601A89">
              <w:rPr>
                <w:color w:val="000000"/>
                <w:lang w:eastAsia="en-NZ"/>
              </w:rPr>
              <w:t>Appoint a clinical governance group with the required capabilities</w:t>
            </w:r>
          </w:p>
        </w:tc>
        <w:tc>
          <w:tcPr>
            <w:tcW w:w="4253" w:type="dxa"/>
            <w:tcBorders>
              <w:top w:val="single" w:sz="4" w:space="0" w:color="A6A6A6" w:themeColor="background1" w:themeShade="A6"/>
              <w:bottom w:val="single" w:sz="4" w:space="0" w:color="A6A6A6" w:themeColor="background1" w:themeShade="A6"/>
            </w:tcBorders>
            <w:shd w:val="clear" w:color="auto" w:fill="auto"/>
            <w:noWrap/>
          </w:tcPr>
          <w:p w14:paraId="42DD82AC" w14:textId="77777777" w:rsidR="00E85766" w:rsidRPr="00601A89" w:rsidRDefault="00E85766" w:rsidP="00C71F60">
            <w:pPr>
              <w:pStyle w:val="TableText"/>
              <w:ind w:right="142"/>
              <w:rPr>
                <w:color w:val="000000"/>
                <w:lang w:eastAsia="en-NZ"/>
              </w:rPr>
            </w:pPr>
            <w:r w:rsidRPr="00601A89">
              <w:rPr>
                <w:color w:val="000000"/>
                <w:lang w:eastAsia="en-NZ"/>
              </w:rPr>
              <w:t xml:space="preserve">The Ministry will </w:t>
            </w:r>
            <w:r>
              <w:rPr>
                <w:color w:val="000000"/>
                <w:lang w:eastAsia="en-NZ"/>
              </w:rPr>
              <w:t>reach agreement</w:t>
            </w:r>
            <w:r w:rsidRPr="00601A89">
              <w:rPr>
                <w:color w:val="000000"/>
                <w:lang w:eastAsia="en-NZ"/>
              </w:rPr>
              <w:t xml:space="preserve"> with the radiation oncology sector on the best model to provide clinical governance through ROWG (</w:t>
            </w:r>
            <w:r>
              <w:rPr>
                <w:color w:val="000000"/>
                <w:lang w:eastAsia="en-NZ"/>
              </w:rPr>
              <w:t>see s</w:t>
            </w:r>
            <w:r w:rsidRPr="00601A89">
              <w:rPr>
                <w:color w:val="000000"/>
                <w:lang w:eastAsia="en-NZ"/>
              </w:rPr>
              <w:t>ection</w:t>
            </w:r>
            <w:r w:rsidR="00C71F60">
              <w:rPr>
                <w:color w:val="000000"/>
                <w:lang w:eastAsia="en-NZ"/>
              </w:rPr>
              <w:t> </w:t>
            </w:r>
            <w:r w:rsidRPr="00601A89">
              <w:rPr>
                <w:color w:val="000000"/>
                <w:lang w:eastAsia="en-NZ"/>
              </w:rPr>
              <w:t>6.2)</w:t>
            </w:r>
            <w:r w:rsidR="00C71F60">
              <w:rPr>
                <w:color w:val="000000"/>
                <w:lang w:eastAsia="en-NZ"/>
              </w:rPr>
              <w:t>.</w:t>
            </w:r>
          </w:p>
        </w:tc>
        <w:tc>
          <w:tcPr>
            <w:tcW w:w="992" w:type="dxa"/>
            <w:tcBorders>
              <w:top w:val="single" w:sz="4" w:space="0" w:color="A6A6A6" w:themeColor="background1" w:themeShade="A6"/>
              <w:bottom w:val="single" w:sz="4" w:space="0" w:color="A6A6A6" w:themeColor="background1" w:themeShade="A6"/>
            </w:tcBorders>
            <w:shd w:val="clear" w:color="auto" w:fill="auto"/>
          </w:tcPr>
          <w:p w14:paraId="46EAC6D8" w14:textId="77777777" w:rsidR="00E85766" w:rsidRPr="00601A89" w:rsidRDefault="00E85766" w:rsidP="00AC0924">
            <w:pPr>
              <w:pStyle w:val="TableText"/>
              <w:rPr>
                <w:color w:val="000000"/>
                <w:lang w:eastAsia="en-NZ"/>
              </w:rPr>
            </w:pPr>
            <w:r>
              <w:rPr>
                <w:color w:val="000000"/>
                <w:lang w:eastAsia="en-NZ"/>
              </w:rPr>
              <w:t>2017</w:t>
            </w:r>
          </w:p>
        </w:tc>
      </w:tr>
      <w:tr w:rsidR="00E85766" w:rsidRPr="00601A89" w14:paraId="7A31A230" w14:textId="77777777" w:rsidTr="00AC0924">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14:paraId="6AD2B378" w14:textId="77777777" w:rsidR="00E85766" w:rsidRPr="00601A89" w:rsidRDefault="00E85766" w:rsidP="00AC0924">
            <w:pPr>
              <w:pStyle w:val="TableText"/>
              <w:ind w:right="142"/>
            </w:pPr>
            <w:r w:rsidRPr="00601A89">
              <w:t>Take action</w:t>
            </w:r>
          </w:p>
        </w:tc>
        <w:tc>
          <w:tcPr>
            <w:tcW w:w="2551" w:type="dxa"/>
            <w:tcBorders>
              <w:top w:val="single" w:sz="4" w:space="0" w:color="A6A6A6" w:themeColor="background1" w:themeShade="A6"/>
              <w:bottom w:val="single" w:sz="4" w:space="0" w:color="A6A6A6" w:themeColor="background1" w:themeShade="A6"/>
            </w:tcBorders>
            <w:shd w:val="clear" w:color="auto" w:fill="auto"/>
            <w:noWrap/>
          </w:tcPr>
          <w:p w14:paraId="303BE281" w14:textId="77777777" w:rsidR="00E85766" w:rsidRPr="00601A89" w:rsidRDefault="00E85766" w:rsidP="00AC0924">
            <w:pPr>
              <w:pStyle w:val="TableText"/>
              <w:ind w:right="142"/>
              <w:rPr>
                <w:color w:val="000000"/>
                <w:lang w:eastAsia="en-NZ"/>
              </w:rPr>
            </w:pPr>
            <w:r w:rsidRPr="00601A89">
              <w:rPr>
                <w:color w:val="000000"/>
                <w:lang w:eastAsia="en-NZ"/>
              </w:rPr>
              <w:t xml:space="preserve">Outline expectations of how </w:t>
            </w:r>
            <w:r>
              <w:rPr>
                <w:color w:val="000000"/>
                <w:lang w:eastAsia="en-NZ"/>
              </w:rPr>
              <w:t>to</w:t>
            </w:r>
            <w:r w:rsidRPr="00601A89">
              <w:rPr>
                <w:color w:val="000000"/>
                <w:lang w:eastAsia="en-NZ"/>
              </w:rPr>
              <w:t xml:space="preserve"> </w:t>
            </w:r>
            <w:r w:rsidR="007A6454">
              <w:rPr>
                <w:color w:val="000000"/>
                <w:lang w:eastAsia="en-NZ"/>
              </w:rPr>
              <w:t>‘</w:t>
            </w:r>
            <w:r w:rsidRPr="00601A89">
              <w:rPr>
                <w:color w:val="000000"/>
                <w:lang w:eastAsia="en-NZ"/>
              </w:rPr>
              <w:t>take action</w:t>
            </w:r>
            <w:r w:rsidR="007A6454">
              <w:rPr>
                <w:color w:val="000000"/>
                <w:lang w:eastAsia="en-NZ"/>
              </w:rPr>
              <w:t>’</w:t>
            </w:r>
            <w:r>
              <w:rPr>
                <w:color w:val="000000"/>
                <w:lang w:eastAsia="en-NZ"/>
              </w:rPr>
              <w:t xml:space="preserve"> </w:t>
            </w:r>
            <w:r w:rsidRPr="00601A89">
              <w:rPr>
                <w:color w:val="000000"/>
                <w:lang w:eastAsia="en-NZ"/>
              </w:rPr>
              <w:t>in practice</w:t>
            </w:r>
          </w:p>
        </w:tc>
        <w:tc>
          <w:tcPr>
            <w:tcW w:w="4253" w:type="dxa"/>
            <w:tcBorders>
              <w:top w:val="single" w:sz="4" w:space="0" w:color="A6A6A6" w:themeColor="background1" w:themeShade="A6"/>
              <w:bottom w:val="single" w:sz="4" w:space="0" w:color="A6A6A6" w:themeColor="background1" w:themeShade="A6"/>
            </w:tcBorders>
            <w:shd w:val="clear" w:color="auto" w:fill="auto"/>
            <w:noWrap/>
          </w:tcPr>
          <w:p w14:paraId="046D3586" w14:textId="77777777" w:rsidR="00E85766" w:rsidRPr="00601A89" w:rsidRDefault="00E85766" w:rsidP="00AC0924">
            <w:pPr>
              <w:pStyle w:val="TableText"/>
              <w:ind w:right="142"/>
              <w:rPr>
                <w:color w:val="000000"/>
                <w:lang w:eastAsia="en-NZ"/>
              </w:rPr>
            </w:pPr>
            <w:r w:rsidRPr="00601A89">
              <w:rPr>
                <w:color w:val="000000"/>
                <w:lang w:eastAsia="en-NZ"/>
              </w:rPr>
              <w:t xml:space="preserve">ROWG will </w:t>
            </w:r>
            <w:r>
              <w:rPr>
                <w:color w:val="000000"/>
                <w:lang w:eastAsia="en-NZ"/>
              </w:rPr>
              <w:t xml:space="preserve">reach </w:t>
            </w:r>
            <w:r w:rsidRPr="00601A89">
              <w:rPr>
                <w:color w:val="000000"/>
                <w:lang w:eastAsia="en-NZ"/>
              </w:rPr>
              <w:t>agree</w:t>
            </w:r>
            <w:r>
              <w:rPr>
                <w:color w:val="000000"/>
                <w:lang w:eastAsia="en-NZ"/>
              </w:rPr>
              <w:t>ment</w:t>
            </w:r>
            <w:r w:rsidRPr="00601A89">
              <w:rPr>
                <w:color w:val="000000"/>
                <w:lang w:eastAsia="en-NZ"/>
              </w:rPr>
              <w:t xml:space="preserve"> with the Ministry, DHBs and </w:t>
            </w:r>
            <w:r>
              <w:rPr>
                <w:color w:val="000000"/>
                <w:lang w:eastAsia="en-NZ"/>
              </w:rPr>
              <w:t>radiation oncology</w:t>
            </w:r>
            <w:r w:rsidRPr="00601A89">
              <w:rPr>
                <w:color w:val="000000"/>
                <w:lang w:eastAsia="en-NZ"/>
              </w:rPr>
              <w:t xml:space="preserve"> providers on how </w:t>
            </w:r>
            <w:r>
              <w:rPr>
                <w:color w:val="000000"/>
                <w:lang w:eastAsia="en-NZ"/>
              </w:rPr>
              <w:t xml:space="preserve">to carry out </w:t>
            </w:r>
            <w:r w:rsidR="00AC0924">
              <w:rPr>
                <w:color w:val="000000"/>
                <w:lang w:eastAsia="en-NZ"/>
              </w:rPr>
              <w:t>this function</w:t>
            </w:r>
            <w:r w:rsidR="00C71F60">
              <w:rPr>
                <w:color w:val="000000"/>
                <w:lang w:eastAsia="en-NZ"/>
              </w:rPr>
              <w:t>.</w:t>
            </w:r>
          </w:p>
        </w:tc>
        <w:tc>
          <w:tcPr>
            <w:tcW w:w="992" w:type="dxa"/>
            <w:tcBorders>
              <w:top w:val="single" w:sz="4" w:space="0" w:color="A6A6A6" w:themeColor="background1" w:themeShade="A6"/>
              <w:bottom w:val="single" w:sz="4" w:space="0" w:color="A6A6A6" w:themeColor="background1" w:themeShade="A6"/>
            </w:tcBorders>
            <w:shd w:val="clear" w:color="auto" w:fill="auto"/>
          </w:tcPr>
          <w:p w14:paraId="6CAB142B" w14:textId="77777777" w:rsidR="00E85766" w:rsidRPr="00601A89" w:rsidRDefault="00E85766" w:rsidP="00AC0924">
            <w:pPr>
              <w:pStyle w:val="TableText"/>
              <w:rPr>
                <w:color w:val="000000"/>
                <w:lang w:eastAsia="en-NZ"/>
              </w:rPr>
            </w:pPr>
            <w:r w:rsidRPr="00601A89">
              <w:rPr>
                <w:color w:val="000000"/>
                <w:lang w:eastAsia="en-NZ"/>
              </w:rPr>
              <w:t>2017</w:t>
            </w:r>
          </w:p>
        </w:tc>
      </w:tr>
      <w:tr w:rsidR="00AC0924" w:rsidRPr="00601A89" w14:paraId="1896EB6E" w14:textId="77777777" w:rsidTr="00AC0924">
        <w:trPr>
          <w:cantSplit/>
        </w:trPr>
        <w:tc>
          <w:tcPr>
            <w:tcW w:w="1560" w:type="dxa"/>
            <w:vMerge w:val="restart"/>
            <w:tcBorders>
              <w:top w:val="single" w:sz="4" w:space="0" w:color="A6A6A6" w:themeColor="background1" w:themeShade="A6"/>
            </w:tcBorders>
            <w:shd w:val="clear" w:color="auto" w:fill="auto"/>
          </w:tcPr>
          <w:p w14:paraId="5D281348" w14:textId="77777777" w:rsidR="00AC0924" w:rsidRPr="00601A89" w:rsidRDefault="00AC0924" w:rsidP="00AC0924">
            <w:pPr>
              <w:pStyle w:val="TableText"/>
              <w:ind w:right="142"/>
            </w:pPr>
            <w:r w:rsidRPr="00601A89">
              <w:t>Monitor and escalate</w:t>
            </w:r>
          </w:p>
        </w:tc>
        <w:tc>
          <w:tcPr>
            <w:tcW w:w="2551" w:type="dxa"/>
            <w:vMerge w:val="restart"/>
            <w:tcBorders>
              <w:top w:val="single" w:sz="4" w:space="0" w:color="A6A6A6" w:themeColor="background1" w:themeShade="A6"/>
            </w:tcBorders>
            <w:shd w:val="clear" w:color="auto" w:fill="auto"/>
            <w:noWrap/>
          </w:tcPr>
          <w:p w14:paraId="65789722" w14:textId="77777777" w:rsidR="00AC0924" w:rsidRPr="00601A89" w:rsidRDefault="00AC0924" w:rsidP="00AC0924">
            <w:pPr>
              <w:pStyle w:val="TableText"/>
              <w:ind w:right="142"/>
              <w:rPr>
                <w:color w:val="000000"/>
                <w:lang w:eastAsia="en-NZ"/>
              </w:rPr>
            </w:pPr>
            <w:r w:rsidRPr="00601A89">
              <w:rPr>
                <w:color w:val="000000"/>
                <w:lang w:eastAsia="en-NZ"/>
              </w:rPr>
              <w:t>Establish a structured mechanism for provi</w:t>
            </w:r>
            <w:r>
              <w:rPr>
                <w:color w:val="000000"/>
                <w:lang w:eastAsia="en-NZ"/>
              </w:rPr>
              <w:t xml:space="preserve">ding </w:t>
            </w:r>
            <w:r w:rsidRPr="00601A89">
              <w:rPr>
                <w:color w:val="000000"/>
                <w:lang w:eastAsia="en-NZ"/>
              </w:rPr>
              <w:t xml:space="preserve">feedback on </w:t>
            </w:r>
            <w:r>
              <w:rPr>
                <w:color w:val="000000"/>
                <w:lang w:eastAsia="en-NZ"/>
              </w:rPr>
              <w:t>reducing</w:t>
            </w:r>
            <w:r w:rsidRPr="00601A89">
              <w:rPr>
                <w:color w:val="000000"/>
                <w:lang w:eastAsia="en-NZ"/>
              </w:rPr>
              <w:t xml:space="preserve"> unwarranted variation </w:t>
            </w:r>
            <w:r>
              <w:rPr>
                <w:color w:val="000000"/>
                <w:lang w:eastAsia="en-NZ"/>
              </w:rPr>
              <w:t xml:space="preserve">in </w:t>
            </w:r>
            <w:r w:rsidRPr="00601A89">
              <w:rPr>
                <w:color w:val="000000"/>
                <w:lang w:eastAsia="en-NZ"/>
              </w:rPr>
              <w:t>the new governance model, and the strengths and weaknesses of this model</w:t>
            </w:r>
            <w:r>
              <w:rPr>
                <w:color w:val="000000"/>
                <w:lang w:eastAsia="en-NZ"/>
              </w:rPr>
              <w:t>,</w:t>
            </w:r>
            <w:r w:rsidRPr="00601A89">
              <w:rPr>
                <w:color w:val="000000"/>
                <w:lang w:eastAsia="en-NZ"/>
              </w:rPr>
              <w:t xml:space="preserve"> to inform the future work programme of the CHIS</w:t>
            </w:r>
          </w:p>
        </w:tc>
        <w:tc>
          <w:tcPr>
            <w:tcW w:w="4253" w:type="dxa"/>
            <w:tcBorders>
              <w:top w:val="single" w:sz="4" w:space="0" w:color="A6A6A6" w:themeColor="background1" w:themeShade="A6"/>
              <w:bottom w:val="nil"/>
            </w:tcBorders>
            <w:shd w:val="clear" w:color="auto" w:fill="auto"/>
            <w:noWrap/>
          </w:tcPr>
          <w:p w14:paraId="5E4AD55B" w14:textId="77777777" w:rsidR="00AC0924" w:rsidRPr="00601A89" w:rsidRDefault="00AC0924" w:rsidP="00AC0924">
            <w:pPr>
              <w:pStyle w:val="TableText"/>
              <w:ind w:right="142"/>
              <w:rPr>
                <w:color w:val="000000"/>
                <w:lang w:eastAsia="en-NZ"/>
              </w:rPr>
            </w:pPr>
            <w:r w:rsidRPr="00601A89">
              <w:rPr>
                <w:color w:val="000000"/>
                <w:lang w:eastAsia="en-NZ"/>
              </w:rPr>
              <w:t xml:space="preserve">The Ministry will </w:t>
            </w:r>
            <w:r>
              <w:rPr>
                <w:color w:val="000000"/>
                <w:lang w:eastAsia="en-NZ"/>
              </w:rPr>
              <w:t>give</w:t>
            </w:r>
            <w:r w:rsidRPr="00601A89">
              <w:rPr>
                <w:color w:val="000000"/>
                <w:lang w:eastAsia="en-NZ"/>
              </w:rPr>
              <w:t xml:space="preserve"> clear guidance on escalation paths in its new </w:t>
            </w:r>
            <w:r>
              <w:rPr>
                <w:color w:val="000000"/>
                <w:lang w:eastAsia="en-NZ"/>
              </w:rPr>
              <w:t>terms of reference</w:t>
            </w:r>
            <w:r w:rsidRPr="00601A89">
              <w:rPr>
                <w:color w:val="000000"/>
                <w:lang w:eastAsia="en-NZ"/>
              </w:rPr>
              <w:t xml:space="preserve"> </w:t>
            </w:r>
            <w:r>
              <w:rPr>
                <w:color w:val="000000"/>
                <w:lang w:eastAsia="en-NZ"/>
              </w:rPr>
              <w:t>for</w:t>
            </w:r>
            <w:r w:rsidRPr="00601A89">
              <w:rPr>
                <w:color w:val="000000"/>
                <w:lang w:eastAsia="en-NZ"/>
              </w:rPr>
              <w:t xml:space="preserve"> ROWG</w:t>
            </w:r>
            <w:r w:rsidR="00C71F60">
              <w:rPr>
                <w:color w:val="000000"/>
                <w:lang w:eastAsia="en-NZ"/>
              </w:rPr>
              <w:t>.</w:t>
            </w:r>
          </w:p>
        </w:tc>
        <w:tc>
          <w:tcPr>
            <w:tcW w:w="992" w:type="dxa"/>
            <w:tcBorders>
              <w:top w:val="single" w:sz="4" w:space="0" w:color="A6A6A6" w:themeColor="background1" w:themeShade="A6"/>
              <w:bottom w:val="nil"/>
            </w:tcBorders>
            <w:shd w:val="clear" w:color="auto" w:fill="auto"/>
          </w:tcPr>
          <w:p w14:paraId="77E7F45F" w14:textId="77777777" w:rsidR="00AC0924" w:rsidRPr="00601A89" w:rsidRDefault="00AC0924" w:rsidP="00AC0924">
            <w:pPr>
              <w:pStyle w:val="TableText"/>
              <w:rPr>
                <w:color w:val="000000"/>
                <w:lang w:eastAsia="en-NZ"/>
              </w:rPr>
            </w:pPr>
            <w:r w:rsidRPr="00601A89">
              <w:rPr>
                <w:color w:val="000000"/>
                <w:lang w:eastAsia="en-NZ"/>
              </w:rPr>
              <w:t>2017</w:t>
            </w:r>
          </w:p>
        </w:tc>
      </w:tr>
      <w:tr w:rsidR="00AC0924" w:rsidRPr="00601A89" w14:paraId="7C60448F" w14:textId="77777777" w:rsidTr="00AC0924">
        <w:trPr>
          <w:cantSplit/>
        </w:trPr>
        <w:tc>
          <w:tcPr>
            <w:tcW w:w="1560" w:type="dxa"/>
            <w:vMerge/>
            <w:shd w:val="clear" w:color="auto" w:fill="auto"/>
          </w:tcPr>
          <w:p w14:paraId="70D2ABCE" w14:textId="77777777" w:rsidR="00AC0924" w:rsidRPr="00601A89" w:rsidRDefault="00AC0924" w:rsidP="00AC0924">
            <w:pPr>
              <w:pStyle w:val="TableText"/>
              <w:ind w:right="142"/>
            </w:pPr>
          </w:p>
        </w:tc>
        <w:tc>
          <w:tcPr>
            <w:tcW w:w="2551" w:type="dxa"/>
            <w:vMerge/>
            <w:shd w:val="clear" w:color="auto" w:fill="auto"/>
            <w:noWrap/>
          </w:tcPr>
          <w:p w14:paraId="5D15FDAA" w14:textId="77777777" w:rsidR="00AC0924" w:rsidRPr="00601A89" w:rsidRDefault="00AC0924" w:rsidP="00AC0924">
            <w:pPr>
              <w:pStyle w:val="TableText"/>
              <w:ind w:right="142"/>
              <w:rPr>
                <w:color w:val="000000"/>
                <w:lang w:eastAsia="en-NZ"/>
              </w:rPr>
            </w:pPr>
          </w:p>
        </w:tc>
        <w:tc>
          <w:tcPr>
            <w:tcW w:w="4253" w:type="dxa"/>
            <w:tcBorders>
              <w:top w:val="nil"/>
              <w:bottom w:val="nil"/>
            </w:tcBorders>
            <w:shd w:val="clear" w:color="auto" w:fill="auto"/>
            <w:noWrap/>
          </w:tcPr>
          <w:p w14:paraId="2FB1381A" w14:textId="77777777" w:rsidR="00AC0924" w:rsidRPr="00601A89" w:rsidRDefault="00AC0924" w:rsidP="00AC0924">
            <w:pPr>
              <w:pStyle w:val="TableText"/>
              <w:ind w:right="142"/>
              <w:rPr>
                <w:color w:val="000000"/>
                <w:lang w:eastAsia="en-NZ"/>
              </w:rPr>
            </w:pPr>
            <w:r w:rsidRPr="00601A89">
              <w:rPr>
                <w:color w:val="000000"/>
                <w:lang w:eastAsia="en-NZ"/>
              </w:rPr>
              <w:t>ROWG will</w:t>
            </w:r>
            <w:r>
              <w:rPr>
                <w:color w:val="000000"/>
                <w:lang w:eastAsia="en-NZ"/>
              </w:rPr>
              <w:t xml:space="preserve"> reach</w:t>
            </w:r>
            <w:r w:rsidRPr="00601A89">
              <w:rPr>
                <w:color w:val="000000"/>
                <w:lang w:eastAsia="en-NZ"/>
              </w:rPr>
              <w:t xml:space="preserve"> agree</w:t>
            </w:r>
            <w:r>
              <w:rPr>
                <w:color w:val="000000"/>
                <w:lang w:eastAsia="en-NZ"/>
              </w:rPr>
              <w:t>ment</w:t>
            </w:r>
            <w:r w:rsidRPr="00601A89">
              <w:rPr>
                <w:color w:val="000000"/>
                <w:lang w:eastAsia="en-NZ"/>
              </w:rPr>
              <w:t xml:space="preserve"> with RCNs and DHBs on the reporting requirements for initiatives being implemented</w:t>
            </w:r>
            <w:r w:rsidR="00C71F60">
              <w:rPr>
                <w:color w:val="000000"/>
                <w:lang w:eastAsia="en-NZ"/>
              </w:rPr>
              <w:t>.</w:t>
            </w:r>
          </w:p>
        </w:tc>
        <w:tc>
          <w:tcPr>
            <w:tcW w:w="992" w:type="dxa"/>
            <w:tcBorders>
              <w:top w:val="nil"/>
              <w:bottom w:val="nil"/>
            </w:tcBorders>
            <w:shd w:val="clear" w:color="auto" w:fill="auto"/>
          </w:tcPr>
          <w:p w14:paraId="3CC21304" w14:textId="77777777" w:rsidR="00AC0924" w:rsidRPr="00601A89" w:rsidRDefault="00AC0924" w:rsidP="00AC0924">
            <w:pPr>
              <w:pStyle w:val="TableText"/>
              <w:rPr>
                <w:color w:val="000000"/>
                <w:lang w:eastAsia="en-NZ"/>
              </w:rPr>
            </w:pPr>
            <w:r w:rsidRPr="00601A89">
              <w:rPr>
                <w:color w:val="000000"/>
                <w:lang w:eastAsia="en-NZ"/>
              </w:rPr>
              <w:t>2017</w:t>
            </w:r>
          </w:p>
        </w:tc>
      </w:tr>
      <w:tr w:rsidR="00AC0924" w:rsidRPr="00601A89" w14:paraId="2B00D592" w14:textId="77777777" w:rsidTr="00AC0924">
        <w:trPr>
          <w:cantSplit/>
        </w:trPr>
        <w:tc>
          <w:tcPr>
            <w:tcW w:w="1560" w:type="dxa"/>
            <w:vMerge/>
            <w:shd w:val="clear" w:color="auto" w:fill="auto"/>
          </w:tcPr>
          <w:p w14:paraId="1433266D" w14:textId="77777777" w:rsidR="00AC0924" w:rsidRPr="00601A89" w:rsidRDefault="00AC0924" w:rsidP="00AC0924">
            <w:pPr>
              <w:pStyle w:val="TableText"/>
              <w:ind w:right="142"/>
            </w:pPr>
          </w:p>
        </w:tc>
        <w:tc>
          <w:tcPr>
            <w:tcW w:w="2551" w:type="dxa"/>
            <w:vMerge/>
            <w:shd w:val="clear" w:color="auto" w:fill="auto"/>
            <w:noWrap/>
          </w:tcPr>
          <w:p w14:paraId="0955DC79" w14:textId="77777777" w:rsidR="00AC0924" w:rsidRPr="00601A89" w:rsidRDefault="00AC0924" w:rsidP="00AC0924">
            <w:pPr>
              <w:pStyle w:val="TableText"/>
              <w:ind w:right="142"/>
              <w:rPr>
                <w:color w:val="000000"/>
                <w:lang w:eastAsia="en-NZ"/>
              </w:rPr>
            </w:pPr>
          </w:p>
        </w:tc>
        <w:tc>
          <w:tcPr>
            <w:tcW w:w="4253" w:type="dxa"/>
            <w:tcBorders>
              <w:top w:val="nil"/>
            </w:tcBorders>
            <w:shd w:val="clear" w:color="auto" w:fill="auto"/>
            <w:noWrap/>
          </w:tcPr>
          <w:p w14:paraId="3DF7BC43" w14:textId="77777777" w:rsidR="00AC0924" w:rsidRPr="00601A89" w:rsidRDefault="00AC0924" w:rsidP="00AC0924">
            <w:pPr>
              <w:pStyle w:val="TableText"/>
              <w:ind w:right="142"/>
              <w:rPr>
                <w:color w:val="000000"/>
                <w:lang w:eastAsia="en-NZ"/>
              </w:rPr>
            </w:pPr>
            <w:r w:rsidRPr="00601A89">
              <w:rPr>
                <w:color w:val="000000"/>
                <w:lang w:eastAsia="en-NZ"/>
              </w:rPr>
              <w:t>ROWG will define clear escalation triggers for failing to address variation that is considered unwarranted</w:t>
            </w:r>
            <w:r w:rsidR="00C71F60">
              <w:rPr>
                <w:color w:val="000000"/>
                <w:lang w:eastAsia="en-NZ"/>
              </w:rPr>
              <w:t>.</w:t>
            </w:r>
          </w:p>
        </w:tc>
        <w:tc>
          <w:tcPr>
            <w:tcW w:w="992" w:type="dxa"/>
            <w:tcBorders>
              <w:top w:val="nil"/>
            </w:tcBorders>
            <w:shd w:val="clear" w:color="auto" w:fill="auto"/>
          </w:tcPr>
          <w:p w14:paraId="63FE39EB" w14:textId="77777777" w:rsidR="00AC0924" w:rsidRPr="00601A89" w:rsidRDefault="00AC0924" w:rsidP="00AC0924">
            <w:pPr>
              <w:pStyle w:val="TableText"/>
              <w:rPr>
                <w:color w:val="000000"/>
                <w:lang w:eastAsia="en-NZ"/>
              </w:rPr>
            </w:pPr>
            <w:r w:rsidRPr="00601A89">
              <w:rPr>
                <w:color w:val="000000"/>
                <w:lang w:eastAsia="en-NZ"/>
              </w:rPr>
              <w:t>2017</w:t>
            </w:r>
          </w:p>
        </w:tc>
      </w:tr>
    </w:tbl>
    <w:p w14:paraId="5A0E1CC7" w14:textId="77777777" w:rsidR="00AC0924" w:rsidRDefault="00AC0924" w:rsidP="00AC0924"/>
    <w:p w14:paraId="6A72D6DB" w14:textId="77777777" w:rsidR="00E85766" w:rsidRPr="00601A89" w:rsidRDefault="00E85766" w:rsidP="00AC0924">
      <w:pPr>
        <w:pStyle w:val="Heading2"/>
      </w:pPr>
      <w:bookmarkStart w:id="83" w:name="_Toc470858861"/>
      <w:bookmarkStart w:id="84" w:name="_Toc475992515"/>
      <w:r w:rsidRPr="00601A89">
        <w:lastRenderedPageBreak/>
        <w:t>Clinical governance</w:t>
      </w:r>
      <w:bookmarkEnd w:id="83"/>
      <w:bookmarkEnd w:id="84"/>
    </w:p>
    <w:p w14:paraId="52A98439" w14:textId="77777777" w:rsidR="007A6454" w:rsidRPr="00C71F60" w:rsidRDefault="00E85766" w:rsidP="00C71F60">
      <w:pPr>
        <w:keepLines/>
      </w:pPr>
      <w:r w:rsidRPr="00601A89">
        <w:t xml:space="preserve">As </w:t>
      </w:r>
      <w:r>
        <w:t>s</w:t>
      </w:r>
      <w:r w:rsidRPr="00601A89">
        <w:t xml:space="preserve">ection 4.3 </w:t>
      </w:r>
      <w:r>
        <w:t xml:space="preserve">outlines, </w:t>
      </w:r>
      <w:r w:rsidRPr="00601A89">
        <w:t xml:space="preserve">through this Plan ROWG will </w:t>
      </w:r>
      <w:r>
        <w:t xml:space="preserve">gain a </w:t>
      </w:r>
      <w:r w:rsidRPr="00601A89">
        <w:t xml:space="preserve">more explicit </w:t>
      </w:r>
      <w:r>
        <w:t>role as it takes responsibility for</w:t>
      </w:r>
      <w:r w:rsidRPr="00601A89">
        <w:t xml:space="preserve"> national clinical governance </w:t>
      </w:r>
      <w:r>
        <w:t>of</w:t>
      </w:r>
      <w:r w:rsidRPr="00601A89">
        <w:t xml:space="preserve"> radiation oncology services. This means ROWG will be responsible for</w:t>
      </w:r>
      <w:r>
        <w:t xml:space="preserve"> providing</w:t>
      </w:r>
      <w:r w:rsidRPr="00601A89">
        <w:t xml:space="preserve"> national guidance on improving and maintaining clinical quality of care for patients who receive radiation therapy within the limitations of the information available through ROMDS. Within this context, quality of care specifically considers issues of access, equity, variation in care and standards of treatment and delivery. </w:t>
      </w:r>
      <w:r>
        <w:t>Notably</w:t>
      </w:r>
      <w:r w:rsidRPr="00601A89">
        <w:t xml:space="preserve"> ROWG</w:t>
      </w:r>
      <w:r w:rsidR="007A6454">
        <w:t>’</w:t>
      </w:r>
      <w:r>
        <w:t>s</w:t>
      </w:r>
      <w:r w:rsidRPr="00601A89">
        <w:t xml:space="preserve"> governance </w:t>
      </w:r>
      <w:r>
        <w:t xml:space="preserve">role </w:t>
      </w:r>
      <w:r w:rsidRPr="00601A89">
        <w:t>for radiation oncology services will evolve over time.</w:t>
      </w:r>
    </w:p>
    <w:p w14:paraId="4C42516D" w14:textId="77777777" w:rsidR="00E85766" w:rsidRPr="00601A89" w:rsidRDefault="00E85766" w:rsidP="00C71F60"/>
    <w:p w14:paraId="273AB0D2" w14:textId="6E1E1370" w:rsidR="007A6454" w:rsidRDefault="00E85766" w:rsidP="00C71F60">
      <w:r w:rsidRPr="00601A89">
        <w:t xml:space="preserve">The Ministry will </w:t>
      </w:r>
      <w:r>
        <w:t>give</w:t>
      </w:r>
      <w:r w:rsidRPr="00601A89">
        <w:t xml:space="preserve"> ROWG the mandate to identify and lead quality improvement nationally for radiation oncology services. In this capacity</w:t>
      </w:r>
      <w:r w:rsidR="00147BF8">
        <w:t>,</w:t>
      </w:r>
      <w:r w:rsidRPr="00601A89">
        <w:t xml:space="preserve"> ROWG will have </w:t>
      </w:r>
      <w:r w:rsidR="00147BF8">
        <w:t xml:space="preserve">the </w:t>
      </w:r>
      <w:r w:rsidRPr="00601A89">
        <w:t>three key roles</w:t>
      </w:r>
      <w:r w:rsidR="00147BF8">
        <w:t xml:space="preserve"> of</w:t>
      </w:r>
      <w:r w:rsidRPr="00601A89">
        <w:t>:</w:t>
      </w:r>
    </w:p>
    <w:p w14:paraId="119E2330" w14:textId="77777777" w:rsidR="00E85766" w:rsidRPr="00601A89" w:rsidRDefault="00C71F60" w:rsidP="00C71F60">
      <w:pPr>
        <w:spacing w:before="90"/>
      </w:pPr>
      <w:r>
        <w:t>1.</w:t>
      </w:r>
      <w:r>
        <w:tab/>
      </w:r>
      <w:r w:rsidR="00E85766" w:rsidRPr="00601A89">
        <w:t>monitoring effectiveness of care</w:t>
      </w:r>
    </w:p>
    <w:p w14:paraId="7AB89312" w14:textId="77777777" w:rsidR="00E85766" w:rsidRPr="00601A89" w:rsidRDefault="00C71F60" w:rsidP="00C71F60">
      <w:pPr>
        <w:spacing w:before="90"/>
      </w:pPr>
      <w:r>
        <w:t>2.</w:t>
      </w:r>
      <w:r>
        <w:tab/>
      </w:r>
      <w:r w:rsidR="00E85766" w:rsidRPr="00601A89">
        <w:t>minimising unwarranted variation</w:t>
      </w:r>
    </w:p>
    <w:p w14:paraId="15EF00F1" w14:textId="12DCAA59" w:rsidR="00E85766" w:rsidRPr="00601A89" w:rsidRDefault="00C71F60" w:rsidP="00C71F60">
      <w:pPr>
        <w:spacing w:before="90"/>
      </w:pPr>
      <w:r>
        <w:t>3.</w:t>
      </w:r>
      <w:r>
        <w:tab/>
      </w:r>
      <w:r w:rsidR="00147BF8">
        <w:t xml:space="preserve">providing </w:t>
      </w:r>
      <w:r w:rsidR="00E85766" w:rsidRPr="00601A89">
        <w:t>quality assurance.</w:t>
      </w:r>
    </w:p>
    <w:p w14:paraId="0D03EA81" w14:textId="77777777" w:rsidR="00E85766" w:rsidRPr="00601A89" w:rsidRDefault="00E85766" w:rsidP="00C71F60"/>
    <w:p w14:paraId="6A481F3E" w14:textId="77777777" w:rsidR="00E85766" w:rsidRPr="00601A89" w:rsidRDefault="00E85766" w:rsidP="00C71F60">
      <w:pPr>
        <w:pStyle w:val="Heading3"/>
      </w:pPr>
      <w:r w:rsidRPr="00601A89">
        <w:t>Monitoring the effectiveness of care</w:t>
      </w:r>
    </w:p>
    <w:p w14:paraId="6BE37931" w14:textId="77777777" w:rsidR="007A6454" w:rsidRDefault="00E85766" w:rsidP="00C71F60">
      <w:r w:rsidRPr="00601A89">
        <w:t>In addition to measuring and monitoring</w:t>
      </w:r>
      <w:r>
        <w:t xml:space="preserve"> the </w:t>
      </w:r>
      <w:r w:rsidRPr="00601A89">
        <w:t>effectiveness</w:t>
      </w:r>
      <w:r>
        <w:t xml:space="preserve"> of</w:t>
      </w:r>
      <w:r w:rsidRPr="00601A89">
        <w:t xml:space="preserve"> current treatment, this role includes </w:t>
      </w:r>
      <w:r>
        <w:t>keeping track of</w:t>
      </w:r>
      <w:r w:rsidRPr="00601A89">
        <w:t xml:space="preserve"> technological advances and </w:t>
      </w:r>
      <w:r>
        <w:t>developing</w:t>
      </w:r>
      <w:r w:rsidRPr="00601A89">
        <w:t xml:space="preserve"> treatment practices and innovative model</w:t>
      </w:r>
      <w:r>
        <w:t>s</w:t>
      </w:r>
      <w:r w:rsidRPr="00601A89">
        <w:t xml:space="preserve"> of care that promis</w:t>
      </w:r>
      <w:r>
        <w:t>e</w:t>
      </w:r>
      <w:r w:rsidRPr="00601A89">
        <w:t xml:space="preserve"> value for money in the New Zealand context.</w:t>
      </w:r>
    </w:p>
    <w:p w14:paraId="10AD4DAE" w14:textId="77777777" w:rsidR="00E85766" w:rsidRPr="00601A89" w:rsidRDefault="00E85766" w:rsidP="00C71F60"/>
    <w:p w14:paraId="6389CFDF" w14:textId="77777777" w:rsidR="00E85766" w:rsidRPr="00601A89" w:rsidRDefault="00E85766" w:rsidP="00C71F60">
      <w:r>
        <w:t>Given</w:t>
      </w:r>
      <w:r w:rsidRPr="00601A89">
        <w:t xml:space="preserve"> the overlap between service and capacity planning</w:t>
      </w:r>
      <w:r>
        <w:t>,</w:t>
      </w:r>
      <w:r w:rsidRPr="00601A89">
        <w:t xml:space="preserve"> this </w:t>
      </w:r>
      <w:r>
        <w:t>monitoring role contributes strongly to</w:t>
      </w:r>
      <w:r w:rsidRPr="00601A89">
        <w:t xml:space="preserve"> ROWG</w:t>
      </w:r>
      <w:r w:rsidR="007A6454">
        <w:t>’</w:t>
      </w:r>
      <w:r w:rsidRPr="00601A89">
        <w:t xml:space="preserve">s </w:t>
      </w:r>
      <w:r>
        <w:t>work on</w:t>
      </w:r>
      <w:r w:rsidRPr="00601A89">
        <w:t xml:space="preserve"> planning </w:t>
      </w:r>
      <w:r>
        <w:t xml:space="preserve">for </w:t>
      </w:r>
      <w:r w:rsidRPr="00601A89">
        <w:t xml:space="preserve">workforce and linac capacity. As </w:t>
      </w:r>
      <w:r>
        <w:t>s</w:t>
      </w:r>
      <w:r w:rsidRPr="00601A89">
        <w:t>ection</w:t>
      </w:r>
      <w:r>
        <w:t>s</w:t>
      </w:r>
      <w:r w:rsidRPr="00601A89">
        <w:t xml:space="preserve"> 6.3 and 6.4 </w:t>
      </w:r>
      <w:r>
        <w:t xml:space="preserve">outline, </w:t>
      </w:r>
      <w:r w:rsidRPr="00601A89">
        <w:t xml:space="preserve">ROWG will </w:t>
      </w:r>
      <w:r>
        <w:t>advance</w:t>
      </w:r>
      <w:r w:rsidRPr="00601A89">
        <w:t xml:space="preserve"> future capacity planning </w:t>
      </w:r>
      <w:r>
        <w:t>by offering</w:t>
      </w:r>
      <w:r w:rsidRPr="00601A89">
        <w:t xml:space="preserve"> advice on </w:t>
      </w:r>
      <w:r>
        <w:t>how</w:t>
      </w:r>
      <w:r w:rsidRPr="00601A89">
        <w:t xml:space="preserve"> innovations in radiation therapy treatment</w:t>
      </w:r>
      <w:r>
        <w:t xml:space="preserve"> directly affect</w:t>
      </w:r>
      <w:r w:rsidRPr="00601A89">
        <w:t xml:space="preserve"> </w:t>
      </w:r>
      <w:r>
        <w:t>the</w:t>
      </w:r>
      <w:r w:rsidRPr="00601A89">
        <w:t xml:space="preserve"> capacity</w:t>
      </w:r>
      <w:r>
        <w:t xml:space="preserve"> the sector needs</w:t>
      </w:r>
      <w:r w:rsidRPr="00601A89">
        <w:t>.</w:t>
      </w:r>
    </w:p>
    <w:p w14:paraId="38F878AD" w14:textId="77777777" w:rsidR="00E85766" w:rsidRPr="00601A89" w:rsidRDefault="00E85766" w:rsidP="00C71F60"/>
    <w:p w14:paraId="2F3A5672" w14:textId="77777777" w:rsidR="00E85766" w:rsidRPr="00601A89" w:rsidRDefault="00E85766" w:rsidP="00C71F60">
      <w:pPr>
        <w:pStyle w:val="Heading3"/>
      </w:pPr>
      <w:r w:rsidRPr="00601A89">
        <w:t>Minimising unwarranted variation</w:t>
      </w:r>
    </w:p>
    <w:p w14:paraId="6C1325D5" w14:textId="77777777" w:rsidR="00E85766" w:rsidRPr="00601A89" w:rsidRDefault="00E85766" w:rsidP="00C71F60">
      <w:r w:rsidRPr="00601A89">
        <w:t>ROWG</w:t>
      </w:r>
      <w:r w:rsidR="007A6454">
        <w:t>’</w:t>
      </w:r>
      <w:r w:rsidRPr="00601A89">
        <w:t xml:space="preserve">s key role </w:t>
      </w:r>
      <w:r>
        <w:t>in</w:t>
      </w:r>
      <w:r w:rsidRPr="00601A89">
        <w:t xml:space="preserve"> </w:t>
      </w:r>
      <w:r>
        <w:t>helping to make</w:t>
      </w:r>
      <w:r w:rsidRPr="00601A89">
        <w:t xml:space="preserve"> </w:t>
      </w:r>
      <w:r w:rsidRPr="00C237AC">
        <w:t>ROMDS</w:t>
      </w:r>
      <w:r w:rsidRPr="00601A89">
        <w:t xml:space="preserve"> </w:t>
      </w:r>
      <w:r>
        <w:t>part of everyday</w:t>
      </w:r>
      <w:r w:rsidRPr="00601A89">
        <w:t xml:space="preserve"> practice</w:t>
      </w:r>
      <w:r>
        <w:t xml:space="preserve"> focuses on minimising unwarranted variation</w:t>
      </w:r>
      <w:r w:rsidRPr="00601A89">
        <w:t xml:space="preserve">. As the national clinical governance group, ROWG will play a critical part in decisions that will </w:t>
      </w:r>
      <w:r>
        <w:t xml:space="preserve">shape </w:t>
      </w:r>
      <w:r w:rsidRPr="00601A89">
        <w:t>future radiation oncology services</w:t>
      </w:r>
      <w:r>
        <w:t>. These decisions</w:t>
      </w:r>
      <w:r w:rsidRPr="00601A89">
        <w:t xml:space="preserve"> includ</w:t>
      </w:r>
      <w:r>
        <w:t>e</w:t>
      </w:r>
      <w:r w:rsidRPr="00601A89">
        <w:t xml:space="preserve"> but </w:t>
      </w:r>
      <w:r>
        <w:t xml:space="preserve">are </w:t>
      </w:r>
      <w:r w:rsidRPr="00601A89">
        <w:t>not limited to:</w:t>
      </w:r>
    </w:p>
    <w:p w14:paraId="359F5517" w14:textId="77777777" w:rsidR="00E85766" w:rsidRPr="00601A89" w:rsidRDefault="00E85766" w:rsidP="00C71F60">
      <w:pPr>
        <w:pStyle w:val="Bullet"/>
      </w:pPr>
      <w:r w:rsidRPr="00601A89">
        <w:t xml:space="preserve">specifying the data items </w:t>
      </w:r>
      <w:r>
        <w:t xml:space="preserve">providers should </w:t>
      </w:r>
      <w:r w:rsidRPr="00601A89">
        <w:t>collect</w:t>
      </w:r>
    </w:p>
    <w:p w14:paraId="3C901ECF" w14:textId="77777777" w:rsidR="00E85766" w:rsidRPr="00601A89" w:rsidRDefault="00E85766" w:rsidP="00C71F60">
      <w:pPr>
        <w:pStyle w:val="Bullet"/>
      </w:pPr>
      <w:r w:rsidRPr="00601A89">
        <w:t>specifying the metrics</w:t>
      </w:r>
      <w:r>
        <w:t xml:space="preserve"> or </w:t>
      </w:r>
      <w:r w:rsidRPr="00601A89">
        <w:t xml:space="preserve">report outputs </w:t>
      </w:r>
      <w:r>
        <w:t xml:space="preserve">they should </w:t>
      </w:r>
      <w:r w:rsidRPr="00601A89">
        <w:t>analyse</w:t>
      </w:r>
    </w:p>
    <w:p w14:paraId="7FFAC1AA" w14:textId="77777777" w:rsidR="00E85766" w:rsidRPr="00601A89" w:rsidRDefault="00E85766" w:rsidP="00C71F60">
      <w:pPr>
        <w:pStyle w:val="Bullet"/>
      </w:pPr>
      <w:r w:rsidRPr="00601A89">
        <w:t>identifying variation for further investigation</w:t>
      </w:r>
    </w:p>
    <w:p w14:paraId="51E48820" w14:textId="77777777" w:rsidR="00E85766" w:rsidRPr="00601A89" w:rsidRDefault="00E85766" w:rsidP="00C71F60">
      <w:pPr>
        <w:pStyle w:val="Bullet"/>
      </w:pPr>
      <w:r w:rsidRPr="00601A89">
        <w:t>defining unwarranted variation and prioritising one area of focus per year</w:t>
      </w:r>
    </w:p>
    <w:p w14:paraId="474706B8" w14:textId="77777777" w:rsidR="00E85766" w:rsidRPr="00601A89" w:rsidRDefault="00E85766" w:rsidP="00C71F60">
      <w:pPr>
        <w:pStyle w:val="Bullet"/>
      </w:pPr>
      <w:r w:rsidRPr="00601A89">
        <w:t>defining standards of care for areas of variation</w:t>
      </w:r>
    </w:p>
    <w:p w14:paraId="0AD9AB8C" w14:textId="77777777" w:rsidR="00E85766" w:rsidRPr="00601A89" w:rsidRDefault="00E85766" w:rsidP="00C71F60">
      <w:pPr>
        <w:pStyle w:val="Bullet"/>
      </w:pPr>
      <w:r w:rsidRPr="00601A89">
        <w:t>recommending actions to minimise unwarranted variation.</w:t>
      </w:r>
    </w:p>
    <w:p w14:paraId="5B96C025" w14:textId="77777777" w:rsidR="00E85766" w:rsidRPr="00601A89" w:rsidRDefault="00E85766" w:rsidP="00C71F60"/>
    <w:p w14:paraId="415644AD" w14:textId="77777777" w:rsidR="00E85766" w:rsidRPr="00601A89" w:rsidRDefault="00E85766" w:rsidP="00C71F60">
      <w:pPr>
        <w:pStyle w:val="Heading3"/>
      </w:pPr>
      <w:r w:rsidRPr="00601A89">
        <w:t>Quality assurance</w:t>
      </w:r>
    </w:p>
    <w:p w14:paraId="259576A4" w14:textId="77777777" w:rsidR="007A6454" w:rsidRDefault="00E85766" w:rsidP="00C71F60">
      <w:r w:rsidRPr="00601A89">
        <w:t xml:space="preserve">The final key role for ROWG is monitoring </w:t>
      </w:r>
      <w:r>
        <w:t>the sector</w:t>
      </w:r>
      <w:r w:rsidRPr="00601A89">
        <w:t xml:space="preserve"> to ensure that </w:t>
      </w:r>
      <w:r>
        <w:t xml:space="preserve">it is meeting </w:t>
      </w:r>
      <w:r w:rsidRPr="00601A89">
        <w:t>minimum standard</w:t>
      </w:r>
      <w:r>
        <w:t>s</w:t>
      </w:r>
      <w:r w:rsidRPr="00601A89">
        <w:t xml:space="preserve"> of care, and</w:t>
      </w:r>
      <w:r>
        <w:t xml:space="preserve"> that</w:t>
      </w:r>
      <w:r w:rsidRPr="00601A89">
        <w:t xml:space="preserve"> mechanisms are in place to manage circumstances where performance does not meet these standards.</w:t>
      </w:r>
    </w:p>
    <w:p w14:paraId="71F54A97" w14:textId="77777777" w:rsidR="00E85766" w:rsidRPr="00601A89" w:rsidRDefault="00E85766" w:rsidP="00C71F60"/>
    <w:p w14:paraId="6A3B7AF7" w14:textId="77777777" w:rsidR="00E85766" w:rsidRPr="00601A89" w:rsidRDefault="00E85766" w:rsidP="00C71F60">
      <w:pPr>
        <w:keepNext/>
      </w:pPr>
      <w:r w:rsidRPr="00601A89">
        <w:lastRenderedPageBreak/>
        <w:t>The three standards of care to consider within this context</w:t>
      </w:r>
      <w:r>
        <w:t xml:space="preserve"> are</w:t>
      </w:r>
      <w:r w:rsidRPr="00601A89">
        <w:t>:</w:t>
      </w:r>
    </w:p>
    <w:p w14:paraId="06E9362B" w14:textId="77777777" w:rsidR="00E85766" w:rsidRPr="00601A89" w:rsidRDefault="00C71F60" w:rsidP="00C71F60">
      <w:pPr>
        <w:keepNext/>
        <w:spacing w:before="90"/>
        <w:ind w:left="567" w:hanging="567"/>
      </w:pPr>
      <w:r>
        <w:t>1.</w:t>
      </w:r>
      <w:r>
        <w:tab/>
      </w:r>
      <w:r w:rsidR="00E85766">
        <w:t>n</w:t>
      </w:r>
      <w:r w:rsidR="00E85766" w:rsidRPr="00601A89">
        <w:t xml:space="preserve">ational </w:t>
      </w:r>
      <w:r w:rsidR="00E85766">
        <w:t>t</w:t>
      </w:r>
      <w:r w:rsidR="00E85766" w:rsidRPr="00601A89">
        <w:t xml:space="preserve">umour </w:t>
      </w:r>
      <w:r w:rsidR="00E85766">
        <w:t>s</w:t>
      </w:r>
      <w:r w:rsidR="00E85766" w:rsidRPr="00601A89">
        <w:t>tandards – the level of service that a person with cancer should have access to</w:t>
      </w:r>
    </w:p>
    <w:p w14:paraId="3BCFBA55" w14:textId="77777777" w:rsidR="00E85766" w:rsidRPr="00601A89" w:rsidRDefault="00C71F60" w:rsidP="00C71F60">
      <w:pPr>
        <w:spacing w:before="90"/>
        <w:ind w:left="567" w:hanging="567"/>
      </w:pPr>
      <w:r>
        <w:t>2.</w:t>
      </w:r>
      <w:r>
        <w:tab/>
      </w:r>
      <w:r w:rsidR="00E85766">
        <w:t>p</w:t>
      </w:r>
      <w:r w:rsidR="00E85766" w:rsidRPr="00601A89">
        <w:t>ractice standards – radiation treatment pathways and aspects of facility management to achieve high</w:t>
      </w:r>
      <w:r w:rsidR="00E85766">
        <w:t>-</w:t>
      </w:r>
      <w:r w:rsidR="00E85766" w:rsidRPr="00601A89">
        <w:t>quality service delivery</w:t>
      </w:r>
    </w:p>
    <w:p w14:paraId="2B2C16E3" w14:textId="77777777" w:rsidR="007A6454" w:rsidRDefault="00C71F60" w:rsidP="00C71F60">
      <w:pPr>
        <w:spacing w:before="90"/>
        <w:ind w:left="567" w:hanging="567"/>
      </w:pPr>
      <w:r>
        <w:t>3.</w:t>
      </w:r>
      <w:r>
        <w:tab/>
      </w:r>
      <w:r w:rsidR="00E85766">
        <w:t>c</w:t>
      </w:r>
      <w:r w:rsidR="00E85766" w:rsidRPr="00601A89">
        <w:t>linical standards – evidence-based treatment with the aim of making available patient-centred, appropriate and clinically effective care.</w:t>
      </w:r>
    </w:p>
    <w:p w14:paraId="5576CB4B" w14:textId="77777777" w:rsidR="00E85766" w:rsidRPr="00601A89" w:rsidRDefault="00E85766" w:rsidP="00C71F60"/>
    <w:p w14:paraId="4961EB5D" w14:textId="77777777" w:rsidR="007A6454" w:rsidRDefault="00E85766" w:rsidP="00C71F60">
      <w:r w:rsidRPr="00601A89">
        <w:t>The extent of ROWG</w:t>
      </w:r>
      <w:r w:rsidR="007A6454">
        <w:t>’</w:t>
      </w:r>
      <w:r w:rsidRPr="00601A89">
        <w:t>s role in monitoring performance of the radiation oncology sector against all standards will vary with the extent of the wider sector</w:t>
      </w:r>
      <w:r w:rsidR="007A6454">
        <w:t>’</w:t>
      </w:r>
      <w:r w:rsidRPr="00601A89">
        <w:t>s involvement. ROWG</w:t>
      </w:r>
      <w:r w:rsidR="007A6454">
        <w:t>’</w:t>
      </w:r>
      <w:r w:rsidRPr="00601A89">
        <w:t>s main focus will be on the clinical standards</w:t>
      </w:r>
      <w:r>
        <w:t>. W</w:t>
      </w:r>
      <w:r w:rsidRPr="00601A89">
        <w:t>ithin this scope</w:t>
      </w:r>
      <w:r>
        <w:t>,</w:t>
      </w:r>
      <w:r w:rsidRPr="00601A89">
        <w:t xml:space="preserve"> its role include</w:t>
      </w:r>
      <w:r>
        <w:t>s</w:t>
      </w:r>
      <w:r w:rsidRPr="00601A89">
        <w:t xml:space="preserve"> but is not limited to:</w:t>
      </w:r>
    </w:p>
    <w:p w14:paraId="4C8F36EF" w14:textId="77777777" w:rsidR="00E85766" w:rsidRPr="00601A89" w:rsidRDefault="00E85766" w:rsidP="00C71F60">
      <w:pPr>
        <w:pStyle w:val="Bullet"/>
      </w:pPr>
      <w:r w:rsidRPr="00601A89">
        <w:t>monitoring compliance with relevant standards of care</w:t>
      </w:r>
    </w:p>
    <w:p w14:paraId="2D3B5B19" w14:textId="77777777" w:rsidR="00E85766" w:rsidRPr="00601A89" w:rsidRDefault="00E85766" w:rsidP="00C71F60">
      <w:pPr>
        <w:pStyle w:val="Bullet"/>
      </w:pPr>
      <w:r w:rsidRPr="00601A89">
        <w:t>monitoring process and outcome measures across all action areas</w:t>
      </w:r>
    </w:p>
    <w:p w14:paraId="5922939D" w14:textId="77777777" w:rsidR="00E85766" w:rsidRPr="00601A89" w:rsidRDefault="00E85766" w:rsidP="00C71F60">
      <w:pPr>
        <w:pStyle w:val="Bullet"/>
      </w:pPr>
      <w:r w:rsidRPr="00601A89">
        <w:t>defining escalation triggers (</w:t>
      </w:r>
      <w:r>
        <w:t>for example</w:t>
      </w:r>
      <w:r w:rsidRPr="00601A89">
        <w:t>, time periods; unwarranted; significant)</w:t>
      </w:r>
    </w:p>
    <w:p w14:paraId="1E85DD75" w14:textId="77777777" w:rsidR="00E85766" w:rsidRPr="00601A89" w:rsidRDefault="00E85766" w:rsidP="00C71F60">
      <w:pPr>
        <w:pStyle w:val="Bullet"/>
      </w:pPr>
      <w:r w:rsidRPr="00601A89">
        <w:t>identifying escalation actions in response to ongoing performance issues</w:t>
      </w:r>
    </w:p>
    <w:p w14:paraId="108D88CE" w14:textId="77777777" w:rsidR="00E85766" w:rsidRPr="00601A89" w:rsidRDefault="00E85766" w:rsidP="00C71F60">
      <w:pPr>
        <w:pStyle w:val="Bullet"/>
      </w:pPr>
      <w:r w:rsidRPr="00601A89">
        <w:t>provid</w:t>
      </w:r>
      <w:r>
        <w:t>ing</w:t>
      </w:r>
      <w:r w:rsidRPr="00601A89">
        <w:t xml:space="preserve"> guidance to the Ministry</w:t>
      </w:r>
      <w:r>
        <w:t xml:space="preserve"> and the</w:t>
      </w:r>
      <w:r w:rsidRPr="00601A89">
        <w:t xml:space="preserve"> Cancer Programme Leadership Board on initial action or escalation options to address performance issues</w:t>
      </w:r>
    </w:p>
    <w:p w14:paraId="20C5FC43" w14:textId="77777777" w:rsidR="00E85766" w:rsidRPr="00601A89" w:rsidRDefault="00E85766" w:rsidP="00C71F60">
      <w:pPr>
        <w:pStyle w:val="Bullet"/>
      </w:pPr>
      <w:r w:rsidRPr="00601A89">
        <w:t>implementing escalation actions if required.</w:t>
      </w:r>
    </w:p>
    <w:p w14:paraId="666B5D5F" w14:textId="77777777" w:rsidR="00E85766" w:rsidRPr="00601A89" w:rsidRDefault="00E85766" w:rsidP="00C71F60"/>
    <w:p w14:paraId="3FE9E6D8" w14:textId="77777777" w:rsidR="00E85766" w:rsidRPr="00601A89" w:rsidRDefault="00E85766" w:rsidP="00C71F60">
      <w:r>
        <w:t>If a provider does not comply</w:t>
      </w:r>
      <w:r w:rsidRPr="00601A89" w:rsidDel="006C3507">
        <w:t xml:space="preserve"> </w:t>
      </w:r>
      <w:r w:rsidRPr="00601A89">
        <w:t>with the agreed standards of care</w:t>
      </w:r>
      <w:r>
        <w:t>,</w:t>
      </w:r>
      <w:r w:rsidRPr="00601A89">
        <w:t xml:space="preserve"> </w:t>
      </w:r>
      <w:r>
        <w:t>one</w:t>
      </w:r>
      <w:r w:rsidRPr="00601A89">
        <w:t xml:space="preserve"> response may </w:t>
      </w:r>
      <w:r>
        <w:t xml:space="preserve">be for </w:t>
      </w:r>
      <w:r w:rsidRPr="00601A89">
        <w:t xml:space="preserve">the Chair of ROWG </w:t>
      </w:r>
      <w:r>
        <w:t>to help</w:t>
      </w:r>
      <w:r w:rsidRPr="00601A89">
        <w:t xml:space="preserve"> appropriate Ministry representatives in their interaction with representatives of</w:t>
      </w:r>
      <w:r>
        <w:t xml:space="preserve"> that</w:t>
      </w:r>
      <w:r w:rsidRPr="00601A89">
        <w:t xml:space="preserve"> provider.</w:t>
      </w:r>
      <w:r w:rsidRPr="00DF0BE0">
        <w:t xml:space="preserve"> </w:t>
      </w:r>
      <w:r>
        <w:t xml:space="preserve">The </w:t>
      </w:r>
      <w:r w:rsidRPr="00601A89">
        <w:t xml:space="preserve">Ministry </w:t>
      </w:r>
      <w:r>
        <w:t xml:space="preserve">will not hold </w:t>
      </w:r>
      <w:r w:rsidRPr="00601A89">
        <w:t>ROWG accountable for D</w:t>
      </w:r>
      <w:r>
        <w:t>HB</w:t>
      </w:r>
      <w:r w:rsidRPr="00601A89">
        <w:t xml:space="preserve"> funding decisions or for </w:t>
      </w:r>
      <w:r>
        <w:t xml:space="preserve">the </w:t>
      </w:r>
      <w:r w:rsidRPr="00601A89">
        <w:t xml:space="preserve">performance </w:t>
      </w:r>
      <w:r>
        <w:t xml:space="preserve">of </w:t>
      </w:r>
      <w:r w:rsidRPr="00601A89">
        <w:t>individual radiation oncology provider</w:t>
      </w:r>
      <w:r>
        <w:t>s</w:t>
      </w:r>
      <w:r w:rsidRPr="00601A89">
        <w:t>.</w:t>
      </w:r>
    </w:p>
    <w:p w14:paraId="0B49C470" w14:textId="77777777" w:rsidR="00E85766" w:rsidRPr="00601A89" w:rsidRDefault="00E85766" w:rsidP="00C71F60"/>
    <w:p w14:paraId="2801B99B" w14:textId="77777777" w:rsidR="007A6454" w:rsidRDefault="00E85766" w:rsidP="00C71F60">
      <w:r>
        <w:t>ROWG will be supported by the Ministry to fulfil its expanded role</w:t>
      </w:r>
      <w:r w:rsidRPr="00601A89">
        <w:t>. The Ministry will work with ROWG to develop a</w:t>
      </w:r>
      <w:r>
        <w:t>n</w:t>
      </w:r>
      <w:r w:rsidRPr="00601A89">
        <w:t xml:space="preserve"> approach that can be transferred to other areas of cancer treatment.</w:t>
      </w:r>
    </w:p>
    <w:p w14:paraId="653A3CA2" w14:textId="77777777" w:rsidR="00E85766" w:rsidRPr="00601A89" w:rsidRDefault="00E85766" w:rsidP="00C71F60"/>
    <w:p w14:paraId="0634FE14" w14:textId="77777777" w:rsidR="007A6454" w:rsidRDefault="00E85766" w:rsidP="00C71F60">
      <w:r w:rsidRPr="00601A89">
        <w:fldChar w:fldCharType="begin"/>
      </w:r>
      <w:r w:rsidRPr="00601A89">
        <w:instrText xml:space="preserve"> REF _Ref453582643 \h  \* MERGEFORMAT </w:instrText>
      </w:r>
      <w:r w:rsidRPr="00601A89">
        <w:fldChar w:fldCharType="separate"/>
      </w:r>
      <w:r w:rsidR="00E2252F" w:rsidRPr="00601A89">
        <w:t xml:space="preserve">Table </w:t>
      </w:r>
      <w:r w:rsidR="00E2252F">
        <w:rPr>
          <w:noProof/>
        </w:rPr>
        <w:t>8</w:t>
      </w:r>
      <w:r w:rsidRPr="00601A89">
        <w:fldChar w:fldCharType="end"/>
      </w:r>
      <w:r w:rsidRPr="00601A89">
        <w:t xml:space="preserve"> identifies actions </w:t>
      </w:r>
      <w:r>
        <w:t>needed</w:t>
      </w:r>
      <w:r w:rsidRPr="00601A89">
        <w:t xml:space="preserve"> to establish the clinical governance function to support improving the quality of radiation oncology services. </w:t>
      </w:r>
      <w:r>
        <w:t xml:space="preserve">The Ministry will review </w:t>
      </w:r>
      <w:r w:rsidRPr="00601A89">
        <w:t>ROWG</w:t>
      </w:r>
      <w:r w:rsidR="007A6454">
        <w:t>’</w:t>
      </w:r>
      <w:r w:rsidRPr="00601A89">
        <w:t xml:space="preserve">s terms of reference, membership and resourcing to ensure they are appropriate for clinical governance. </w:t>
      </w:r>
      <w:r>
        <w:t>It</w:t>
      </w:r>
      <w:r w:rsidRPr="00601A89">
        <w:t xml:space="preserve"> will continue to be responsible for providing secretariat support for ROWG.</w:t>
      </w:r>
    </w:p>
    <w:p w14:paraId="3A03F5F8" w14:textId="77777777" w:rsidR="00E85766" w:rsidRPr="00601A89" w:rsidRDefault="00E85766" w:rsidP="00C71F60"/>
    <w:p w14:paraId="4500077B" w14:textId="77777777" w:rsidR="00E85766" w:rsidRPr="00601A89" w:rsidRDefault="00E85766" w:rsidP="00C71F60">
      <w:pPr>
        <w:pStyle w:val="Table"/>
      </w:pPr>
      <w:bookmarkStart w:id="85" w:name="_Ref453582643"/>
      <w:bookmarkStart w:id="86" w:name="_Toc475954098"/>
      <w:r w:rsidRPr="00601A89">
        <w:t xml:space="preserve">Table </w:t>
      </w:r>
      <w:r w:rsidR="003B40AB">
        <w:fldChar w:fldCharType="begin"/>
      </w:r>
      <w:r w:rsidR="003B40AB">
        <w:instrText xml:space="preserve"> SEQ Table \* ARABIC </w:instrText>
      </w:r>
      <w:r w:rsidR="003B40AB">
        <w:fldChar w:fldCharType="separate"/>
      </w:r>
      <w:r w:rsidR="00E2252F">
        <w:rPr>
          <w:noProof/>
        </w:rPr>
        <w:t>8</w:t>
      </w:r>
      <w:r w:rsidR="003B40AB">
        <w:rPr>
          <w:noProof/>
        </w:rPr>
        <w:fldChar w:fldCharType="end"/>
      </w:r>
      <w:bookmarkEnd w:id="85"/>
      <w:r w:rsidRPr="00601A89">
        <w:t>: Actions to establish the clinical governance function</w:t>
      </w:r>
      <w:bookmarkEnd w:id="86"/>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4111"/>
        <w:gridCol w:w="4253"/>
        <w:gridCol w:w="992"/>
      </w:tblGrid>
      <w:tr w:rsidR="00E85766" w:rsidRPr="00C71F60" w14:paraId="5611195D" w14:textId="77777777" w:rsidTr="00C71F60">
        <w:trPr>
          <w:cantSplit/>
        </w:trPr>
        <w:tc>
          <w:tcPr>
            <w:tcW w:w="4111" w:type="dxa"/>
            <w:tcBorders>
              <w:top w:val="single" w:sz="4" w:space="0" w:color="auto"/>
              <w:bottom w:val="single" w:sz="4" w:space="0" w:color="auto"/>
            </w:tcBorders>
            <w:shd w:val="clear" w:color="auto" w:fill="auto"/>
          </w:tcPr>
          <w:p w14:paraId="2D2BD21A" w14:textId="77777777" w:rsidR="00E85766" w:rsidRPr="00C71F60" w:rsidRDefault="00E85766" w:rsidP="00C71F60">
            <w:pPr>
              <w:pStyle w:val="TableText"/>
              <w:ind w:right="142"/>
              <w:rPr>
                <w:b/>
                <w:lang w:eastAsia="en-NZ"/>
              </w:rPr>
            </w:pPr>
            <w:r w:rsidRPr="00C71F60">
              <w:rPr>
                <w:b/>
                <w:lang w:eastAsia="en-NZ"/>
              </w:rPr>
              <w:t>Action</w:t>
            </w:r>
          </w:p>
        </w:tc>
        <w:tc>
          <w:tcPr>
            <w:tcW w:w="4253" w:type="dxa"/>
            <w:tcBorders>
              <w:top w:val="single" w:sz="4" w:space="0" w:color="auto"/>
              <w:bottom w:val="single" w:sz="4" w:space="0" w:color="auto"/>
            </w:tcBorders>
            <w:shd w:val="clear" w:color="auto" w:fill="auto"/>
          </w:tcPr>
          <w:p w14:paraId="0527EFD0" w14:textId="77777777" w:rsidR="00E85766" w:rsidRPr="00C71F60" w:rsidRDefault="00E85766" w:rsidP="00C71F60">
            <w:pPr>
              <w:pStyle w:val="TableText"/>
              <w:ind w:right="142"/>
              <w:rPr>
                <w:b/>
                <w:lang w:eastAsia="en-NZ"/>
              </w:rPr>
            </w:pPr>
            <w:r w:rsidRPr="00C71F60">
              <w:rPr>
                <w:b/>
                <w:lang w:eastAsia="en-NZ"/>
              </w:rPr>
              <w:t>Who is involved</w:t>
            </w:r>
          </w:p>
        </w:tc>
        <w:tc>
          <w:tcPr>
            <w:tcW w:w="992" w:type="dxa"/>
            <w:tcBorders>
              <w:top w:val="single" w:sz="4" w:space="0" w:color="auto"/>
              <w:bottom w:val="single" w:sz="4" w:space="0" w:color="auto"/>
            </w:tcBorders>
            <w:shd w:val="clear" w:color="auto" w:fill="auto"/>
          </w:tcPr>
          <w:p w14:paraId="6827B329" w14:textId="77777777" w:rsidR="00E85766" w:rsidRPr="00C71F60" w:rsidRDefault="00E85766" w:rsidP="00C71F60">
            <w:pPr>
              <w:pStyle w:val="TableText"/>
              <w:rPr>
                <w:b/>
                <w:lang w:eastAsia="en-NZ"/>
              </w:rPr>
            </w:pPr>
            <w:r w:rsidRPr="00C71F60">
              <w:rPr>
                <w:b/>
                <w:lang w:eastAsia="en-NZ"/>
              </w:rPr>
              <w:t>By when</w:t>
            </w:r>
          </w:p>
        </w:tc>
      </w:tr>
      <w:tr w:rsidR="00E85766" w:rsidRPr="00601A89" w14:paraId="3BA50BDC" w14:textId="77777777" w:rsidTr="00C71F60">
        <w:trPr>
          <w:cantSplit/>
        </w:trPr>
        <w:tc>
          <w:tcPr>
            <w:tcW w:w="4111" w:type="dxa"/>
            <w:tcBorders>
              <w:top w:val="single" w:sz="4" w:space="0" w:color="auto"/>
              <w:bottom w:val="single" w:sz="4" w:space="0" w:color="A6A6A6" w:themeColor="background1" w:themeShade="A6"/>
            </w:tcBorders>
            <w:shd w:val="clear" w:color="auto" w:fill="auto"/>
            <w:noWrap/>
          </w:tcPr>
          <w:p w14:paraId="6906ED15" w14:textId="77777777" w:rsidR="00E85766" w:rsidRPr="00601A89" w:rsidRDefault="00E85766" w:rsidP="00C71F60">
            <w:pPr>
              <w:pStyle w:val="TableText"/>
              <w:ind w:right="142"/>
              <w:rPr>
                <w:color w:val="000000"/>
                <w:lang w:eastAsia="en-NZ"/>
              </w:rPr>
            </w:pPr>
            <w:r w:rsidRPr="00601A89">
              <w:rPr>
                <w:color w:val="000000"/>
                <w:lang w:eastAsia="en-NZ"/>
              </w:rPr>
              <w:t xml:space="preserve">Review the terms of reference, membership and resourcing of ROWG to ensure </w:t>
            </w:r>
            <w:r>
              <w:rPr>
                <w:color w:val="000000"/>
                <w:lang w:eastAsia="en-NZ"/>
              </w:rPr>
              <w:t xml:space="preserve">they are </w:t>
            </w:r>
            <w:r w:rsidRPr="00601A89">
              <w:rPr>
                <w:color w:val="000000"/>
                <w:lang w:eastAsia="en-NZ"/>
              </w:rPr>
              <w:t>appropriate for clinical governance</w:t>
            </w:r>
          </w:p>
        </w:tc>
        <w:tc>
          <w:tcPr>
            <w:tcW w:w="4253" w:type="dxa"/>
            <w:tcBorders>
              <w:top w:val="single" w:sz="4" w:space="0" w:color="auto"/>
              <w:bottom w:val="single" w:sz="4" w:space="0" w:color="A6A6A6" w:themeColor="background1" w:themeShade="A6"/>
            </w:tcBorders>
            <w:shd w:val="clear" w:color="auto" w:fill="auto"/>
            <w:noWrap/>
          </w:tcPr>
          <w:p w14:paraId="49C238D6" w14:textId="367FD925" w:rsidR="00E85766" w:rsidRPr="00601A89" w:rsidRDefault="00E85766" w:rsidP="00C71F60">
            <w:pPr>
              <w:pStyle w:val="TableText"/>
              <w:ind w:right="142"/>
              <w:rPr>
                <w:color w:val="000000"/>
                <w:lang w:eastAsia="en-NZ"/>
              </w:rPr>
            </w:pPr>
            <w:r w:rsidRPr="00601A89">
              <w:rPr>
                <w:color w:val="000000"/>
                <w:lang w:eastAsia="en-NZ"/>
              </w:rPr>
              <w:t xml:space="preserve">The Ministry will review ROWG to understand the changes </w:t>
            </w:r>
            <w:r>
              <w:rPr>
                <w:color w:val="000000"/>
                <w:lang w:eastAsia="en-NZ"/>
              </w:rPr>
              <w:t>needed for ROWG</w:t>
            </w:r>
            <w:r w:rsidRPr="00601A89">
              <w:rPr>
                <w:color w:val="000000"/>
                <w:lang w:eastAsia="en-NZ"/>
              </w:rPr>
              <w:t xml:space="preserve"> to </w:t>
            </w:r>
            <w:r>
              <w:rPr>
                <w:color w:val="000000"/>
                <w:lang w:eastAsia="en-NZ"/>
              </w:rPr>
              <w:t>under</w:t>
            </w:r>
            <w:r w:rsidRPr="00601A89">
              <w:rPr>
                <w:color w:val="000000"/>
                <w:lang w:eastAsia="en-NZ"/>
              </w:rPr>
              <w:t>take clinical governance</w:t>
            </w:r>
            <w:r w:rsidR="00147BF8">
              <w:rPr>
                <w:color w:val="000000"/>
                <w:lang w:eastAsia="en-NZ"/>
              </w:rPr>
              <w:t>.</w:t>
            </w:r>
          </w:p>
        </w:tc>
        <w:tc>
          <w:tcPr>
            <w:tcW w:w="992" w:type="dxa"/>
            <w:tcBorders>
              <w:top w:val="single" w:sz="4" w:space="0" w:color="auto"/>
              <w:bottom w:val="single" w:sz="4" w:space="0" w:color="A6A6A6" w:themeColor="background1" w:themeShade="A6"/>
            </w:tcBorders>
            <w:shd w:val="clear" w:color="auto" w:fill="auto"/>
          </w:tcPr>
          <w:p w14:paraId="3B0B4D66" w14:textId="77777777" w:rsidR="00E85766" w:rsidRPr="00601A89" w:rsidRDefault="00E85766" w:rsidP="00C71F60">
            <w:pPr>
              <w:pStyle w:val="TableText"/>
              <w:rPr>
                <w:color w:val="000000"/>
                <w:lang w:eastAsia="en-NZ"/>
              </w:rPr>
            </w:pPr>
            <w:r w:rsidRPr="00601A89">
              <w:rPr>
                <w:color w:val="000000"/>
                <w:lang w:eastAsia="en-NZ"/>
              </w:rPr>
              <w:t>2017</w:t>
            </w:r>
          </w:p>
        </w:tc>
      </w:tr>
      <w:tr w:rsidR="00E85766" w:rsidRPr="00601A89" w14:paraId="1D052EB1" w14:textId="77777777" w:rsidTr="00C71F60">
        <w:trPr>
          <w:cantSplit/>
        </w:trPr>
        <w:tc>
          <w:tcPr>
            <w:tcW w:w="4111" w:type="dxa"/>
            <w:tcBorders>
              <w:top w:val="single" w:sz="4" w:space="0" w:color="A6A6A6" w:themeColor="background1" w:themeShade="A6"/>
              <w:bottom w:val="single" w:sz="4" w:space="0" w:color="auto"/>
            </w:tcBorders>
            <w:shd w:val="clear" w:color="auto" w:fill="auto"/>
            <w:noWrap/>
          </w:tcPr>
          <w:p w14:paraId="45C4CD8A" w14:textId="77777777" w:rsidR="00E85766" w:rsidRPr="00601A89" w:rsidRDefault="00E85766" w:rsidP="00C71F60">
            <w:pPr>
              <w:pStyle w:val="TableText"/>
              <w:ind w:right="142"/>
              <w:rPr>
                <w:color w:val="000000"/>
                <w:lang w:eastAsia="en-NZ"/>
              </w:rPr>
            </w:pPr>
            <w:r w:rsidRPr="00601A89">
              <w:rPr>
                <w:color w:val="000000"/>
                <w:lang w:eastAsia="en-NZ"/>
              </w:rPr>
              <w:t>Review the radiation oncology practice standards</w:t>
            </w:r>
          </w:p>
        </w:tc>
        <w:tc>
          <w:tcPr>
            <w:tcW w:w="4253" w:type="dxa"/>
            <w:tcBorders>
              <w:top w:val="single" w:sz="4" w:space="0" w:color="A6A6A6" w:themeColor="background1" w:themeShade="A6"/>
              <w:bottom w:val="single" w:sz="4" w:space="0" w:color="auto"/>
            </w:tcBorders>
            <w:shd w:val="clear" w:color="auto" w:fill="auto"/>
            <w:noWrap/>
          </w:tcPr>
          <w:p w14:paraId="2A0E0013" w14:textId="61BA3ED9" w:rsidR="00E85766" w:rsidRPr="00601A89" w:rsidRDefault="00E85766" w:rsidP="00C71F60">
            <w:pPr>
              <w:pStyle w:val="TableText"/>
              <w:ind w:right="142"/>
              <w:rPr>
                <w:color w:val="000000"/>
                <w:lang w:eastAsia="en-NZ"/>
              </w:rPr>
            </w:pPr>
            <w:r w:rsidRPr="00601A89">
              <w:rPr>
                <w:color w:val="000000"/>
                <w:lang w:eastAsia="en-NZ"/>
              </w:rPr>
              <w:t xml:space="preserve">ROWG </w:t>
            </w:r>
            <w:r>
              <w:rPr>
                <w:color w:val="000000"/>
                <w:lang w:eastAsia="en-NZ"/>
              </w:rPr>
              <w:t>will</w:t>
            </w:r>
            <w:r w:rsidRPr="00601A89">
              <w:rPr>
                <w:color w:val="000000"/>
                <w:lang w:eastAsia="en-NZ"/>
              </w:rPr>
              <w:t xml:space="preserve"> review and provide advice on the applicability of the practice </w:t>
            </w:r>
            <w:r>
              <w:rPr>
                <w:color w:val="000000"/>
                <w:lang w:eastAsia="en-NZ"/>
              </w:rPr>
              <w:t>standards</w:t>
            </w:r>
            <w:r w:rsidR="00147BF8">
              <w:rPr>
                <w:color w:val="000000"/>
                <w:lang w:eastAsia="en-NZ"/>
              </w:rPr>
              <w:t>.</w:t>
            </w:r>
          </w:p>
        </w:tc>
        <w:tc>
          <w:tcPr>
            <w:tcW w:w="992" w:type="dxa"/>
            <w:tcBorders>
              <w:top w:val="single" w:sz="4" w:space="0" w:color="A6A6A6" w:themeColor="background1" w:themeShade="A6"/>
              <w:bottom w:val="single" w:sz="4" w:space="0" w:color="auto"/>
            </w:tcBorders>
            <w:shd w:val="clear" w:color="auto" w:fill="auto"/>
          </w:tcPr>
          <w:p w14:paraId="7625A3AE" w14:textId="77777777" w:rsidR="00E85766" w:rsidRPr="00601A89" w:rsidRDefault="00E85766" w:rsidP="00C71F60">
            <w:pPr>
              <w:pStyle w:val="TableText"/>
              <w:rPr>
                <w:color w:val="000000"/>
                <w:lang w:eastAsia="en-NZ"/>
              </w:rPr>
            </w:pPr>
            <w:r w:rsidRPr="00601A89">
              <w:rPr>
                <w:color w:val="000000"/>
                <w:lang w:eastAsia="en-NZ"/>
              </w:rPr>
              <w:t>2018</w:t>
            </w:r>
          </w:p>
        </w:tc>
      </w:tr>
    </w:tbl>
    <w:p w14:paraId="6ADD061A" w14:textId="77777777" w:rsidR="00E85766" w:rsidRPr="00601A89" w:rsidRDefault="00E85766" w:rsidP="00C71F60"/>
    <w:p w14:paraId="3C40106D" w14:textId="77777777" w:rsidR="00E85766" w:rsidRPr="00601A89" w:rsidRDefault="00E85766" w:rsidP="00C71F60">
      <w:pPr>
        <w:pStyle w:val="Heading2"/>
      </w:pPr>
      <w:bookmarkStart w:id="87" w:name="_Toc470858862"/>
      <w:bookmarkStart w:id="88" w:name="_Toc475992516"/>
      <w:r w:rsidRPr="00601A89">
        <w:lastRenderedPageBreak/>
        <w:t>Linear accelerator capacity</w:t>
      </w:r>
      <w:bookmarkEnd w:id="87"/>
      <w:bookmarkEnd w:id="88"/>
    </w:p>
    <w:p w14:paraId="00C2FE8B" w14:textId="77777777" w:rsidR="00E85766" w:rsidRPr="00601A89" w:rsidRDefault="00E85766" w:rsidP="00942F87">
      <w:pPr>
        <w:keepNext/>
      </w:pPr>
      <w:r w:rsidRPr="00601A89">
        <w:t>Effective planning for linac capacity is vital given the large fixed capital investment required and long lead times to become fully operational. Further, linac purchases around CT imaging and planning</w:t>
      </w:r>
      <w:r>
        <w:t xml:space="preserve"> involve</w:t>
      </w:r>
      <w:r w:rsidRPr="00601A89">
        <w:t xml:space="preserve"> additional costs. Although the Plan does not include these costs</w:t>
      </w:r>
      <w:r>
        <w:t>,</w:t>
      </w:r>
      <w:r w:rsidRPr="00601A89">
        <w:t xml:space="preserve"> the Ministry acknowledges their importance in future planning. </w:t>
      </w:r>
      <w:r>
        <w:t>D</w:t>
      </w:r>
      <w:r w:rsidRPr="00601A89">
        <w:t xml:space="preserve">emand for radiation therapy and </w:t>
      </w:r>
      <w:r>
        <w:t>so for</w:t>
      </w:r>
      <w:r w:rsidRPr="00601A89">
        <w:t xml:space="preserve"> linac capacity </w:t>
      </w:r>
      <w:r>
        <w:t xml:space="preserve">is forecast to grow </w:t>
      </w:r>
      <w:r w:rsidRPr="00601A89">
        <w:t>to 2023</w:t>
      </w:r>
      <w:r>
        <w:t xml:space="preserve"> as</w:t>
      </w:r>
      <w:r w:rsidRPr="00601A89">
        <w:t xml:space="preserve"> the prevalence of cancers</w:t>
      </w:r>
      <w:r>
        <w:t xml:space="preserve"> increases</w:t>
      </w:r>
      <w:r w:rsidRPr="00601A89">
        <w:t xml:space="preserve"> due to population growth and ageing.</w:t>
      </w:r>
    </w:p>
    <w:p w14:paraId="53ABBEE9" w14:textId="77777777" w:rsidR="00E85766" w:rsidRPr="00601A89" w:rsidRDefault="00E85766" w:rsidP="00942F87">
      <w:pPr>
        <w:keepNext/>
      </w:pPr>
    </w:p>
    <w:p w14:paraId="7EC7D51F" w14:textId="77777777" w:rsidR="007A6454" w:rsidRDefault="00E85766" w:rsidP="00C71F60">
      <w:r>
        <w:t>Part of</w:t>
      </w:r>
      <w:r w:rsidRPr="00601A89">
        <w:t xml:space="preserve"> developing this Plan </w:t>
      </w:r>
      <w:r>
        <w:t xml:space="preserve">has been to expand </w:t>
      </w:r>
      <w:r w:rsidRPr="00601A89">
        <w:t xml:space="preserve">the </w:t>
      </w:r>
      <w:r w:rsidRPr="00C237AC">
        <w:t>Tool</w:t>
      </w:r>
      <w:r w:rsidR="007A6454">
        <w:t>’</w:t>
      </w:r>
      <w:r w:rsidRPr="00C237AC">
        <w:t>s</w:t>
      </w:r>
      <w:r>
        <w:t xml:space="preserve"> features</w:t>
      </w:r>
      <w:r w:rsidRPr="00601A89">
        <w:t xml:space="preserve"> </w:t>
      </w:r>
      <w:r>
        <w:t xml:space="preserve">so that it is possible to </w:t>
      </w:r>
      <w:r w:rsidRPr="00601A89">
        <w:t>analys</w:t>
      </w:r>
      <w:r>
        <w:t>e data</w:t>
      </w:r>
      <w:r w:rsidRPr="00601A89">
        <w:t xml:space="preserve"> by major cancer types and adjust additional variables that take into account the changing technological landscape, such as hypofractionation</w:t>
      </w:r>
      <w:r>
        <w:t xml:space="preserve"> (see section 3.2.3)</w:t>
      </w:r>
      <w:r w:rsidRPr="00601A89">
        <w:t xml:space="preserve">. This </w:t>
      </w:r>
      <w:r>
        <w:t>information can be used to develop a more detailed understanding of</w:t>
      </w:r>
      <w:r w:rsidRPr="00601A89">
        <w:t xml:space="preserve"> capacity requirements and variation in practice, which will inform linac capacity planning.</w:t>
      </w:r>
    </w:p>
    <w:p w14:paraId="534801D1" w14:textId="77777777" w:rsidR="00E85766" w:rsidRPr="00601A89" w:rsidRDefault="00E85766" w:rsidP="00C71F60"/>
    <w:p w14:paraId="0C7A9D00" w14:textId="77777777" w:rsidR="00E85766" w:rsidRPr="00601A89" w:rsidRDefault="00E85766" w:rsidP="00C71F60">
      <w:r w:rsidRPr="00601A89">
        <w:t xml:space="preserve">As </w:t>
      </w:r>
      <w:r>
        <w:t>s</w:t>
      </w:r>
      <w:r w:rsidRPr="00601A89">
        <w:t>ection 3.2.2</w:t>
      </w:r>
      <w:r>
        <w:t xml:space="preserve"> outlines</w:t>
      </w:r>
      <w:r w:rsidRPr="00601A89">
        <w:t>, based on the current provisional data</w:t>
      </w:r>
      <w:r>
        <w:t>,</w:t>
      </w:r>
      <w:r w:rsidRPr="00601A89">
        <w:t xml:space="preserve"> </w:t>
      </w:r>
      <w:r>
        <w:t xml:space="preserve">New Zealand will need </w:t>
      </w:r>
      <w:r w:rsidRPr="00601A89">
        <w:t>five to six additional linacs by 2023</w:t>
      </w:r>
      <w:r w:rsidRPr="00C71F60">
        <w:rPr>
          <w:rStyle w:val="FootnoteReference"/>
        </w:rPr>
        <w:footnoteReference w:id="4"/>
      </w:r>
      <w:r w:rsidRPr="00601A89">
        <w:t xml:space="preserve"> to </w:t>
      </w:r>
      <w:r>
        <w:t>meet the</w:t>
      </w:r>
      <w:r w:rsidRPr="00601A89">
        <w:t xml:space="preserve"> growth in demand for radiation therapy services. However</w:t>
      </w:r>
      <w:r>
        <w:t>, in addition to population changes, other changes</w:t>
      </w:r>
      <w:r w:rsidRPr="00601A89">
        <w:t xml:space="preserve"> </w:t>
      </w:r>
      <w:r>
        <w:t xml:space="preserve">may </w:t>
      </w:r>
      <w:r w:rsidRPr="00601A89">
        <w:t>increase the IR</w:t>
      </w:r>
      <w:r>
        <w:t>. These changes</w:t>
      </w:r>
      <w:r w:rsidRPr="00601A89">
        <w:t xml:space="preserve"> includ</w:t>
      </w:r>
      <w:r>
        <w:t>e</w:t>
      </w:r>
      <w:r w:rsidRPr="00601A89">
        <w:t>:</w:t>
      </w:r>
    </w:p>
    <w:p w14:paraId="56E5B5F5" w14:textId="77777777" w:rsidR="00E85766" w:rsidRPr="007A6454" w:rsidRDefault="00E85766" w:rsidP="00C71F60">
      <w:pPr>
        <w:pStyle w:val="Bullet"/>
      </w:pPr>
      <w:r w:rsidRPr="007A6454">
        <w:t>implementing and embedding multidisciplinary team meetings and tumour standards</w:t>
      </w:r>
    </w:p>
    <w:p w14:paraId="4582513E" w14:textId="77777777" w:rsidR="00E85766" w:rsidRPr="007A6454" w:rsidRDefault="00E85766" w:rsidP="00C71F60">
      <w:pPr>
        <w:pStyle w:val="Bullet"/>
      </w:pPr>
      <w:r w:rsidRPr="007A6454">
        <w:t>developing new technologies and techniques</w:t>
      </w:r>
    </w:p>
    <w:p w14:paraId="33739E2D" w14:textId="77777777" w:rsidR="00E85766" w:rsidRPr="007A6454" w:rsidRDefault="00E85766" w:rsidP="00C71F60">
      <w:pPr>
        <w:pStyle w:val="Bullet"/>
      </w:pPr>
      <w:r w:rsidRPr="007A6454">
        <w:t>achieving greater standardisation of clinical practice across New Zealand.</w:t>
      </w:r>
    </w:p>
    <w:p w14:paraId="7587F857" w14:textId="77777777" w:rsidR="00E85766" w:rsidRPr="00601A89" w:rsidRDefault="00E85766" w:rsidP="00C71F60"/>
    <w:p w14:paraId="7C4F1332" w14:textId="77777777" w:rsidR="00E85766" w:rsidRPr="00601A89" w:rsidRDefault="00E85766" w:rsidP="00C71F60">
      <w:r w:rsidRPr="00601A89">
        <w:t>Given th</w:t>
      </w:r>
      <w:r>
        <w:t>ese possible influences</w:t>
      </w:r>
      <w:r w:rsidRPr="00601A89">
        <w:t>, for planning purposes a scenario based on all DHBs reaching an IR equal to the highest reached by a DHB in 2013</w:t>
      </w:r>
      <w:r>
        <w:t>–</w:t>
      </w:r>
      <w:r w:rsidRPr="00601A89">
        <w:t>2015 (45</w:t>
      </w:r>
      <w:r w:rsidR="00C71F60">
        <w:t> percent</w:t>
      </w:r>
      <w:r w:rsidRPr="00601A89">
        <w:t>) has been used as a maxim</w:t>
      </w:r>
      <w:r>
        <w:t>um</w:t>
      </w:r>
      <w:r w:rsidRPr="00601A89">
        <w:t xml:space="preserve"> estimate. If an IR of 45</w:t>
      </w:r>
      <w:r w:rsidR="00C71F60">
        <w:t> percent</w:t>
      </w:r>
      <w:r w:rsidRPr="00601A89">
        <w:t xml:space="preserve"> is reached</w:t>
      </w:r>
      <w:r>
        <w:t xml:space="preserve"> and</w:t>
      </w:r>
      <w:r w:rsidRPr="005C7BE2">
        <w:t xml:space="preserve"> </w:t>
      </w:r>
      <w:r w:rsidRPr="00601A89">
        <w:t>current workloads and practices</w:t>
      </w:r>
      <w:r>
        <w:t xml:space="preserve"> continue,</w:t>
      </w:r>
      <w:r w:rsidRPr="00601A89">
        <w:t xml:space="preserve"> an additional 11 linacs may be required by 2023 (rising to 42</w:t>
      </w:r>
      <w:r>
        <w:t xml:space="preserve">, </w:t>
      </w:r>
      <w:r w:rsidRPr="00601A89">
        <w:t>from 31 in 2015).</w:t>
      </w:r>
    </w:p>
    <w:p w14:paraId="00A04D18" w14:textId="77777777" w:rsidR="00E85766" w:rsidRPr="00601A89" w:rsidRDefault="00E85766" w:rsidP="00C71F60"/>
    <w:p w14:paraId="20BA42CD" w14:textId="77777777" w:rsidR="007A6454" w:rsidRDefault="00E85766" w:rsidP="00C71F60">
      <w:r>
        <w:t>It will be necessary to increase</w:t>
      </w:r>
      <w:r w:rsidRPr="00601A89">
        <w:t xml:space="preserve"> service capacity to meet not only the demand growth associated with increased cancer prevalence, but also growth driven by technology and policy decisions. While the model </w:t>
      </w:r>
      <w:r>
        <w:t>can</w:t>
      </w:r>
      <w:r w:rsidRPr="00601A89">
        <w:t xml:space="preserve"> forecast capacity requirements based on a number of variables, the assumptions used are preliminary and </w:t>
      </w:r>
      <w:r>
        <w:t>only used here to</w:t>
      </w:r>
      <w:r w:rsidRPr="00601A89">
        <w:t xml:space="preserve"> illustrat</w:t>
      </w:r>
      <w:r>
        <w:t>e</w:t>
      </w:r>
      <w:r w:rsidRPr="00601A89">
        <w:t xml:space="preserve"> </w:t>
      </w:r>
      <w:r>
        <w:t>the kind of information the Tool can provide</w:t>
      </w:r>
      <w:r w:rsidRPr="00601A89">
        <w:t>. Understanding the impact of changing technology, innovative models of care and the delivery of more consistent treatment across the country will be pivotal in informing these assumptions.</w:t>
      </w:r>
    </w:p>
    <w:p w14:paraId="24A164FA" w14:textId="77777777" w:rsidR="00E85766" w:rsidRPr="00601A89" w:rsidRDefault="00E85766" w:rsidP="00C71F60"/>
    <w:p w14:paraId="5EAB9A21" w14:textId="77777777" w:rsidR="00E85766" w:rsidRPr="00601A89" w:rsidRDefault="00E85766" w:rsidP="00C71F60">
      <w:pPr>
        <w:pStyle w:val="Table"/>
      </w:pPr>
      <w:bookmarkStart w:id="89" w:name="_Toc475954099"/>
      <w:r w:rsidRPr="00601A89">
        <w:t xml:space="preserve">Table </w:t>
      </w:r>
      <w:r w:rsidR="003B40AB">
        <w:fldChar w:fldCharType="begin"/>
      </w:r>
      <w:r w:rsidR="003B40AB">
        <w:instrText xml:space="preserve"> SEQ Table \* ARABIC </w:instrText>
      </w:r>
      <w:r w:rsidR="003B40AB">
        <w:fldChar w:fldCharType="separate"/>
      </w:r>
      <w:r w:rsidR="00E2252F">
        <w:rPr>
          <w:noProof/>
        </w:rPr>
        <w:t>9</w:t>
      </w:r>
      <w:r w:rsidR="003B40AB">
        <w:rPr>
          <w:noProof/>
        </w:rPr>
        <w:fldChar w:fldCharType="end"/>
      </w:r>
      <w:r w:rsidRPr="00601A89">
        <w:t>: Actions to support enhanced linac capacity planning</w:t>
      </w:r>
      <w:bookmarkEnd w:id="89"/>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3348"/>
        <w:gridCol w:w="5016"/>
        <w:gridCol w:w="992"/>
      </w:tblGrid>
      <w:tr w:rsidR="00E85766" w:rsidRPr="00C71F60" w14:paraId="60EC5361" w14:textId="77777777" w:rsidTr="00C71F60">
        <w:trPr>
          <w:cantSplit/>
        </w:trPr>
        <w:tc>
          <w:tcPr>
            <w:tcW w:w="3348" w:type="dxa"/>
            <w:tcBorders>
              <w:top w:val="single" w:sz="4" w:space="0" w:color="auto"/>
              <w:bottom w:val="single" w:sz="4" w:space="0" w:color="auto"/>
            </w:tcBorders>
            <w:shd w:val="clear" w:color="auto" w:fill="auto"/>
          </w:tcPr>
          <w:p w14:paraId="7844DB3C" w14:textId="77777777" w:rsidR="00E85766" w:rsidRPr="00C71F60" w:rsidRDefault="00E85766" w:rsidP="00C71F60">
            <w:pPr>
              <w:pStyle w:val="TableText"/>
              <w:ind w:right="142"/>
              <w:rPr>
                <w:b/>
                <w:lang w:eastAsia="en-NZ"/>
              </w:rPr>
            </w:pPr>
            <w:r w:rsidRPr="00C71F60">
              <w:rPr>
                <w:b/>
                <w:lang w:eastAsia="en-NZ"/>
              </w:rPr>
              <w:t>Action</w:t>
            </w:r>
          </w:p>
        </w:tc>
        <w:tc>
          <w:tcPr>
            <w:tcW w:w="5016" w:type="dxa"/>
            <w:tcBorders>
              <w:top w:val="single" w:sz="4" w:space="0" w:color="auto"/>
              <w:bottom w:val="single" w:sz="4" w:space="0" w:color="auto"/>
            </w:tcBorders>
            <w:shd w:val="clear" w:color="auto" w:fill="auto"/>
          </w:tcPr>
          <w:p w14:paraId="049B7CE5" w14:textId="77777777" w:rsidR="00E85766" w:rsidRPr="00C71F60" w:rsidRDefault="00E85766" w:rsidP="00C71F60">
            <w:pPr>
              <w:pStyle w:val="TableText"/>
              <w:ind w:right="142"/>
              <w:rPr>
                <w:b/>
                <w:lang w:eastAsia="en-NZ"/>
              </w:rPr>
            </w:pPr>
            <w:r w:rsidRPr="00C71F60">
              <w:rPr>
                <w:b/>
                <w:lang w:eastAsia="en-NZ"/>
              </w:rPr>
              <w:t>Who is involved</w:t>
            </w:r>
          </w:p>
        </w:tc>
        <w:tc>
          <w:tcPr>
            <w:tcW w:w="992" w:type="dxa"/>
            <w:tcBorders>
              <w:top w:val="single" w:sz="4" w:space="0" w:color="auto"/>
              <w:bottom w:val="single" w:sz="4" w:space="0" w:color="auto"/>
            </w:tcBorders>
            <w:shd w:val="clear" w:color="auto" w:fill="auto"/>
          </w:tcPr>
          <w:p w14:paraId="5C13067A" w14:textId="77777777" w:rsidR="00E85766" w:rsidRPr="00C71F60" w:rsidRDefault="00E85766" w:rsidP="00C71F60">
            <w:pPr>
              <w:pStyle w:val="TableText"/>
              <w:rPr>
                <w:b/>
                <w:lang w:eastAsia="en-NZ"/>
              </w:rPr>
            </w:pPr>
            <w:r w:rsidRPr="00C71F60">
              <w:rPr>
                <w:b/>
                <w:lang w:eastAsia="en-NZ"/>
              </w:rPr>
              <w:t>By when</w:t>
            </w:r>
          </w:p>
        </w:tc>
      </w:tr>
      <w:tr w:rsidR="00E85766" w:rsidRPr="00601A89" w14:paraId="21D172E5" w14:textId="77777777" w:rsidTr="00C71F60">
        <w:trPr>
          <w:cantSplit/>
        </w:trPr>
        <w:tc>
          <w:tcPr>
            <w:tcW w:w="3348" w:type="dxa"/>
            <w:tcBorders>
              <w:top w:val="single" w:sz="4" w:space="0" w:color="auto"/>
              <w:bottom w:val="single" w:sz="4" w:space="0" w:color="A6A6A6" w:themeColor="background1" w:themeShade="A6"/>
            </w:tcBorders>
            <w:shd w:val="clear" w:color="auto" w:fill="auto"/>
            <w:noWrap/>
          </w:tcPr>
          <w:p w14:paraId="6547A101" w14:textId="77777777" w:rsidR="00E85766" w:rsidRPr="00601A89" w:rsidRDefault="00E85766" w:rsidP="00C71F60">
            <w:pPr>
              <w:pStyle w:val="TableText"/>
              <w:ind w:right="142"/>
              <w:rPr>
                <w:color w:val="000000"/>
                <w:lang w:eastAsia="en-NZ"/>
              </w:rPr>
            </w:pPr>
            <w:r w:rsidRPr="00601A89">
              <w:rPr>
                <w:color w:val="000000"/>
                <w:lang w:eastAsia="en-NZ"/>
              </w:rPr>
              <w:t xml:space="preserve">Develop </w:t>
            </w:r>
            <w:r>
              <w:rPr>
                <w:color w:val="000000"/>
                <w:lang w:eastAsia="en-NZ"/>
              </w:rPr>
              <w:t>analysis every two years, which</w:t>
            </w:r>
            <w:r w:rsidRPr="00601A89">
              <w:rPr>
                <w:color w:val="000000"/>
                <w:lang w:eastAsia="en-NZ"/>
              </w:rPr>
              <w:t xml:space="preserve"> outlines a series of informed assumptions to adjust the variables in the Tool and support consistent DHB and regional annual planning</w:t>
            </w:r>
          </w:p>
        </w:tc>
        <w:tc>
          <w:tcPr>
            <w:tcW w:w="5016" w:type="dxa"/>
            <w:tcBorders>
              <w:top w:val="single" w:sz="4" w:space="0" w:color="auto"/>
              <w:bottom w:val="single" w:sz="4" w:space="0" w:color="A6A6A6" w:themeColor="background1" w:themeShade="A6"/>
            </w:tcBorders>
            <w:shd w:val="clear" w:color="auto" w:fill="auto"/>
            <w:noWrap/>
          </w:tcPr>
          <w:p w14:paraId="07F88B5E" w14:textId="410A05F1" w:rsidR="00E85766" w:rsidRPr="00601A89" w:rsidRDefault="00E85766" w:rsidP="00C71F60">
            <w:pPr>
              <w:pStyle w:val="TableText"/>
              <w:ind w:right="142"/>
              <w:rPr>
                <w:color w:val="000000"/>
                <w:lang w:eastAsia="en-NZ"/>
              </w:rPr>
            </w:pPr>
            <w:r w:rsidRPr="00601A89">
              <w:rPr>
                <w:color w:val="000000"/>
                <w:lang w:eastAsia="en-NZ"/>
              </w:rPr>
              <w:t>ROWG will understand the impact of changing technology, models of care, and standardisation of treatment on linac capacity</w:t>
            </w:r>
            <w:r w:rsidR="00147BF8">
              <w:rPr>
                <w:color w:val="000000"/>
                <w:lang w:eastAsia="en-NZ"/>
              </w:rPr>
              <w:t>.</w:t>
            </w:r>
          </w:p>
          <w:p w14:paraId="65074D1E" w14:textId="3892B2BC" w:rsidR="00E85766" w:rsidRPr="00601A89" w:rsidRDefault="00E85766" w:rsidP="00C71F60">
            <w:pPr>
              <w:pStyle w:val="TableText"/>
              <w:ind w:right="142"/>
              <w:rPr>
                <w:color w:val="000000"/>
                <w:lang w:eastAsia="en-NZ"/>
              </w:rPr>
            </w:pPr>
            <w:r w:rsidRPr="00601A89">
              <w:rPr>
                <w:color w:val="000000"/>
                <w:lang w:eastAsia="en-NZ"/>
              </w:rPr>
              <w:t>ROWG will develop a series of informed assumptions to adjust the variables in the National Linear Accelerator and Workforce Capacity Model</w:t>
            </w:r>
            <w:r w:rsidR="00147BF8">
              <w:rPr>
                <w:color w:val="000000"/>
                <w:lang w:eastAsia="en-NZ"/>
              </w:rPr>
              <w:t>.</w:t>
            </w:r>
          </w:p>
          <w:p w14:paraId="64266C09" w14:textId="6EDFBB5F" w:rsidR="00E85766" w:rsidRPr="00601A89" w:rsidRDefault="00E85766" w:rsidP="00C71F60">
            <w:pPr>
              <w:pStyle w:val="TableText"/>
              <w:ind w:right="142"/>
              <w:rPr>
                <w:color w:val="000000"/>
                <w:lang w:eastAsia="en-NZ"/>
              </w:rPr>
            </w:pPr>
            <w:r w:rsidRPr="00601A89">
              <w:rPr>
                <w:color w:val="000000"/>
                <w:lang w:eastAsia="en-NZ"/>
              </w:rPr>
              <w:t>The</w:t>
            </w:r>
            <w:r>
              <w:rPr>
                <w:color w:val="000000"/>
                <w:lang w:eastAsia="en-NZ"/>
              </w:rPr>
              <w:t xml:space="preserve"> Ministry will publish this analysis</w:t>
            </w:r>
            <w:r w:rsidRPr="00601A89">
              <w:rPr>
                <w:color w:val="000000"/>
                <w:lang w:eastAsia="en-NZ"/>
              </w:rPr>
              <w:t xml:space="preserve"> to inform DHB planning</w:t>
            </w:r>
            <w:r w:rsidR="00147BF8">
              <w:rPr>
                <w:color w:val="000000"/>
                <w:lang w:eastAsia="en-NZ"/>
              </w:rPr>
              <w:t>.</w:t>
            </w:r>
          </w:p>
        </w:tc>
        <w:tc>
          <w:tcPr>
            <w:tcW w:w="992" w:type="dxa"/>
            <w:tcBorders>
              <w:top w:val="single" w:sz="4" w:space="0" w:color="auto"/>
              <w:bottom w:val="single" w:sz="4" w:space="0" w:color="A6A6A6" w:themeColor="background1" w:themeShade="A6"/>
            </w:tcBorders>
            <w:shd w:val="clear" w:color="auto" w:fill="auto"/>
          </w:tcPr>
          <w:p w14:paraId="310B83F1" w14:textId="77777777" w:rsidR="00E85766" w:rsidRPr="00601A89" w:rsidRDefault="00C71F60" w:rsidP="00C71F60">
            <w:pPr>
              <w:pStyle w:val="TableText"/>
              <w:rPr>
                <w:color w:val="000000"/>
                <w:lang w:eastAsia="en-NZ"/>
              </w:rPr>
            </w:pPr>
            <w:r>
              <w:rPr>
                <w:color w:val="000000"/>
                <w:lang w:eastAsia="en-NZ"/>
              </w:rPr>
              <w:t>2018 and 2020</w:t>
            </w:r>
          </w:p>
        </w:tc>
      </w:tr>
      <w:tr w:rsidR="00E85766" w:rsidRPr="00601A89" w14:paraId="4ED920B3" w14:textId="77777777" w:rsidTr="00C71F60">
        <w:trPr>
          <w:cantSplit/>
        </w:trPr>
        <w:tc>
          <w:tcPr>
            <w:tcW w:w="3348" w:type="dxa"/>
            <w:tcBorders>
              <w:top w:val="single" w:sz="4" w:space="0" w:color="A6A6A6" w:themeColor="background1" w:themeShade="A6"/>
              <w:bottom w:val="single" w:sz="4" w:space="0" w:color="auto"/>
            </w:tcBorders>
            <w:shd w:val="clear" w:color="auto" w:fill="auto"/>
            <w:noWrap/>
          </w:tcPr>
          <w:p w14:paraId="7B317376" w14:textId="77777777" w:rsidR="00E85766" w:rsidRPr="00601A89" w:rsidRDefault="00E85766" w:rsidP="00C71F60">
            <w:pPr>
              <w:pStyle w:val="TableText"/>
              <w:ind w:right="142"/>
              <w:rPr>
                <w:color w:val="000000"/>
                <w:lang w:eastAsia="en-NZ"/>
              </w:rPr>
            </w:pPr>
            <w:r>
              <w:rPr>
                <w:color w:val="000000"/>
                <w:lang w:eastAsia="en-NZ"/>
              </w:rPr>
              <w:t>Update</w:t>
            </w:r>
            <w:r w:rsidRPr="00601A89">
              <w:rPr>
                <w:color w:val="000000"/>
                <w:lang w:eastAsia="en-NZ"/>
              </w:rPr>
              <w:t xml:space="preserve"> the </w:t>
            </w:r>
            <w:r>
              <w:rPr>
                <w:color w:val="000000"/>
                <w:lang w:eastAsia="en-NZ"/>
              </w:rPr>
              <w:t xml:space="preserve">assumptions underpinning the </w:t>
            </w:r>
            <w:r w:rsidRPr="00601A89">
              <w:rPr>
                <w:color w:val="000000"/>
                <w:lang w:eastAsia="en-NZ"/>
              </w:rPr>
              <w:t>national radiation linac capacity plan</w:t>
            </w:r>
            <w:r>
              <w:rPr>
                <w:color w:val="000000"/>
                <w:lang w:eastAsia="en-NZ"/>
              </w:rPr>
              <w:t xml:space="preserve"> every two years</w:t>
            </w:r>
          </w:p>
        </w:tc>
        <w:tc>
          <w:tcPr>
            <w:tcW w:w="5016" w:type="dxa"/>
            <w:tcBorders>
              <w:top w:val="single" w:sz="4" w:space="0" w:color="A6A6A6" w:themeColor="background1" w:themeShade="A6"/>
              <w:bottom w:val="single" w:sz="4" w:space="0" w:color="auto"/>
            </w:tcBorders>
            <w:shd w:val="clear" w:color="auto" w:fill="auto"/>
            <w:noWrap/>
          </w:tcPr>
          <w:p w14:paraId="33275F84" w14:textId="18242CFE" w:rsidR="00E85766" w:rsidRPr="00601A89" w:rsidRDefault="00E85766" w:rsidP="00C71F60">
            <w:pPr>
              <w:pStyle w:val="TableText"/>
              <w:ind w:right="142"/>
              <w:rPr>
                <w:color w:val="000000"/>
                <w:lang w:eastAsia="en-NZ"/>
              </w:rPr>
            </w:pPr>
            <w:r w:rsidRPr="00601A89">
              <w:rPr>
                <w:color w:val="000000"/>
                <w:lang w:eastAsia="en-NZ"/>
              </w:rPr>
              <w:t>ROWG will update the assumptions</w:t>
            </w:r>
            <w:r>
              <w:rPr>
                <w:color w:val="000000"/>
                <w:lang w:eastAsia="en-NZ"/>
              </w:rPr>
              <w:t xml:space="preserve"> every two years</w:t>
            </w:r>
            <w:r w:rsidR="00147BF8">
              <w:rPr>
                <w:color w:val="000000"/>
                <w:lang w:eastAsia="en-NZ"/>
              </w:rPr>
              <w:t>.</w:t>
            </w:r>
          </w:p>
          <w:p w14:paraId="0888294B" w14:textId="3EDEBAF4" w:rsidR="00E85766" w:rsidRPr="00601A89" w:rsidRDefault="00E85766" w:rsidP="00C71F60">
            <w:pPr>
              <w:pStyle w:val="TableText"/>
              <w:ind w:right="142"/>
              <w:rPr>
                <w:color w:val="000000"/>
                <w:lang w:eastAsia="en-NZ"/>
              </w:rPr>
            </w:pPr>
            <w:r w:rsidRPr="00601A89">
              <w:rPr>
                <w:color w:val="000000"/>
                <w:lang w:eastAsia="en-NZ"/>
              </w:rPr>
              <w:t xml:space="preserve">The Ministry will publish </w:t>
            </w:r>
            <w:r>
              <w:rPr>
                <w:color w:val="000000"/>
                <w:lang w:eastAsia="en-NZ"/>
              </w:rPr>
              <w:t>these</w:t>
            </w:r>
            <w:r w:rsidRPr="00601A89">
              <w:rPr>
                <w:color w:val="000000"/>
                <w:lang w:eastAsia="en-NZ"/>
              </w:rPr>
              <w:t xml:space="preserve"> updates</w:t>
            </w:r>
            <w:r w:rsidR="00147BF8">
              <w:rPr>
                <w:color w:val="000000"/>
                <w:lang w:eastAsia="en-NZ"/>
              </w:rPr>
              <w:t>.</w:t>
            </w:r>
          </w:p>
        </w:tc>
        <w:tc>
          <w:tcPr>
            <w:tcW w:w="992" w:type="dxa"/>
            <w:tcBorders>
              <w:top w:val="single" w:sz="4" w:space="0" w:color="A6A6A6" w:themeColor="background1" w:themeShade="A6"/>
              <w:bottom w:val="single" w:sz="4" w:space="0" w:color="auto"/>
            </w:tcBorders>
            <w:shd w:val="clear" w:color="auto" w:fill="auto"/>
          </w:tcPr>
          <w:p w14:paraId="6AA4C9A8" w14:textId="77777777" w:rsidR="00E85766" w:rsidRPr="00601A89" w:rsidRDefault="00E85766" w:rsidP="00C71F60">
            <w:pPr>
              <w:pStyle w:val="TableText"/>
              <w:rPr>
                <w:color w:val="000000"/>
                <w:lang w:eastAsia="en-NZ"/>
              </w:rPr>
            </w:pPr>
            <w:r w:rsidRPr="00601A89">
              <w:rPr>
                <w:color w:val="000000"/>
                <w:lang w:eastAsia="en-NZ"/>
              </w:rPr>
              <w:t>2018 and 2020</w:t>
            </w:r>
          </w:p>
        </w:tc>
      </w:tr>
    </w:tbl>
    <w:p w14:paraId="7AC857BA" w14:textId="77777777" w:rsidR="00E85766" w:rsidRPr="00601A89" w:rsidRDefault="00E85766" w:rsidP="00942F87">
      <w:pPr>
        <w:pStyle w:val="Heading2"/>
        <w:spacing w:before="360"/>
      </w:pPr>
      <w:bookmarkStart w:id="90" w:name="_Toc470858863"/>
      <w:bookmarkStart w:id="91" w:name="_Toc475992517"/>
      <w:r w:rsidRPr="00601A89">
        <w:lastRenderedPageBreak/>
        <w:t>Workforce capacity</w:t>
      </w:r>
      <w:bookmarkEnd w:id="90"/>
      <w:bookmarkEnd w:id="91"/>
    </w:p>
    <w:p w14:paraId="72DA7F91" w14:textId="77777777" w:rsidR="007A6454" w:rsidRDefault="00E85766" w:rsidP="00C71F60">
      <w:r w:rsidRPr="00601A89">
        <w:t>The four core workforce groups for radiation oncology services</w:t>
      </w:r>
      <w:r>
        <w:t xml:space="preserve"> are</w:t>
      </w:r>
      <w:r w:rsidRPr="00601A89">
        <w:t xml:space="preserve">: radiation oncologists, medical physicists, radiation therapists and nurses. </w:t>
      </w:r>
      <w:r>
        <w:t>Meeting</w:t>
      </w:r>
      <w:r w:rsidRPr="00601A89">
        <w:t xml:space="preserve"> future workforce requirements is likely to be the most challenging component of planning for sustainable radiation therapy services. Based on the growth expected, an additional 28 radiation oncologists, 24 medical physicists and 70 radiation therapists </w:t>
      </w:r>
      <w:r>
        <w:t>will</w:t>
      </w:r>
      <w:r w:rsidRPr="00601A89">
        <w:t xml:space="preserve"> be needed by 2023 to maintain current IRs.</w:t>
      </w:r>
    </w:p>
    <w:p w14:paraId="435CC766" w14:textId="77777777" w:rsidR="00E85766" w:rsidRPr="00601A89" w:rsidRDefault="00E85766" w:rsidP="00C71F60"/>
    <w:p w14:paraId="595A7948" w14:textId="77777777" w:rsidR="00E85766" w:rsidRPr="00601A89" w:rsidRDefault="00E85766" w:rsidP="00C71F60">
      <w:r>
        <w:t>The following</w:t>
      </w:r>
      <w:r w:rsidRPr="00601A89">
        <w:t xml:space="preserve"> education providers are responsible for catering to the workforce needs of the radiation oncology sector</w:t>
      </w:r>
      <w:r>
        <w:t>.</w:t>
      </w:r>
    </w:p>
    <w:p w14:paraId="7EEBA834" w14:textId="77777777" w:rsidR="00E85766" w:rsidRPr="00601A89" w:rsidRDefault="00E85766" w:rsidP="00C71F60">
      <w:pPr>
        <w:pStyle w:val="Bullet"/>
      </w:pPr>
      <w:r w:rsidRPr="00601A89">
        <w:t>The Royal Australian and New Zealand College of Radiologists is responsible for a specialist training programme of radiation oncology trainees throughout Australasia</w:t>
      </w:r>
      <w:r>
        <w:t>.</w:t>
      </w:r>
    </w:p>
    <w:p w14:paraId="31A0C60E" w14:textId="77777777" w:rsidR="00E85766" w:rsidRPr="00601A89" w:rsidRDefault="00E85766" w:rsidP="00C71F60">
      <w:pPr>
        <w:pStyle w:val="Bullet"/>
      </w:pPr>
      <w:r w:rsidRPr="00601A89">
        <w:t>The University of Canterbury offers a postgraduate Masters in Science</w:t>
      </w:r>
      <w:r>
        <w:t>, through a</w:t>
      </w:r>
      <w:r w:rsidRPr="00601A89">
        <w:t xml:space="preserve"> medical physics programme</w:t>
      </w:r>
      <w:r>
        <w:t>,</w:t>
      </w:r>
      <w:r w:rsidRPr="00601A89">
        <w:t xml:space="preserve"> to students with a Bachelor of Science (physics) degree</w:t>
      </w:r>
      <w:r>
        <w:t>.</w:t>
      </w:r>
    </w:p>
    <w:p w14:paraId="7FDAE7F7" w14:textId="77777777" w:rsidR="00E85766" w:rsidRPr="00601A89" w:rsidRDefault="00E85766" w:rsidP="00C71F60">
      <w:pPr>
        <w:pStyle w:val="Bullet"/>
      </w:pPr>
      <w:r w:rsidRPr="00601A89">
        <w:t>The University of Otago offers a three</w:t>
      </w:r>
      <w:r>
        <w:t>-</w:t>
      </w:r>
      <w:r w:rsidRPr="00601A89">
        <w:t>year Bachelor of Radiation Therapy degree.</w:t>
      </w:r>
    </w:p>
    <w:p w14:paraId="0C01E99E" w14:textId="77777777" w:rsidR="00E85766" w:rsidRPr="00601A89" w:rsidRDefault="00E85766" w:rsidP="00C71F60">
      <w:pPr>
        <w:rPr>
          <w:highlight w:val="yellow"/>
        </w:rPr>
      </w:pPr>
    </w:p>
    <w:p w14:paraId="406C01AE" w14:textId="77777777" w:rsidR="00E85766" w:rsidRPr="00601A89" w:rsidRDefault="00E85766" w:rsidP="00C71F60">
      <w:r>
        <w:t>To</w:t>
      </w:r>
      <w:r w:rsidRPr="00601A89">
        <w:t xml:space="preserve"> develop specialty cancer nursing competencies</w:t>
      </w:r>
      <w:r>
        <w:t>, nursing students</w:t>
      </w:r>
      <w:r w:rsidRPr="00601A89">
        <w:t xml:space="preserve"> usually </w:t>
      </w:r>
      <w:r>
        <w:t>need</w:t>
      </w:r>
      <w:r w:rsidRPr="00601A89">
        <w:t xml:space="preserve"> further education in cancer control at postgraduate level. </w:t>
      </w:r>
      <w:r>
        <w:t>They can get p</w:t>
      </w:r>
      <w:r w:rsidRPr="00601A89">
        <w:t>ostgraduate certificates from a range of providers around the country. Additional work is also under</w:t>
      </w:r>
      <w:r>
        <w:t xml:space="preserve"> </w:t>
      </w:r>
      <w:r w:rsidRPr="00601A89">
        <w:t>way to support the ongoing professional development of nurses working in the sector. ROWG has identified training opportunities to enhance the knowledge and skills of radiation oncology nurses in line with the National Knowledge and Skills Framework for Cancer Nurses. An example is the eViQ training programme.</w:t>
      </w:r>
    </w:p>
    <w:p w14:paraId="0A893B4B" w14:textId="77777777" w:rsidR="00E85766" w:rsidRPr="00601A89" w:rsidRDefault="00E85766" w:rsidP="00C71F60"/>
    <w:p w14:paraId="4DB45FDF" w14:textId="77777777" w:rsidR="007A6454" w:rsidRDefault="00E85766" w:rsidP="00C71F60">
      <w:r w:rsidRPr="00601A89">
        <w:t>Each year New Zealand produces around four qualified radiation oncologists, three graduate medical physicists and 25 graduate radiation therapists. Data on the number of nurses specialising in radiation oncology was not available during the development of this Plan.</w:t>
      </w:r>
    </w:p>
    <w:p w14:paraId="1BCECD9F" w14:textId="77777777" w:rsidR="00E85766" w:rsidRPr="00601A89" w:rsidRDefault="00E85766" w:rsidP="00C71F60"/>
    <w:p w14:paraId="67B31DE8" w14:textId="77777777" w:rsidR="00E85766" w:rsidRPr="00601A89" w:rsidRDefault="00E85766" w:rsidP="00C71F60">
      <w:r w:rsidRPr="00601A89">
        <w:t xml:space="preserve">Currently, New Zealand appears to be training sufficient radiation oncologists and radiation therapists to cover changes in cancer incidence and population ageing, and even an increase in intervention rates. However, </w:t>
      </w:r>
      <w:r>
        <w:t>a</w:t>
      </w:r>
      <w:r w:rsidRPr="00601A89">
        <w:t xml:space="preserve">ctual numbers of </w:t>
      </w:r>
      <w:r>
        <w:t xml:space="preserve">professionals </w:t>
      </w:r>
      <w:r w:rsidRPr="00601A89">
        <w:t xml:space="preserve">available in New Zealand are </w:t>
      </w:r>
      <w:r>
        <w:t>lower</w:t>
      </w:r>
      <w:r w:rsidRPr="00601A89">
        <w:t xml:space="preserve"> than </w:t>
      </w:r>
      <w:r>
        <w:t>those suggested by the annual rates of those being trained</w:t>
      </w:r>
      <w:r w:rsidRPr="00601A89">
        <w:t xml:space="preserve"> </w:t>
      </w:r>
      <w:r>
        <w:t>because of</w:t>
      </w:r>
      <w:r w:rsidRPr="00601A89">
        <w:t xml:space="preserve"> training attrition rates, emigration patterns and retirement numbers. </w:t>
      </w:r>
      <w:r>
        <w:t xml:space="preserve">Therefore </w:t>
      </w:r>
      <w:r w:rsidRPr="00601A89">
        <w:t>New Zealand needs an additional two medical physicists per year simply to keep up with the increasing cancer incidence and population ageing. It is important to note that the number of students entering the Masters programme for medical physics is limited</w:t>
      </w:r>
      <w:r>
        <w:t>:</w:t>
      </w:r>
      <w:r w:rsidRPr="00601A89">
        <w:t xml:space="preserve"> the previously agreed minimum of five trainees per year </w:t>
      </w:r>
      <w:r>
        <w:t xml:space="preserve">has been </w:t>
      </w:r>
      <w:r w:rsidRPr="00601A89">
        <w:t>reached only once since 2003. This shortfall is currently made up through international recruitment. If intervention rates increased to 45</w:t>
      </w:r>
      <w:r w:rsidR="00C71F60">
        <w:t> percent</w:t>
      </w:r>
      <w:r w:rsidRPr="00601A89">
        <w:t>, an additional physicist per year would be required.</w:t>
      </w:r>
    </w:p>
    <w:p w14:paraId="5D8F429E" w14:textId="77777777" w:rsidR="00E85766" w:rsidRPr="00601A89" w:rsidRDefault="00E85766" w:rsidP="00C71F60"/>
    <w:p w14:paraId="5BFB9278" w14:textId="77777777" w:rsidR="007A6454" w:rsidRDefault="00E85766" w:rsidP="00C71F60">
      <w:r w:rsidRPr="00601A89">
        <w:t xml:space="preserve">One of the prerequisites for a world class radiation therapy services is </w:t>
      </w:r>
      <w:r w:rsidRPr="00CD6FD0">
        <w:rPr>
          <w:b/>
        </w:rPr>
        <w:t>to have sufficient</w:t>
      </w:r>
      <w:r>
        <w:rPr>
          <w:b/>
        </w:rPr>
        <w:t xml:space="preserve"> numbers of</w:t>
      </w:r>
      <w:r w:rsidRPr="00CD6FD0">
        <w:rPr>
          <w:b/>
        </w:rPr>
        <w:t xml:space="preserve"> trained staff to meet demand and develop the service</w:t>
      </w:r>
      <w:r w:rsidRPr="007B021F">
        <w:t>.</w:t>
      </w:r>
      <w:r w:rsidRPr="00601A89">
        <w:t xml:space="preserve"> To meet this prerequisite, workforce planning should aim </w:t>
      </w:r>
      <w:r>
        <w:t>to have</w:t>
      </w:r>
      <w:r w:rsidRPr="00601A89">
        <w:t xml:space="preserve"> </w:t>
      </w:r>
      <w:r>
        <w:t>enough</w:t>
      </w:r>
      <w:r w:rsidRPr="00601A89">
        <w:t xml:space="preserve"> personnel to cover 45</w:t>
      </w:r>
      <w:r w:rsidR="00C71F60">
        <w:t> percent</w:t>
      </w:r>
      <w:r w:rsidRPr="00601A89">
        <w:t xml:space="preserve"> IR by 2023. Ultimately</w:t>
      </w:r>
      <w:r w:rsidRPr="007B021F">
        <w:t xml:space="preserve"> </w:t>
      </w:r>
      <w:r w:rsidRPr="00601A89">
        <w:t xml:space="preserve">radiation oncology providers </w:t>
      </w:r>
      <w:r>
        <w:t>are responsible for</w:t>
      </w:r>
      <w:r w:rsidRPr="00601A89">
        <w:t xml:space="preserve"> </w:t>
      </w:r>
      <w:r>
        <w:t>arranging for</w:t>
      </w:r>
      <w:r w:rsidRPr="00601A89">
        <w:t xml:space="preserve"> appropriate clinical and professional skills to deliver services. However, the Ministry recognises its</w:t>
      </w:r>
      <w:r>
        <w:t xml:space="preserve"> own</w:t>
      </w:r>
      <w:r w:rsidRPr="00601A89">
        <w:t xml:space="preserve"> role in supporting th</w:t>
      </w:r>
      <w:r>
        <w:t>e supply of radiation oncology professionals</w:t>
      </w:r>
      <w:r w:rsidRPr="00601A89">
        <w:t xml:space="preserve"> and has been working closely with the sector to understand </w:t>
      </w:r>
      <w:r>
        <w:t>why these professionals</w:t>
      </w:r>
      <w:r w:rsidRPr="00601A89">
        <w:t>, particularly medical physicists</w:t>
      </w:r>
      <w:r>
        <w:t>, leave</w:t>
      </w:r>
      <w:r w:rsidRPr="00601A89">
        <w:t xml:space="preserve"> the New Zealand workforce.</w:t>
      </w:r>
    </w:p>
    <w:p w14:paraId="5D2EF516" w14:textId="77777777" w:rsidR="00E85766" w:rsidRPr="00601A89" w:rsidRDefault="00E85766" w:rsidP="00C71F60"/>
    <w:p w14:paraId="6D7D319E" w14:textId="77777777" w:rsidR="007A6454" w:rsidRDefault="00E85766" w:rsidP="00942F87">
      <w:pPr>
        <w:keepLines/>
      </w:pPr>
      <w:r w:rsidRPr="00601A89">
        <w:lastRenderedPageBreak/>
        <w:t xml:space="preserve">Currently, </w:t>
      </w:r>
      <w:r>
        <w:t>Health Workforce New Zealand</w:t>
      </w:r>
      <w:r w:rsidRPr="00601A89">
        <w:t xml:space="preserve"> supports 19.5 medical physicist trainees (registrars) in </w:t>
      </w:r>
      <w:r>
        <w:t>six</w:t>
      </w:r>
      <w:r w:rsidRPr="00601A89">
        <w:t xml:space="preserve"> DHBs through the first three years of the trainee programme. The Ministry, in consultation with the Chief Medical Physicist Group and DHB shared services, is working through options to best support registrars </w:t>
      </w:r>
      <w:r>
        <w:t>in</w:t>
      </w:r>
      <w:r w:rsidRPr="00601A89">
        <w:t xml:space="preserve"> the trainee programme, and make best use of medical physicist skills within DHBs.</w:t>
      </w:r>
    </w:p>
    <w:p w14:paraId="76E5786D" w14:textId="77777777" w:rsidR="00E85766" w:rsidRDefault="00E85766" w:rsidP="00C71F60"/>
    <w:p w14:paraId="5C49DB84" w14:textId="77777777" w:rsidR="00E85766" w:rsidRPr="00601A89" w:rsidRDefault="00E85766" w:rsidP="00C71F60">
      <w:pPr>
        <w:pStyle w:val="Table"/>
      </w:pPr>
      <w:bookmarkStart w:id="92" w:name="_Toc475954100"/>
      <w:r w:rsidRPr="00601A89">
        <w:t xml:space="preserve">Table </w:t>
      </w:r>
      <w:r w:rsidR="003B40AB">
        <w:fldChar w:fldCharType="begin"/>
      </w:r>
      <w:r w:rsidR="003B40AB">
        <w:instrText xml:space="preserve"> SEQ Table \* ARABIC </w:instrText>
      </w:r>
      <w:r w:rsidR="003B40AB">
        <w:fldChar w:fldCharType="separate"/>
      </w:r>
      <w:r w:rsidR="00E2252F">
        <w:rPr>
          <w:noProof/>
        </w:rPr>
        <w:t>10</w:t>
      </w:r>
      <w:r w:rsidR="003B40AB">
        <w:rPr>
          <w:noProof/>
        </w:rPr>
        <w:fldChar w:fldCharType="end"/>
      </w:r>
      <w:r w:rsidRPr="00601A89">
        <w:t>: Actions to support enhanced workforce capacity planning</w:t>
      </w:r>
      <w:bookmarkEnd w:id="92"/>
    </w:p>
    <w:tbl>
      <w:tblPr>
        <w:tblW w:w="9356"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2977"/>
        <w:gridCol w:w="5245"/>
        <w:gridCol w:w="1134"/>
      </w:tblGrid>
      <w:tr w:rsidR="00E85766" w:rsidRPr="00C71F60" w14:paraId="417BF83B" w14:textId="77777777" w:rsidTr="00C71F60">
        <w:trPr>
          <w:cantSplit/>
        </w:trPr>
        <w:tc>
          <w:tcPr>
            <w:tcW w:w="2977" w:type="dxa"/>
            <w:tcBorders>
              <w:top w:val="single" w:sz="4" w:space="0" w:color="auto"/>
              <w:bottom w:val="single" w:sz="4" w:space="0" w:color="auto"/>
            </w:tcBorders>
            <w:shd w:val="clear" w:color="auto" w:fill="auto"/>
          </w:tcPr>
          <w:p w14:paraId="187742C7" w14:textId="77777777" w:rsidR="00E85766" w:rsidRPr="00C71F60" w:rsidRDefault="00E85766" w:rsidP="00C71F60">
            <w:pPr>
              <w:pStyle w:val="TableText"/>
              <w:keepNext/>
              <w:ind w:right="142"/>
              <w:rPr>
                <w:b/>
                <w:lang w:eastAsia="en-NZ"/>
              </w:rPr>
            </w:pPr>
            <w:r w:rsidRPr="00C71F60">
              <w:rPr>
                <w:b/>
                <w:lang w:eastAsia="en-NZ"/>
              </w:rPr>
              <w:t>Action</w:t>
            </w:r>
          </w:p>
        </w:tc>
        <w:tc>
          <w:tcPr>
            <w:tcW w:w="5245" w:type="dxa"/>
            <w:tcBorders>
              <w:top w:val="single" w:sz="4" w:space="0" w:color="auto"/>
              <w:bottom w:val="single" w:sz="4" w:space="0" w:color="auto"/>
            </w:tcBorders>
            <w:shd w:val="clear" w:color="auto" w:fill="auto"/>
          </w:tcPr>
          <w:p w14:paraId="32498E62" w14:textId="77777777" w:rsidR="00E85766" w:rsidRPr="00C71F60" w:rsidRDefault="00E85766" w:rsidP="00C71F60">
            <w:pPr>
              <w:pStyle w:val="TableText"/>
              <w:keepNext/>
              <w:ind w:right="142"/>
              <w:rPr>
                <w:b/>
                <w:lang w:eastAsia="en-NZ"/>
              </w:rPr>
            </w:pPr>
            <w:r w:rsidRPr="00C71F60">
              <w:rPr>
                <w:b/>
                <w:lang w:eastAsia="en-NZ"/>
              </w:rPr>
              <w:t>Who is involved</w:t>
            </w:r>
          </w:p>
        </w:tc>
        <w:tc>
          <w:tcPr>
            <w:tcW w:w="1134" w:type="dxa"/>
            <w:tcBorders>
              <w:top w:val="single" w:sz="4" w:space="0" w:color="auto"/>
              <w:bottom w:val="single" w:sz="4" w:space="0" w:color="auto"/>
            </w:tcBorders>
            <w:shd w:val="clear" w:color="auto" w:fill="auto"/>
          </w:tcPr>
          <w:p w14:paraId="4AE80105" w14:textId="77777777" w:rsidR="00E85766" w:rsidRPr="00C71F60" w:rsidRDefault="00E85766" w:rsidP="00C71F60">
            <w:pPr>
              <w:pStyle w:val="TableText"/>
              <w:keepNext/>
              <w:rPr>
                <w:b/>
                <w:lang w:eastAsia="en-NZ"/>
              </w:rPr>
            </w:pPr>
            <w:r w:rsidRPr="00C71F60">
              <w:rPr>
                <w:b/>
                <w:lang w:eastAsia="en-NZ"/>
              </w:rPr>
              <w:t>By when</w:t>
            </w:r>
          </w:p>
        </w:tc>
      </w:tr>
      <w:tr w:rsidR="00E85766" w:rsidRPr="00601A89" w14:paraId="675261F8" w14:textId="77777777" w:rsidTr="00C71F60">
        <w:trPr>
          <w:cantSplit/>
        </w:trPr>
        <w:tc>
          <w:tcPr>
            <w:tcW w:w="2977" w:type="dxa"/>
            <w:tcBorders>
              <w:top w:val="single" w:sz="4" w:space="0" w:color="auto"/>
              <w:bottom w:val="single" w:sz="4" w:space="0" w:color="A6A6A6" w:themeColor="background1" w:themeShade="A6"/>
            </w:tcBorders>
            <w:shd w:val="clear" w:color="auto" w:fill="auto"/>
            <w:noWrap/>
          </w:tcPr>
          <w:p w14:paraId="4BEEB9FD" w14:textId="77777777" w:rsidR="00E85766" w:rsidRPr="00601A89" w:rsidRDefault="00E85766" w:rsidP="00C71F60">
            <w:pPr>
              <w:pStyle w:val="TableText"/>
              <w:ind w:right="142"/>
              <w:rPr>
                <w:color w:val="000000"/>
                <w:lang w:eastAsia="en-NZ"/>
              </w:rPr>
            </w:pPr>
            <w:r w:rsidRPr="00601A89">
              <w:rPr>
                <w:color w:val="000000"/>
                <w:lang w:eastAsia="en-NZ"/>
              </w:rPr>
              <w:t xml:space="preserve">Understand </w:t>
            </w:r>
            <w:r>
              <w:rPr>
                <w:color w:val="000000"/>
                <w:lang w:eastAsia="en-NZ"/>
              </w:rPr>
              <w:t>why radiation oncology professionals are leaving the</w:t>
            </w:r>
            <w:r w:rsidRPr="00601A89">
              <w:rPr>
                <w:color w:val="000000"/>
                <w:lang w:eastAsia="en-NZ"/>
              </w:rPr>
              <w:t xml:space="preserve"> workforce and </w:t>
            </w:r>
            <w:r>
              <w:rPr>
                <w:color w:val="000000"/>
                <w:lang w:eastAsia="en-NZ"/>
              </w:rPr>
              <w:t>take</w:t>
            </w:r>
            <w:r w:rsidRPr="00601A89">
              <w:rPr>
                <w:color w:val="000000"/>
                <w:lang w:eastAsia="en-NZ"/>
              </w:rPr>
              <w:t xml:space="preserve"> actions to shift this trend</w:t>
            </w:r>
          </w:p>
        </w:tc>
        <w:tc>
          <w:tcPr>
            <w:tcW w:w="5245" w:type="dxa"/>
            <w:tcBorders>
              <w:top w:val="single" w:sz="4" w:space="0" w:color="auto"/>
              <w:bottom w:val="single" w:sz="4" w:space="0" w:color="A6A6A6" w:themeColor="background1" w:themeShade="A6"/>
            </w:tcBorders>
            <w:shd w:val="clear" w:color="auto" w:fill="auto"/>
            <w:noWrap/>
          </w:tcPr>
          <w:p w14:paraId="2061EE7C" w14:textId="77777777" w:rsidR="007A6454" w:rsidRDefault="00E85766" w:rsidP="00C71F60">
            <w:pPr>
              <w:pStyle w:val="TableText"/>
              <w:ind w:right="142"/>
              <w:rPr>
                <w:color w:val="000000"/>
                <w:lang w:eastAsia="en-NZ"/>
              </w:rPr>
            </w:pPr>
            <w:r w:rsidRPr="00601A89">
              <w:rPr>
                <w:color w:val="000000"/>
                <w:lang w:eastAsia="en-NZ"/>
              </w:rPr>
              <w:t xml:space="preserve">The Ministry will continue working with ROWG and </w:t>
            </w:r>
            <w:r w:rsidRPr="00601A89">
              <w:t>Health Workforce New Zealand</w:t>
            </w:r>
            <w:r w:rsidRPr="00601A89" w:rsidDel="00E45035">
              <w:rPr>
                <w:color w:val="000000"/>
                <w:lang w:eastAsia="en-NZ"/>
              </w:rPr>
              <w:t xml:space="preserve"> </w:t>
            </w:r>
            <w:r w:rsidRPr="00601A89">
              <w:rPr>
                <w:color w:val="000000"/>
                <w:lang w:eastAsia="en-NZ"/>
              </w:rPr>
              <w:t>to understand</w:t>
            </w:r>
            <w:r>
              <w:rPr>
                <w:color w:val="000000"/>
                <w:lang w:eastAsia="en-NZ"/>
              </w:rPr>
              <w:t xml:space="preserve"> why </w:t>
            </w:r>
            <w:r w:rsidRPr="00601A89">
              <w:rPr>
                <w:color w:val="000000"/>
                <w:lang w:eastAsia="en-NZ"/>
              </w:rPr>
              <w:t xml:space="preserve">radiation oncology </w:t>
            </w:r>
            <w:r>
              <w:rPr>
                <w:color w:val="000000"/>
                <w:lang w:eastAsia="en-NZ"/>
              </w:rPr>
              <w:t xml:space="preserve">professionals are leaving the </w:t>
            </w:r>
            <w:r w:rsidRPr="00601A89">
              <w:rPr>
                <w:color w:val="000000"/>
                <w:lang w:eastAsia="en-NZ"/>
              </w:rPr>
              <w:t>workforce</w:t>
            </w:r>
            <w:r w:rsidR="00C71F60">
              <w:rPr>
                <w:color w:val="000000"/>
                <w:lang w:eastAsia="en-NZ"/>
              </w:rPr>
              <w:t>.</w:t>
            </w:r>
          </w:p>
          <w:p w14:paraId="6806E123" w14:textId="77777777" w:rsidR="00E85766" w:rsidRPr="00601A89" w:rsidRDefault="00E85766" w:rsidP="00C71F60">
            <w:pPr>
              <w:pStyle w:val="TableText"/>
              <w:ind w:right="142"/>
              <w:rPr>
                <w:color w:val="000000"/>
                <w:lang w:eastAsia="en-NZ"/>
              </w:rPr>
            </w:pPr>
            <w:r w:rsidRPr="00601A89">
              <w:t>Health Workforce New Zealand</w:t>
            </w:r>
            <w:r>
              <w:t>,</w:t>
            </w:r>
            <w:r w:rsidRPr="00601A89" w:rsidDel="00E45035">
              <w:rPr>
                <w:color w:val="000000"/>
                <w:lang w:eastAsia="en-NZ"/>
              </w:rPr>
              <w:t xml:space="preserve"> </w:t>
            </w:r>
            <w:r w:rsidRPr="00601A89">
              <w:rPr>
                <w:color w:val="000000"/>
                <w:lang w:eastAsia="en-NZ"/>
              </w:rPr>
              <w:t>working with the ROWG</w:t>
            </w:r>
            <w:r>
              <w:rPr>
                <w:color w:val="000000"/>
                <w:lang w:eastAsia="en-NZ"/>
              </w:rPr>
              <w:t>,</w:t>
            </w:r>
            <w:r w:rsidRPr="00601A89">
              <w:rPr>
                <w:color w:val="000000"/>
                <w:lang w:eastAsia="en-NZ"/>
              </w:rPr>
              <w:t xml:space="preserve"> will advise the relevant education providers of possible actions they could take to </w:t>
            </w:r>
            <w:r>
              <w:rPr>
                <w:color w:val="000000"/>
                <w:lang w:eastAsia="en-NZ"/>
              </w:rPr>
              <w:t>help meet</w:t>
            </w:r>
            <w:r w:rsidRPr="00601A89">
              <w:rPr>
                <w:color w:val="000000"/>
                <w:lang w:eastAsia="en-NZ"/>
              </w:rPr>
              <w:t xml:space="preserve"> the workforce needs of the radiation oncology sector</w:t>
            </w:r>
            <w:r w:rsidR="00C71F60">
              <w:rPr>
                <w:color w:val="000000"/>
                <w:lang w:eastAsia="en-NZ"/>
              </w:rPr>
              <w:t>.</w:t>
            </w:r>
          </w:p>
          <w:p w14:paraId="6AF7F09A" w14:textId="77777777" w:rsidR="00E85766" w:rsidRPr="00601A89" w:rsidRDefault="00E85766" w:rsidP="00C71F60">
            <w:pPr>
              <w:pStyle w:val="TableText"/>
              <w:ind w:right="142"/>
              <w:rPr>
                <w:color w:val="000000"/>
                <w:lang w:eastAsia="en-NZ"/>
              </w:rPr>
            </w:pPr>
            <w:r w:rsidRPr="00601A89">
              <w:rPr>
                <w:color w:val="000000"/>
                <w:lang w:eastAsia="en-NZ"/>
              </w:rPr>
              <w:t xml:space="preserve">The Ministry will </w:t>
            </w:r>
            <w:r>
              <w:rPr>
                <w:color w:val="000000"/>
                <w:lang w:eastAsia="en-NZ"/>
              </w:rPr>
              <w:t>take</w:t>
            </w:r>
            <w:r w:rsidRPr="00601A89">
              <w:rPr>
                <w:color w:val="000000"/>
                <w:lang w:eastAsia="en-NZ"/>
              </w:rPr>
              <w:t xml:space="preserve"> actions to support </w:t>
            </w:r>
            <w:r>
              <w:rPr>
                <w:color w:val="000000"/>
                <w:lang w:eastAsia="en-NZ"/>
              </w:rPr>
              <w:t xml:space="preserve">the development of </w:t>
            </w:r>
            <w:r w:rsidRPr="00601A89">
              <w:rPr>
                <w:color w:val="000000"/>
                <w:lang w:eastAsia="en-NZ"/>
              </w:rPr>
              <w:t xml:space="preserve">a more sustainable workforce </w:t>
            </w:r>
            <w:r>
              <w:rPr>
                <w:color w:val="000000"/>
                <w:lang w:eastAsia="en-NZ"/>
              </w:rPr>
              <w:t>by</w:t>
            </w:r>
            <w:r w:rsidRPr="00601A89">
              <w:rPr>
                <w:color w:val="000000"/>
                <w:lang w:eastAsia="en-NZ"/>
              </w:rPr>
              <w:t xml:space="preserve"> 2021</w:t>
            </w:r>
            <w:r w:rsidR="00C71F60">
              <w:rPr>
                <w:color w:val="000000"/>
                <w:lang w:eastAsia="en-NZ"/>
              </w:rPr>
              <w:t>.</w:t>
            </w:r>
          </w:p>
        </w:tc>
        <w:tc>
          <w:tcPr>
            <w:tcW w:w="1134" w:type="dxa"/>
            <w:tcBorders>
              <w:top w:val="single" w:sz="4" w:space="0" w:color="auto"/>
              <w:bottom w:val="single" w:sz="4" w:space="0" w:color="A6A6A6" w:themeColor="background1" w:themeShade="A6"/>
            </w:tcBorders>
            <w:shd w:val="clear" w:color="auto" w:fill="auto"/>
          </w:tcPr>
          <w:p w14:paraId="44D62B92" w14:textId="77777777" w:rsidR="00E85766" w:rsidRPr="00601A89" w:rsidRDefault="00E85766" w:rsidP="00C71F60">
            <w:pPr>
              <w:pStyle w:val="TableText"/>
              <w:rPr>
                <w:color w:val="000000"/>
                <w:lang w:eastAsia="en-NZ"/>
              </w:rPr>
            </w:pPr>
            <w:r>
              <w:rPr>
                <w:color w:val="000000"/>
                <w:lang w:eastAsia="en-NZ"/>
              </w:rPr>
              <w:t>2017</w:t>
            </w:r>
            <w:r w:rsidRPr="00601A89">
              <w:rPr>
                <w:color w:val="000000"/>
                <w:lang w:eastAsia="en-NZ"/>
              </w:rPr>
              <w:t>–2021</w:t>
            </w:r>
          </w:p>
        </w:tc>
      </w:tr>
      <w:tr w:rsidR="00E85766" w:rsidRPr="00601A89" w14:paraId="41ACA034" w14:textId="77777777" w:rsidTr="00C71F60">
        <w:trPr>
          <w:cantSplit/>
        </w:trPr>
        <w:tc>
          <w:tcPr>
            <w:tcW w:w="2977" w:type="dxa"/>
            <w:tcBorders>
              <w:top w:val="single" w:sz="4" w:space="0" w:color="A6A6A6" w:themeColor="background1" w:themeShade="A6"/>
              <w:bottom w:val="single" w:sz="4" w:space="0" w:color="A6A6A6" w:themeColor="background1" w:themeShade="A6"/>
            </w:tcBorders>
            <w:shd w:val="clear" w:color="auto" w:fill="auto"/>
            <w:noWrap/>
          </w:tcPr>
          <w:p w14:paraId="5E855071" w14:textId="77777777" w:rsidR="00E85766" w:rsidRPr="00601A89" w:rsidRDefault="00E85766" w:rsidP="00C71F60">
            <w:pPr>
              <w:pStyle w:val="TableText"/>
              <w:ind w:right="142"/>
              <w:rPr>
                <w:color w:val="000000"/>
                <w:lang w:eastAsia="en-NZ"/>
              </w:rPr>
            </w:pPr>
            <w:r w:rsidRPr="00601A89">
              <w:rPr>
                <w:color w:val="000000"/>
                <w:lang w:eastAsia="en-NZ"/>
              </w:rPr>
              <w:t xml:space="preserve">Promote workforce retention </w:t>
            </w:r>
            <w:r>
              <w:rPr>
                <w:color w:val="000000"/>
                <w:lang w:eastAsia="en-NZ"/>
              </w:rPr>
              <w:t>by</w:t>
            </w:r>
            <w:r w:rsidRPr="00601A89">
              <w:rPr>
                <w:color w:val="000000"/>
                <w:lang w:eastAsia="en-NZ"/>
              </w:rPr>
              <w:t xml:space="preserve"> supporting </w:t>
            </w:r>
            <w:r>
              <w:rPr>
                <w:color w:val="000000"/>
                <w:lang w:eastAsia="en-NZ"/>
              </w:rPr>
              <w:t>staff</w:t>
            </w:r>
            <w:r w:rsidRPr="00601A89">
              <w:rPr>
                <w:color w:val="000000"/>
                <w:lang w:eastAsia="en-NZ"/>
              </w:rPr>
              <w:t xml:space="preserve"> to operate at the top of their scope of practice</w:t>
            </w:r>
          </w:p>
        </w:tc>
        <w:tc>
          <w:tcPr>
            <w:tcW w:w="5245" w:type="dxa"/>
            <w:tcBorders>
              <w:top w:val="single" w:sz="4" w:space="0" w:color="A6A6A6" w:themeColor="background1" w:themeShade="A6"/>
              <w:bottom w:val="single" w:sz="4" w:space="0" w:color="A6A6A6" w:themeColor="background1" w:themeShade="A6"/>
            </w:tcBorders>
            <w:shd w:val="clear" w:color="auto" w:fill="auto"/>
            <w:noWrap/>
          </w:tcPr>
          <w:p w14:paraId="3B6BE7BA" w14:textId="77777777" w:rsidR="00E85766" w:rsidRPr="00601A89" w:rsidRDefault="00E85766" w:rsidP="00C71F60">
            <w:pPr>
              <w:pStyle w:val="TableText"/>
              <w:ind w:right="142"/>
              <w:rPr>
                <w:color w:val="000000"/>
                <w:lang w:eastAsia="en-NZ"/>
              </w:rPr>
            </w:pPr>
            <w:r w:rsidRPr="00601A89">
              <w:rPr>
                <w:color w:val="000000"/>
                <w:lang w:eastAsia="en-NZ"/>
              </w:rPr>
              <w:t xml:space="preserve">ROWG will support radiation oncology providers to understand models of care across the country and support </w:t>
            </w:r>
            <w:r>
              <w:rPr>
                <w:color w:val="000000"/>
                <w:lang w:eastAsia="en-NZ"/>
              </w:rPr>
              <w:t xml:space="preserve">them to </w:t>
            </w:r>
            <w:r w:rsidRPr="00601A89">
              <w:rPr>
                <w:color w:val="000000"/>
                <w:lang w:eastAsia="en-NZ"/>
              </w:rPr>
              <w:t>adopt workforce models that</w:t>
            </w:r>
            <w:r>
              <w:rPr>
                <w:color w:val="000000"/>
                <w:lang w:eastAsia="en-NZ"/>
              </w:rPr>
              <w:t xml:space="preserve"> help to expand</w:t>
            </w:r>
            <w:r w:rsidRPr="00601A89">
              <w:rPr>
                <w:color w:val="000000"/>
                <w:lang w:eastAsia="en-NZ"/>
              </w:rPr>
              <w:t xml:space="preserve"> scopes of practice</w:t>
            </w:r>
            <w:r w:rsidR="00C71F60">
              <w:rPr>
                <w:color w:val="000000"/>
                <w:lang w:eastAsia="en-NZ"/>
              </w:rPr>
              <w:t>.</w:t>
            </w:r>
          </w:p>
          <w:p w14:paraId="35A59AE5" w14:textId="77777777" w:rsidR="00E85766" w:rsidRPr="00601A89" w:rsidRDefault="00E85766" w:rsidP="00C71F60">
            <w:pPr>
              <w:pStyle w:val="TableText"/>
              <w:ind w:right="142"/>
              <w:rPr>
                <w:color w:val="000000"/>
                <w:lang w:eastAsia="en-NZ"/>
              </w:rPr>
            </w:pPr>
            <w:r w:rsidRPr="00601A89">
              <w:rPr>
                <w:color w:val="000000"/>
                <w:lang w:eastAsia="en-NZ"/>
              </w:rPr>
              <w:t>ROWG will work with the Cancer Nurses College to investigate and implement an appropriate training programme for radiation oncology nurses in New Zealand</w:t>
            </w:r>
            <w:r w:rsidR="00C71F60">
              <w:rPr>
                <w:color w:val="000000"/>
                <w:lang w:eastAsia="en-NZ"/>
              </w:rPr>
              <w:t>.</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2D34123E" w14:textId="77777777" w:rsidR="00E85766" w:rsidRPr="00601A89" w:rsidRDefault="00E85766" w:rsidP="00C71F60">
            <w:pPr>
              <w:pStyle w:val="TableText"/>
              <w:rPr>
                <w:color w:val="000000"/>
                <w:lang w:eastAsia="en-NZ"/>
              </w:rPr>
            </w:pPr>
            <w:r>
              <w:rPr>
                <w:color w:val="000000"/>
                <w:lang w:eastAsia="en-NZ"/>
              </w:rPr>
              <w:t>2017</w:t>
            </w:r>
            <w:r w:rsidRPr="00601A89">
              <w:rPr>
                <w:color w:val="000000"/>
                <w:lang w:eastAsia="en-NZ"/>
              </w:rPr>
              <w:t>–2021</w:t>
            </w:r>
          </w:p>
        </w:tc>
      </w:tr>
      <w:tr w:rsidR="00C71F60" w:rsidRPr="00601A89" w14:paraId="26FC47C9" w14:textId="77777777" w:rsidTr="00C71F60">
        <w:trPr>
          <w:cantSplit/>
        </w:trPr>
        <w:tc>
          <w:tcPr>
            <w:tcW w:w="2977" w:type="dxa"/>
            <w:vMerge w:val="restart"/>
            <w:tcBorders>
              <w:top w:val="single" w:sz="4" w:space="0" w:color="A6A6A6" w:themeColor="background1" w:themeShade="A6"/>
            </w:tcBorders>
            <w:shd w:val="clear" w:color="auto" w:fill="auto"/>
            <w:noWrap/>
          </w:tcPr>
          <w:p w14:paraId="168AAFE7" w14:textId="77777777" w:rsidR="00C71F60" w:rsidRPr="00601A89" w:rsidRDefault="00C71F60" w:rsidP="00C71F60">
            <w:pPr>
              <w:pStyle w:val="TableText"/>
              <w:ind w:right="142"/>
              <w:rPr>
                <w:color w:val="000000"/>
                <w:lang w:eastAsia="en-NZ"/>
              </w:rPr>
            </w:pPr>
            <w:r w:rsidRPr="00601A89">
              <w:t>In line with the Government</w:t>
            </w:r>
            <w:r>
              <w:t>’</w:t>
            </w:r>
            <w:r w:rsidRPr="00601A89">
              <w:t xml:space="preserve">s priorities of improving workforce capacity and capability, the radiation oncology sector will continue </w:t>
            </w:r>
            <w:r>
              <w:t xml:space="preserve">to </w:t>
            </w:r>
            <w:r w:rsidRPr="00601A89">
              <w:t>explor</w:t>
            </w:r>
            <w:r>
              <w:t>e</w:t>
            </w:r>
            <w:r w:rsidRPr="00601A89">
              <w:t xml:space="preserve"> alternative workforce models to make best use of available capacity and support all profession</w:t>
            </w:r>
            <w:r>
              <w:t>al</w:t>
            </w:r>
            <w:r w:rsidRPr="00601A89">
              <w:t>s to work at the top of their scope of practice</w:t>
            </w:r>
          </w:p>
        </w:tc>
        <w:tc>
          <w:tcPr>
            <w:tcW w:w="5245" w:type="dxa"/>
            <w:tcBorders>
              <w:top w:val="single" w:sz="4" w:space="0" w:color="A6A6A6" w:themeColor="background1" w:themeShade="A6"/>
            </w:tcBorders>
            <w:shd w:val="clear" w:color="auto" w:fill="auto"/>
            <w:noWrap/>
          </w:tcPr>
          <w:p w14:paraId="618AEF8E" w14:textId="77777777" w:rsidR="00C71F60" w:rsidRPr="00601A89" w:rsidRDefault="00C71F60" w:rsidP="00C71F60">
            <w:pPr>
              <w:pStyle w:val="TableText"/>
              <w:ind w:right="142"/>
              <w:rPr>
                <w:color w:val="000000"/>
                <w:lang w:eastAsia="en-NZ"/>
              </w:rPr>
            </w:pPr>
            <w:r w:rsidRPr="00601A89">
              <w:rPr>
                <w:color w:val="000000"/>
                <w:lang w:eastAsia="en-NZ"/>
              </w:rPr>
              <w:t xml:space="preserve">The radiation oncology providers will work with one another to assess opportunities and link with each other and with </w:t>
            </w:r>
            <w:r w:rsidRPr="00601A89">
              <w:t>Health Workforce New Zealand</w:t>
            </w:r>
            <w:r w:rsidRPr="00601A89">
              <w:rPr>
                <w:color w:val="000000"/>
                <w:lang w:eastAsia="en-NZ"/>
              </w:rPr>
              <w:t xml:space="preserve"> as appropriate</w:t>
            </w:r>
            <w:r>
              <w:rPr>
                <w:color w:val="000000"/>
                <w:lang w:eastAsia="en-NZ"/>
              </w:rPr>
              <w:t>.</w:t>
            </w:r>
          </w:p>
          <w:p w14:paraId="2A151518" w14:textId="77777777" w:rsidR="00C71F60" w:rsidRPr="00601A89" w:rsidRDefault="00C71F60" w:rsidP="00C71F60">
            <w:pPr>
              <w:pStyle w:val="TableText"/>
              <w:ind w:right="142"/>
              <w:rPr>
                <w:color w:val="000000"/>
                <w:lang w:eastAsia="en-NZ"/>
              </w:rPr>
            </w:pPr>
            <w:r>
              <w:rPr>
                <w:color w:val="000000"/>
                <w:lang w:eastAsia="en-NZ"/>
              </w:rPr>
              <w:t>Providers will give this</w:t>
            </w:r>
            <w:r w:rsidRPr="00601A89">
              <w:rPr>
                <w:color w:val="000000"/>
                <w:lang w:eastAsia="en-NZ"/>
              </w:rPr>
              <w:t xml:space="preserve"> information to ROWG </w:t>
            </w:r>
            <w:r>
              <w:rPr>
                <w:color w:val="000000"/>
                <w:lang w:eastAsia="en-NZ"/>
              </w:rPr>
              <w:t xml:space="preserve">each year </w:t>
            </w:r>
            <w:r w:rsidRPr="00601A89">
              <w:rPr>
                <w:color w:val="000000"/>
                <w:lang w:eastAsia="en-NZ"/>
              </w:rPr>
              <w:t xml:space="preserve">to inform assumptions for national capacity planning (see </w:t>
            </w:r>
            <w:r>
              <w:rPr>
                <w:color w:val="000000"/>
                <w:lang w:eastAsia="en-NZ"/>
              </w:rPr>
              <w:t>s</w:t>
            </w:r>
            <w:r w:rsidRPr="00601A89">
              <w:rPr>
                <w:color w:val="000000"/>
                <w:lang w:eastAsia="en-NZ"/>
              </w:rPr>
              <w:t>ection</w:t>
            </w:r>
            <w:r>
              <w:rPr>
                <w:color w:val="000000"/>
                <w:lang w:eastAsia="en-NZ"/>
              </w:rPr>
              <w:t> </w:t>
            </w:r>
            <w:r w:rsidRPr="00601A89">
              <w:rPr>
                <w:color w:val="000000"/>
                <w:lang w:eastAsia="en-NZ"/>
              </w:rPr>
              <w:t>6.3)</w:t>
            </w:r>
            <w:r>
              <w:rPr>
                <w:color w:val="000000"/>
                <w:lang w:eastAsia="en-NZ"/>
              </w:rPr>
              <w:t>.</w:t>
            </w:r>
          </w:p>
        </w:tc>
        <w:tc>
          <w:tcPr>
            <w:tcW w:w="1134" w:type="dxa"/>
            <w:tcBorders>
              <w:top w:val="single" w:sz="4" w:space="0" w:color="A6A6A6" w:themeColor="background1" w:themeShade="A6"/>
            </w:tcBorders>
            <w:shd w:val="clear" w:color="auto" w:fill="auto"/>
          </w:tcPr>
          <w:p w14:paraId="05D712E3" w14:textId="77777777" w:rsidR="00C71F60" w:rsidRPr="00601A89" w:rsidRDefault="00C71F60" w:rsidP="00C71F60">
            <w:pPr>
              <w:pStyle w:val="TableText"/>
              <w:rPr>
                <w:color w:val="000000"/>
                <w:lang w:eastAsia="en-NZ"/>
              </w:rPr>
            </w:pPr>
            <w:r>
              <w:rPr>
                <w:color w:val="000000"/>
                <w:lang w:eastAsia="en-NZ"/>
              </w:rPr>
              <w:t>2017</w:t>
            </w:r>
            <w:r w:rsidRPr="00601A89">
              <w:rPr>
                <w:color w:val="000000"/>
                <w:lang w:eastAsia="en-NZ"/>
              </w:rPr>
              <w:t>–2021</w:t>
            </w:r>
          </w:p>
        </w:tc>
      </w:tr>
      <w:tr w:rsidR="00C71F60" w:rsidRPr="00601A89" w14:paraId="466FBA3C" w14:textId="77777777" w:rsidTr="00C71F60">
        <w:trPr>
          <w:cantSplit/>
        </w:trPr>
        <w:tc>
          <w:tcPr>
            <w:tcW w:w="2977" w:type="dxa"/>
            <w:vMerge/>
            <w:shd w:val="clear" w:color="auto" w:fill="auto"/>
            <w:noWrap/>
          </w:tcPr>
          <w:p w14:paraId="375AC223" w14:textId="77777777" w:rsidR="00C71F60" w:rsidRPr="00601A89" w:rsidRDefault="00C71F60" w:rsidP="00C71F60">
            <w:pPr>
              <w:pStyle w:val="TableText"/>
              <w:ind w:right="142"/>
            </w:pPr>
          </w:p>
        </w:tc>
        <w:tc>
          <w:tcPr>
            <w:tcW w:w="5245" w:type="dxa"/>
            <w:shd w:val="clear" w:color="auto" w:fill="auto"/>
            <w:noWrap/>
          </w:tcPr>
          <w:p w14:paraId="2FD68392" w14:textId="77777777" w:rsidR="00C71F60" w:rsidRPr="00601A89" w:rsidRDefault="00C71F60" w:rsidP="00C71F60">
            <w:pPr>
              <w:pStyle w:val="TableText"/>
              <w:ind w:right="142"/>
              <w:rPr>
                <w:color w:val="000000"/>
                <w:lang w:eastAsia="en-NZ"/>
              </w:rPr>
            </w:pPr>
            <w:r w:rsidRPr="00601A89">
              <w:rPr>
                <w:color w:val="000000"/>
                <w:lang w:eastAsia="en-NZ"/>
              </w:rPr>
              <w:t xml:space="preserve">ROWG will assess contemporary models of care </w:t>
            </w:r>
            <w:r>
              <w:rPr>
                <w:color w:val="000000"/>
                <w:lang w:eastAsia="en-NZ"/>
              </w:rPr>
              <w:t xml:space="preserve">every two years </w:t>
            </w:r>
            <w:r w:rsidRPr="00601A89">
              <w:rPr>
                <w:color w:val="000000"/>
                <w:lang w:eastAsia="en-NZ"/>
              </w:rPr>
              <w:t xml:space="preserve">and consider </w:t>
            </w:r>
            <w:r>
              <w:rPr>
                <w:color w:val="000000"/>
                <w:lang w:eastAsia="en-NZ"/>
              </w:rPr>
              <w:t xml:space="preserve">their </w:t>
            </w:r>
            <w:r w:rsidRPr="00601A89">
              <w:rPr>
                <w:color w:val="000000"/>
                <w:lang w:eastAsia="en-NZ"/>
              </w:rPr>
              <w:t>suitability in the New Zealand context</w:t>
            </w:r>
            <w:r>
              <w:rPr>
                <w:color w:val="000000"/>
                <w:lang w:eastAsia="en-NZ"/>
              </w:rPr>
              <w:t>.</w:t>
            </w:r>
          </w:p>
        </w:tc>
        <w:tc>
          <w:tcPr>
            <w:tcW w:w="1134" w:type="dxa"/>
            <w:shd w:val="clear" w:color="auto" w:fill="auto"/>
          </w:tcPr>
          <w:p w14:paraId="53823D1F" w14:textId="77777777" w:rsidR="00C71F60" w:rsidRDefault="00C71F60" w:rsidP="00C71F60">
            <w:pPr>
              <w:pStyle w:val="TableText"/>
              <w:rPr>
                <w:color w:val="000000"/>
                <w:lang w:eastAsia="en-NZ"/>
              </w:rPr>
            </w:pPr>
            <w:r w:rsidRPr="00601A89">
              <w:rPr>
                <w:color w:val="000000"/>
                <w:lang w:eastAsia="en-NZ"/>
              </w:rPr>
              <w:t>2018</w:t>
            </w:r>
            <w:r>
              <w:rPr>
                <w:color w:val="000000"/>
                <w:lang w:eastAsia="en-NZ"/>
              </w:rPr>
              <w:t xml:space="preserve"> and 20</w:t>
            </w:r>
            <w:r w:rsidRPr="00601A89">
              <w:rPr>
                <w:color w:val="000000"/>
                <w:lang w:eastAsia="en-NZ"/>
              </w:rPr>
              <w:t>20</w:t>
            </w:r>
          </w:p>
        </w:tc>
      </w:tr>
      <w:tr w:rsidR="00C71F60" w:rsidRPr="00601A89" w14:paraId="526A9938" w14:textId="77777777" w:rsidTr="00C71F60">
        <w:trPr>
          <w:cantSplit/>
        </w:trPr>
        <w:tc>
          <w:tcPr>
            <w:tcW w:w="2977" w:type="dxa"/>
            <w:vMerge/>
            <w:shd w:val="clear" w:color="auto" w:fill="auto"/>
            <w:noWrap/>
          </w:tcPr>
          <w:p w14:paraId="47485FD2" w14:textId="77777777" w:rsidR="00C71F60" w:rsidRPr="00601A89" w:rsidRDefault="00C71F60" w:rsidP="00C71F60">
            <w:pPr>
              <w:pStyle w:val="TableText"/>
              <w:ind w:right="142"/>
            </w:pPr>
          </w:p>
        </w:tc>
        <w:tc>
          <w:tcPr>
            <w:tcW w:w="5245" w:type="dxa"/>
            <w:shd w:val="clear" w:color="auto" w:fill="auto"/>
            <w:noWrap/>
          </w:tcPr>
          <w:p w14:paraId="3E90D4D4" w14:textId="77777777" w:rsidR="00C71F60" w:rsidRPr="00601A89" w:rsidRDefault="00C71F60" w:rsidP="00C71F60">
            <w:pPr>
              <w:pStyle w:val="TableText"/>
              <w:ind w:right="142"/>
              <w:rPr>
                <w:color w:val="000000"/>
                <w:lang w:eastAsia="en-NZ"/>
              </w:rPr>
            </w:pPr>
            <w:r w:rsidRPr="00601A89">
              <w:rPr>
                <w:color w:val="000000"/>
                <w:lang w:eastAsia="en-NZ"/>
              </w:rPr>
              <w:t>Workforce data collections will include radiation oncology nurses</w:t>
            </w:r>
            <w:r>
              <w:rPr>
                <w:color w:val="000000"/>
                <w:lang w:eastAsia="en-NZ"/>
              </w:rPr>
              <w:t>.</w:t>
            </w:r>
          </w:p>
        </w:tc>
        <w:tc>
          <w:tcPr>
            <w:tcW w:w="1134" w:type="dxa"/>
            <w:shd w:val="clear" w:color="auto" w:fill="auto"/>
          </w:tcPr>
          <w:p w14:paraId="5541A52D" w14:textId="77777777" w:rsidR="00C71F60" w:rsidRDefault="00C71F60" w:rsidP="00C71F60">
            <w:pPr>
              <w:pStyle w:val="TableText"/>
              <w:rPr>
                <w:color w:val="000000"/>
                <w:lang w:eastAsia="en-NZ"/>
              </w:rPr>
            </w:pPr>
            <w:r w:rsidRPr="00601A89">
              <w:rPr>
                <w:color w:val="000000"/>
                <w:lang w:eastAsia="en-NZ"/>
              </w:rPr>
              <w:t>20</w:t>
            </w:r>
            <w:r>
              <w:rPr>
                <w:color w:val="000000"/>
                <w:lang w:eastAsia="en-NZ"/>
              </w:rPr>
              <w:t>17</w:t>
            </w:r>
            <w:r w:rsidRPr="00601A89">
              <w:rPr>
                <w:color w:val="000000"/>
                <w:lang w:eastAsia="en-NZ"/>
              </w:rPr>
              <w:t>–2021</w:t>
            </w:r>
          </w:p>
        </w:tc>
      </w:tr>
    </w:tbl>
    <w:p w14:paraId="5E84EC6F" w14:textId="77777777" w:rsidR="00E85766" w:rsidRPr="00601A89" w:rsidRDefault="00E85766" w:rsidP="00C71F60"/>
    <w:p w14:paraId="2C6F382A" w14:textId="77777777" w:rsidR="00E85766" w:rsidRPr="00601A89" w:rsidRDefault="00E85766" w:rsidP="00C71F60">
      <w:pPr>
        <w:pStyle w:val="Heading1"/>
        <w:numPr>
          <w:ilvl w:val="0"/>
          <w:numId w:val="0"/>
        </w:numPr>
      </w:pPr>
      <w:bookmarkStart w:id="93" w:name="_Toc470858864"/>
      <w:bookmarkStart w:id="94" w:name="_Toc475992518"/>
      <w:r w:rsidRPr="00601A89">
        <w:lastRenderedPageBreak/>
        <w:t>References</w:t>
      </w:r>
      <w:bookmarkEnd w:id="93"/>
      <w:bookmarkEnd w:id="94"/>
    </w:p>
    <w:p w14:paraId="41CA74EE" w14:textId="77777777" w:rsidR="007A6454" w:rsidRDefault="00E85766" w:rsidP="00C71F60">
      <w:pPr>
        <w:pStyle w:val="References"/>
      </w:pPr>
      <w:r w:rsidRPr="00601A89">
        <w:t xml:space="preserve">Barton M, Jacob S, Shafiq J, et al. 2013. </w:t>
      </w:r>
      <w:r w:rsidRPr="00C71F60">
        <w:rPr>
          <w:i/>
        </w:rPr>
        <w:t>Review of Optimal Radiotherapy Utilisation Rates: Report for Department of Health and Ageing, Australia</w:t>
      </w:r>
      <w:r w:rsidRPr="00CD6FD0">
        <w:t>.</w:t>
      </w:r>
      <w:r w:rsidRPr="00601A89">
        <w:t xml:space="preserve"> Sydney: Ingham Institute.</w:t>
      </w:r>
    </w:p>
    <w:p w14:paraId="0EF4A7DB" w14:textId="77777777" w:rsidR="00E85766" w:rsidRPr="00601A89" w:rsidRDefault="00E85766" w:rsidP="00C71F60">
      <w:pPr>
        <w:pStyle w:val="References"/>
        <w:rPr>
          <w:rStyle w:val="Hyperlink"/>
        </w:rPr>
      </w:pPr>
      <w:r w:rsidRPr="00601A89">
        <w:t xml:space="preserve">Cancer Research UK. 2014. </w:t>
      </w:r>
      <w:r w:rsidRPr="00C71F60">
        <w:rPr>
          <w:i/>
        </w:rPr>
        <w:t>Vision for Radiotherapy 2014–2024</w:t>
      </w:r>
      <w:r w:rsidRPr="00601A89">
        <w:t xml:space="preserve">. London: NHS England. URL: </w:t>
      </w:r>
      <w:hyperlink r:id="rId30" w:history="1">
        <w:r w:rsidRPr="00601A89">
          <w:rPr>
            <w:rStyle w:val="Hyperlink"/>
          </w:rPr>
          <w:t>www.cancerresearchuk.org/sites/default/files/policy_feb2014_radiotherapy_vision2014-2024_final.pdf</w:t>
        </w:r>
      </w:hyperlink>
      <w:r w:rsidRPr="00601A89">
        <w:t xml:space="preserve"> (accessed 21 December 2016).</w:t>
      </w:r>
    </w:p>
    <w:p w14:paraId="5AD8246B" w14:textId="77777777" w:rsidR="00E85766" w:rsidRPr="00CD6FD0" w:rsidRDefault="003B40AB" w:rsidP="00C71F60">
      <w:pPr>
        <w:pStyle w:val="References"/>
      </w:pPr>
      <w:hyperlink r:id="rId31" w:history="1">
        <w:r w:rsidR="00E85766" w:rsidRPr="00CD6FD0">
          <w:t>Delaney GP</w:t>
        </w:r>
      </w:hyperlink>
      <w:r w:rsidR="00E85766" w:rsidRPr="00CD6FD0">
        <w:t>, </w:t>
      </w:r>
      <w:hyperlink r:id="rId32" w:history="1">
        <w:r w:rsidR="00E85766" w:rsidRPr="00CD6FD0">
          <w:t>Barton MB</w:t>
        </w:r>
      </w:hyperlink>
      <w:r w:rsidR="00E85766" w:rsidRPr="00CD6FD0">
        <w:t xml:space="preserve">. </w:t>
      </w:r>
      <w:r w:rsidR="00E85766" w:rsidRPr="003952E2">
        <w:t>2015</w:t>
      </w:r>
      <w:r w:rsidR="00E85766">
        <w:t>.</w:t>
      </w:r>
      <w:r w:rsidR="00E85766" w:rsidRPr="003952E2">
        <w:t xml:space="preserve"> </w:t>
      </w:r>
      <w:r w:rsidR="00E85766" w:rsidRPr="00CD6FD0">
        <w:t>Evidence-based estimates of the demand for</w:t>
      </w:r>
      <w:r w:rsidR="005467BE">
        <w:t xml:space="preserve"> </w:t>
      </w:r>
      <w:r w:rsidR="00E85766" w:rsidRPr="00CD6FD0">
        <w:t xml:space="preserve">radiotherapy. </w:t>
      </w:r>
      <w:hyperlink r:id="rId33" w:tooltip="Clinical oncology (Royal College of Radiologists (Great Britain))." w:history="1">
        <w:r w:rsidR="00E85766" w:rsidRPr="005467BE">
          <w:rPr>
            <w:i/>
          </w:rPr>
          <w:t>Clinical Oncology (Royal College of Radiologists)</w:t>
        </w:r>
      </w:hyperlink>
      <w:r w:rsidR="00E85766" w:rsidRPr="00601A89" w:rsidDel="00601A89">
        <w:t xml:space="preserve"> </w:t>
      </w:r>
      <w:r w:rsidR="00E85766" w:rsidRPr="00CD6FD0">
        <w:t>27(2):</w:t>
      </w:r>
      <w:r w:rsidR="00E85766">
        <w:t xml:space="preserve"> </w:t>
      </w:r>
      <w:r w:rsidR="00E85766" w:rsidRPr="00CD6FD0">
        <w:t>70</w:t>
      </w:r>
      <w:r w:rsidR="00E85766">
        <w:t>–</w:t>
      </w:r>
      <w:r w:rsidR="00E85766" w:rsidRPr="00CD6FD0">
        <w:t>6.</w:t>
      </w:r>
    </w:p>
    <w:p w14:paraId="30FA0EFD" w14:textId="77777777" w:rsidR="00E85766" w:rsidRPr="00601A89" w:rsidRDefault="00E85766" w:rsidP="00C71F60">
      <w:pPr>
        <w:pStyle w:val="References"/>
      </w:pPr>
      <w:r w:rsidRPr="00601A89">
        <w:t xml:space="preserve">Health Partners Consulting Group. 2014. </w:t>
      </w:r>
      <w:r w:rsidRPr="005467BE">
        <w:rPr>
          <w:i/>
        </w:rPr>
        <w:t>Radiation Oncology National Linear Accelerator and Workforce Plan</w:t>
      </w:r>
      <w:r w:rsidRPr="00601A89">
        <w:t xml:space="preserve">. Wellington: Ministry of Health. URL: </w:t>
      </w:r>
      <w:hyperlink r:id="rId34" w:history="1">
        <w:r w:rsidRPr="00601A89">
          <w:rPr>
            <w:rStyle w:val="Hyperlink"/>
          </w:rPr>
          <w:t>www.health.govt.nz/system/files/documents/publications/national-radiation-oncology-service-planning-jun14_0.pdf</w:t>
        </w:r>
      </w:hyperlink>
      <w:r>
        <w:rPr>
          <w:rStyle w:val="Hyperlink"/>
        </w:rPr>
        <w:t xml:space="preserve"> </w:t>
      </w:r>
      <w:r w:rsidRPr="00601A89">
        <w:t>(accessed 21 December 2016).</w:t>
      </w:r>
    </w:p>
    <w:p w14:paraId="041DCBE4" w14:textId="77777777" w:rsidR="00E85766" w:rsidRDefault="00E85766" w:rsidP="00C71F60">
      <w:pPr>
        <w:pStyle w:val="References"/>
        <w:rPr>
          <w:rStyle w:val="Hyperlink"/>
        </w:rPr>
      </w:pPr>
      <w:r>
        <w:t xml:space="preserve">HQSC. 2014. </w:t>
      </w:r>
      <w:r w:rsidRPr="005467BE">
        <w:rPr>
          <w:i/>
        </w:rPr>
        <w:t>Addressing Unwarranted Variation: Literature review on methods for influencing practice</w:t>
      </w:r>
      <w:r>
        <w:t xml:space="preserve">. URL: Wellington: Health Quality &amp; Safety Commission. URL: </w:t>
      </w:r>
      <w:hyperlink r:id="rId35" w:history="1">
        <w:r w:rsidRPr="00BA69E3">
          <w:rPr>
            <w:rStyle w:val="Hyperlink"/>
          </w:rPr>
          <w:t>www.hqsc.govt.nz/assets/Health-Quality-Evaluation/PR/Variation-literature-review-on-methods-for-influencing-practice-May-2014.pdf</w:t>
        </w:r>
      </w:hyperlink>
      <w:r>
        <w:rPr>
          <w:rStyle w:val="Hyperlink"/>
        </w:rPr>
        <w:t xml:space="preserve"> </w:t>
      </w:r>
      <w:r w:rsidRPr="00601A89">
        <w:t>(accessed 21 December 2016).</w:t>
      </w:r>
    </w:p>
    <w:p w14:paraId="0623A45A" w14:textId="77777777" w:rsidR="00E85766" w:rsidRPr="00601A89" w:rsidRDefault="00E85766" w:rsidP="00C71F60">
      <w:pPr>
        <w:pStyle w:val="References"/>
      </w:pPr>
      <w:r w:rsidRPr="00601A89">
        <w:t xml:space="preserve">Minister of Health. 2016. </w:t>
      </w:r>
      <w:r w:rsidRPr="005467BE">
        <w:rPr>
          <w:i/>
        </w:rPr>
        <w:t>New Zealand Health Strategy: Future direction</w:t>
      </w:r>
      <w:r w:rsidRPr="00601A89">
        <w:t xml:space="preserve">. Wellington: Ministry of Health. URL: </w:t>
      </w:r>
      <w:hyperlink r:id="rId36" w:history="1">
        <w:r w:rsidRPr="00601A89">
          <w:rPr>
            <w:rStyle w:val="Hyperlink"/>
          </w:rPr>
          <w:t>www.health.govt.nz/system/files/documents/publications/new-zealand-health-strategy-futuredirection-2016-apr16.pdf</w:t>
        </w:r>
      </w:hyperlink>
      <w:r w:rsidRPr="00601A89">
        <w:t xml:space="preserve"> (accessed 21 December 2016).</w:t>
      </w:r>
    </w:p>
    <w:p w14:paraId="2064BEDA" w14:textId="77777777" w:rsidR="00E85766" w:rsidRPr="00CD6FD0" w:rsidRDefault="00E85766" w:rsidP="00C71F60">
      <w:pPr>
        <w:pStyle w:val="References"/>
      </w:pPr>
      <w:r w:rsidRPr="00601A89">
        <w:t xml:space="preserve">Minister of Health and Associate Minister of Health. 2015. </w:t>
      </w:r>
      <w:r w:rsidRPr="005467BE">
        <w:rPr>
          <w:i/>
        </w:rPr>
        <w:t>He Korowai Oranga: M</w:t>
      </w:r>
      <w:r w:rsidRPr="005467BE">
        <w:rPr>
          <w:rFonts w:ascii="Times New Roman" w:hAnsi="Times New Roman"/>
          <w:i/>
        </w:rPr>
        <w:t>ā</w:t>
      </w:r>
      <w:r w:rsidRPr="005467BE">
        <w:rPr>
          <w:i/>
        </w:rPr>
        <w:t>ori Health Strategy</w:t>
      </w:r>
      <w:r w:rsidRPr="00601A89">
        <w:t>. Wellington: Ministry of Health. URL:</w:t>
      </w:r>
      <w:r w:rsidR="007A6454">
        <w:t xml:space="preserve"> </w:t>
      </w:r>
      <w:hyperlink r:id="rId37" w:history="1">
        <w:r w:rsidRPr="00601A89">
          <w:rPr>
            <w:rStyle w:val="Hyperlink"/>
          </w:rPr>
          <w:t>www.health.govt.nz/our-work/populations/maori-health/he-korowai-oranga</w:t>
        </w:r>
      </w:hyperlink>
      <w:r>
        <w:rPr>
          <w:rStyle w:val="Hyperlink"/>
        </w:rPr>
        <w:t xml:space="preserve"> </w:t>
      </w:r>
      <w:r w:rsidRPr="00601A89">
        <w:t>(accessed 21 December 2016)</w:t>
      </w:r>
      <w:r w:rsidRPr="00601A89">
        <w:rPr>
          <w:rStyle w:val="Hyperlink"/>
        </w:rPr>
        <w:t>.</w:t>
      </w:r>
    </w:p>
    <w:p w14:paraId="53FA86D6" w14:textId="77777777" w:rsidR="00E85766" w:rsidRPr="00601A89" w:rsidRDefault="00E85766" w:rsidP="00C71F60">
      <w:pPr>
        <w:pStyle w:val="References"/>
      </w:pPr>
      <w:r w:rsidRPr="00601A89">
        <w:t xml:space="preserve">Ministry of Health. 2014. </w:t>
      </w:r>
      <w:r w:rsidRPr="005467BE">
        <w:rPr>
          <w:i/>
        </w:rPr>
        <w:t>New Zealand Cancer Plan: Better, faster cancer care 2015–2018</w:t>
      </w:r>
      <w:r w:rsidRPr="00CD6FD0">
        <w:t xml:space="preserve">. </w:t>
      </w:r>
      <w:r w:rsidRPr="00601A89">
        <w:t xml:space="preserve">Wellington: Ministry of Health. URL: </w:t>
      </w:r>
      <w:hyperlink r:id="rId38" w:history="1">
        <w:r w:rsidRPr="00601A89">
          <w:rPr>
            <w:rStyle w:val="Hyperlink"/>
          </w:rPr>
          <w:t>www.health.govt.nz/system/files/documents/publications/new-zealand-cancer-plan-2015-2018-dec14-v3.pdf</w:t>
        </w:r>
      </w:hyperlink>
      <w:r>
        <w:rPr>
          <w:rStyle w:val="Hyperlink"/>
        </w:rPr>
        <w:t xml:space="preserve"> </w:t>
      </w:r>
      <w:r w:rsidRPr="00601A89">
        <w:t>(accessed 21 December 2016).</w:t>
      </w:r>
    </w:p>
    <w:p w14:paraId="4D13B12F" w14:textId="77777777" w:rsidR="00E85766" w:rsidRPr="00601A89" w:rsidRDefault="00E85766" w:rsidP="00C71F60">
      <w:pPr>
        <w:pStyle w:val="References"/>
      </w:pPr>
      <w:r w:rsidRPr="00601A89">
        <w:t xml:space="preserve">Ministry of Health. 2015. </w:t>
      </w:r>
      <w:r w:rsidRPr="005467BE">
        <w:rPr>
          <w:i/>
        </w:rPr>
        <w:t>New Zealand Cancer Health Information Strategy</w:t>
      </w:r>
      <w:r w:rsidRPr="00CD6FD0">
        <w:t xml:space="preserve">. </w:t>
      </w:r>
      <w:r w:rsidRPr="00601A89">
        <w:t xml:space="preserve">Wellington: Ministry of Health. URL: </w:t>
      </w:r>
      <w:hyperlink r:id="rId39" w:history="1">
        <w:r w:rsidRPr="00601A89">
          <w:rPr>
            <w:rStyle w:val="Hyperlink"/>
          </w:rPr>
          <w:t>www.health.govt.nz/system/files/documents/publications/cancer-health-information-strategy-jul15-v2.pdf</w:t>
        </w:r>
      </w:hyperlink>
      <w:r>
        <w:rPr>
          <w:rStyle w:val="Hyperlink"/>
        </w:rPr>
        <w:t xml:space="preserve"> </w:t>
      </w:r>
      <w:r w:rsidRPr="00601A89">
        <w:t>(accessed 21 December 2016).</w:t>
      </w:r>
    </w:p>
    <w:p w14:paraId="07813211" w14:textId="77777777" w:rsidR="00E85766" w:rsidRDefault="00E85766" w:rsidP="00C71F60">
      <w:pPr>
        <w:pStyle w:val="References"/>
      </w:pPr>
      <w:r w:rsidRPr="00E7149B">
        <w:t>Mulley AJ. 2010. Improving productivity in the NHS.</w:t>
      </w:r>
      <w:r w:rsidRPr="00CD6FD0">
        <w:t xml:space="preserve"> </w:t>
      </w:r>
      <w:r w:rsidRPr="005467BE">
        <w:rPr>
          <w:i/>
        </w:rPr>
        <w:t>British Medical Journal</w:t>
      </w:r>
      <w:r w:rsidRPr="00E7149B">
        <w:t xml:space="preserve"> 341(7766): c3965.</w:t>
      </w:r>
    </w:p>
    <w:p w14:paraId="026A6F6D" w14:textId="77777777" w:rsidR="00E85766" w:rsidRDefault="00E85766" w:rsidP="00C71F60">
      <w:pPr>
        <w:pStyle w:val="References"/>
        <w:rPr>
          <w:szCs w:val="18"/>
        </w:rPr>
      </w:pPr>
      <w:r>
        <w:t xml:space="preserve">NCIN 2012. </w:t>
      </w:r>
      <w:r w:rsidRPr="005467BE">
        <w:rPr>
          <w:i/>
        </w:rPr>
        <w:t>Identification and Handling of Outlier Institutions</w:t>
      </w:r>
      <w:r>
        <w:t xml:space="preserve">. London: </w:t>
      </w:r>
      <w:r w:rsidRPr="00DA6252">
        <w:t>National Cancer Intelligence Network</w:t>
      </w:r>
      <w:r>
        <w:t>.</w:t>
      </w:r>
    </w:p>
    <w:p w14:paraId="48415362" w14:textId="77777777" w:rsidR="00E85766" w:rsidRPr="00601A89" w:rsidRDefault="00E85766" w:rsidP="00C71F60">
      <w:pPr>
        <w:pStyle w:val="References"/>
      </w:pPr>
      <w:r w:rsidRPr="00601A89">
        <w:rPr>
          <w:szCs w:val="18"/>
        </w:rPr>
        <w:t xml:space="preserve">NSW Health. 2013. </w:t>
      </w:r>
      <w:r w:rsidRPr="005467BE">
        <w:rPr>
          <w:i/>
          <w:iCs/>
          <w:szCs w:val="18"/>
        </w:rPr>
        <w:t>Radiotherapy Volumes Report 2013</w:t>
      </w:r>
      <w:r w:rsidRPr="00601A89">
        <w:rPr>
          <w:szCs w:val="18"/>
        </w:rPr>
        <w:t xml:space="preserve">. Analysis by Health Partners Consulting Group. Sydney: </w:t>
      </w:r>
      <w:r>
        <w:rPr>
          <w:szCs w:val="18"/>
        </w:rPr>
        <w:t>New South Wales</w:t>
      </w:r>
      <w:r w:rsidRPr="00601A89">
        <w:rPr>
          <w:szCs w:val="18"/>
        </w:rPr>
        <w:t xml:space="preserve"> Health.</w:t>
      </w:r>
    </w:p>
    <w:p w14:paraId="0D28A595" w14:textId="77777777" w:rsidR="00E85766" w:rsidRPr="00601A89" w:rsidRDefault="00E85766" w:rsidP="00C71F60">
      <w:pPr>
        <w:pStyle w:val="References"/>
      </w:pPr>
      <w:r w:rsidRPr="00601A89">
        <w:t>Round CE, Williams MV, Mee T, et al. 2013. Radiotherapy demand and activity in England</w:t>
      </w:r>
      <w:r w:rsidR="005467BE">
        <w:br/>
      </w:r>
      <w:r w:rsidRPr="00601A89">
        <w:t xml:space="preserve">2006–2020. </w:t>
      </w:r>
      <w:r w:rsidRPr="005467BE">
        <w:rPr>
          <w:i/>
        </w:rPr>
        <w:t>Clinical Oncology (Royal College of Radiologists)</w:t>
      </w:r>
      <w:r w:rsidRPr="00601A89">
        <w:t xml:space="preserve"> 25(9):522–30.</w:t>
      </w:r>
    </w:p>
    <w:p w14:paraId="6B64FA7A" w14:textId="77777777" w:rsidR="00E85766" w:rsidRPr="00601A89" w:rsidRDefault="00E85766" w:rsidP="00C71F60">
      <w:pPr>
        <w:pStyle w:val="References"/>
      </w:pPr>
      <w:r w:rsidRPr="008A3584">
        <w:t>Schang L</w:t>
      </w:r>
      <w:r>
        <w:t xml:space="preserve">, Morton A, DaSilva P, </w:t>
      </w:r>
      <w:r w:rsidR="005467BE">
        <w:t xml:space="preserve">et al. </w:t>
      </w:r>
      <w:r w:rsidRPr="008A3584">
        <w:t>2011. Dare to compare, brace for change? Exploring the use and usefulness of the NHS Atlas of Variation in Healthcare. MSc thesis, London School of Economics</w:t>
      </w:r>
      <w:r>
        <w:t>, London</w:t>
      </w:r>
      <w:r w:rsidRPr="008A3584">
        <w:t>.</w:t>
      </w:r>
      <w:r>
        <w:t xml:space="preserve"> URL: </w:t>
      </w:r>
      <w:hyperlink r:id="rId40" w:history="1">
        <w:r w:rsidRPr="008A3584">
          <w:rPr>
            <w:rStyle w:val="Hyperlink"/>
          </w:rPr>
          <w:t>https://pure.strath.ac.uk/portal/files/38015246/Schang_et_al_NHS_Atlas_Health_Policy.pdf</w:t>
        </w:r>
      </w:hyperlink>
      <w:r>
        <w:rPr>
          <w:rStyle w:val="Hyperlink"/>
        </w:rPr>
        <w:t xml:space="preserve"> </w:t>
      </w:r>
      <w:r w:rsidRPr="00601A89">
        <w:t>(accessed 21 December 2016).</w:t>
      </w:r>
    </w:p>
    <w:p w14:paraId="1BEA00C0" w14:textId="77777777" w:rsidR="00E85766" w:rsidRDefault="00E85766" w:rsidP="00C71F60">
      <w:pPr>
        <w:pStyle w:val="References"/>
      </w:pPr>
      <w:r w:rsidRPr="00601A89">
        <w:lastRenderedPageBreak/>
        <w:t xml:space="preserve">The Tavistock Institute. 2014. </w:t>
      </w:r>
      <w:r w:rsidRPr="005467BE">
        <w:rPr>
          <w:i/>
        </w:rPr>
        <w:t>Recommendations for Achieving a World-class Radiotherapy Service in the UK</w:t>
      </w:r>
      <w:r w:rsidRPr="00CD6FD0">
        <w:t>.</w:t>
      </w:r>
      <w:r w:rsidRPr="00601A89">
        <w:t xml:space="preserve"> London: Cancer Research UK.</w:t>
      </w:r>
    </w:p>
    <w:p w14:paraId="7B2B84E9" w14:textId="77777777" w:rsidR="00E85766" w:rsidRDefault="00E85766" w:rsidP="00C71F60">
      <w:pPr>
        <w:pStyle w:val="References"/>
      </w:pPr>
      <w:r>
        <w:t xml:space="preserve">Tripartite Committee. 2008. </w:t>
      </w:r>
      <w:r w:rsidRPr="005467BE">
        <w:rPr>
          <w:i/>
        </w:rPr>
        <w:t>Tripartite Radiation Oncology Practice Standards</w:t>
      </w:r>
      <w:r w:rsidRPr="00CD6FD0">
        <w:t>.</w:t>
      </w:r>
      <w:r w:rsidRPr="00601A89">
        <w:t xml:space="preserve"> Royal Australian and New Zealand College of Radiologists</w:t>
      </w:r>
      <w:r>
        <w:t xml:space="preserve">, Faculty of Radiation Oncology, Australian Society of Medical Imaging and Radiation Therapy and Australasian College of Physical Scientists and Engineers in Medicine. URL: </w:t>
      </w:r>
      <w:hyperlink r:id="rId41" w:history="1">
        <w:r w:rsidRPr="004D3229">
          <w:rPr>
            <w:rStyle w:val="Hyperlink"/>
          </w:rPr>
          <w:t>www.ranzcr.edu.au/quality-a-safety/radiation-oncology/tripartite-radiation-oncology-practice-standards</w:t>
        </w:r>
      </w:hyperlink>
      <w:r>
        <w:t xml:space="preserve"> </w:t>
      </w:r>
      <w:r w:rsidRPr="00601A89">
        <w:t>(accessed 21 December 2016).</w:t>
      </w:r>
    </w:p>
    <w:p w14:paraId="4F96E391" w14:textId="77777777" w:rsidR="00C71F60" w:rsidRPr="00601A89" w:rsidRDefault="00C71F60" w:rsidP="00C71F60"/>
    <w:p w14:paraId="6AA51481" w14:textId="77777777" w:rsidR="00E85766" w:rsidRPr="005670C8" w:rsidRDefault="00A02CFD" w:rsidP="00C71F60">
      <w:pPr>
        <w:pStyle w:val="Heading1"/>
        <w:numPr>
          <w:ilvl w:val="0"/>
          <w:numId w:val="0"/>
        </w:numPr>
      </w:pPr>
      <w:bookmarkStart w:id="95" w:name="_Toc470858865"/>
      <w:bookmarkStart w:id="96" w:name="_Toc475992519"/>
      <w:r>
        <w:lastRenderedPageBreak/>
        <w:t xml:space="preserve">Appendix A: </w:t>
      </w:r>
      <w:r w:rsidR="00E85766" w:rsidRPr="00601A89">
        <w:t>Progress with actions from the Radiation Oncology National Linear Accelerator and Workforce Plan (2013)</w:t>
      </w:r>
      <w:bookmarkEnd w:id="95"/>
      <w:bookmarkEnd w:id="96"/>
    </w:p>
    <w:tbl>
      <w:tblPr>
        <w:tblStyle w:val="TableGrid"/>
        <w:tblW w:w="0" w:type="auto"/>
        <w:tblInd w:w="57" w:type="dxa"/>
        <w:tblBorders>
          <w:left w:val="none" w:sz="0" w:space="0" w:color="auto"/>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103"/>
        <w:gridCol w:w="4253"/>
      </w:tblGrid>
      <w:tr w:rsidR="00E85766" w:rsidRPr="00601A89" w14:paraId="15F72D83" w14:textId="77777777" w:rsidTr="007062CA">
        <w:trPr>
          <w:cantSplit/>
        </w:trPr>
        <w:tc>
          <w:tcPr>
            <w:tcW w:w="5103" w:type="dxa"/>
          </w:tcPr>
          <w:p w14:paraId="5A10891B" w14:textId="77777777" w:rsidR="00E85766" w:rsidRPr="00601A89" w:rsidRDefault="00A02CFD" w:rsidP="00942F87">
            <w:pPr>
              <w:pStyle w:val="TableText"/>
              <w:spacing w:before="90" w:after="90"/>
              <w:ind w:left="425" w:right="142" w:hanging="425"/>
            </w:pPr>
            <w:r>
              <w:t>1.</w:t>
            </w:r>
            <w:r>
              <w:tab/>
            </w:r>
            <w:r w:rsidR="00E85766" w:rsidRPr="00601A89">
              <w:t>The Ministry should maintain the currency of the Plan and Model through regular review and updates</w:t>
            </w:r>
            <w:r w:rsidR="007062CA">
              <w:t>.</w:t>
            </w:r>
          </w:p>
        </w:tc>
        <w:tc>
          <w:tcPr>
            <w:tcW w:w="4253" w:type="dxa"/>
          </w:tcPr>
          <w:p w14:paraId="4768AE65" w14:textId="77777777" w:rsidR="00E85766" w:rsidRPr="00601A89" w:rsidRDefault="00E85766" w:rsidP="00942F87">
            <w:pPr>
              <w:pStyle w:val="TableText"/>
              <w:spacing w:before="90" w:after="90"/>
            </w:pPr>
            <w:r w:rsidRPr="00601A89">
              <w:t xml:space="preserve">As part of the radiation oncology project, </w:t>
            </w:r>
            <w:r>
              <w:t>the Ministry has</w:t>
            </w:r>
            <w:r w:rsidRPr="00601A89">
              <w:t xml:space="preserve"> updated </w:t>
            </w:r>
            <w:r>
              <w:t>the S</w:t>
            </w:r>
            <w:r w:rsidRPr="00601A89">
              <w:t xml:space="preserve">ervice </w:t>
            </w:r>
            <w:r>
              <w:t>P</w:t>
            </w:r>
            <w:r w:rsidRPr="00601A89">
              <w:t xml:space="preserve">lanning </w:t>
            </w:r>
            <w:r>
              <w:t>T</w:t>
            </w:r>
            <w:r w:rsidR="007062CA">
              <w:t>ool and national plan.</w:t>
            </w:r>
          </w:p>
        </w:tc>
      </w:tr>
      <w:tr w:rsidR="00E85766" w:rsidRPr="00601A89" w14:paraId="0C9A7AAD" w14:textId="77777777" w:rsidTr="007062CA">
        <w:trPr>
          <w:cantSplit/>
        </w:trPr>
        <w:tc>
          <w:tcPr>
            <w:tcW w:w="5103" w:type="dxa"/>
          </w:tcPr>
          <w:p w14:paraId="4699C5BE" w14:textId="77777777" w:rsidR="00E85766" w:rsidRPr="00601A89" w:rsidRDefault="00A02CFD" w:rsidP="00942F87">
            <w:pPr>
              <w:pStyle w:val="TableText"/>
              <w:spacing w:before="90" w:after="90"/>
              <w:ind w:left="425" w:right="142" w:hanging="425"/>
            </w:pPr>
            <w:r>
              <w:t>2.</w:t>
            </w:r>
            <w:r>
              <w:tab/>
            </w:r>
            <w:r w:rsidR="00E85766" w:rsidRPr="00601A89">
              <w:t xml:space="preserve">The Ministry should ensure that future iterations </w:t>
            </w:r>
            <w:r w:rsidR="00E85766">
              <w:t>editions</w:t>
            </w:r>
            <w:r w:rsidR="00E85766" w:rsidRPr="00601A89">
              <w:t xml:space="preserve"> of the Plan take a broader service perspective than the predominant capacity focus of this Plan. The Ministry should also investigate how best to include consumer representation in the radiation oncology planning process</w:t>
            </w:r>
            <w:r w:rsidR="007062CA">
              <w:t>.</w:t>
            </w:r>
          </w:p>
        </w:tc>
        <w:tc>
          <w:tcPr>
            <w:tcW w:w="4253" w:type="dxa"/>
          </w:tcPr>
          <w:p w14:paraId="1443EAFC" w14:textId="77777777" w:rsidR="00E85766" w:rsidRPr="00601A89" w:rsidRDefault="00E85766" w:rsidP="00942F87">
            <w:pPr>
              <w:pStyle w:val="TableText"/>
              <w:spacing w:before="90" w:after="90"/>
            </w:pPr>
            <w:r w:rsidRPr="00601A89">
              <w:t>The updated plan to be completed will include a clinical service planning component. The terms of reference for the Radiation Oncology Working Group were amended in May 2015 to include a member from the National Cancer Consume</w:t>
            </w:r>
            <w:r w:rsidR="007062CA">
              <w:t>r Representative Advisory Group.</w:t>
            </w:r>
          </w:p>
        </w:tc>
      </w:tr>
      <w:tr w:rsidR="00E85766" w:rsidRPr="00601A89" w14:paraId="143F2D2E" w14:textId="77777777" w:rsidTr="007062CA">
        <w:trPr>
          <w:cantSplit/>
        </w:trPr>
        <w:tc>
          <w:tcPr>
            <w:tcW w:w="5103" w:type="dxa"/>
          </w:tcPr>
          <w:p w14:paraId="1D60EA02" w14:textId="77777777" w:rsidR="00E85766" w:rsidRPr="00601A89" w:rsidRDefault="00A02CFD" w:rsidP="00942F87">
            <w:pPr>
              <w:pStyle w:val="TableText"/>
              <w:spacing w:before="90" w:after="90"/>
              <w:ind w:left="425" w:right="142" w:hanging="425"/>
            </w:pPr>
            <w:r>
              <w:t>3.</w:t>
            </w:r>
            <w:r>
              <w:tab/>
            </w:r>
            <w:r w:rsidR="00E85766" w:rsidRPr="00601A89">
              <w:t>The national radiation oncology service specification should be reviewed by the Ministry and DHBs to ensure it remains relevant</w:t>
            </w:r>
            <w:r w:rsidR="007062CA">
              <w:t>.</w:t>
            </w:r>
          </w:p>
        </w:tc>
        <w:tc>
          <w:tcPr>
            <w:tcW w:w="4253" w:type="dxa"/>
          </w:tcPr>
          <w:p w14:paraId="29FE1A2E" w14:textId="42E657B3" w:rsidR="00E85766" w:rsidRPr="00601A89" w:rsidRDefault="00E85766" w:rsidP="00D3393D">
            <w:pPr>
              <w:pStyle w:val="TableText"/>
              <w:spacing w:before="90" w:after="90"/>
            </w:pPr>
            <w:r w:rsidRPr="00601A89">
              <w:t xml:space="preserve">The service specifications for radiation oncology have not yet been reviewed. </w:t>
            </w:r>
          </w:p>
        </w:tc>
      </w:tr>
      <w:tr w:rsidR="00E85766" w:rsidRPr="00601A89" w14:paraId="25243D3B" w14:textId="77777777" w:rsidTr="007062CA">
        <w:trPr>
          <w:cantSplit/>
        </w:trPr>
        <w:tc>
          <w:tcPr>
            <w:tcW w:w="5103" w:type="dxa"/>
          </w:tcPr>
          <w:p w14:paraId="56B508B7" w14:textId="77777777" w:rsidR="00E85766" w:rsidRPr="00601A89" w:rsidRDefault="00A02CFD" w:rsidP="00942F87">
            <w:pPr>
              <w:pStyle w:val="TableText"/>
              <w:spacing w:before="90" w:after="90"/>
              <w:ind w:left="425" w:right="142" w:hanging="425"/>
            </w:pPr>
            <w:r>
              <w:t>4.</w:t>
            </w:r>
            <w:r>
              <w:tab/>
            </w:r>
            <w:r w:rsidR="00E85766" w:rsidRPr="00601A89">
              <w:t>A national radiation therapy intervention rate (IR) goal and individual DHB IR targets for accountability purposes should not be set at this time because of uncertainty as to the reasons for and impact of current variation. However, a national IR should be confirmed by the Ministry and DHBs for service and capacity planning purposes</w:t>
            </w:r>
            <w:r w:rsidR="007062CA">
              <w:t>.</w:t>
            </w:r>
          </w:p>
        </w:tc>
        <w:tc>
          <w:tcPr>
            <w:tcW w:w="4253" w:type="dxa"/>
          </w:tcPr>
          <w:p w14:paraId="7A1C277F" w14:textId="77777777" w:rsidR="00E85766" w:rsidRPr="00601A89" w:rsidRDefault="00E85766" w:rsidP="00942F87">
            <w:pPr>
              <w:pStyle w:val="TableText"/>
              <w:spacing w:before="90" w:after="90"/>
            </w:pPr>
            <w:r w:rsidRPr="00601A89">
              <w:t xml:space="preserve">See </w:t>
            </w:r>
            <w:r>
              <w:t xml:space="preserve">action 5 </w:t>
            </w:r>
            <w:r w:rsidRPr="00601A89">
              <w:t>below</w:t>
            </w:r>
            <w:r w:rsidR="007062CA">
              <w:t>.</w:t>
            </w:r>
          </w:p>
        </w:tc>
      </w:tr>
      <w:tr w:rsidR="00E85766" w:rsidRPr="00601A89" w14:paraId="5E52F91B" w14:textId="77777777" w:rsidTr="007062CA">
        <w:trPr>
          <w:cantSplit/>
        </w:trPr>
        <w:tc>
          <w:tcPr>
            <w:tcW w:w="5103" w:type="dxa"/>
          </w:tcPr>
          <w:p w14:paraId="7A4DD147" w14:textId="77777777" w:rsidR="00E85766" w:rsidRPr="00601A89" w:rsidRDefault="00A02CFD" w:rsidP="00942F87">
            <w:pPr>
              <w:pStyle w:val="TableText"/>
              <w:spacing w:before="90" w:after="90"/>
              <w:ind w:left="425" w:right="142" w:hanging="425"/>
            </w:pPr>
            <w:r>
              <w:t>5.</w:t>
            </w:r>
            <w:r>
              <w:tab/>
            </w:r>
            <w:r w:rsidR="00E85766" w:rsidRPr="00601A89">
              <w:t>The Growth scenario should be adopted by the Ministry and DHBs as the preferred scenario for planning purposes, meaning a national IR of 45</w:t>
            </w:r>
            <w:r w:rsidR="007062CA">
              <w:t> percent</w:t>
            </w:r>
            <w:r w:rsidR="00E85766" w:rsidRPr="00601A89">
              <w:t xml:space="preserve"> by 2022, and maintenance of current DHB subsequent treatment volumes (national average 31</w:t>
            </w:r>
            <w:r w:rsidR="007062CA">
              <w:t> percent</w:t>
            </w:r>
            <w:r w:rsidR="00E85766" w:rsidRPr="00601A89">
              <w:t xml:space="preserve"> of treatments being subsequent treatments)</w:t>
            </w:r>
            <w:r w:rsidR="007062CA">
              <w:t>.</w:t>
            </w:r>
          </w:p>
        </w:tc>
        <w:tc>
          <w:tcPr>
            <w:tcW w:w="4253" w:type="dxa"/>
          </w:tcPr>
          <w:p w14:paraId="166290A0" w14:textId="77777777" w:rsidR="00E85766" w:rsidRPr="00601A89" w:rsidRDefault="00E85766" w:rsidP="00942F87">
            <w:pPr>
              <w:pStyle w:val="TableText"/>
              <w:spacing w:before="90" w:after="90"/>
            </w:pPr>
            <w:r w:rsidRPr="00601A89">
              <w:t>For planning purposes the Ministry and DHBs will adopt a scenario based on all DHBs reaching an IR equal to the highest reached by a DHB in the</w:t>
            </w:r>
            <w:r w:rsidR="007062CA">
              <w:br/>
            </w:r>
            <w:r w:rsidRPr="00601A89">
              <w:t>2013</w:t>
            </w:r>
            <w:r>
              <w:t>–</w:t>
            </w:r>
            <w:r w:rsidRPr="00601A89">
              <w:t>2015 period (45%)</w:t>
            </w:r>
            <w:r w:rsidR="007062CA">
              <w:t>.</w:t>
            </w:r>
          </w:p>
        </w:tc>
      </w:tr>
      <w:tr w:rsidR="00E85766" w:rsidRPr="00601A89" w14:paraId="7BF7B370" w14:textId="77777777" w:rsidTr="007062CA">
        <w:trPr>
          <w:cantSplit/>
        </w:trPr>
        <w:tc>
          <w:tcPr>
            <w:tcW w:w="5103" w:type="dxa"/>
          </w:tcPr>
          <w:p w14:paraId="302B5661" w14:textId="77777777" w:rsidR="00E85766" w:rsidRPr="00601A89" w:rsidRDefault="00A02CFD" w:rsidP="00942F87">
            <w:pPr>
              <w:pStyle w:val="TableText"/>
              <w:spacing w:before="90" w:after="90"/>
              <w:ind w:left="425" w:right="142" w:hanging="425"/>
            </w:pPr>
            <w:r>
              <w:t>6.</w:t>
            </w:r>
            <w:r>
              <w:tab/>
            </w:r>
            <w:r w:rsidR="00E85766" w:rsidRPr="00601A89">
              <w:t>The Ministry</w:t>
            </w:r>
            <w:r w:rsidR="007A6454">
              <w:t>’</w:t>
            </w:r>
            <w:r w:rsidR="00E85766" w:rsidRPr="00601A89">
              <w:t>s Cancer Services Team should advise Health Workforce New Zealand of the Growth scenario</w:t>
            </w:r>
            <w:r w:rsidR="007A6454">
              <w:t>’</w:t>
            </w:r>
            <w:r w:rsidR="00E85766" w:rsidRPr="00601A89">
              <w:t>s implications for workforce capacity requirements, and in particular the need to improve retention rates and to urgently increase medical physicist training numbers and training places</w:t>
            </w:r>
            <w:r w:rsidR="007062CA">
              <w:t>.</w:t>
            </w:r>
          </w:p>
        </w:tc>
        <w:tc>
          <w:tcPr>
            <w:tcW w:w="4253" w:type="dxa"/>
          </w:tcPr>
          <w:p w14:paraId="099D8B5A" w14:textId="77777777" w:rsidR="00E85766" w:rsidRPr="00601A89" w:rsidRDefault="00E85766" w:rsidP="00942F87">
            <w:pPr>
              <w:pStyle w:val="TableText"/>
              <w:spacing w:before="90" w:after="90"/>
            </w:pPr>
            <w:r w:rsidRPr="00601A89">
              <w:t>Health Workforce New Zealand ha</w:t>
            </w:r>
            <w:r>
              <w:t>s</w:t>
            </w:r>
            <w:r w:rsidRPr="00601A89">
              <w:t xml:space="preserve"> been advised of the Growth scenario</w:t>
            </w:r>
            <w:r w:rsidR="007A6454">
              <w:t>’</w:t>
            </w:r>
            <w:r w:rsidRPr="00601A89">
              <w:t>s future implications for workforce capacity requirements and has been providing updates to ROWG on actions taken to address this matter. The Ministry is reviewing the mechanisms for best supporting medical physicist registrars</w:t>
            </w:r>
            <w:r w:rsidR="007062CA">
              <w:t>.</w:t>
            </w:r>
          </w:p>
        </w:tc>
      </w:tr>
      <w:tr w:rsidR="00E85766" w:rsidRPr="00601A89" w14:paraId="7022C2E3" w14:textId="77777777" w:rsidTr="007062CA">
        <w:trPr>
          <w:cantSplit/>
        </w:trPr>
        <w:tc>
          <w:tcPr>
            <w:tcW w:w="5103" w:type="dxa"/>
          </w:tcPr>
          <w:p w14:paraId="68ABD548" w14:textId="77777777" w:rsidR="00E85766" w:rsidRPr="00601A89" w:rsidRDefault="00A02CFD" w:rsidP="00942F87">
            <w:pPr>
              <w:pStyle w:val="TableText"/>
              <w:spacing w:before="90" w:after="90"/>
              <w:ind w:left="425" w:right="142" w:hanging="425"/>
            </w:pPr>
            <w:r>
              <w:t>7.</w:t>
            </w:r>
            <w:r>
              <w:tab/>
            </w:r>
            <w:r w:rsidR="00E85766" w:rsidRPr="00601A89">
              <w:t>The Ministry</w:t>
            </w:r>
            <w:r w:rsidR="007A6454">
              <w:t>’</w:t>
            </w:r>
            <w:r w:rsidR="00E85766" w:rsidRPr="00601A89">
              <w:t>s Cancer Services Team should advise the Capital Investment Committee of the Growth scenario</w:t>
            </w:r>
            <w:r w:rsidR="007A6454">
              <w:t>’</w:t>
            </w:r>
            <w:r w:rsidR="00E85766" w:rsidRPr="00601A89">
              <w:t>s implications for capital expenditure – that is, an additional $64</w:t>
            </w:r>
            <w:r w:rsidR="007062CA">
              <w:t> </w:t>
            </w:r>
            <w:r w:rsidR="00E85766" w:rsidRPr="00601A89">
              <w:t>million over and above the $152</w:t>
            </w:r>
            <w:r w:rsidR="007062CA">
              <w:t> </w:t>
            </w:r>
            <w:r w:rsidR="00E85766" w:rsidRPr="00601A89">
              <w:t>million needed for existing equipment upgrades and replacement over the next 10 years</w:t>
            </w:r>
            <w:r w:rsidR="007062CA">
              <w:t>.</w:t>
            </w:r>
          </w:p>
        </w:tc>
        <w:tc>
          <w:tcPr>
            <w:tcW w:w="4253" w:type="dxa"/>
          </w:tcPr>
          <w:p w14:paraId="23222644" w14:textId="77777777" w:rsidR="00E85766" w:rsidRPr="00601A89" w:rsidRDefault="00E85766" w:rsidP="00942F87">
            <w:pPr>
              <w:pStyle w:val="TableText"/>
              <w:spacing w:before="90" w:after="90"/>
            </w:pPr>
            <w:r w:rsidRPr="00601A89">
              <w:t>The Capital Investment Committee ha</w:t>
            </w:r>
            <w:r>
              <w:t>s</w:t>
            </w:r>
            <w:r w:rsidRPr="00601A89">
              <w:t xml:space="preserve"> been advised of this scenario</w:t>
            </w:r>
            <w:r w:rsidR="007062CA">
              <w:t>.</w:t>
            </w:r>
          </w:p>
        </w:tc>
      </w:tr>
      <w:tr w:rsidR="00E85766" w:rsidRPr="00601A89" w14:paraId="05756397" w14:textId="77777777" w:rsidTr="007062CA">
        <w:trPr>
          <w:cantSplit/>
        </w:trPr>
        <w:tc>
          <w:tcPr>
            <w:tcW w:w="5103" w:type="dxa"/>
          </w:tcPr>
          <w:p w14:paraId="009B638C" w14:textId="77777777" w:rsidR="00E85766" w:rsidRPr="00601A89" w:rsidRDefault="00A02CFD" w:rsidP="00942F87">
            <w:pPr>
              <w:pStyle w:val="TableText"/>
              <w:spacing w:before="90" w:after="90"/>
              <w:ind w:left="425" w:right="142" w:hanging="425"/>
            </w:pPr>
            <w:r>
              <w:lastRenderedPageBreak/>
              <w:t>8.</w:t>
            </w:r>
            <w:r>
              <w:tab/>
            </w:r>
            <w:r w:rsidR="00E85766" w:rsidRPr="00601A89">
              <w:t xml:space="preserve">DHB IRs and subsequent treatment rates (STRs) should be monitored nationally by the Radiation Oncology Work Group (ROWG), and by the regional cancer networks working with the DHBs and radiation oncology providers. The regional cancer networks should be required to report to the Cancer Programme Steering Group on the acceptability of the regional or DHB variation in IR and STR where this is more than </w:t>
            </w:r>
            <w:r w:rsidR="007062CA">
              <w:t xml:space="preserve">five </w:t>
            </w:r>
            <w:r w:rsidR="00E85766" w:rsidRPr="00601A89">
              <w:t>percentage points above or below the national average prevailing at the time of measurement, and reasons for the variation</w:t>
            </w:r>
            <w:r w:rsidR="007062CA">
              <w:t>.</w:t>
            </w:r>
          </w:p>
        </w:tc>
        <w:tc>
          <w:tcPr>
            <w:tcW w:w="4253" w:type="dxa"/>
          </w:tcPr>
          <w:p w14:paraId="6446A6AF" w14:textId="77777777" w:rsidR="00E85766" w:rsidRPr="00601A89" w:rsidRDefault="00E85766" w:rsidP="00942F87">
            <w:pPr>
              <w:pStyle w:val="TableText"/>
              <w:spacing w:before="90" w:after="90"/>
            </w:pPr>
            <w:r w:rsidRPr="00601A89">
              <w:t>IRs and STRs will be calculated based on reporting by radiation oncology providers, once regular reporting for the Radiation Oncology Project is under</w:t>
            </w:r>
            <w:r>
              <w:t xml:space="preserve"> </w:t>
            </w:r>
            <w:r w:rsidRPr="00601A89">
              <w:t>way. Th</w:t>
            </w:r>
            <w:r>
              <w:t>is Plan describes the</w:t>
            </w:r>
            <w:r w:rsidRPr="00601A89">
              <w:t xml:space="preserve"> role of ROWG and the regional cancer networks</w:t>
            </w:r>
            <w:r w:rsidR="007062CA">
              <w:t>.</w:t>
            </w:r>
          </w:p>
        </w:tc>
      </w:tr>
      <w:tr w:rsidR="00E85766" w:rsidRPr="00601A89" w14:paraId="685347E1" w14:textId="77777777" w:rsidTr="007062CA">
        <w:trPr>
          <w:cantSplit/>
        </w:trPr>
        <w:tc>
          <w:tcPr>
            <w:tcW w:w="5103" w:type="dxa"/>
          </w:tcPr>
          <w:p w14:paraId="037A58E6" w14:textId="19BF4E03" w:rsidR="00E85766" w:rsidRPr="00601A89" w:rsidRDefault="00A02CFD" w:rsidP="00D3393D">
            <w:pPr>
              <w:pStyle w:val="TableText"/>
              <w:spacing w:before="90" w:after="90"/>
              <w:ind w:left="425" w:right="142" w:hanging="425"/>
            </w:pPr>
            <w:r>
              <w:t>9.</w:t>
            </w:r>
            <w:r>
              <w:tab/>
            </w:r>
            <w:r w:rsidR="00E85766">
              <w:t>T</w:t>
            </w:r>
            <w:r w:rsidR="00E85766" w:rsidRPr="00601A89">
              <w:t xml:space="preserve">he Ministry and DHBs should </w:t>
            </w:r>
            <w:r w:rsidR="00E85766">
              <w:t>consider a</w:t>
            </w:r>
            <w:r w:rsidR="00E85766" w:rsidRPr="00601A89">
              <w:t xml:space="preserve"> set of radiation oncology service standards for adoption in New Zealand, including </w:t>
            </w:r>
            <w:r w:rsidR="00E85766">
              <w:t xml:space="preserve">by </w:t>
            </w:r>
            <w:r w:rsidR="00E85766" w:rsidRPr="00601A89">
              <w:t>identif</w:t>
            </w:r>
            <w:r w:rsidR="00E85766">
              <w:t>ying the</w:t>
            </w:r>
            <w:r w:rsidR="00E85766" w:rsidRPr="00601A89">
              <w:t xml:space="preserve"> cost implications related to promulgation, compliance and accreditation</w:t>
            </w:r>
            <w:r w:rsidR="007062CA">
              <w:t>.</w:t>
            </w:r>
          </w:p>
        </w:tc>
        <w:tc>
          <w:tcPr>
            <w:tcW w:w="4253" w:type="dxa"/>
          </w:tcPr>
          <w:p w14:paraId="07B11626" w14:textId="77777777" w:rsidR="007A6454" w:rsidRDefault="00E85766" w:rsidP="00942F87">
            <w:pPr>
              <w:pStyle w:val="TableText"/>
              <w:spacing w:before="90" w:after="90"/>
            </w:pPr>
            <w:r w:rsidRPr="00601A89">
              <w:t xml:space="preserve">ROWG specifically considered the implementation of the 2008 </w:t>
            </w:r>
            <w:r>
              <w:t>r</w:t>
            </w:r>
            <w:r w:rsidRPr="00601A89">
              <w:t xml:space="preserve">adiation </w:t>
            </w:r>
            <w:r>
              <w:t>o</w:t>
            </w:r>
            <w:r w:rsidRPr="00601A89">
              <w:t xml:space="preserve">ncology practice standards. </w:t>
            </w:r>
            <w:r>
              <w:t>It</w:t>
            </w:r>
            <w:r w:rsidRPr="00601A89">
              <w:t xml:space="preserve"> encouraged individual centres to adopt these standards, </w:t>
            </w:r>
            <w:r>
              <w:t>while</w:t>
            </w:r>
            <w:r w:rsidRPr="00601A89">
              <w:t xml:space="preserve"> not</w:t>
            </w:r>
            <w:r>
              <w:t>ing</w:t>
            </w:r>
            <w:r w:rsidRPr="00601A89">
              <w:t xml:space="preserve"> that </w:t>
            </w:r>
            <w:r>
              <w:t xml:space="preserve">the cost of </w:t>
            </w:r>
            <w:r w:rsidRPr="00601A89">
              <w:t>implementing and auditing against mandatory standards would be prohibitive. ROWG will support self-assessments against the standards by the radiation oncology providers</w:t>
            </w:r>
            <w:r w:rsidR="007062CA">
              <w:t>.</w:t>
            </w:r>
          </w:p>
          <w:p w14:paraId="2FAB51D3" w14:textId="77777777" w:rsidR="007A6454" w:rsidRDefault="00E85766" w:rsidP="00942F87">
            <w:pPr>
              <w:pStyle w:val="TableText"/>
              <w:spacing w:before="90" w:after="90"/>
            </w:pPr>
            <w:r w:rsidRPr="00601A89">
              <w:t>ROWG continues to monitor the adoption of mandatory standards in other jurisdictions</w:t>
            </w:r>
            <w:r w:rsidR="007062CA">
              <w:t>.</w:t>
            </w:r>
          </w:p>
          <w:p w14:paraId="5A6ED0F6" w14:textId="77777777" w:rsidR="00E85766" w:rsidRPr="00601A89" w:rsidRDefault="00E85766" w:rsidP="00942F87">
            <w:pPr>
              <w:pStyle w:val="TableText"/>
              <w:spacing w:before="90" w:after="90"/>
            </w:pPr>
            <w:r w:rsidRPr="00601A89">
              <w:t>The voluntary basis of the standards will be reviewed in 2018</w:t>
            </w:r>
            <w:r w:rsidR="007062CA">
              <w:t>.</w:t>
            </w:r>
          </w:p>
        </w:tc>
      </w:tr>
      <w:tr w:rsidR="00E85766" w:rsidRPr="00601A89" w14:paraId="56CB8B0F" w14:textId="77777777" w:rsidTr="007062CA">
        <w:trPr>
          <w:cantSplit/>
        </w:trPr>
        <w:tc>
          <w:tcPr>
            <w:tcW w:w="5103" w:type="dxa"/>
          </w:tcPr>
          <w:p w14:paraId="5DF96CC3" w14:textId="77777777" w:rsidR="00E85766" w:rsidRPr="00601A89" w:rsidRDefault="00A02CFD" w:rsidP="00942F87">
            <w:pPr>
              <w:pStyle w:val="TableText"/>
              <w:spacing w:before="90" w:after="0"/>
              <w:ind w:left="425" w:right="142" w:hanging="425"/>
            </w:pPr>
            <w:r>
              <w:t>10.</w:t>
            </w:r>
            <w:r>
              <w:tab/>
            </w:r>
            <w:r w:rsidR="00E85766">
              <w:t>A</w:t>
            </w:r>
            <w:r w:rsidR="00E85766" w:rsidRPr="00601A89">
              <w:t>n end-to-end review of the national radiation oncology metrics should be undertaken by the Ministry, including:</w:t>
            </w:r>
          </w:p>
          <w:p w14:paraId="44CE4F81" w14:textId="77777777" w:rsidR="00E85766" w:rsidRPr="00601A89" w:rsidRDefault="00E85766" w:rsidP="00942F87">
            <w:pPr>
              <w:pStyle w:val="TableBullet"/>
              <w:spacing w:before="40" w:after="0"/>
              <w:ind w:left="709" w:right="142"/>
            </w:pPr>
            <w:r w:rsidRPr="00601A89">
              <w:t>purpose of the collection</w:t>
            </w:r>
          </w:p>
          <w:p w14:paraId="39CCD976" w14:textId="77777777" w:rsidR="00E85766" w:rsidRPr="00601A89" w:rsidRDefault="00E85766" w:rsidP="00942F87">
            <w:pPr>
              <w:pStyle w:val="TableBullet"/>
              <w:spacing w:before="40" w:after="0"/>
              <w:ind w:left="709" w:right="142"/>
            </w:pPr>
            <w:r w:rsidRPr="00601A89">
              <w:t>confirmation that the metrics are fit-for-purpose</w:t>
            </w:r>
          </w:p>
          <w:p w14:paraId="02BF564B" w14:textId="77777777" w:rsidR="00E85766" w:rsidRPr="00601A89" w:rsidRDefault="00E85766" w:rsidP="00942F87">
            <w:pPr>
              <w:pStyle w:val="TableBullet"/>
              <w:spacing w:before="40" w:after="0"/>
              <w:ind w:left="709" w:right="142"/>
            </w:pPr>
            <w:r w:rsidRPr="00601A89">
              <w:t>barriers to accurate reporting</w:t>
            </w:r>
          </w:p>
          <w:p w14:paraId="015E273C" w14:textId="77777777" w:rsidR="00E85766" w:rsidRPr="00601A89" w:rsidRDefault="00E85766" w:rsidP="00942F87">
            <w:pPr>
              <w:pStyle w:val="TableBullet"/>
              <w:spacing w:before="40" w:after="90"/>
              <w:ind w:left="709" w:right="142"/>
            </w:pPr>
            <w:r w:rsidRPr="00601A89">
              <w:t>how use of the information for performance improvement and planning can be strengthened at local, regional and national levels</w:t>
            </w:r>
            <w:r w:rsidR="007062CA">
              <w:t>.</w:t>
            </w:r>
          </w:p>
        </w:tc>
        <w:tc>
          <w:tcPr>
            <w:tcW w:w="4253" w:type="dxa"/>
          </w:tcPr>
          <w:p w14:paraId="1413CDD1" w14:textId="77777777" w:rsidR="00E85766" w:rsidRPr="00601A89" w:rsidRDefault="00E85766" w:rsidP="00942F87">
            <w:pPr>
              <w:pStyle w:val="TableText"/>
              <w:spacing w:before="90" w:after="90"/>
            </w:pPr>
            <w:r w:rsidRPr="00601A89">
              <w:t xml:space="preserve">This work is being undertaken </w:t>
            </w:r>
            <w:r>
              <w:t>in</w:t>
            </w:r>
            <w:r w:rsidRPr="00601A89">
              <w:t xml:space="preserve"> develop</w:t>
            </w:r>
            <w:r>
              <w:t>ing</w:t>
            </w:r>
            <w:r w:rsidRPr="00601A89">
              <w:t xml:space="preserve"> the second </w:t>
            </w:r>
            <w:r>
              <w:t>N</w:t>
            </w:r>
            <w:r w:rsidRPr="00601A89">
              <w:t xml:space="preserve">ational </w:t>
            </w:r>
            <w:r>
              <w:t>R</w:t>
            </w:r>
            <w:r w:rsidRPr="00601A89">
              <w:t xml:space="preserve">adiation </w:t>
            </w:r>
            <w:r>
              <w:t>O</w:t>
            </w:r>
            <w:r w:rsidRPr="00601A89">
              <w:t xml:space="preserve">ncology </w:t>
            </w:r>
            <w:r>
              <w:t>P</w:t>
            </w:r>
            <w:r w:rsidRPr="00601A89">
              <w:t xml:space="preserve">lan and is being overseen by ROWG. </w:t>
            </w:r>
            <w:r>
              <w:t>This</w:t>
            </w:r>
            <w:r w:rsidRPr="00601A89">
              <w:t xml:space="preserve"> Plan is advanc</w:t>
            </w:r>
            <w:r>
              <w:t>ing</w:t>
            </w:r>
            <w:r w:rsidRPr="00601A89">
              <w:t xml:space="preserve"> this </w:t>
            </w:r>
            <w:r>
              <w:t>work</w:t>
            </w:r>
            <w:r w:rsidR="007062CA">
              <w:t>.</w:t>
            </w:r>
          </w:p>
        </w:tc>
      </w:tr>
      <w:tr w:rsidR="00E85766" w:rsidRPr="00601A89" w14:paraId="32A4F93D" w14:textId="77777777" w:rsidTr="007062CA">
        <w:trPr>
          <w:cantSplit/>
        </w:trPr>
        <w:tc>
          <w:tcPr>
            <w:tcW w:w="5103" w:type="dxa"/>
          </w:tcPr>
          <w:p w14:paraId="59A297BE" w14:textId="77777777" w:rsidR="00E85766" w:rsidRPr="00601A89" w:rsidRDefault="00A02CFD" w:rsidP="00942F87">
            <w:pPr>
              <w:pStyle w:val="TableText"/>
              <w:spacing w:before="90" w:after="90"/>
              <w:ind w:left="425" w:right="142" w:hanging="425"/>
            </w:pPr>
            <w:r>
              <w:t>11.</w:t>
            </w:r>
            <w:r>
              <w:tab/>
            </w:r>
            <w:r w:rsidR="00E85766" w:rsidRPr="00601A89">
              <w:t>The Ministry and DHBs should encourage increased standardisation of clinical practice, with a focus on the treatment course for common tumour sites</w:t>
            </w:r>
            <w:r w:rsidR="007062CA">
              <w:t>.</w:t>
            </w:r>
          </w:p>
        </w:tc>
        <w:tc>
          <w:tcPr>
            <w:tcW w:w="4253" w:type="dxa"/>
          </w:tcPr>
          <w:p w14:paraId="4DA44983" w14:textId="77777777" w:rsidR="00E85766" w:rsidRPr="00601A89" w:rsidRDefault="00E85766" w:rsidP="00942F87">
            <w:pPr>
              <w:pStyle w:val="TableText"/>
              <w:spacing w:before="90" w:after="90"/>
            </w:pPr>
            <w:r w:rsidRPr="00601A89">
              <w:t>ROWG will advi</w:t>
            </w:r>
            <w:r>
              <w:t>s</w:t>
            </w:r>
            <w:r w:rsidRPr="00601A89">
              <w:t xml:space="preserve">e the Ministry on variation in treatment including for average fractionation, IR and STR and for common tumour types. </w:t>
            </w:r>
            <w:r>
              <w:t>It</w:t>
            </w:r>
            <w:r w:rsidRPr="00601A89">
              <w:t xml:space="preserve"> will </w:t>
            </w:r>
            <w:r>
              <w:t xml:space="preserve">do so </w:t>
            </w:r>
            <w:r w:rsidRPr="00601A89">
              <w:t>once regular data reporting by the radiation oncology providers is under</w:t>
            </w:r>
            <w:r>
              <w:t xml:space="preserve"> </w:t>
            </w:r>
            <w:r w:rsidRPr="00601A89">
              <w:t>way. This Plan is advanc</w:t>
            </w:r>
            <w:r>
              <w:t>ing</w:t>
            </w:r>
            <w:r w:rsidRPr="00601A89">
              <w:t xml:space="preserve"> this work</w:t>
            </w:r>
            <w:r w:rsidR="007062CA">
              <w:t>.</w:t>
            </w:r>
            <w:r w:rsidRPr="00601A89">
              <w:t xml:space="preserve"> </w:t>
            </w:r>
          </w:p>
        </w:tc>
      </w:tr>
      <w:tr w:rsidR="00E85766" w:rsidRPr="00601A89" w14:paraId="01C81A5D" w14:textId="77777777" w:rsidTr="007062CA">
        <w:trPr>
          <w:cantSplit/>
        </w:trPr>
        <w:tc>
          <w:tcPr>
            <w:tcW w:w="5103" w:type="dxa"/>
          </w:tcPr>
          <w:p w14:paraId="7DFA5A0B" w14:textId="77777777" w:rsidR="00E85766" w:rsidRPr="00601A89" w:rsidRDefault="00A02CFD" w:rsidP="00942F87">
            <w:pPr>
              <w:pStyle w:val="TableText"/>
              <w:spacing w:before="90" w:after="90"/>
              <w:ind w:left="425" w:right="142" w:hanging="425"/>
            </w:pPr>
            <w:r>
              <w:t>12.</w:t>
            </w:r>
            <w:r>
              <w:tab/>
            </w:r>
            <w:r w:rsidR="00E85766" w:rsidRPr="00601A89">
              <w:t>The Ministry</w:t>
            </w:r>
            <w:r w:rsidR="007A6454">
              <w:t>’</w:t>
            </w:r>
            <w:r w:rsidR="00E85766" w:rsidRPr="00601A89">
              <w:t>s Cancer Services Team should discuss annually with the National Health Committee and National Health Board how a national approach to evaluation and implementation of new radiation therapy technologies and techniques could be maintained. The approach should be established for 2014/15</w:t>
            </w:r>
            <w:r w:rsidR="007062CA">
              <w:t>.</w:t>
            </w:r>
          </w:p>
        </w:tc>
        <w:tc>
          <w:tcPr>
            <w:tcW w:w="4253" w:type="dxa"/>
          </w:tcPr>
          <w:p w14:paraId="085D63BE" w14:textId="77777777" w:rsidR="00E85766" w:rsidRPr="00601A89" w:rsidRDefault="00E85766" w:rsidP="00942F87">
            <w:pPr>
              <w:pStyle w:val="TableText"/>
              <w:spacing w:before="90" w:after="90"/>
            </w:pPr>
            <w:r w:rsidRPr="00601A89">
              <w:t xml:space="preserve">ROWG has submitted on new technology proposals via the National Health Committee referral rounds. </w:t>
            </w:r>
            <w:r>
              <w:t>Given the Committee has now been disestablished</w:t>
            </w:r>
            <w:r w:rsidRPr="00601A89">
              <w:t xml:space="preserve">, the Ministry is confirming what processes </w:t>
            </w:r>
            <w:r>
              <w:t>it</w:t>
            </w:r>
            <w:r w:rsidRPr="00601A89">
              <w:t xml:space="preserve"> will take </w:t>
            </w:r>
            <w:r>
              <w:t>in the future</w:t>
            </w:r>
            <w:r w:rsidRPr="00601A89">
              <w:t>. This Plan is advanc</w:t>
            </w:r>
            <w:r>
              <w:t>ing</w:t>
            </w:r>
            <w:r w:rsidRPr="00601A89">
              <w:t xml:space="preserve"> this work</w:t>
            </w:r>
            <w:r w:rsidR="007062CA">
              <w:t>.</w:t>
            </w:r>
            <w:r w:rsidRPr="00601A89">
              <w:t xml:space="preserve"> </w:t>
            </w:r>
          </w:p>
        </w:tc>
      </w:tr>
      <w:tr w:rsidR="00E85766" w:rsidRPr="00601A89" w14:paraId="6AF3CB5D" w14:textId="77777777" w:rsidTr="007062CA">
        <w:trPr>
          <w:cantSplit/>
        </w:trPr>
        <w:tc>
          <w:tcPr>
            <w:tcW w:w="5103" w:type="dxa"/>
          </w:tcPr>
          <w:p w14:paraId="74A806F2" w14:textId="77777777" w:rsidR="00E85766" w:rsidRPr="00601A89" w:rsidRDefault="00A02CFD" w:rsidP="00942F87">
            <w:pPr>
              <w:pStyle w:val="TableText"/>
              <w:spacing w:before="90" w:after="90"/>
              <w:ind w:left="425" w:right="142" w:hanging="425"/>
            </w:pPr>
            <w:r>
              <w:t>13.</w:t>
            </w:r>
            <w:r>
              <w:tab/>
            </w:r>
            <w:r w:rsidR="00E85766" w:rsidRPr="00601A89">
              <w:t>The Ministry and DHBs should use the Model to inform local, regional and national planning and business case development. Consistent assumptions and metrics should be used in planning, based on the national metrics data</w:t>
            </w:r>
            <w:r w:rsidR="00E85766">
              <w:t xml:space="preserve"> </w:t>
            </w:r>
            <w:r w:rsidR="00E85766" w:rsidRPr="00601A89">
              <w:t>set and Model standardisation</w:t>
            </w:r>
            <w:r w:rsidR="007062CA">
              <w:t>.</w:t>
            </w:r>
          </w:p>
        </w:tc>
        <w:tc>
          <w:tcPr>
            <w:tcW w:w="4253" w:type="dxa"/>
          </w:tcPr>
          <w:p w14:paraId="6D1F75B6" w14:textId="77777777" w:rsidR="00E85766" w:rsidRPr="00601A89" w:rsidRDefault="00E85766" w:rsidP="00942F87">
            <w:pPr>
              <w:pStyle w:val="TableText"/>
              <w:spacing w:before="90" w:after="90"/>
            </w:pPr>
            <w:r w:rsidRPr="00601A89">
              <w:t>The Ministry and DHBs have been using the Model to inform local, regional and national planning and business case development</w:t>
            </w:r>
            <w:r w:rsidR="007062CA">
              <w:t>.</w:t>
            </w:r>
          </w:p>
        </w:tc>
      </w:tr>
      <w:tr w:rsidR="00E85766" w:rsidRPr="00601A89" w14:paraId="21A064EA" w14:textId="77777777" w:rsidTr="007062CA">
        <w:trPr>
          <w:cantSplit/>
        </w:trPr>
        <w:tc>
          <w:tcPr>
            <w:tcW w:w="5103" w:type="dxa"/>
          </w:tcPr>
          <w:p w14:paraId="25CD9F8E" w14:textId="77777777" w:rsidR="00E85766" w:rsidRPr="00601A89" w:rsidRDefault="00A02CFD" w:rsidP="00942F87">
            <w:pPr>
              <w:pStyle w:val="TableText"/>
              <w:spacing w:before="90" w:after="90"/>
              <w:ind w:left="425" w:right="142" w:hanging="425"/>
            </w:pPr>
            <w:r>
              <w:t>14.</w:t>
            </w:r>
            <w:r>
              <w:tab/>
            </w:r>
            <w:r w:rsidR="00E85766" w:rsidRPr="00601A89">
              <w:t xml:space="preserve">The Ministry and DHBs should place greater emphasis on benchmarking of radiation therapy services to inform </w:t>
            </w:r>
            <w:r w:rsidR="00E85766">
              <w:t>help</w:t>
            </w:r>
            <w:r w:rsidR="00E85766" w:rsidRPr="00601A89">
              <w:t xml:space="preserve"> identification at regional and national levels of opportunities for improved access and productivity</w:t>
            </w:r>
            <w:r w:rsidR="007062CA">
              <w:t>.</w:t>
            </w:r>
          </w:p>
        </w:tc>
        <w:tc>
          <w:tcPr>
            <w:tcW w:w="4253" w:type="dxa"/>
          </w:tcPr>
          <w:p w14:paraId="5C6ECC4C" w14:textId="77777777" w:rsidR="00E85766" w:rsidRPr="00601A89" w:rsidRDefault="00E85766" w:rsidP="00942F87">
            <w:pPr>
              <w:pStyle w:val="TableText"/>
              <w:spacing w:before="90" w:after="90"/>
            </w:pPr>
            <w:r w:rsidRPr="00601A89">
              <w:t>This Plan is advanc</w:t>
            </w:r>
            <w:r>
              <w:t>ing</w:t>
            </w:r>
            <w:r w:rsidRPr="00601A89">
              <w:t xml:space="preserve"> this </w:t>
            </w:r>
            <w:r>
              <w:t>work</w:t>
            </w:r>
            <w:r w:rsidR="007062CA">
              <w:t>.</w:t>
            </w:r>
          </w:p>
        </w:tc>
      </w:tr>
      <w:tr w:rsidR="00E85766" w:rsidRPr="00601A89" w14:paraId="5A95C1DE" w14:textId="77777777" w:rsidTr="007062CA">
        <w:trPr>
          <w:cantSplit/>
        </w:trPr>
        <w:tc>
          <w:tcPr>
            <w:tcW w:w="5103" w:type="dxa"/>
          </w:tcPr>
          <w:p w14:paraId="214C2EAA" w14:textId="77777777" w:rsidR="00E85766" w:rsidRPr="00601A89" w:rsidRDefault="00A02CFD" w:rsidP="00942F87">
            <w:pPr>
              <w:pStyle w:val="TableText"/>
              <w:spacing w:before="90" w:after="90"/>
              <w:ind w:left="425" w:right="142" w:hanging="425"/>
            </w:pPr>
            <w:r>
              <w:t>15.</w:t>
            </w:r>
            <w:r>
              <w:tab/>
            </w:r>
            <w:r w:rsidR="00E85766" w:rsidRPr="00601A89">
              <w:t>The Ministry should produce an annual national radiation oncology implementation plan, as part of the Cancer Programme</w:t>
            </w:r>
            <w:r w:rsidR="007062CA">
              <w:t>.</w:t>
            </w:r>
          </w:p>
        </w:tc>
        <w:tc>
          <w:tcPr>
            <w:tcW w:w="4253" w:type="dxa"/>
          </w:tcPr>
          <w:p w14:paraId="02A6F871" w14:textId="77777777" w:rsidR="00E85766" w:rsidRPr="00601A89" w:rsidRDefault="00E85766" w:rsidP="00942F87">
            <w:pPr>
              <w:pStyle w:val="TableText"/>
              <w:spacing w:before="90" w:after="90"/>
            </w:pPr>
            <w:r>
              <w:t>T</w:t>
            </w:r>
            <w:r w:rsidRPr="00601A89">
              <w:t xml:space="preserve">he Ministry </w:t>
            </w:r>
            <w:r>
              <w:t>has not produced a</w:t>
            </w:r>
            <w:r w:rsidRPr="00601A89">
              <w:t xml:space="preserve">nnual national radiation oncology implementation plans. However, </w:t>
            </w:r>
            <w:r>
              <w:t xml:space="preserve">it has included </w:t>
            </w:r>
            <w:r w:rsidRPr="00601A89">
              <w:t>this work in</w:t>
            </w:r>
            <w:r>
              <w:t xml:space="preserve"> its</w:t>
            </w:r>
            <w:r w:rsidRPr="00601A89">
              <w:t xml:space="preserve"> standard work planning process</w:t>
            </w:r>
            <w:r w:rsidR="007062CA">
              <w:t>.</w:t>
            </w:r>
          </w:p>
        </w:tc>
      </w:tr>
    </w:tbl>
    <w:p w14:paraId="3E3B520B" w14:textId="77777777" w:rsidR="00E85766" w:rsidRPr="00601A89" w:rsidRDefault="007062CA" w:rsidP="007062CA">
      <w:pPr>
        <w:pStyle w:val="Heading1"/>
        <w:numPr>
          <w:ilvl w:val="0"/>
          <w:numId w:val="0"/>
        </w:numPr>
      </w:pPr>
      <w:bookmarkStart w:id="97" w:name="_Toc470858866"/>
      <w:bookmarkStart w:id="98" w:name="_Toc475992520"/>
      <w:r>
        <w:lastRenderedPageBreak/>
        <w:t xml:space="preserve">Appendix B: </w:t>
      </w:r>
      <w:r w:rsidR="00E85766" w:rsidRPr="00601A89">
        <w:t xml:space="preserve">Radiation </w:t>
      </w:r>
      <w:r w:rsidR="00E85766">
        <w:t>o</w:t>
      </w:r>
      <w:r w:rsidR="00E85766" w:rsidRPr="00601A89">
        <w:t xml:space="preserve">ncology </w:t>
      </w:r>
      <w:r w:rsidR="00E85766">
        <w:t>m</w:t>
      </w:r>
      <w:r w:rsidR="00E85766" w:rsidRPr="00601A89">
        <w:t>etrics</w:t>
      </w:r>
      <w:bookmarkEnd w:id="97"/>
      <w:bookmarkEnd w:id="98"/>
    </w:p>
    <w:p w14:paraId="04C74C29" w14:textId="77777777" w:rsidR="00E85766" w:rsidRPr="00601A89" w:rsidRDefault="00E85766" w:rsidP="007062CA">
      <w:pPr>
        <w:pStyle w:val="Heading2"/>
        <w:numPr>
          <w:ilvl w:val="0"/>
          <w:numId w:val="0"/>
        </w:numPr>
      </w:pPr>
      <w:bookmarkStart w:id="99" w:name="_Toc475992521"/>
      <w:r w:rsidRPr="00601A89">
        <w:t>Quarterly measures</w:t>
      </w:r>
      <w:bookmarkEnd w:id="99"/>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379"/>
        <w:gridCol w:w="2977"/>
      </w:tblGrid>
      <w:tr w:rsidR="00E85766" w:rsidRPr="007062CA" w14:paraId="69609310" w14:textId="77777777" w:rsidTr="00167FEA">
        <w:trPr>
          <w:cantSplit/>
        </w:trPr>
        <w:tc>
          <w:tcPr>
            <w:tcW w:w="6379" w:type="dxa"/>
            <w:tcBorders>
              <w:top w:val="single" w:sz="4" w:space="0" w:color="auto"/>
              <w:bottom w:val="single" w:sz="4" w:space="0" w:color="auto"/>
            </w:tcBorders>
            <w:shd w:val="clear" w:color="auto" w:fill="auto"/>
            <w:tcMar>
              <w:top w:w="0" w:type="dxa"/>
              <w:left w:w="57" w:type="dxa"/>
              <w:bottom w:w="0" w:type="dxa"/>
              <w:right w:w="57" w:type="dxa"/>
            </w:tcMar>
            <w:hideMark/>
          </w:tcPr>
          <w:p w14:paraId="6CC18467" w14:textId="77777777" w:rsidR="00E85766" w:rsidRPr="007062CA" w:rsidRDefault="00E85766" w:rsidP="007062CA">
            <w:pPr>
              <w:pStyle w:val="TableText"/>
              <w:ind w:right="142"/>
              <w:rPr>
                <w:b/>
              </w:rPr>
            </w:pPr>
            <w:r w:rsidRPr="007062CA">
              <w:rPr>
                <w:b/>
              </w:rPr>
              <w:t>Measure</w:t>
            </w:r>
          </w:p>
        </w:tc>
        <w:tc>
          <w:tcPr>
            <w:tcW w:w="2977" w:type="dxa"/>
            <w:tcBorders>
              <w:top w:val="single" w:sz="4" w:space="0" w:color="auto"/>
              <w:bottom w:val="single" w:sz="4" w:space="0" w:color="auto"/>
            </w:tcBorders>
            <w:shd w:val="clear" w:color="auto" w:fill="auto"/>
            <w:tcMar>
              <w:top w:w="0" w:type="dxa"/>
              <w:left w:w="57" w:type="dxa"/>
              <w:bottom w:w="0" w:type="dxa"/>
              <w:right w:w="57" w:type="dxa"/>
            </w:tcMar>
            <w:hideMark/>
          </w:tcPr>
          <w:p w14:paraId="57015682" w14:textId="77777777" w:rsidR="00E85766" w:rsidRPr="007062CA" w:rsidRDefault="00E85766" w:rsidP="007062CA">
            <w:pPr>
              <w:pStyle w:val="TableText"/>
              <w:rPr>
                <w:b/>
              </w:rPr>
            </w:pPr>
            <w:r w:rsidRPr="007062CA">
              <w:rPr>
                <w:b/>
              </w:rPr>
              <w:t>Variables</w:t>
            </w:r>
          </w:p>
        </w:tc>
      </w:tr>
      <w:tr w:rsidR="00E85766" w:rsidRPr="00167FEA" w14:paraId="5AF862EE" w14:textId="77777777" w:rsidTr="00167FEA">
        <w:trPr>
          <w:cantSplit/>
        </w:trPr>
        <w:tc>
          <w:tcPr>
            <w:tcW w:w="6379" w:type="dxa"/>
            <w:tcBorders>
              <w:top w:val="single" w:sz="4" w:space="0" w:color="auto"/>
            </w:tcBorders>
            <w:shd w:val="clear" w:color="auto" w:fill="auto"/>
            <w:tcMar>
              <w:top w:w="0" w:type="dxa"/>
              <w:left w:w="57" w:type="dxa"/>
              <w:bottom w:w="0" w:type="dxa"/>
              <w:right w:w="57" w:type="dxa"/>
            </w:tcMar>
            <w:vAlign w:val="center"/>
            <w:hideMark/>
          </w:tcPr>
          <w:p w14:paraId="38F6C4D9" w14:textId="77777777" w:rsidR="00E85766" w:rsidRPr="00167FEA" w:rsidRDefault="00E85766" w:rsidP="007062CA">
            <w:pPr>
              <w:pStyle w:val="TableText"/>
              <w:ind w:right="142"/>
              <w:rPr>
                <w:b/>
              </w:rPr>
            </w:pPr>
            <w:r w:rsidRPr="00167FEA">
              <w:rPr>
                <w:b/>
                <w:iCs/>
              </w:rPr>
              <w:t>Volumes</w:t>
            </w:r>
          </w:p>
        </w:tc>
        <w:tc>
          <w:tcPr>
            <w:tcW w:w="2977" w:type="dxa"/>
            <w:tcBorders>
              <w:top w:val="single" w:sz="4" w:space="0" w:color="auto"/>
            </w:tcBorders>
            <w:shd w:val="clear" w:color="auto" w:fill="auto"/>
            <w:tcMar>
              <w:top w:w="0" w:type="dxa"/>
              <w:left w:w="57" w:type="dxa"/>
              <w:bottom w:w="0" w:type="dxa"/>
              <w:right w:w="57" w:type="dxa"/>
            </w:tcMar>
            <w:vAlign w:val="center"/>
            <w:hideMark/>
          </w:tcPr>
          <w:p w14:paraId="6DEA9238" w14:textId="77777777" w:rsidR="00E85766" w:rsidRPr="00167FEA" w:rsidRDefault="00E85766" w:rsidP="007062CA">
            <w:pPr>
              <w:pStyle w:val="TableText"/>
              <w:rPr>
                <w:b/>
              </w:rPr>
            </w:pPr>
          </w:p>
        </w:tc>
      </w:tr>
      <w:tr w:rsidR="00E85766" w:rsidRPr="00601A89" w14:paraId="619434E7" w14:textId="77777777" w:rsidTr="00167FEA">
        <w:trPr>
          <w:cantSplit/>
        </w:trPr>
        <w:tc>
          <w:tcPr>
            <w:tcW w:w="6379" w:type="dxa"/>
            <w:shd w:val="clear" w:color="auto" w:fill="auto"/>
            <w:tcMar>
              <w:top w:w="0" w:type="dxa"/>
              <w:left w:w="57" w:type="dxa"/>
              <w:bottom w:w="0" w:type="dxa"/>
              <w:right w:w="57" w:type="dxa"/>
            </w:tcMar>
            <w:vAlign w:val="center"/>
            <w:hideMark/>
          </w:tcPr>
          <w:p w14:paraId="05F83695" w14:textId="77777777" w:rsidR="00E85766" w:rsidRPr="00601A89" w:rsidRDefault="00E85766" w:rsidP="007062CA">
            <w:pPr>
              <w:pStyle w:val="TableText"/>
              <w:ind w:right="142"/>
            </w:pPr>
            <w:r w:rsidRPr="00601A89">
              <w:t>Number of courses</w:t>
            </w:r>
          </w:p>
        </w:tc>
        <w:tc>
          <w:tcPr>
            <w:tcW w:w="2977" w:type="dxa"/>
            <w:shd w:val="clear" w:color="auto" w:fill="auto"/>
            <w:tcMar>
              <w:top w:w="0" w:type="dxa"/>
              <w:left w:w="57" w:type="dxa"/>
              <w:bottom w:w="0" w:type="dxa"/>
              <w:right w:w="57" w:type="dxa"/>
            </w:tcMar>
            <w:vAlign w:val="center"/>
            <w:hideMark/>
          </w:tcPr>
          <w:p w14:paraId="1E5297BF" w14:textId="77777777" w:rsidR="00E85766" w:rsidRPr="00601A89" w:rsidRDefault="007062CA" w:rsidP="007062CA">
            <w:pPr>
              <w:pStyle w:val="TableText"/>
            </w:pPr>
            <w:r>
              <w:t>B</w:t>
            </w:r>
            <w:r w:rsidR="00E85766" w:rsidRPr="00601A89">
              <w:t>y provider, region</w:t>
            </w:r>
          </w:p>
        </w:tc>
      </w:tr>
      <w:tr w:rsidR="00E85766" w:rsidRPr="00601A89" w14:paraId="61133BFA" w14:textId="77777777" w:rsidTr="00167FEA">
        <w:trPr>
          <w:cantSplit/>
        </w:trPr>
        <w:tc>
          <w:tcPr>
            <w:tcW w:w="6379" w:type="dxa"/>
            <w:shd w:val="clear" w:color="auto" w:fill="auto"/>
            <w:tcMar>
              <w:top w:w="0" w:type="dxa"/>
              <w:left w:w="57" w:type="dxa"/>
              <w:bottom w:w="0" w:type="dxa"/>
              <w:right w:w="57" w:type="dxa"/>
            </w:tcMar>
            <w:vAlign w:val="center"/>
            <w:hideMark/>
          </w:tcPr>
          <w:p w14:paraId="0DBE7CCE" w14:textId="77777777" w:rsidR="00E85766" w:rsidRPr="00601A89" w:rsidRDefault="00E85766" w:rsidP="007062CA">
            <w:pPr>
              <w:pStyle w:val="TableText"/>
              <w:ind w:right="142"/>
            </w:pPr>
            <w:r w:rsidRPr="00601A89">
              <w:t>Number of courses by modality (brachy</w:t>
            </w:r>
            <w:r>
              <w:t xml:space="preserve">therapy or </w:t>
            </w:r>
            <w:r w:rsidRPr="00601A89">
              <w:t>ext</w:t>
            </w:r>
            <w:r>
              <w:t>ernal</w:t>
            </w:r>
            <w:r w:rsidRPr="00601A89">
              <w:t xml:space="preserve"> beam)</w:t>
            </w:r>
          </w:p>
        </w:tc>
        <w:tc>
          <w:tcPr>
            <w:tcW w:w="2977" w:type="dxa"/>
            <w:shd w:val="clear" w:color="auto" w:fill="auto"/>
            <w:tcMar>
              <w:top w:w="0" w:type="dxa"/>
              <w:left w:w="57" w:type="dxa"/>
              <w:bottom w:w="0" w:type="dxa"/>
              <w:right w:w="57" w:type="dxa"/>
            </w:tcMar>
            <w:vAlign w:val="center"/>
            <w:hideMark/>
          </w:tcPr>
          <w:p w14:paraId="5FC69A1D" w14:textId="77777777" w:rsidR="00E85766" w:rsidRPr="00601A89" w:rsidRDefault="007062CA" w:rsidP="007062CA">
            <w:pPr>
              <w:pStyle w:val="TableText"/>
            </w:pPr>
            <w:r>
              <w:t>B</w:t>
            </w:r>
            <w:r w:rsidR="00E85766" w:rsidRPr="00601A89">
              <w:t>y provider, region</w:t>
            </w:r>
          </w:p>
        </w:tc>
      </w:tr>
      <w:tr w:rsidR="00E85766" w:rsidRPr="00601A89" w14:paraId="39FEA159" w14:textId="77777777" w:rsidTr="00167FEA">
        <w:trPr>
          <w:cantSplit/>
        </w:trPr>
        <w:tc>
          <w:tcPr>
            <w:tcW w:w="6379" w:type="dxa"/>
            <w:shd w:val="clear" w:color="auto" w:fill="auto"/>
            <w:tcMar>
              <w:top w:w="0" w:type="dxa"/>
              <w:left w:w="57" w:type="dxa"/>
              <w:bottom w:w="0" w:type="dxa"/>
              <w:right w:w="57" w:type="dxa"/>
            </w:tcMar>
            <w:vAlign w:val="center"/>
            <w:hideMark/>
          </w:tcPr>
          <w:p w14:paraId="39F0BFCF" w14:textId="77777777" w:rsidR="00E85766" w:rsidRPr="00601A89" w:rsidRDefault="00E85766" w:rsidP="007062CA">
            <w:pPr>
              <w:pStyle w:val="TableText"/>
              <w:ind w:right="142"/>
            </w:pPr>
            <w:r w:rsidRPr="00601A89">
              <w:t>Number of external beam courses by technique</w:t>
            </w:r>
          </w:p>
        </w:tc>
        <w:tc>
          <w:tcPr>
            <w:tcW w:w="2977" w:type="dxa"/>
            <w:shd w:val="clear" w:color="auto" w:fill="auto"/>
            <w:tcMar>
              <w:top w:w="0" w:type="dxa"/>
              <w:left w:w="57" w:type="dxa"/>
              <w:bottom w:w="0" w:type="dxa"/>
              <w:right w:w="57" w:type="dxa"/>
            </w:tcMar>
            <w:vAlign w:val="center"/>
            <w:hideMark/>
          </w:tcPr>
          <w:p w14:paraId="63FB47CE" w14:textId="77777777" w:rsidR="00E85766" w:rsidRPr="00601A89" w:rsidRDefault="007062CA" w:rsidP="007062CA">
            <w:pPr>
              <w:pStyle w:val="TableText"/>
            </w:pPr>
            <w:r>
              <w:t>B</w:t>
            </w:r>
            <w:r w:rsidR="00E85766" w:rsidRPr="00601A89">
              <w:t>y provider</w:t>
            </w:r>
          </w:p>
        </w:tc>
      </w:tr>
      <w:tr w:rsidR="00E85766" w:rsidRPr="00601A89" w14:paraId="0CA8065A" w14:textId="77777777" w:rsidTr="00167FEA">
        <w:trPr>
          <w:cantSplit/>
        </w:trPr>
        <w:tc>
          <w:tcPr>
            <w:tcW w:w="6379" w:type="dxa"/>
            <w:shd w:val="clear" w:color="auto" w:fill="auto"/>
            <w:tcMar>
              <w:top w:w="0" w:type="dxa"/>
              <w:left w:w="57" w:type="dxa"/>
              <w:bottom w:w="0" w:type="dxa"/>
              <w:right w:w="57" w:type="dxa"/>
            </w:tcMar>
            <w:vAlign w:val="center"/>
            <w:hideMark/>
          </w:tcPr>
          <w:p w14:paraId="7880A24E" w14:textId="77777777" w:rsidR="00E85766" w:rsidRPr="00601A89" w:rsidRDefault="00E85766" w:rsidP="007062CA">
            <w:pPr>
              <w:pStyle w:val="TableText"/>
              <w:ind w:right="142"/>
            </w:pPr>
            <w:r w:rsidRPr="00601A89">
              <w:t>Number of first courses palliative/curative</w:t>
            </w:r>
          </w:p>
        </w:tc>
        <w:tc>
          <w:tcPr>
            <w:tcW w:w="2977" w:type="dxa"/>
            <w:shd w:val="clear" w:color="auto" w:fill="auto"/>
            <w:tcMar>
              <w:top w:w="0" w:type="dxa"/>
              <w:left w:w="57" w:type="dxa"/>
              <w:bottom w:w="0" w:type="dxa"/>
              <w:right w:w="57" w:type="dxa"/>
            </w:tcMar>
            <w:vAlign w:val="center"/>
            <w:hideMark/>
          </w:tcPr>
          <w:p w14:paraId="79DF7568" w14:textId="77777777" w:rsidR="00E85766" w:rsidRPr="00601A89" w:rsidRDefault="007062CA" w:rsidP="007062CA">
            <w:pPr>
              <w:pStyle w:val="TableText"/>
            </w:pPr>
            <w:r>
              <w:t>B</w:t>
            </w:r>
            <w:r w:rsidR="00E85766" w:rsidRPr="00601A89">
              <w:t>y provider</w:t>
            </w:r>
          </w:p>
        </w:tc>
      </w:tr>
      <w:tr w:rsidR="00E85766" w:rsidRPr="00601A89" w14:paraId="3B376B66" w14:textId="77777777" w:rsidTr="00167FEA">
        <w:trPr>
          <w:cantSplit/>
        </w:trPr>
        <w:tc>
          <w:tcPr>
            <w:tcW w:w="6379" w:type="dxa"/>
            <w:tcBorders>
              <w:bottom w:val="single" w:sz="4" w:space="0" w:color="auto"/>
            </w:tcBorders>
            <w:shd w:val="clear" w:color="auto" w:fill="auto"/>
            <w:tcMar>
              <w:top w:w="0" w:type="dxa"/>
              <w:left w:w="57" w:type="dxa"/>
              <w:bottom w:w="0" w:type="dxa"/>
              <w:right w:w="57" w:type="dxa"/>
            </w:tcMar>
            <w:vAlign w:val="center"/>
            <w:hideMark/>
          </w:tcPr>
          <w:p w14:paraId="25087002" w14:textId="77777777" w:rsidR="00E85766" w:rsidRPr="00601A89" w:rsidRDefault="00E85766" w:rsidP="007062CA">
            <w:pPr>
              <w:pStyle w:val="TableText"/>
              <w:ind w:right="142"/>
            </w:pPr>
            <w:r w:rsidRPr="00601A89">
              <w:t>Total attendances</w:t>
            </w:r>
          </w:p>
        </w:tc>
        <w:tc>
          <w:tcPr>
            <w:tcW w:w="2977" w:type="dxa"/>
            <w:tcBorders>
              <w:bottom w:val="single" w:sz="4" w:space="0" w:color="auto"/>
            </w:tcBorders>
            <w:shd w:val="clear" w:color="auto" w:fill="auto"/>
            <w:tcMar>
              <w:top w:w="0" w:type="dxa"/>
              <w:left w:w="57" w:type="dxa"/>
              <w:bottom w:w="0" w:type="dxa"/>
              <w:right w:w="57" w:type="dxa"/>
            </w:tcMar>
            <w:vAlign w:val="center"/>
            <w:hideMark/>
          </w:tcPr>
          <w:p w14:paraId="4FBDB0E0" w14:textId="77777777" w:rsidR="00E85766" w:rsidRPr="00601A89" w:rsidRDefault="007062CA" w:rsidP="007062CA">
            <w:pPr>
              <w:pStyle w:val="TableText"/>
            </w:pPr>
            <w:r>
              <w:t>B</w:t>
            </w:r>
            <w:r w:rsidR="00E85766" w:rsidRPr="00601A89">
              <w:t>y provider</w:t>
            </w:r>
          </w:p>
        </w:tc>
      </w:tr>
      <w:tr w:rsidR="00E85766" w:rsidRPr="00167FEA" w14:paraId="483DA779" w14:textId="77777777" w:rsidTr="00167FEA">
        <w:trPr>
          <w:cantSplit/>
        </w:trPr>
        <w:tc>
          <w:tcPr>
            <w:tcW w:w="6379"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582002B7" w14:textId="77777777" w:rsidR="00E85766" w:rsidRPr="00167FEA" w:rsidRDefault="00E85766" w:rsidP="007062CA">
            <w:pPr>
              <w:pStyle w:val="TableText"/>
              <w:ind w:right="142"/>
              <w:rPr>
                <w:b/>
              </w:rPr>
            </w:pPr>
            <w:r w:rsidRPr="00167FEA">
              <w:rPr>
                <w:b/>
                <w:iCs/>
              </w:rPr>
              <w:t>Workforce</w:t>
            </w:r>
          </w:p>
        </w:tc>
        <w:tc>
          <w:tcPr>
            <w:tcW w:w="2977"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5F151E70" w14:textId="77777777" w:rsidR="00E85766" w:rsidRPr="00167FEA" w:rsidRDefault="00E85766" w:rsidP="007062CA">
            <w:pPr>
              <w:pStyle w:val="TableText"/>
              <w:rPr>
                <w:b/>
              </w:rPr>
            </w:pPr>
          </w:p>
        </w:tc>
      </w:tr>
      <w:tr w:rsidR="00E85766" w:rsidRPr="00601A89" w14:paraId="7F6CC1FA" w14:textId="77777777" w:rsidTr="00167FEA">
        <w:trPr>
          <w:cantSplit/>
        </w:trPr>
        <w:tc>
          <w:tcPr>
            <w:tcW w:w="6379" w:type="dxa"/>
            <w:tcBorders>
              <w:top w:val="single" w:sz="4" w:space="0" w:color="A6A6A6" w:themeColor="background1" w:themeShade="A6"/>
            </w:tcBorders>
            <w:shd w:val="clear" w:color="auto" w:fill="auto"/>
            <w:tcMar>
              <w:top w:w="0" w:type="dxa"/>
              <w:left w:w="57" w:type="dxa"/>
              <w:bottom w:w="0" w:type="dxa"/>
              <w:right w:w="57" w:type="dxa"/>
            </w:tcMar>
            <w:vAlign w:val="center"/>
            <w:hideMark/>
          </w:tcPr>
          <w:p w14:paraId="004E9F4F" w14:textId="77777777" w:rsidR="00E85766" w:rsidRPr="00601A89" w:rsidRDefault="00E85766" w:rsidP="007062CA">
            <w:pPr>
              <w:pStyle w:val="TableText"/>
              <w:ind w:right="142"/>
            </w:pPr>
            <w:r w:rsidRPr="00601A89">
              <w:t xml:space="preserve">Workforce </w:t>
            </w:r>
            <w:r>
              <w:t>full-time equivalent</w:t>
            </w:r>
            <w:r w:rsidRPr="00601A89">
              <w:t xml:space="preserve"> numbers by type</w:t>
            </w:r>
          </w:p>
        </w:tc>
        <w:tc>
          <w:tcPr>
            <w:tcW w:w="2977" w:type="dxa"/>
            <w:tcBorders>
              <w:top w:val="single" w:sz="4" w:space="0" w:color="A6A6A6" w:themeColor="background1" w:themeShade="A6"/>
            </w:tcBorders>
            <w:shd w:val="clear" w:color="auto" w:fill="auto"/>
            <w:tcMar>
              <w:top w:w="0" w:type="dxa"/>
              <w:left w:w="57" w:type="dxa"/>
              <w:bottom w:w="0" w:type="dxa"/>
              <w:right w:w="57" w:type="dxa"/>
            </w:tcMar>
            <w:vAlign w:val="center"/>
            <w:hideMark/>
          </w:tcPr>
          <w:p w14:paraId="63423EB6" w14:textId="77777777" w:rsidR="00E85766" w:rsidRPr="00601A89" w:rsidRDefault="007062CA" w:rsidP="007062CA">
            <w:pPr>
              <w:pStyle w:val="TableText"/>
            </w:pPr>
            <w:r>
              <w:t>B</w:t>
            </w:r>
            <w:r w:rsidR="00E85766" w:rsidRPr="00601A89">
              <w:t>y provider</w:t>
            </w:r>
          </w:p>
        </w:tc>
      </w:tr>
      <w:tr w:rsidR="00E85766" w:rsidRPr="00601A89" w14:paraId="002F783B" w14:textId="77777777" w:rsidTr="00167FEA">
        <w:trPr>
          <w:cantSplit/>
        </w:trPr>
        <w:tc>
          <w:tcPr>
            <w:tcW w:w="6379" w:type="dxa"/>
            <w:tcBorders>
              <w:bottom w:val="single" w:sz="4" w:space="0" w:color="auto"/>
            </w:tcBorders>
            <w:shd w:val="clear" w:color="auto" w:fill="auto"/>
            <w:tcMar>
              <w:top w:w="0" w:type="dxa"/>
              <w:left w:w="57" w:type="dxa"/>
              <w:bottom w:w="0" w:type="dxa"/>
              <w:right w:w="57" w:type="dxa"/>
            </w:tcMar>
            <w:vAlign w:val="center"/>
            <w:hideMark/>
          </w:tcPr>
          <w:p w14:paraId="0A5A97B3" w14:textId="77777777" w:rsidR="00E85766" w:rsidRPr="00601A89" w:rsidRDefault="00E85766" w:rsidP="007062CA">
            <w:pPr>
              <w:pStyle w:val="TableText"/>
              <w:ind w:right="142"/>
            </w:pPr>
            <w:r w:rsidRPr="00601A89">
              <w:t>Workforce vacancies by type</w:t>
            </w:r>
          </w:p>
        </w:tc>
        <w:tc>
          <w:tcPr>
            <w:tcW w:w="2977" w:type="dxa"/>
            <w:tcBorders>
              <w:bottom w:val="single" w:sz="4" w:space="0" w:color="auto"/>
            </w:tcBorders>
            <w:shd w:val="clear" w:color="auto" w:fill="auto"/>
            <w:tcMar>
              <w:top w:w="0" w:type="dxa"/>
              <w:left w:w="57" w:type="dxa"/>
              <w:bottom w:w="0" w:type="dxa"/>
              <w:right w:w="57" w:type="dxa"/>
            </w:tcMar>
            <w:vAlign w:val="center"/>
            <w:hideMark/>
          </w:tcPr>
          <w:p w14:paraId="507A5584" w14:textId="77777777" w:rsidR="00E85766" w:rsidRPr="00601A89" w:rsidRDefault="007062CA" w:rsidP="007062CA">
            <w:pPr>
              <w:pStyle w:val="TableText"/>
            </w:pPr>
            <w:r>
              <w:t>B</w:t>
            </w:r>
            <w:r w:rsidR="00E85766" w:rsidRPr="00601A89">
              <w:t>y provider</w:t>
            </w:r>
          </w:p>
        </w:tc>
      </w:tr>
      <w:tr w:rsidR="00E85766" w:rsidRPr="00167FEA" w14:paraId="7592435C" w14:textId="77777777" w:rsidTr="00167FEA">
        <w:trPr>
          <w:cantSplit/>
        </w:trPr>
        <w:tc>
          <w:tcPr>
            <w:tcW w:w="6379"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tcPr>
          <w:p w14:paraId="382429A7" w14:textId="77777777" w:rsidR="00E85766" w:rsidRPr="00167FEA" w:rsidRDefault="00E85766" w:rsidP="007062CA">
            <w:pPr>
              <w:pStyle w:val="TableText"/>
              <w:ind w:right="142"/>
              <w:rPr>
                <w:b/>
              </w:rPr>
            </w:pPr>
            <w:r w:rsidRPr="00167FEA">
              <w:rPr>
                <w:b/>
              </w:rPr>
              <w:t>Treatment</w:t>
            </w:r>
          </w:p>
        </w:tc>
        <w:tc>
          <w:tcPr>
            <w:tcW w:w="2977"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tcPr>
          <w:p w14:paraId="5E5ECAAD" w14:textId="77777777" w:rsidR="00E85766" w:rsidRPr="00167FEA" w:rsidRDefault="00E85766" w:rsidP="007062CA">
            <w:pPr>
              <w:pStyle w:val="TableText"/>
              <w:rPr>
                <w:b/>
              </w:rPr>
            </w:pPr>
          </w:p>
        </w:tc>
      </w:tr>
      <w:tr w:rsidR="00E85766" w:rsidRPr="00601A89" w14:paraId="3106CEF7" w14:textId="77777777" w:rsidTr="00167FEA">
        <w:trPr>
          <w:cantSplit/>
        </w:trPr>
        <w:tc>
          <w:tcPr>
            <w:tcW w:w="6379" w:type="dxa"/>
            <w:tcBorders>
              <w:top w:val="single" w:sz="4" w:space="0" w:color="A6A6A6" w:themeColor="background1" w:themeShade="A6"/>
            </w:tcBorders>
            <w:shd w:val="clear" w:color="auto" w:fill="auto"/>
            <w:tcMar>
              <w:top w:w="0" w:type="dxa"/>
              <w:left w:w="57" w:type="dxa"/>
              <w:bottom w:w="0" w:type="dxa"/>
              <w:right w:w="57" w:type="dxa"/>
            </w:tcMar>
            <w:vAlign w:val="center"/>
          </w:tcPr>
          <w:p w14:paraId="072F0B93" w14:textId="77777777" w:rsidR="00E85766" w:rsidRPr="00601A89" w:rsidRDefault="00E85766" w:rsidP="007062CA">
            <w:pPr>
              <w:pStyle w:val="TableText"/>
              <w:ind w:right="142"/>
            </w:pPr>
            <w:r w:rsidRPr="00601A89">
              <w:t xml:space="preserve">% of treatment plans that use </w:t>
            </w:r>
            <w:r w:rsidRPr="00052C33">
              <w:rPr>
                <w:szCs w:val="18"/>
              </w:rPr>
              <w:t>intensity modulated radiotherapy</w:t>
            </w:r>
            <w:r w:rsidRPr="00601A89">
              <w:t xml:space="preserve"> </w:t>
            </w:r>
            <w:r>
              <w:t>(</w:t>
            </w:r>
            <w:r w:rsidRPr="00601A89">
              <w:t>IMRT</w:t>
            </w:r>
            <w:r>
              <w:t>)</w:t>
            </w:r>
          </w:p>
        </w:tc>
        <w:tc>
          <w:tcPr>
            <w:tcW w:w="2977" w:type="dxa"/>
            <w:tcBorders>
              <w:top w:val="single" w:sz="4" w:space="0" w:color="A6A6A6" w:themeColor="background1" w:themeShade="A6"/>
            </w:tcBorders>
            <w:shd w:val="clear" w:color="auto" w:fill="auto"/>
            <w:tcMar>
              <w:top w:w="0" w:type="dxa"/>
              <w:left w:w="57" w:type="dxa"/>
              <w:bottom w:w="0" w:type="dxa"/>
              <w:right w:w="57" w:type="dxa"/>
            </w:tcMar>
            <w:vAlign w:val="center"/>
          </w:tcPr>
          <w:p w14:paraId="32DBB04A" w14:textId="77777777" w:rsidR="00E85766" w:rsidRPr="00601A89" w:rsidRDefault="007062CA" w:rsidP="007062CA">
            <w:pPr>
              <w:pStyle w:val="TableText"/>
            </w:pPr>
            <w:r>
              <w:t>B</w:t>
            </w:r>
            <w:r w:rsidR="00E85766" w:rsidRPr="00601A89">
              <w:t xml:space="preserve">y provider, region, </w:t>
            </w:r>
            <w:r w:rsidR="00E85766">
              <w:t>New Zealand</w:t>
            </w:r>
          </w:p>
        </w:tc>
      </w:tr>
      <w:tr w:rsidR="00E85766" w:rsidRPr="00601A89" w14:paraId="01B4E729" w14:textId="77777777" w:rsidTr="00167FEA">
        <w:trPr>
          <w:cantSplit/>
        </w:trPr>
        <w:tc>
          <w:tcPr>
            <w:tcW w:w="6379" w:type="dxa"/>
            <w:shd w:val="clear" w:color="auto" w:fill="auto"/>
            <w:tcMar>
              <w:top w:w="0" w:type="dxa"/>
              <w:left w:w="57" w:type="dxa"/>
              <w:bottom w:w="0" w:type="dxa"/>
              <w:right w:w="57" w:type="dxa"/>
            </w:tcMar>
            <w:vAlign w:val="center"/>
          </w:tcPr>
          <w:p w14:paraId="6D3EA987" w14:textId="77777777" w:rsidR="00E85766" w:rsidRPr="00601A89" w:rsidRDefault="00E85766" w:rsidP="007062CA">
            <w:pPr>
              <w:pStyle w:val="TableText"/>
              <w:ind w:right="142"/>
            </w:pPr>
            <w:r w:rsidRPr="00601A89">
              <w:t xml:space="preserve">% of treatment plans that use </w:t>
            </w:r>
            <w:r>
              <w:t>volumetric modulated arc therapy (</w:t>
            </w:r>
            <w:r w:rsidRPr="00601A89">
              <w:t>VMAT</w:t>
            </w:r>
            <w:r>
              <w:t>)</w:t>
            </w:r>
          </w:p>
        </w:tc>
        <w:tc>
          <w:tcPr>
            <w:tcW w:w="2977" w:type="dxa"/>
            <w:shd w:val="clear" w:color="auto" w:fill="auto"/>
            <w:tcMar>
              <w:top w:w="0" w:type="dxa"/>
              <w:left w:w="57" w:type="dxa"/>
              <w:bottom w:w="0" w:type="dxa"/>
              <w:right w:w="57" w:type="dxa"/>
            </w:tcMar>
            <w:vAlign w:val="center"/>
          </w:tcPr>
          <w:p w14:paraId="17FA8B0B" w14:textId="77777777" w:rsidR="00E85766" w:rsidRPr="00601A89" w:rsidRDefault="007062CA" w:rsidP="007062CA">
            <w:pPr>
              <w:pStyle w:val="TableText"/>
            </w:pPr>
            <w:r>
              <w:t>B</w:t>
            </w:r>
            <w:r w:rsidR="00E85766" w:rsidRPr="00601A89">
              <w:t xml:space="preserve">y provider, region, </w:t>
            </w:r>
            <w:r w:rsidR="00E85766">
              <w:t>New Zealand</w:t>
            </w:r>
          </w:p>
        </w:tc>
      </w:tr>
      <w:tr w:rsidR="00E85766" w:rsidRPr="00601A89" w14:paraId="45FC7CB5" w14:textId="77777777" w:rsidTr="00167FEA">
        <w:trPr>
          <w:cantSplit/>
        </w:trPr>
        <w:tc>
          <w:tcPr>
            <w:tcW w:w="6379" w:type="dxa"/>
            <w:shd w:val="clear" w:color="auto" w:fill="auto"/>
            <w:tcMar>
              <w:top w:w="0" w:type="dxa"/>
              <w:left w:w="57" w:type="dxa"/>
              <w:bottom w:w="0" w:type="dxa"/>
              <w:right w:w="57" w:type="dxa"/>
            </w:tcMar>
            <w:vAlign w:val="center"/>
          </w:tcPr>
          <w:p w14:paraId="1414D249" w14:textId="77777777" w:rsidR="00E85766" w:rsidRPr="00601A89" w:rsidRDefault="00E85766" w:rsidP="007062CA">
            <w:pPr>
              <w:pStyle w:val="TableText"/>
              <w:ind w:right="142"/>
            </w:pPr>
            <w:r w:rsidRPr="00601A89">
              <w:t xml:space="preserve">% of treatment plans that </w:t>
            </w:r>
            <w:r>
              <w:t>use</w:t>
            </w:r>
            <w:r w:rsidRPr="00601A89">
              <w:t xml:space="preserve"> </w:t>
            </w:r>
            <w:r w:rsidRPr="007A7766">
              <w:t>stereotactic ablative body radiotherapy</w:t>
            </w:r>
            <w:r w:rsidRPr="00601A89">
              <w:t xml:space="preserve"> </w:t>
            </w:r>
            <w:r>
              <w:t>(</w:t>
            </w:r>
            <w:r w:rsidRPr="00601A89">
              <w:t>SABR</w:t>
            </w:r>
            <w:r>
              <w:t>)</w:t>
            </w:r>
          </w:p>
        </w:tc>
        <w:tc>
          <w:tcPr>
            <w:tcW w:w="2977" w:type="dxa"/>
            <w:shd w:val="clear" w:color="auto" w:fill="auto"/>
            <w:tcMar>
              <w:top w:w="0" w:type="dxa"/>
              <w:left w:w="57" w:type="dxa"/>
              <w:bottom w:w="0" w:type="dxa"/>
              <w:right w:w="57" w:type="dxa"/>
            </w:tcMar>
            <w:vAlign w:val="center"/>
          </w:tcPr>
          <w:p w14:paraId="7DD3EB72" w14:textId="77777777" w:rsidR="00E85766" w:rsidRPr="00601A89" w:rsidRDefault="007062CA" w:rsidP="007062CA">
            <w:pPr>
              <w:pStyle w:val="TableText"/>
            </w:pPr>
            <w:r>
              <w:t>B</w:t>
            </w:r>
            <w:r w:rsidR="00E85766" w:rsidRPr="00601A89">
              <w:t xml:space="preserve">y provider, region, </w:t>
            </w:r>
            <w:r w:rsidR="00E85766">
              <w:t>New Zealand</w:t>
            </w:r>
          </w:p>
        </w:tc>
      </w:tr>
      <w:tr w:rsidR="00E85766" w:rsidRPr="00601A89" w14:paraId="47E9327A" w14:textId="77777777" w:rsidTr="00167FEA">
        <w:trPr>
          <w:cantSplit/>
        </w:trPr>
        <w:tc>
          <w:tcPr>
            <w:tcW w:w="6379" w:type="dxa"/>
            <w:tcBorders>
              <w:bottom w:val="single" w:sz="4" w:space="0" w:color="auto"/>
            </w:tcBorders>
            <w:shd w:val="clear" w:color="auto" w:fill="auto"/>
            <w:tcMar>
              <w:top w:w="0" w:type="dxa"/>
              <w:left w:w="57" w:type="dxa"/>
              <w:bottom w:w="0" w:type="dxa"/>
              <w:right w:w="57" w:type="dxa"/>
            </w:tcMar>
            <w:vAlign w:val="center"/>
          </w:tcPr>
          <w:p w14:paraId="0249152F" w14:textId="77777777" w:rsidR="00E85766" w:rsidRPr="00601A89" w:rsidRDefault="00E85766" w:rsidP="007062CA">
            <w:pPr>
              <w:pStyle w:val="TableText"/>
              <w:ind w:right="142"/>
            </w:pPr>
            <w:r w:rsidRPr="00601A89">
              <w:t>Waiting times for</w:t>
            </w:r>
            <w:r w:rsidR="007062CA">
              <w:t xml:space="preserve"> priority A, B, C, D categories</w:t>
            </w:r>
          </w:p>
        </w:tc>
        <w:tc>
          <w:tcPr>
            <w:tcW w:w="2977" w:type="dxa"/>
            <w:tcBorders>
              <w:bottom w:val="single" w:sz="4" w:space="0" w:color="auto"/>
            </w:tcBorders>
            <w:shd w:val="clear" w:color="auto" w:fill="auto"/>
            <w:tcMar>
              <w:top w:w="0" w:type="dxa"/>
              <w:left w:w="57" w:type="dxa"/>
              <w:bottom w:w="0" w:type="dxa"/>
              <w:right w:w="57" w:type="dxa"/>
            </w:tcMar>
            <w:vAlign w:val="center"/>
          </w:tcPr>
          <w:p w14:paraId="48BE4EFE" w14:textId="77777777" w:rsidR="00E85766" w:rsidRPr="00601A89" w:rsidRDefault="007062CA" w:rsidP="007062CA">
            <w:pPr>
              <w:pStyle w:val="TableText"/>
            </w:pPr>
            <w:r>
              <w:t>B</w:t>
            </w:r>
            <w:r w:rsidR="00E85766" w:rsidRPr="00601A89">
              <w:t xml:space="preserve">y provider, region, </w:t>
            </w:r>
            <w:r w:rsidR="00E85766">
              <w:t>New Zealand</w:t>
            </w:r>
          </w:p>
        </w:tc>
      </w:tr>
      <w:tr w:rsidR="00E85766" w:rsidRPr="00167FEA" w14:paraId="11E91BB3" w14:textId="77777777" w:rsidTr="00167FEA">
        <w:trPr>
          <w:cantSplit/>
        </w:trPr>
        <w:tc>
          <w:tcPr>
            <w:tcW w:w="6379"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584258BF" w14:textId="68C84221" w:rsidR="00E85766" w:rsidRPr="00167FEA" w:rsidRDefault="00E85766" w:rsidP="000F17F9">
            <w:pPr>
              <w:pStyle w:val="TableText"/>
              <w:ind w:right="142"/>
              <w:rPr>
                <w:b/>
              </w:rPr>
            </w:pPr>
            <w:r w:rsidRPr="00167FEA">
              <w:rPr>
                <w:b/>
                <w:iCs/>
              </w:rPr>
              <w:t xml:space="preserve">Faster </w:t>
            </w:r>
            <w:r w:rsidR="000F17F9">
              <w:rPr>
                <w:b/>
                <w:iCs/>
              </w:rPr>
              <w:t>c</w:t>
            </w:r>
            <w:r w:rsidR="007062CA" w:rsidRPr="00167FEA">
              <w:rPr>
                <w:b/>
                <w:iCs/>
              </w:rPr>
              <w:t xml:space="preserve">ancer </w:t>
            </w:r>
            <w:r w:rsidR="000F17F9">
              <w:rPr>
                <w:b/>
                <w:iCs/>
              </w:rPr>
              <w:t>t</w:t>
            </w:r>
            <w:r w:rsidR="007062CA" w:rsidRPr="00167FEA">
              <w:rPr>
                <w:b/>
                <w:iCs/>
              </w:rPr>
              <w:t>reatment</w:t>
            </w:r>
          </w:p>
        </w:tc>
        <w:tc>
          <w:tcPr>
            <w:tcW w:w="2977"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04537CD8" w14:textId="77777777" w:rsidR="00E85766" w:rsidRPr="00167FEA" w:rsidRDefault="00E85766" w:rsidP="007062CA">
            <w:pPr>
              <w:pStyle w:val="TableText"/>
              <w:rPr>
                <w:b/>
              </w:rPr>
            </w:pPr>
          </w:p>
        </w:tc>
      </w:tr>
      <w:tr w:rsidR="00E85766" w:rsidRPr="00601A89" w14:paraId="72A47B3E" w14:textId="77777777" w:rsidTr="00167FEA">
        <w:trPr>
          <w:cantSplit/>
        </w:trPr>
        <w:tc>
          <w:tcPr>
            <w:tcW w:w="6379" w:type="dxa"/>
            <w:tcBorders>
              <w:top w:val="single" w:sz="4" w:space="0" w:color="A6A6A6" w:themeColor="background1" w:themeShade="A6"/>
            </w:tcBorders>
            <w:shd w:val="clear" w:color="auto" w:fill="auto"/>
            <w:tcMar>
              <w:top w:w="0" w:type="dxa"/>
              <w:left w:w="57" w:type="dxa"/>
              <w:bottom w:w="0" w:type="dxa"/>
              <w:right w:w="57" w:type="dxa"/>
            </w:tcMar>
            <w:vAlign w:val="center"/>
            <w:hideMark/>
          </w:tcPr>
          <w:p w14:paraId="36D86277" w14:textId="77777777" w:rsidR="00E85766" w:rsidRPr="00601A89" w:rsidRDefault="00E85766" w:rsidP="007062CA">
            <w:pPr>
              <w:pStyle w:val="TableText"/>
              <w:ind w:right="142"/>
            </w:pPr>
            <w:r w:rsidRPr="00601A89">
              <w:t>% treated within 31 days of decision to treat, curative/palliative</w:t>
            </w:r>
          </w:p>
        </w:tc>
        <w:tc>
          <w:tcPr>
            <w:tcW w:w="2977" w:type="dxa"/>
            <w:tcBorders>
              <w:top w:val="single" w:sz="4" w:space="0" w:color="A6A6A6" w:themeColor="background1" w:themeShade="A6"/>
            </w:tcBorders>
            <w:shd w:val="clear" w:color="auto" w:fill="auto"/>
            <w:tcMar>
              <w:top w:w="0" w:type="dxa"/>
              <w:left w:w="57" w:type="dxa"/>
              <w:bottom w:w="0" w:type="dxa"/>
              <w:right w:w="57" w:type="dxa"/>
            </w:tcMar>
            <w:vAlign w:val="center"/>
            <w:hideMark/>
          </w:tcPr>
          <w:p w14:paraId="2646512A" w14:textId="77777777" w:rsidR="00E85766" w:rsidRPr="00601A89" w:rsidRDefault="007062CA" w:rsidP="007062CA">
            <w:pPr>
              <w:pStyle w:val="TableText"/>
            </w:pPr>
            <w:r>
              <w:t>B</w:t>
            </w:r>
            <w:r w:rsidR="00E85766" w:rsidRPr="00601A89">
              <w:t>y provider</w:t>
            </w:r>
          </w:p>
        </w:tc>
      </w:tr>
    </w:tbl>
    <w:p w14:paraId="2B18E233" w14:textId="77777777" w:rsidR="00E85766" w:rsidRPr="00CD6FD0" w:rsidRDefault="00E85766" w:rsidP="007062CA"/>
    <w:p w14:paraId="74AA8EEC" w14:textId="77777777" w:rsidR="00E85766" w:rsidRPr="00601A89" w:rsidRDefault="00E85766" w:rsidP="007062CA">
      <w:pPr>
        <w:pStyle w:val="Heading2"/>
        <w:numPr>
          <w:ilvl w:val="0"/>
          <w:numId w:val="0"/>
        </w:numPr>
      </w:pPr>
      <w:bookmarkStart w:id="100" w:name="_Toc475992522"/>
      <w:r w:rsidRPr="00601A89">
        <w:lastRenderedPageBreak/>
        <w:t>Annual measures</w:t>
      </w:r>
      <w:bookmarkEnd w:id="100"/>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487"/>
        <w:gridCol w:w="2869"/>
      </w:tblGrid>
      <w:tr w:rsidR="00E85766" w:rsidRPr="007062CA" w14:paraId="42762BE3" w14:textId="77777777" w:rsidTr="00167FEA">
        <w:trPr>
          <w:cantSplit/>
        </w:trPr>
        <w:tc>
          <w:tcPr>
            <w:tcW w:w="6487" w:type="dxa"/>
            <w:tcBorders>
              <w:top w:val="single" w:sz="4" w:space="0" w:color="auto"/>
              <w:bottom w:val="single" w:sz="4" w:space="0" w:color="auto"/>
            </w:tcBorders>
            <w:shd w:val="clear" w:color="auto" w:fill="auto"/>
            <w:tcMar>
              <w:top w:w="0" w:type="dxa"/>
              <w:left w:w="57" w:type="dxa"/>
              <w:bottom w:w="0" w:type="dxa"/>
              <w:right w:w="57" w:type="dxa"/>
            </w:tcMar>
            <w:hideMark/>
          </w:tcPr>
          <w:p w14:paraId="4E39F01D" w14:textId="77777777" w:rsidR="00E85766" w:rsidRPr="007062CA" w:rsidRDefault="00E85766" w:rsidP="00167FEA">
            <w:pPr>
              <w:pStyle w:val="TableText"/>
              <w:keepNext/>
              <w:ind w:right="142"/>
              <w:rPr>
                <w:b/>
              </w:rPr>
            </w:pPr>
            <w:r w:rsidRPr="007062CA">
              <w:rPr>
                <w:b/>
              </w:rPr>
              <w:t>Measure</w:t>
            </w:r>
          </w:p>
        </w:tc>
        <w:tc>
          <w:tcPr>
            <w:tcW w:w="2869" w:type="dxa"/>
            <w:tcBorders>
              <w:top w:val="single" w:sz="4" w:space="0" w:color="auto"/>
              <w:bottom w:val="single" w:sz="4" w:space="0" w:color="auto"/>
            </w:tcBorders>
            <w:shd w:val="clear" w:color="auto" w:fill="auto"/>
            <w:tcMar>
              <w:top w:w="0" w:type="dxa"/>
              <w:left w:w="57" w:type="dxa"/>
              <w:bottom w:w="0" w:type="dxa"/>
              <w:right w:w="57" w:type="dxa"/>
            </w:tcMar>
            <w:hideMark/>
          </w:tcPr>
          <w:p w14:paraId="1FBD7675" w14:textId="77777777" w:rsidR="00E85766" w:rsidRPr="007062CA" w:rsidRDefault="00E85766" w:rsidP="007062CA">
            <w:pPr>
              <w:pStyle w:val="TableText"/>
              <w:rPr>
                <w:b/>
              </w:rPr>
            </w:pPr>
            <w:r w:rsidRPr="007062CA">
              <w:rPr>
                <w:b/>
              </w:rPr>
              <w:t>Variables</w:t>
            </w:r>
          </w:p>
        </w:tc>
      </w:tr>
      <w:tr w:rsidR="00E85766" w:rsidRPr="00167FEA" w14:paraId="28E7B5F7" w14:textId="77777777" w:rsidTr="00167FEA">
        <w:trPr>
          <w:cantSplit/>
        </w:trPr>
        <w:tc>
          <w:tcPr>
            <w:tcW w:w="6487"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4A7E84F2" w14:textId="77777777" w:rsidR="00E85766" w:rsidRPr="00167FEA" w:rsidRDefault="00E85766" w:rsidP="00167FEA">
            <w:pPr>
              <w:pStyle w:val="TableText"/>
              <w:keepNext/>
              <w:ind w:right="142"/>
              <w:rPr>
                <w:b/>
              </w:rPr>
            </w:pPr>
            <w:r w:rsidRPr="00167FEA">
              <w:rPr>
                <w:b/>
              </w:rPr>
              <w:t>Equity</w:t>
            </w:r>
          </w:p>
        </w:tc>
        <w:tc>
          <w:tcPr>
            <w:tcW w:w="2869"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72BF1DD0" w14:textId="77777777" w:rsidR="00E85766" w:rsidRPr="00167FEA" w:rsidRDefault="00E85766" w:rsidP="007062CA">
            <w:pPr>
              <w:pStyle w:val="TableText"/>
              <w:rPr>
                <w:b/>
              </w:rPr>
            </w:pPr>
          </w:p>
        </w:tc>
      </w:tr>
      <w:tr w:rsidR="00E85766" w:rsidRPr="00601A89" w14:paraId="7884508F"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5C3C92E1" w14:textId="77777777" w:rsidR="00E85766" w:rsidRPr="00601A89" w:rsidRDefault="00E85766" w:rsidP="00167FEA">
            <w:pPr>
              <w:pStyle w:val="TableText"/>
              <w:keepNext/>
              <w:ind w:right="142"/>
            </w:pPr>
            <w:r w:rsidRPr="00601A89">
              <w:t>First courses per 100 est</w:t>
            </w:r>
            <w:r>
              <w:t>imated</w:t>
            </w:r>
            <w:r w:rsidRPr="00601A89">
              <w:t xml:space="preserve"> cancers (</w:t>
            </w:r>
            <w:r>
              <w:t>i</w:t>
            </w:r>
            <w:r w:rsidRPr="00601A89">
              <w:t>ntervention rate)</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1ADBACE3" w14:textId="77777777" w:rsidR="00E85766" w:rsidRPr="00601A89" w:rsidRDefault="00167FEA" w:rsidP="007062CA">
            <w:pPr>
              <w:pStyle w:val="TableText"/>
            </w:pPr>
            <w:r>
              <w:t>B</w:t>
            </w:r>
            <w:r w:rsidR="00E85766" w:rsidRPr="00601A89">
              <w:t xml:space="preserve">y DHB, region, </w:t>
            </w:r>
            <w:r w:rsidR="00E85766">
              <w:t>New Zealand</w:t>
            </w:r>
          </w:p>
        </w:tc>
      </w:tr>
      <w:tr w:rsidR="00E85766" w:rsidRPr="00601A89" w14:paraId="00D934C5"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071384D3" w14:textId="77777777" w:rsidR="00E85766" w:rsidRPr="00601A89" w:rsidRDefault="00E85766" w:rsidP="00167FEA">
            <w:pPr>
              <w:pStyle w:val="TableText"/>
              <w:keepNext/>
              <w:ind w:right="142"/>
            </w:pPr>
            <w:r w:rsidRPr="00601A89">
              <w:t>Curative first courses per 100 estimated cancers (</w:t>
            </w:r>
            <w:r>
              <w:t>c</w:t>
            </w:r>
            <w:r w:rsidRPr="00601A89">
              <w:t xml:space="preserve">urative </w:t>
            </w:r>
            <w:r>
              <w:t>i</w:t>
            </w:r>
            <w:r w:rsidRPr="00601A89">
              <w:t>ntervention rate)</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12DB4455" w14:textId="77777777" w:rsidR="00E85766" w:rsidRPr="00601A89" w:rsidRDefault="00167FEA" w:rsidP="007062CA">
            <w:pPr>
              <w:pStyle w:val="TableText"/>
            </w:pPr>
            <w:r>
              <w:t>B</w:t>
            </w:r>
            <w:r w:rsidR="00E85766" w:rsidRPr="00601A89">
              <w:t xml:space="preserve">y DHB, region, </w:t>
            </w:r>
            <w:r w:rsidR="00E85766">
              <w:t>New Zealand</w:t>
            </w:r>
          </w:p>
        </w:tc>
      </w:tr>
      <w:tr w:rsidR="00E85766" w:rsidRPr="00601A89" w14:paraId="0C1BB14A"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27CA0C69" w14:textId="77777777" w:rsidR="00E85766" w:rsidRPr="00601A89" w:rsidRDefault="00E85766" w:rsidP="00167FEA">
            <w:pPr>
              <w:pStyle w:val="TableText"/>
              <w:keepNext/>
              <w:ind w:right="142"/>
            </w:pPr>
            <w:r w:rsidRPr="00601A89">
              <w:t>Subsequent courses per 100 courses delivered (</w:t>
            </w:r>
            <w:r>
              <w:t>s</w:t>
            </w:r>
            <w:r w:rsidRPr="00601A89">
              <w:t>ubsequent treatment rate)</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0D4ADD62" w14:textId="77777777" w:rsidR="00E85766" w:rsidRPr="00601A89" w:rsidRDefault="00167FEA" w:rsidP="007062CA">
            <w:pPr>
              <w:pStyle w:val="TableText"/>
            </w:pPr>
            <w:r>
              <w:t>B</w:t>
            </w:r>
            <w:r w:rsidR="00E85766" w:rsidRPr="00601A89">
              <w:t xml:space="preserve">y DHB, region, </w:t>
            </w:r>
            <w:r w:rsidR="00E85766">
              <w:t>New Zealand</w:t>
            </w:r>
          </w:p>
        </w:tc>
      </w:tr>
      <w:tr w:rsidR="00E85766" w:rsidRPr="00601A89" w14:paraId="1ADAFE16"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1D6D13F4" w14:textId="77777777" w:rsidR="00E85766" w:rsidRPr="00601A89" w:rsidRDefault="00E85766" w:rsidP="00167FEA">
            <w:pPr>
              <w:pStyle w:val="TableText"/>
              <w:keepNext/>
              <w:ind w:right="142"/>
            </w:pPr>
            <w:r w:rsidRPr="00601A89">
              <w:t>Breast cancer first curative per 100 cancers</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7CA32BFA" w14:textId="77777777" w:rsidR="00E85766" w:rsidRPr="00601A89" w:rsidRDefault="00167FEA" w:rsidP="007062CA">
            <w:pPr>
              <w:pStyle w:val="TableText"/>
            </w:pPr>
            <w:r>
              <w:t>B</w:t>
            </w:r>
            <w:r w:rsidR="00E85766" w:rsidRPr="00601A89">
              <w:t xml:space="preserve">y DHB, region, </w:t>
            </w:r>
            <w:r w:rsidR="00E85766">
              <w:t>New Zealand</w:t>
            </w:r>
          </w:p>
        </w:tc>
      </w:tr>
      <w:tr w:rsidR="00E85766" w:rsidRPr="00601A89" w14:paraId="4E0075E1"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5E524F35" w14:textId="77777777" w:rsidR="00E85766" w:rsidRPr="00601A89" w:rsidRDefault="00E85766" w:rsidP="00167FEA">
            <w:pPr>
              <w:pStyle w:val="TableText"/>
              <w:keepNext/>
              <w:ind w:right="142"/>
            </w:pPr>
            <w:r w:rsidRPr="00601A89">
              <w:t>Prostate cancer first curative per 100 cancers</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16B58D75" w14:textId="77777777" w:rsidR="00E85766" w:rsidRPr="00601A89" w:rsidRDefault="00167FEA" w:rsidP="007062CA">
            <w:pPr>
              <w:pStyle w:val="TableText"/>
            </w:pPr>
            <w:r>
              <w:t>B</w:t>
            </w:r>
            <w:r w:rsidR="00E85766" w:rsidRPr="00601A89">
              <w:t xml:space="preserve">y DHB, region, </w:t>
            </w:r>
            <w:r w:rsidR="00E85766">
              <w:t>New Zealand</w:t>
            </w:r>
          </w:p>
        </w:tc>
      </w:tr>
      <w:tr w:rsidR="00E85766" w:rsidRPr="00601A89" w14:paraId="0E085EF1"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02B7114F" w14:textId="77777777" w:rsidR="00E85766" w:rsidRPr="00601A89" w:rsidRDefault="00E85766" w:rsidP="00167FEA">
            <w:pPr>
              <w:pStyle w:val="TableText"/>
              <w:keepNext/>
              <w:ind w:right="142"/>
            </w:pPr>
            <w:r w:rsidRPr="00601A89">
              <w:t>Lung cancer first curative per 100 cancers</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441FABA3" w14:textId="77777777" w:rsidR="00E85766" w:rsidRPr="00601A89" w:rsidRDefault="00167FEA" w:rsidP="007062CA">
            <w:pPr>
              <w:pStyle w:val="TableText"/>
            </w:pPr>
            <w:r>
              <w:t>B</w:t>
            </w:r>
            <w:r w:rsidR="00E85766" w:rsidRPr="00601A89">
              <w:t xml:space="preserve">y DHB, region, </w:t>
            </w:r>
            <w:r w:rsidR="00E85766">
              <w:t>New Zealand</w:t>
            </w:r>
          </w:p>
        </w:tc>
      </w:tr>
      <w:tr w:rsidR="00E85766" w:rsidRPr="00601A89" w14:paraId="76BB631E"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722EFC0B" w14:textId="77777777" w:rsidR="00E85766" w:rsidRPr="00601A89" w:rsidRDefault="00E85766" w:rsidP="00167FEA">
            <w:pPr>
              <w:pStyle w:val="TableText"/>
              <w:keepNext/>
              <w:ind w:right="142"/>
            </w:pPr>
            <w:r w:rsidRPr="00601A89">
              <w:t>Rectum cancer first curative per 100 cancers</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0F88308E" w14:textId="77777777" w:rsidR="00E85766" w:rsidRPr="00601A89" w:rsidRDefault="00167FEA" w:rsidP="007062CA">
            <w:pPr>
              <w:pStyle w:val="TableText"/>
            </w:pPr>
            <w:r>
              <w:t>B</w:t>
            </w:r>
            <w:r w:rsidR="00E85766" w:rsidRPr="00601A89">
              <w:t xml:space="preserve">y DHB, region, </w:t>
            </w:r>
            <w:r w:rsidR="00E85766">
              <w:t>New Zealand</w:t>
            </w:r>
          </w:p>
        </w:tc>
      </w:tr>
      <w:tr w:rsidR="00E85766" w:rsidRPr="00601A89" w14:paraId="34119D6C"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0DD66432" w14:textId="77777777" w:rsidR="00E85766" w:rsidRPr="00601A89" w:rsidRDefault="00E85766" w:rsidP="00167FEA">
            <w:pPr>
              <w:pStyle w:val="TableText"/>
              <w:keepNext/>
              <w:ind w:right="142"/>
            </w:pPr>
            <w:r w:rsidRPr="00601A89">
              <w:t>Intervention rate by ethnicity, curative/all</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74CE9406" w14:textId="77777777" w:rsidR="00E85766" w:rsidRPr="00601A89" w:rsidRDefault="00167FEA" w:rsidP="007062CA">
            <w:pPr>
              <w:pStyle w:val="TableText"/>
            </w:pPr>
            <w:r>
              <w:t>B</w:t>
            </w:r>
            <w:r w:rsidR="00E85766" w:rsidRPr="00601A89">
              <w:t xml:space="preserve">y region, </w:t>
            </w:r>
            <w:r w:rsidR="00E85766">
              <w:t>New Zealand</w:t>
            </w:r>
          </w:p>
        </w:tc>
      </w:tr>
      <w:tr w:rsidR="00E85766" w:rsidRPr="00601A89" w14:paraId="5062C037"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22D0F9CC" w14:textId="77777777" w:rsidR="00E85766" w:rsidRPr="00601A89" w:rsidRDefault="00E85766" w:rsidP="00167FEA">
            <w:pPr>
              <w:pStyle w:val="TableText"/>
              <w:keepNext/>
              <w:ind w:right="142"/>
            </w:pPr>
            <w:r w:rsidRPr="00601A89">
              <w:t>Intervention rate by sex, curative/all</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460BDE7A" w14:textId="77777777" w:rsidR="00E85766" w:rsidRPr="00601A89" w:rsidRDefault="00167FEA" w:rsidP="007062CA">
            <w:pPr>
              <w:pStyle w:val="TableText"/>
            </w:pPr>
            <w:r>
              <w:t>B</w:t>
            </w:r>
            <w:r w:rsidR="00E85766" w:rsidRPr="00601A89">
              <w:t xml:space="preserve">y region, </w:t>
            </w:r>
            <w:r w:rsidR="00E85766">
              <w:t>New Zealand</w:t>
            </w:r>
          </w:p>
        </w:tc>
      </w:tr>
      <w:tr w:rsidR="00E85766" w:rsidRPr="00601A89" w14:paraId="1CACF6FC"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7774EC46" w14:textId="77777777" w:rsidR="00E85766" w:rsidRPr="00601A89" w:rsidRDefault="00E85766" w:rsidP="00167FEA">
            <w:pPr>
              <w:pStyle w:val="TableText"/>
              <w:keepNext/>
              <w:ind w:right="142"/>
            </w:pPr>
            <w:r w:rsidRPr="00601A89">
              <w:t>Intervention rate by deprivation quintile, curative/all</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5B9921A7" w14:textId="77777777" w:rsidR="00E85766" w:rsidRPr="00601A89" w:rsidRDefault="00E85766" w:rsidP="007062CA">
            <w:pPr>
              <w:pStyle w:val="TableText"/>
            </w:pPr>
            <w:r>
              <w:t>New Zealand</w:t>
            </w:r>
          </w:p>
        </w:tc>
      </w:tr>
      <w:tr w:rsidR="00E85766" w:rsidRPr="00601A89" w14:paraId="7E1BA414"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tcPr>
          <w:p w14:paraId="328BE9EE" w14:textId="77777777" w:rsidR="00E85766" w:rsidRPr="00601A89" w:rsidRDefault="00E85766" w:rsidP="00167FEA">
            <w:pPr>
              <w:pStyle w:val="TableText"/>
              <w:keepNext/>
              <w:ind w:right="142"/>
            </w:pPr>
            <w:r w:rsidRPr="00601A89">
              <w:t>Intervention rate by age group</w:t>
            </w:r>
            <w:r>
              <w:t>,</w:t>
            </w:r>
            <w:r w:rsidRPr="00601A89">
              <w:t xml:space="preserve"> curative/all</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tcPr>
          <w:p w14:paraId="3C9A14C5" w14:textId="77777777" w:rsidR="00E85766" w:rsidRPr="00601A89" w:rsidRDefault="00E85766" w:rsidP="007062CA">
            <w:pPr>
              <w:pStyle w:val="TableText"/>
            </w:pPr>
            <w:r w:rsidRPr="00601A89">
              <w:t xml:space="preserve">By DHB, region, </w:t>
            </w:r>
            <w:r>
              <w:t>New Zealand</w:t>
            </w:r>
          </w:p>
        </w:tc>
      </w:tr>
      <w:tr w:rsidR="00E85766" w:rsidRPr="00601A89" w14:paraId="10CA5E55" w14:textId="77777777" w:rsidTr="00167FEA">
        <w:trPr>
          <w:cantSplit/>
        </w:trPr>
        <w:tc>
          <w:tcPr>
            <w:tcW w:w="6487" w:type="dxa"/>
            <w:tcBorders>
              <w:top w:val="single" w:sz="4" w:space="0" w:color="A6A6A6" w:themeColor="background1" w:themeShade="A6"/>
              <w:bottom w:val="single" w:sz="4" w:space="0" w:color="auto"/>
            </w:tcBorders>
            <w:shd w:val="clear" w:color="auto" w:fill="auto"/>
            <w:tcMar>
              <w:top w:w="0" w:type="dxa"/>
              <w:left w:w="57" w:type="dxa"/>
              <w:bottom w:w="0" w:type="dxa"/>
              <w:right w:w="57" w:type="dxa"/>
            </w:tcMar>
            <w:vAlign w:val="center"/>
          </w:tcPr>
          <w:p w14:paraId="05727D4B" w14:textId="77777777" w:rsidR="00E85766" w:rsidRPr="00601A89" w:rsidRDefault="00E85766" w:rsidP="00167FEA">
            <w:pPr>
              <w:pStyle w:val="TableText"/>
              <w:keepNext/>
              <w:ind w:right="142"/>
            </w:pPr>
            <w:r w:rsidRPr="00601A89">
              <w:t>Intervent</w:t>
            </w:r>
            <w:r w:rsidR="00167FEA">
              <w:t>ion rate by stage, curative/all</w:t>
            </w:r>
          </w:p>
        </w:tc>
        <w:tc>
          <w:tcPr>
            <w:tcW w:w="2869" w:type="dxa"/>
            <w:tcBorders>
              <w:top w:val="single" w:sz="4" w:space="0" w:color="A6A6A6" w:themeColor="background1" w:themeShade="A6"/>
              <w:bottom w:val="single" w:sz="4" w:space="0" w:color="auto"/>
            </w:tcBorders>
            <w:shd w:val="clear" w:color="auto" w:fill="auto"/>
            <w:tcMar>
              <w:top w:w="0" w:type="dxa"/>
              <w:left w:w="57" w:type="dxa"/>
              <w:bottom w:w="0" w:type="dxa"/>
              <w:right w:w="57" w:type="dxa"/>
            </w:tcMar>
            <w:vAlign w:val="center"/>
          </w:tcPr>
          <w:p w14:paraId="143D5AA0" w14:textId="77777777" w:rsidR="00E85766" w:rsidRPr="00601A89" w:rsidRDefault="00E85766" w:rsidP="007062CA">
            <w:pPr>
              <w:pStyle w:val="TableText"/>
            </w:pPr>
            <w:r w:rsidRPr="00601A89">
              <w:t xml:space="preserve">By DHB, region, </w:t>
            </w:r>
            <w:r>
              <w:t>New Zealand</w:t>
            </w:r>
          </w:p>
        </w:tc>
      </w:tr>
      <w:tr w:rsidR="00E85766" w:rsidRPr="00167FEA" w14:paraId="10AE162A" w14:textId="77777777" w:rsidTr="00167FEA">
        <w:trPr>
          <w:cantSplit/>
        </w:trPr>
        <w:tc>
          <w:tcPr>
            <w:tcW w:w="6487"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3E918AD1" w14:textId="77777777" w:rsidR="00E85766" w:rsidRPr="00167FEA" w:rsidRDefault="00E85766" w:rsidP="00167FEA">
            <w:pPr>
              <w:pStyle w:val="TableText"/>
              <w:keepNext/>
              <w:ind w:right="142"/>
              <w:rPr>
                <w:b/>
              </w:rPr>
            </w:pPr>
            <w:r w:rsidRPr="00167FEA">
              <w:rPr>
                <w:b/>
                <w:iCs/>
              </w:rPr>
              <w:t>Treatment</w:t>
            </w:r>
          </w:p>
        </w:tc>
        <w:tc>
          <w:tcPr>
            <w:tcW w:w="2869"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708746A5" w14:textId="77777777" w:rsidR="00E85766" w:rsidRPr="00167FEA" w:rsidRDefault="00E85766" w:rsidP="00167FEA">
            <w:pPr>
              <w:pStyle w:val="TableText"/>
              <w:keepNext/>
              <w:rPr>
                <w:b/>
              </w:rPr>
            </w:pPr>
          </w:p>
        </w:tc>
      </w:tr>
      <w:tr w:rsidR="00E85766" w:rsidRPr="00601A89" w14:paraId="622B258D"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0195043B" w14:textId="77777777" w:rsidR="00E85766" w:rsidRPr="00601A89" w:rsidRDefault="00E85766" w:rsidP="00167FEA">
            <w:pPr>
              <w:pStyle w:val="TableText"/>
              <w:ind w:right="142"/>
            </w:pPr>
            <w:r w:rsidRPr="00601A89">
              <w:t>Doses per curative first course – breast, prostate, lung, rectum</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4CCFFD09" w14:textId="77777777" w:rsidR="00E85766" w:rsidRPr="00601A89" w:rsidRDefault="00167FEA" w:rsidP="007062CA">
            <w:pPr>
              <w:pStyle w:val="TableText"/>
            </w:pPr>
            <w:r>
              <w:t>B</w:t>
            </w:r>
            <w:r w:rsidR="00E85766" w:rsidRPr="00601A89">
              <w:t>y provider</w:t>
            </w:r>
          </w:p>
        </w:tc>
      </w:tr>
      <w:tr w:rsidR="00E85766" w:rsidRPr="00601A89" w14:paraId="71B36AF7"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2C4C6B04" w14:textId="77777777" w:rsidR="00E85766" w:rsidRPr="00601A89" w:rsidRDefault="00E85766" w:rsidP="00167FEA">
            <w:pPr>
              <w:pStyle w:val="TableText"/>
              <w:ind w:right="142"/>
            </w:pPr>
            <w:r w:rsidRPr="00601A89">
              <w:t>Fractions per first course for curative treatment – breast, prostate, lung, rectum</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0AB2354C" w14:textId="77777777" w:rsidR="00E85766" w:rsidRPr="00601A89" w:rsidRDefault="00167FEA" w:rsidP="007062CA">
            <w:pPr>
              <w:pStyle w:val="TableText"/>
            </w:pPr>
            <w:r>
              <w:t>B</w:t>
            </w:r>
            <w:r w:rsidR="00E85766" w:rsidRPr="00601A89">
              <w:t>y provider</w:t>
            </w:r>
          </w:p>
        </w:tc>
      </w:tr>
      <w:tr w:rsidR="00E85766" w:rsidRPr="00601A89" w14:paraId="0CC5D6DF"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0B1B7514" w14:textId="77777777" w:rsidR="00E85766" w:rsidRPr="00601A89" w:rsidRDefault="00E85766" w:rsidP="00167FEA">
            <w:pPr>
              <w:pStyle w:val="TableText"/>
              <w:ind w:right="142"/>
            </w:pPr>
            <w:r w:rsidRPr="00601A89">
              <w:t>Average dose p</w:t>
            </w:r>
            <w:r w:rsidR="00167FEA">
              <w:t>er course – curative/palliative</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376730BF" w14:textId="77777777" w:rsidR="00E85766" w:rsidRPr="00601A89" w:rsidRDefault="00167FEA" w:rsidP="007062CA">
            <w:pPr>
              <w:pStyle w:val="TableText"/>
            </w:pPr>
            <w:r>
              <w:t>B</w:t>
            </w:r>
            <w:r w:rsidR="00E85766" w:rsidRPr="00601A89">
              <w:t>y provider</w:t>
            </w:r>
          </w:p>
        </w:tc>
      </w:tr>
      <w:tr w:rsidR="00E85766" w:rsidRPr="00601A89" w14:paraId="7F05580D" w14:textId="77777777" w:rsidTr="00167FEA">
        <w:trPr>
          <w:cantSplit/>
        </w:trPr>
        <w:tc>
          <w:tcPr>
            <w:tcW w:w="6487" w:type="dxa"/>
            <w:tcBorders>
              <w:top w:val="single" w:sz="4" w:space="0" w:color="A6A6A6" w:themeColor="background1" w:themeShade="A6"/>
              <w:bottom w:val="single" w:sz="4" w:space="0" w:color="auto"/>
            </w:tcBorders>
            <w:shd w:val="clear" w:color="auto" w:fill="auto"/>
            <w:tcMar>
              <w:top w:w="0" w:type="dxa"/>
              <w:left w:w="57" w:type="dxa"/>
              <w:bottom w:w="0" w:type="dxa"/>
              <w:right w:w="57" w:type="dxa"/>
            </w:tcMar>
            <w:vAlign w:val="center"/>
            <w:hideMark/>
          </w:tcPr>
          <w:p w14:paraId="1CD0E76E" w14:textId="77777777" w:rsidR="00E85766" w:rsidRPr="00601A89" w:rsidRDefault="00E85766" w:rsidP="00167FEA">
            <w:pPr>
              <w:pStyle w:val="TableText"/>
              <w:ind w:right="142"/>
            </w:pPr>
            <w:r w:rsidRPr="00601A89">
              <w:t>Average attendances p</w:t>
            </w:r>
            <w:r w:rsidR="00167FEA">
              <w:t>er course – curative/palliative</w:t>
            </w:r>
          </w:p>
        </w:tc>
        <w:tc>
          <w:tcPr>
            <w:tcW w:w="2869" w:type="dxa"/>
            <w:tcBorders>
              <w:top w:val="single" w:sz="4" w:space="0" w:color="A6A6A6" w:themeColor="background1" w:themeShade="A6"/>
              <w:bottom w:val="single" w:sz="4" w:space="0" w:color="auto"/>
            </w:tcBorders>
            <w:shd w:val="clear" w:color="auto" w:fill="auto"/>
            <w:tcMar>
              <w:top w:w="0" w:type="dxa"/>
              <w:left w:w="57" w:type="dxa"/>
              <w:bottom w:w="0" w:type="dxa"/>
              <w:right w:w="57" w:type="dxa"/>
            </w:tcMar>
            <w:vAlign w:val="center"/>
            <w:hideMark/>
          </w:tcPr>
          <w:p w14:paraId="154B2634" w14:textId="77777777" w:rsidR="00E85766" w:rsidRPr="00601A89" w:rsidRDefault="00167FEA" w:rsidP="007062CA">
            <w:pPr>
              <w:pStyle w:val="TableText"/>
            </w:pPr>
            <w:r>
              <w:t>B</w:t>
            </w:r>
            <w:r w:rsidR="00E85766" w:rsidRPr="00601A89">
              <w:t>y provider</w:t>
            </w:r>
          </w:p>
        </w:tc>
      </w:tr>
      <w:tr w:rsidR="00E85766" w:rsidRPr="00167FEA" w14:paraId="50F1C8CF" w14:textId="77777777" w:rsidTr="00167FEA">
        <w:trPr>
          <w:cantSplit/>
        </w:trPr>
        <w:tc>
          <w:tcPr>
            <w:tcW w:w="6487"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0B0FEFA6" w14:textId="77777777" w:rsidR="00E85766" w:rsidRPr="00167FEA" w:rsidRDefault="00E85766" w:rsidP="00167FEA">
            <w:pPr>
              <w:pStyle w:val="TableText"/>
              <w:ind w:right="142"/>
              <w:rPr>
                <w:b/>
              </w:rPr>
            </w:pPr>
            <w:r w:rsidRPr="00167FEA">
              <w:rPr>
                <w:b/>
                <w:iCs/>
              </w:rPr>
              <w:t>Capacity</w:t>
            </w:r>
          </w:p>
        </w:tc>
        <w:tc>
          <w:tcPr>
            <w:tcW w:w="2869"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7D696FC5" w14:textId="77777777" w:rsidR="00E85766" w:rsidRPr="00167FEA" w:rsidRDefault="00E85766" w:rsidP="007062CA">
            <w:pPr>
              <w:pStyle w:val="TableText"/>
              <w:rPr>
                <w:b/>
              </w:rPr>
            </w:pPr>
          </w:p>
        </w:tc>
      </w:tr>
      <w:tr w:rsidR="00E85766" w:rsidRPr="00601A89" w14:paraId="60AD780A"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66B18AEF" w14:textId="77777777" w:rsidR="00E85766" w:rsidRPr="00601A89" w:rsidRDefault="00E85766" w:rsidP="00167FEA">
            <w:pPr>
              <w:pStyle w:val="TableText"/>
              <w:ind w:right="142"/>
            </w:pPr>
            <w:r w:rsidRPr="00601A89">
              <w:t>Estimated linac capacity usage</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442BD594" w14:textId="77777777" w:rsidR="00E85766" w:rsidRPr="00601A89" w:rsidRDefault="00167FEA" w:rsidP="007062CA">
            <w:pPr>
              <w:pStyle w:val="TableText"/>
            </w:pPr>
            <w:r>
              <w:t>B</w:t>
            </w:r>
            <w:r w:rsidR="00E85766" w:rsidRPr="00601A89">
              <w:t>y provider</w:t>
            </w:r>
          </w:p>
        </w:tc>
      </w:tr>
      <w:tr w:rsidR="00E85766" w:rsidRPr="00601A89" w14:paraId="5672E879"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79E2F956" w14:textId="77777777" w:rsidR="00E85766" w:rsidRPr="00601A89" w:rsidRDefault="00E85766" w:rsidP="00167FEA">
            <w:pPr>
              <w:pStyle w:val="TableText"/>
              <w:ind w:right="142"/>
            </w:pPr>
            <w:r w:rsidRPr="00601A89">
              <w:t>Brachytherapy courses</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1384530D" w14:textId="77777777" w:rsidR="00E85766" w:rsidRPr="00601A89" w:rsidRDefault="00167FEA" w:rsidP="007062CA">
            <w:pPr>
              <w:pStyle w:val="TableText"/>
            </w:pPr>
            <w:r>
              <w:t>B</w:t>
            </w:r>
            <w:r w:rsidR="00E85766" w:rsidRPr="00601A89">
              <w:t>y provider</w:t>
            </w:r>
          </w:p>
        </w:tc>
      </w:tr>
      <w:tr w:rsidR="00E85766" w:rsidRPr="00601A89" w14:paraId="6C461F67"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114D4021" w14:textId="77777777" w:rsidR="00E85766" w:rsidRPr="00601A89" w:rsidRDefault="00E85766" w:rsidP="00167FEA">
            <w:pPr>
              <w:pStyle w:val="TableText"/>
              <w:ind w:right="142"/>
            </w:pPr>
            <w:r w:rsidRPr="00601A89">
              <w:t>Treatment modality proportions</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5BA1E11E" w14:textId="77777777" w:rsidR="00E85766" w:rsidRPr="00601A89" w:rsidRDefault="00167FEA" w:rsidP="007062CA">
            <w:pPr>
              <w:pStyle w:val="TableText"/>
            </w:pPr>
            <w:r>
              <w:t>B</w:t>
            </w:r>
            <w:r w:rsidR="00E85766" w:rsidRPr="00601A89">
              <w:t>y provider</w:t>
            </w:r>
          </w:p>
        </w:tc>
      </w:tr>
      <w:tr w:rsidR="00E85766" w:rsidRPr="00601A89" w14:paraId="24C59A52"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592F94A6" w14:textId="77777777" w:rsidR="00E85766" w:rsidRPr="00601A89" w:rsidRDefault="00E85766" w:rsidP="00167FEA">
            <w:pPr>
              <w:pStyle w:val="TableText"/>
              <w:ind w:right="142"/>
            </w:pPr>
            <w:r w:rsidRPr="00601A89">
              <w:t>Workforce vacancies by type</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1166833E" w14:textId="77777777" w:rsidR="00E85766" w:rsidRPr="00601A89" w:rsidRDefault="00167FEA" w:rsidP="007062CA">
            <w:pPr>
              <w:pStyle w:val="TableText"/>
            </w:pPr>
            <w:r>
              <w:t>B</w:t>
            </w:r>
            <w:r w:rsidR="00E85766" w:rsidRPr="00601A89">
              <w:t>y provider</w:t>
            </w:r>
          </w:p>
        </w:tc>
      </w:tr>
      <w:tr w:rsidR="00E85766" w:rsidRPr="00601A89" w14:paraId="239B6300"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4BBE097D" w14:textId="77777777" w:rsidR="00E85766" w:rsidRPr="00601A89" w:rsidRDefault="00E85766" w:rsidP="00167FEA">
            <w:pPr>
              <w:pStyle w:val="TableText"/>
              <w:ind w:right="142"/>
            </w:pPr>
            <w:r w:rsidRPr="00601A89">
              <w:t>First patients per radiation oncologist</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547EE81C" w14:textId="77777777" w:rsidR="00E85766" w:rsidRPr="00601A89" w:rsidRDefault="00167FEA" w:rsidP="007062CA">
            <w:pPr>
              <w:pStyle w:val="TableText"/>
            </w:pPr>
            <w:r>
              <w:t>B</w:t>
            </w:r>
            <w:r w:rsidR="00E85766" w:rsidRPr="00601A89">
              <w:t>y provider</w:t>
            </w:r>
          </w:p>
        </w:tc>
      </w:tr>
      <w:tr w:rsidR="00E85766" w:rsidRPr="00601A89" w14:paraId="57EFE036"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1B31AEE6" w14:textId="77777777" w:rsidR="00E85766" w:rsidRPr="00601A89" w:rsidRDefault="00E85766" w:rsidP="00167FEA">
            <w:pPr>
              <w:pStyle w:val="TableText"/>
              <w:ind w:right="142"/>
            </w:pPr>
            <w:r w:rsidRPr="00601A89">
              <w:t>Medical physicists per linac-equivalent</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5C0F745C" w14:textId="77777777" w:rsidR="00E85766" w:rsidRPr="00601A89" w:rsidRDefault="00167FEA" w:rsidP="007062CA">
            <w:pPr>
              <w:pStyle w:val="TableText"/>
            </w:pPr>
            <w:r>
              <w:t>B</w:t>
            </w:r>
            <w:r w:rsidR="00E85766" w:rsidRPr="00601A89">
              <w:t>y provider</w:t>
            </w:r>
          </w:p>
        </w:tc>
      </w:tr>
      <w:tr w:rsidR="00E85766" w:rsidRPr="00601A89" w14:paraId="0C05CB6F" w14:textId="77777777" w:rsidTr="00167FEA">
        <w:trPr>
          <w:cantSplit/>
        </w:trPr>
        <w:tc>
          <w:tcPr>
            <w:tcW w:w="64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28795BF3" w14:textId="77777777" w:rsidR="00E85766" w:rsidRPr="00601A89" w:rsidRDefault="00E85766" w:rsidP="00167FEA">
            <w:pPr>
              <w:pStyle w:val="TableText"/>
              <w:ind w:right="142"/>
            </w:pPr>
            <w:r w:rsidRPr="00601A89">
              <w:t>Radiation therapists per linac-equivalent</w:t>
            </w:r>
          </w:p>
        </w:tc>
        <w:tc>
          <w:tcPr>
            <w:tcW w:w="2869"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vAlign w:val="center"/>
            <w:hideMark/>
          </w:tcPr>
          <w:p w14:paraId="52C93512" w14:textId="77777777" w:rsidR="00E85766" w:rsidRPr="00601A89" w:rsidRDefault="00167FEA" w:rsidP="007062CA">
            <w:pPr>
              <w:pStyle w:val="TableText"/>
            </w:pPr>
            <w:r>
              <w:t>B</w:t>
            </w:r>
            <w:r w:rsidR="00E85766" w:rsidRPr="00601A89">
              <w:t>y provider</w:t>
            </w:r>
          </w:p>
        </w:tc>
      </w:tr>
      <w:tr w:rsidR="00E85766" w:rsidRPr="00601A89" w14:paraId="17F0E13A" w14:textId="77777777" w:rsidTr="00167FEA">
        <w:trPr>
          <w:cantSplit/>
        </w:trPr>
        <w:tc>
          <w:tcPr>
            <w:tcW w:w="6487" w:type="dxa"/>
            <w:tcBorders>
              <w:top w:val="single" w:sz="4" w:space="0" w:color="A6A6A6" w:themeColor="background1" w:themeShade="A6"/>
              <w:bottom w:val="single" w:sz="4" w:space="0" w:color="auto"/>
            </w:tcBorders>
            <w:shd w:val="clear" w:color="auto" w:fill="auto"/>
            <w:tcMar>
              <w:top w:w="0" w:type="dxa"/>
              <w:left w:w="57" w:type="dxa"/>
              <w:bottom w:w="0" w:type="dxa"/>
              <w:right w:w="57" w:type="dxa"/>
            </w:tcMar>
            <w:vAlign w:val="center"/>
            <w:hideMark/>
          </w:tcPr>
          <w:p w14:paraId="555A1746" w14:textId="77777777" w:rsidR="00E85766" w:rsidRPr="00601A89" w:rsidRDefault="00E85766" w:rsidP="00167FEA">
            <w:pPr>
              <w:pStyle w:val="TableText"/>
              <w:ind w:right="142"/>
            </w:pPr>
            <w:r w:rsidRPr="00601A89">
              <w:t>First patients per radiation oncology nurse</w:t>
            </w:r>
          </w:p>
        </w:tc>
        <w:tc>
          <w:tcPr>
            <w:tcW w:w="2869" w:type="dxa"/>
            <w:tcBorders>
              <w:top w:val="single" w:sz="4" w:space="0" w:color="A6A6A6" w:themeColor="background1" w:themeShade="A6"/>
              <w:bottom w:val="single" w:sz="4" w:space="0" w:color="auto"/>
            </w:tcBorders>
            <w:shd w:val="clear" w:color="auto" w:fill="auto"/>
            <w:tcMar>
              <w:top w:w="0" w:type="dxa"/>
              <w:left w:w="57" w:type="dxa"/>
              <w:bottom w:w="0" w:type="dxa"/>
              <w:right w:w="57" w:type="dxa"/>
            </w:tcMar>
            <w:vAlign w:val="center"/>
            <w:hideMark/>
          </w:tcPr>
          <w:p w14:paraId="7C3BA9E0" w14:textId="77777777" w:rsidR="00E85766" w:rsidRPr="00601A89" w:rsidRDefault="00167FEA" w:rsidP="007062CA">
            <w:pPr>
              <w:pStyle w:val="TableText"/>
            </w:pPr>
            <w:r>
              <w:t>B</w:t>
            </w:r>
            <w:r w:rsidR="00E85766" w:rsidRPr="00601A89">
              <w:t>y provider</w:t>
            </w:r>
          </w:p>
        </w:tc>
      </w:tr>
      <w:tr w:rsidR="00E85766" w:rsidRPr="00167FEA" w14:paraId="6B19367B" w14:textId="77777777" w:rsidTr="00167FEA">
        <w:trPr>
          <w:cantSplit/>
        </w:trPr>
        <w:tc>
          <w:tcPr>
            <w:tcW w:w="6487"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0EFD2273" w14:textId="77777777" w:rsidR="00E85766" w:rsidRPr="00167FEA" w:rsidRDefault="00E85766" w:rsidP="00167FEA">
            <w:pPr>
              <w:pStyle w:val="TableText"/>
              <w:ind w:right="142"/>
              <w:rPr>
                <w:b/>
              </w:rPr>
            </w:pPr>
            <w:r w:rsidRPr="00167FEA">
              <w:rPr>
                <w:b/>
                <w:iCs/>
              </w:rPr>
              <w:t>Cancers</w:t>
            </w:r>
          </w:p>
        </w:tc>
        <w:tc>
          <w:tcPr>
            <w:tcW w:w="2869"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vAlign w:val="center"/>
            <w:hideMark/>
          </w:tcPr>
          <w:p w14:paraId="201F47FB" w14:textId="77777777" w:rsidR="00E85766" w:rsidRPr="00167FEA" w:rsidRDefault="00E85766" w:rsidP="007062CA">
            <w:pPr>
              <w:pStyle w:val="TableText"/>
              <w:rPr>
                <w:b/>
              </w:rPr>
            </w:pPr>
          </w:p>
        </w:tc>
      </w:tr>
      <w:tr w:rsidR="00E85766" w:rsidRPr="00601A89" w14:paraId="6049F67D" w14:textId="77777777" w:rsidTr="00167FEA">
        <w:trPr>
          <w:cantSplit/>
        </w:trPr>
        <w:tc>
          <w:tcPr>
            <w:tcW w:w="6487" w:type="dxa"/>
            <w:tcBorders>
              <w:top w:val="single" w:sz="4" w:space="0" w:color="A6A6A6" w:themeColor="background1" w:themeShade="A6"/>
              <w:bottom w:val="single" w:sz="4" w:space="0" w:color="auto"/>
            </w:tcBorders>
            <w:shd w:val="clear" w:color="auto" w:fill="auto"/>
            <w:tcMar>
              <w:top w:w="0" w:type="dxa"/>
              <w:left w:w="57" w:type="dxa"/>
              <w:bottom w:w="0" w:type="dxa"/>
              <w:right w:w="57" w:type="dxa"/>
            </w:tcMar>
            <w:vAlign w:val="center"/>
            <w:hideMark/>
          </w:tcPr>
          <w:p w14:paraId="414C05C5" w14:textId="77777777" w:rsidR="00E85766" w:rsidRPr="00601A89" w:rsidRDefault="00E85766" w:rsidP="00167FEA">
            <w:pPr>
              <w:pStyle w:val="TableText"/>
              <w:ind w:right="142"/>
            </w:pPr>
            <w:r w:rsidRPr="00601A89">
              <w:t>Estimated number of cancers (Cancer Registry, updated estimates)</w:t>
            </w:r>
          </w:p>
        </w:tc>
        <w:tc>
          <w:tcPr>
            <w:tcW w:w="2869" w:type="dxa"/>
            <w:tcBorders>
              <w:top w:val="single" w:sz="4" w:space="0" w:color="A6A6A6" w:themeColor="background1" w:themeShade="A6"/>
              <w:bottom w:val="single" w:sz="4" w:space="0" w:color="auto"/>
            </w:tcBorders>
            <w:shd w:val="clear" w:color="auto" w:fill="auto"/>
            <w:tcMar>
              <w:top w:w="0" w:type="dxa"/>
              <w:left w:w="57" w:type="dxa"/>
              <w:bottom w:w="0" w:type="dxa"/>
              <w:right w:w="57" w:type="dxa"/>
            </w:tcMar>
            <w:vAlign w:val="center"/>
            <w:hideMark/>
          </w:tcPr>
          <w:p w14:paraId="1C861E6D" w14:textId="77777777" w:rsidR="00E85766" w:rsidRPr="00601A89" w:rsidRDefault="00167FEA" w:rsidP="007062CA">
            <w:pPr>
              <w:pStyle w:val="TableText"/>
            </w:pPr>
            <w:r>
              <w:t>B</w:t>
            </w:r>
            <w:r w:rsidR="00E85766" w:rsidRPr="00601A89">
              <w:t>y DHB, region</w:t>
            </w:r>
            <w:r w:rsidR="00E85766">
              <w:t>,</w:t>
            </w:r>
            <w:r w:rsidR="00E85766" w:rsidRPr="00601A89">
              <w:t xml:space="preserve"> </w:t>
            </w:r>
            <w:r w:rsidR="00E85766">
              <w:t>New Zealand</w:t>
            </w:r>
          </w:p>
        </w:tc>
      </w:tr>
    </w:tbl>
    <w:p w14:paraId="108210C6" w14:textId="77777777" w:rsidR="00E85766" w:rsidRPr="00E85766" w:rsidRDefault="00E85766" w:rsidP="007062CA"/>
    <w:sectPr w:rsidR="00E85766" w:rsidRPr="00E85766" w:rsidSect="00742CF3">
      <w:footerReference w:type="default" r:id="rId42"/>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E5773" w14:textId="77777777" w:rsidR="003B40AB" w:rsidRDefault="003B40AB">
      <w:pPr>
        <w:spacing w:line="240" w:lineRule="auto"/>
      </w:pPr>
      <w:r>
        <w:separator/>
      </w:r>
    </w:p>
    <w:p w14:paraId="018D9C9D" w14:textId="77777777" w:rsidR="003B40AB" w:rsidRDefault="003B40AB"/>
  </w:endnote>
  <w:endnote w:type="continuationSeparator" w:id="0">
    <w:p w14:paraId="01EA6E20" w14:textId="77777777" w:rsidR="003B40AB" w:rsidRDefault="003B40AB">
      <w:pPr>
        <w:spacing w:line="240" w:lineRule="auto"/>
      </w:pPr>
      <w:r>
        <w:continuationSeparator/>
      </w:r>
    </w:p>
    <w:p w14:paraId="198F840D" w14:textId="77777777" w:rsidR="003B40AB" w:rsidRDefault="003B4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YInterstate Light">
    <w:altName w:val="Times New Roman"/>
    <w:charset w:val="00"/>
    <w:family w:val="auto"/>
    <w:pitch w:val="variable"/>
    <w:sig w:usb0="00000001" w:usb1="5000206A"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DC25" w14:textId="77777777" w:rsidR="003B0214" w:rsidRPr="00581136" w:rsidRDefault="003B0214"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8B817" w14:textId="77777777" w:rsidR="003B0214" w:rsidRDefault="003B0214"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63642" w14:textId="77777777" w:rsidR="003B0214" w:rsidRDefault="003B02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3806E" w14:textId="77777777" w:rsidR="003B0214" w:rsidRPr="00275D08" w:rsidRDefault="003B021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2252F">
      <w:rPr>
        <w:rStyle w:val="PageNumber"/>
        <w:noProof/>
      </w:rPr>
      <w:t>12</w:t>
    </w:r>
    <w:r w:rsidRPr="00FC46E7">
      <w:rPr>
        <w:rStyle w:val="PageNumber"/>
      </w:rPr>
      <w:fldChar w:fldCharType="end"/>
    </w:r>
    <w:r>
      <w:tab/>
      <w:t>The National Radiation Oncology Plan 2017–2021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98F02" w14:textId="77777777" w:rsidR="003B0214" w:rsidRDefault="003B0214" w:rsidP="00533B90">
    <w:pPr>
      <w:pStyle w:val="RectoFooter"/>
    </w:pPr>
    <w:r>
      <w:tab/>
      <w:t>The National Radiation Oncology Plan 2017–2021</w:t>
    </w:r>
    <w:r>
      <w:tab/>
    </w:r>
    <w:r>
      <w:rPr>
        <w:rStyle w:val="PageNumber"/>
      </w:rPr>
      <w:fldChar w:fldCharType="begin"/>
    </w:r>
    <w:r>
      <w:rPr>
        <w:rStyle w:val="PageNumber"/>
      </w:rPr>
      <w:instrText xml:space="preserve"> PAGE </w:instrText>
    </w:r>
    <w:r>
      <w:rPr>
        <w:rStyle w:val="PageNumber"/>
      </w:rPr>
      <w:fldChar w:fldCharType="separate"/>
    </w:r>
    <w:r w:rsidR="00E2252F">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F749" w14:textId="77777777" w:rsidR="003B0214" w:rsidRDefault="003B0214" w:rsidP="009E3C8C">
    <w:pPr>
      <w:pStyle w:val="RectoFooter"/>
    </w:pPr>
    <w:r>
      <w:tab/>
      <w:t>The National Radiation Oncology Plan 2017–2021</w:t>
    </w:r>
    <w:r>
      <w:tab/>
    </w:r>
    <w:r>
      <w:rPr>
        <w:rStyle w:val="PageNumber"/>
      </w:rPr>
      <w:fldChar w:fldCharType="begin"/>
    </w:r>
    <w:r>
      <w:rPr>
        <w:rStyle w:val="PageNumber"/>
      </w:rPr>
      <w:instrText xml:space="preserve"> PAGE </w:instrText>
    </w:r>
    <w:r>
      <w:rPr>
        <w:rStyle w:val="PageNumber"/>
      </w:rPr>
      <w:fldChar w:fldCharType="separate"/>
    </w:r>
    <w:r w:rsidR="00E2252F">
      <w:rPr>
        <w:rStyle w:val="PageNumber"/>
        <w:noProof/>
      </w:rPr>
      <w:t>11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DAD7" w14:textId="77777777" w:rsidR="003B0214" w:rsidRDefault="003B0214" w:rsidP="009E3C8C">
    <w:pPr>
      <w:pStyle w:val="RectoFooter"/>
    </w:pPr>
    <w:r>
      <w:tab/>
      <w:t>The National Radiation Oncology Plan 2017–2021</w:t>
    </w:r>
    <w:r>
      <w:tab/>
    </w:r>
    <w:r>
      <w:rPr>
        <w:rStyle w:val="PageNumber"/>
        <w:noProof/>
      </w:rPr>
      <w:t>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1582" w14:textId="77777777" w:rsidR="003B0214" w:rsidRPr="005C735F" w:rsidRDefault="003B0214" w:rsidP="005C735F">
    <w:pPr>
      <w:pStyle w:val="RectoFooter"/>
    </w:pPr>
    <w:r>
      <w:tab/>
      <w:t>The National Radiation Oncology Plan 2017–2021</w:t>
    </w:r>
    <w:r>
      <w:tab/>
    </w:r>
    <w:r>
      <w:rPr>
        <w:rStyle w:val="PageNumber"/>
      </w:rPr>
      <w:fldChar w:fldCharType="begin"/>
    </w:r>
    <w:r>
      <w:rPr>
        <w:rStyle w:val="PageNumber"/>
      </w:rPr>
      <w:instrText xml:space="preserve"> PAGE </w:instrText>
    </w:r>
    <w:r>
      <w:rPr>
        <w:rStyle w:val="PageNumber"/>
      </w:rPr>
      <w:fldChar w:fldCharType="separate"/>
    </w:r>
    <w:r w:rsidR="00E2252F">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620D9" w14:textId="77777777" w:rsidR="003B40AB" w:rsidRPr="00A26E6B" w:rsidRDefault="003B40AB" w:rsidP="00A26E6B"/>
  </w:footnote>
  <w:footnote w:type="continuationSeparator" w:id="0">
    <w:p w14:paraId="33824AE7" w14:textId="77777777" w:rsidR="003B40AB" w:rsidRDefault="003B40AB">
      <w:pPr>
        <w:spacing w:line="240" w:lineRule="auto"/>
      </w:pPr>
      <w:r>
        <w:continuationSeparator/>
      </w:r>
    </w:p>
    <w:p w14:paraId="28805FC1" w14:textId="77777777" w:rsidR="003B40AB" w:rsidRDefault="003B40AB"/>
  </w:footnote>
  <w:footnote w:id="1">
    <w:p w14:paraId="77D38038" w14:textId="77777777" w:rsidR="003B0214" w:rsidRPr="00956146" w:rsidRDefault="003B0214" w:rsidP="008D3C7B">
      <w:pPr>
        <w:pStyle w:val="FootnoteText"/>
      </w:pPr>
      <w:r w:rsidRPr="008D3C7B">
        <w:rPr>
          <w:rStyle w:val="FootnoteReference"/>
        </w:rPr>
        <w:footnoteRef/>
      </w:r>
      <w:r>
        <w:tab/>
        <w:t>DHB of domicile refers to the DHB where the treated patient resides, which may differ from DHB of treatment.</w:t>
      </w:r>
    </w:p>
  </w:footnote>
  <w:footnote w:id="2">
    <w:p w14:paraId="07EAD291" w14:textId="77777777" w:rsidR="003B0214" w:rsidRPr="003248E7" w:rsidRDefault="003B0214" w:rsidP="008D3C7B">
      <w:pPr>
        <w:pStyle w:val="FootnoteText"/>
      </w:pPr>
      <w:r w:rsidRPr="008D3C7B">
        <w:rPr>
          <w:rStyle w:val="FootnoteReference"/>
        </w:rPr>
        <w:footnoteRef/>
      </w:r>
      <w:r>
        <w:tab/>
        <w:t>DHB of domicile refers to the DHB where the patient primarily resides, which may differ from DHB of treatment.</w:t>
      </w:r>
    </w:p>
  </w:footnote>
  <w:footnote w:id="3">
    <w:p w14:paraId="569CBFA5" w14:textId="77777777" w:rsidR="003B0214" w:rsidRPr="00952AA3" w:rsidRDefault="003B0214" w:rsidP="00BF21A7">
      <w:pPr>
        <w:pStyle w:val="FootnoteText"/>
      </w:pPr>
      <w:r w:rsidRPr="00BF21A7">
        <w:rPr>
          <w:rStyle w:val="FootnoteReference"/>
        </w:rPr>
        <w:footnoteRef/>
      </w:r>
      <w:r>
        <w:tab/>
        <w:t xml:space="preserve">This estimate is based on the assumptions that: linacs operate for up to nine hours per week day for peak months; intra-monthly fluctuations in demand can be managed through judicious use of overtime; and </w:t>
      </w:r>
      <w:r w:rsidRPr="00BB1139">
        <w:t>li</w:t>
      </w:r>
      <w:r>
        <w:t>nacs can be operated 95 percent of the available time (nine hours per week day). Changes to these assumptions would change the overall estimate. For example, if the assumptions were that linacs operated only eight hours per week day and operated 90 percent of the time, between seven and eight linacs might be required by 2023.</w:t>
      </w:r>
    </w:p>
  </w:footnote>
  <w:footnote w:id="4">
    <w:p w14:paraId="5670F4E8" w14:textId="77777777" w:rsidR="003B0214" w:rsidRPr="00952AA3" w:rsidRDefault="003B0214" w:rsidP="00C71F60">
      <w:pPr>
        <w:pStyle w:val="FootnoteText"/>
      </w:pPr>
      <w:r w:rsidRPr="00C71F60">
        <w:rPr>
          <w:rStyle w:val="FootnoteReference"/>
        </w:rPr>
        <w:footnoteRef/>
      </w:r>
      <w:r>
        <w:tab/>
        <w:t xml:space="preserve">This estimate is based on the assumptions that: linacs operate for up to nine hours per week day; intra-monthly fluctuations in demand can be managed through judicious use of overtime; and </w:t>
      </w:r>
      <w:r w:rsidRPr="00BB1139">
        <w:t>li</w:t>
      </w:r>
      <w:r>
        <w:t>nacs can be operated 95 percent of the available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1903F" w14:textId="77777777" w:rsidR="003B0214" w:rsidRDefault="003B0214" w:rsidP="009216CC">
    <w:pPr>
      <w:pStyle w:val="Header"/>
      <w:ind w:left="-1559"/>
    </w:pPr>
    <w:r>
      <w:rPr>
        <w:noProof/>
        <w:lang w:eastAsia="en-NZ"/>
      </w:rPr>
      <w:drawing>
        <wp:inline distT="0" distB="0" distL="0" distR="0" wp14:anchorId="66D318CE" wp14:editId="4B6B8B80">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EE5DE" w14:textId="77777777" w:rsidR="003B0214" w:rsidRDefault="003B021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A078" w14:textId="77777777" w:rsidR="003B0214" w:rsidRDefault="003B0214"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3EE5" w14:textId="77777777" w:rsidR="003B0214" w:rsidRDefault="003B021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1377" w14:textId="77777777" w:rsidR="003B0214" w:rsidRDefault="003B02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1A4B6074"/>
    <w:multiLevelType w:val="multilevel"/>
    <w:tmpl w:val="9DD2F50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56483"/>
    <w:rsid w:val="0006228D"/>
    <w:rsid w:val="00072BD6"/>
    <w:rsid w:val="00075B78"/>
    <w:rsid w:val="00082CD6"/>
    <w:rsid w:val="00085AFE"/>
    <w:rsid w:val="000B0730"/>
    <w:rsid w:val="000F17F9"/>
    <w:rsid w:val="000F2AE2"/>
    <w:rsid w:val="000F4EE7"/>
    <w:rsid w:val="00102063"/>
    <w:rsid w:val="0010541C"/>
    <w:rsid w:val="00106F93"/>
    <w:rsid w:val="00111D50"/>
    <w:rsid w:val="00113B8E"/>
    <w:rsid w:val="0011494A"/>
    <w:rsid w:val="001162AC"/>
    <w:rsid w:val="001342C7"/>
    <w:rsid w:val="0013585C"/>
    <w:rsid w:val="00142954"/>
    <w:rsid w:val="001460E0"/>
    <w:rsid w:val="00147BF8"/>
    <w:rsid w:val="00147F71"/>
    <w:rsid w:val="00150A6E"/>
    <w:rsid w:val="0016468A"/>
    <w:rsid w:val="00167FEA"/>
    <w:rsid w:val="001A21B4"/>
    <w:rsid w:val="001A5CF5"/>
    <w:rsid w:val="001B39D2"/>
    <w:rsid w:val="001B4BF8"/>
    <w:rsid w:val="001C4326"/>
    <w:rsid w:val="001D3541"/>
    <w:rsid w:val="001F45A7"/>
    <w:rsid w:val="00201A01"/>
    <w:rsid w:val="00205CB2"/>
    <w:rsid w:val="002104D3"/>
    <w:rsid w:val="00213A33"/>
    <w:rsid w:val="0021763B"/>
    <w:rsid w:val="00230AF2"/>
    <w:rsid w:val="00246DB1"/>
    <w:rsid w:val="002476B5"/>
    <w:rsid w:val="00253ECF"/>
    <w:rsid w:val="002546A1"/>
    <w:rsid w:val="00257B48"/>
    <w:rsid w:val="00275D08"/>
    <w:rsid w:val="00276C67"/>
    <w:rsid w:val="002807BC"/>
    <w:rsid w:val="002858E3"/>
    <w:rsid w:val="0029190A"/>
    <w:rsid w:val="00292C5A"/>
    <w:rsid w:val="00295241"/>
    <w:rsid w:val="002A4DFC"/>
    <w:rsid w:val="002A70F6"/>
    <w:rsid w:val="002B047D"/>
    <w:rsid w:val="002B1D20"/>
    <w:rsid w:val="002B732B"/>
    <w:rsid w:val="002C2219"/>
    <w:rsid w:val="002D0DF2"/>
    <w:rsid w:val="002D23BD"/>
    <w:rsid w:val="002E0B47"/>
    <w:rsid w:val="002F7213"/>
    <w:rsid w:val="0030382F"/>
    <w:rsid w:val="0030408D"/>
    <w:rsid w:val="003060E4"/>
    <w:rsid w:val="00306D14"/>
    <w:rsid w:val="003160E7"/>
    <w:rsid w:val="0031739E"/>
    <w:rsid w:val="003325AB"/>
    <w:rsid w:val="003332D1"/>
    <w:rsid w:val="0033412B"/>
    <w:rsid w:val="00343365"/>
    <w:rsid w:val="00353501"/>
    <w:rsid w:val="003606F8"/>
    <w:rsid w:val="003648EF"/>
    <w:rsid w:val="003673E6"/>
    <w:rsid w:val="00377264"/>
    <w:rsid w:val="003958D9"/>
    <w:rsid w:val="003968CB"/>
    <w:rsid w:val="003A194B"/>
    <w:rsid w:val="003A26A5"/>
    <w:rsid w:val="003A2E53"/>
    <w:rsid w:val="003A3761"/>
    <w:rsid w:val="003A5FEA"/>
    <w:rsid w:val="003B0214"/>
    <w:rsid w:val="003B1D10"/>
    <w:rsid w:val="003B40AB"/>
    <w:rsid w:val="003C76D4"/>
    <w:rsid w:val="003D2CC5"/>
    <w:rsid w:val="003E7C46"/>
    <w:rsid w:val="003F52A7"/>
    <w:rsid w:val="0040240C"/>
    <w:rsid w:val="004050F4"/>
    <w:rsid w:val="00413021"/>
    <w:rsid w:val="00420557"/>
    <w:rsid w:val="00422E30"/>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1B6"/>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467BE"/>
    <w:rsid w:val="00550256"/>
    <w:rsid w:val="00553958"/>
    <w:rsid w:val="0055763D"/>
    <w:rsid w:val="005621F2"/>
    <w:rsid w:val="00562E8E"/>
    <w:rsid w:val="0056593C"/>
    <w:rsid w:val="00567B58"/>
    <w:rsid w:val="005763E0"/>
    <w:rsid w:val="00581136"/>
    <w:rsid w:val="005A27CA"/>
    <w:rsid w:val="005A43BD"/>
    <w:rsid w:val="005C735F"/>
    <w:rsid w:val="005E226E"/>
    <w:rsid w:val="005E2636"/>
    <w:rsid w:val="005F0885"/>
    <w:rsid w:val="006015D7"/>
    <w:rsid w:val="00601B21"/>
    <w:rsid w:val="006041F0"/>
    <w:rsid w:val="00606626"/>
    <w:rsid w:val="00621ACC"/>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A74C0"/>
    <w:rsid w:val="006B0E73"/>
    <w:rsid w:val="006B4A4D"/>
    <w:rsid w:val="006B5695"/>
    <w:rsid w:val="006C7157"/>
    <w:rsid w:val="006C78EB"/>
    <w:rsid w:val="006D1660"/>
    <w:rsid w:val="006F1B67"/>
    <w:rsid w:val="0070091D"/>
    <w:rsid w:val="00702854"/>
    <w:rsid w:val="007062CA"/>
    <w:rsid w:val="0071741C"/>
    <w:rsid w:val="00742B90"/>
    <w:rsid w:val="00742CF3"/>
    <w:rsid w:val="00743CD5"/>
    <w:rsid w:val="0074434D"/>
    <w:rsid w:val="00770343"/>
    <w:rsid w:val="00771B1E"/>
    <w:rsid w:val="00773C95"/>
    <w:rsid w:val="0078171E"/>
    <w:rsid w:val="00791717"/>
    <w:rsid w:val="00795B34"/>
    <w:rsid w:val="00797D52"/>
    <w:rsid w:val="007A6454"/>
    <w:rsid w:val="007B1770"/>
    <w:rsid w:val="007B4D3E"/>
    <w:rsid w:val="007B7C70"/>
    <w:rsid w:val="007C7D05"/>
    <w:rsid w:val="007D2151"/>
    <w:rsid w:val="007D42CC"/>
    <w:rsid w:val="007D4C78"/>
    <w:rsid w:val="007D5DE4"/>
    <w:rsid w:val="007E0777"/>
    <w:rsid w:val="007E1316"/>
    <w:rsid w:val="007E1341"/>
    <w:rsid w:val="007E1B41"/>
    <w:rsid w:val="007E30B9"/>
    <w:rsid w:val="007E74F1"/>
    <w:rsid w:val="007F0F0C"/>
    <w:rsid w:val="007F1288"/>
    <w:rsid w:val="00800A8A"/>
    <w:rsid w:val="0080155C"/>
    <w:rsid w:val="008034FB"/>
    <w:rsid w:val="008052E1"/>
    <w:rsid w:val="00822F2C"/>
    <w:rsid w:val="008305E8"/>
    <w:rsid w:val="00850646"/>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3C7B"/>
    <w:rsid w:val="008D74D5"/>
    <w:rsid w:val="008D7C8C"/>
    <w:rsid w:val="008F29BE"/>
    <w:rsid w:val="008F4AE5"/>
    <w:rsid w:val="008F51EB"/>
    <w:rsid w:val="008F60CD"/>
    <w:rsid w:val="00900197"/>
    <w:rsid w:val="00902F55"/>
    <w:rsid w:val="0090582B"/>
    <w:rsid w:val="009060C0"/>
    <w:rsid w:val="009133F5"/>
    <w:rsid w:val="00920A27"/>
    <w:rsid w:val="00921216"/>
    <w:rsid w:val="009216CC"/>
    <w:rsid w:val="00930D08"/>
    <w:rsid w:val="00932D69"/>
    <w:rsid w:val="00942F87"/>
    <w:rsid w:val="00944647"/>
    <w:rsid w:val="00953CAF"/>
    <w:rsid w:val="009753AE"/>
    <w:rsid w:val="00977B8A"/>
    <w:rsid w:val="00982971"/>
    <w:rsid w:val="009845AD"/>
    <w:rsid w:val="00995BA0"/>
    <w:rsid w:val="009A418B"/>
    <w:rsid w:val="009A4473"/>
    <w:rsid w:val="009C14DD"/>
    <w:rsid w:val="009C151C"/>
    <w:rsid w:val="009D5125"/>
    <w:rsid w:val="009D60B8"/>
    <w:rsid w:val="009D7D4B"/>
    <w:rsid w:val="009E36ED"/>
    <w:rsid w:val="009E3C8C"/>
    <w:rsid w:val="009E6B77"/>
    <w:rsid w:val="009F460A"/>
    <w:rsid w:val="00A02CFD"/>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76E02"/>
    <w:rsid w:val="00A80363"/>
    <w:rsid w:val="00A83E9D"/>
    <w:rsid w:val="00A8651E"/>
    <w:rsid w:val="00A9169D"/>
    <w:rsid w:val="00AA240C"/>
    <w:rsid w:val="00AC0924"/>
    <w:rsid w:val="00AC101C"/>
    <w:rsid w:val="00AD4CF1"/>
    <w:rsid w:val="00AD5988"/>
    <w:rsid w:val="00AF7800"/>
    <w:rsid w:val="00B072E0"/>
    <w:rsid w:val="00B11E88"/>
    <w:rsid w:val="00B253F6"/>
    <w:rsid w:val="00B305DB"/>
    <w:rsid w:val="00B332F8"/>
    <w:rsid w:val="00B3492B"/>
    <w:rsid w:val="00B4646F"/>
    <w:rsid w:val="00B55C7D"/>
    <w:rsid w:val="00B63038"/>
    <w:rsid w:val="00B64BD8"/>
    <w:rsid w:val="00B701D1"/>
    <w:rsid w:val="00B73AF2"/>
    <w:rsid w:val="00B7551A"/>
    <w:rsid w:val="00B773F1"/>
    <w:rsid w:val="00B86AB1"/>
    <w:rsid w:val="00B94C47"/>
    <w:rsid w:val="00BB2CBB"/>
    <w:rsid w:val="00BC59F1"/>
    <w:rsid w:val="00BF21A7"/>
    <w:rsid w:val="00BF3DE1"/>
    <w:rsid w:val="00BF4843"/>
    <w:rsid w:val="00BF5205"/>
    <w:rsid w:val="00C12508"/>
    <w:rsid w:val="00C23728"/>
    <w:rsid w:val="00C30753"/>
    <w:rsid w:val="00C45AA2"/>
    <w:rsid w:val="00C55BEF"/>
    <w:rsid w:val="00C5635F"/>
    <w:rsid w:val="00C66296"/>
    <w:rsid w:val="00C71F60"/>
    <w:rsid w:val="00C77282"/>
    <w:rsid w:val="00C84DE5"/>
    <w:rsid w:val="00C86248"/>
    <w:rsid w:val="00CA4C33"/>
    <w:rsid w:val="00CA6F4A"/>
    <w:rsid w:val="00CD2119"/>
    <w:rsid w:val="00CD237A"/>
    <w:rsid w:val="00CD36AC"/>
    <w:rsid w:val="00CE13A3"/>
    <w:rsid w:val="00CF1747"/>
    <w:rsid w:val="00D23323"/>
    <w:rsid w:val="00D2392A"/>
    <w:rsid w:val="00D2421E"/>
    <w:rsid w:val="00D25FFE"/>
    <w:rsid w:val="00D3393D"/>
    <w:rsid w:val="00D341F2"/>
    <w:rsid w:val="00D4476F"/>
    <w:rsid w:val="00D54D50"/>
    <w:rsid w:val="00D66797"/>
    <w:rsid w:val="00D7087C"/>
    <w:rsid w:val="00D70C3C"/>
    <w:rsid w:val="00D72BE5"/>
    <w:rsid w:val="00D82F26"/>
    <w:rsid w:val="00D863D0"/>
    <w:rsid w:val="00D87C87"/>
    <w:rsid w:val="00D90E07"/>
    <w:rsid w:val="00DB39CF"/>
    <w:rsid w:val="00DD0BCD"/>
    <w:rsid w:val="00DD447A"/>
    <w:rsid w:val="00DD44E3"/>
    <w:rsid w:val="00DE3B20"/>
    <w:rsid w:val="00DE6C94"/>
    <w:rsid w:val="00DE6FD7"/>
    <w:rsid w:val="00DF2477"/>
    <w:rsid w:val="00E2252F"/>
    <w:rsid w:val="00E23271"/>
    <w:rsid w:val="00E24F80"/>
    <w:rsid w:val="00E259F3"/>
    <w:rsid w:val="00E33238"/>
    <w:rsid w:val="00E4486C"/>
    <w:rsid w:val="00E460B6"/>
    <w:rsid w:val="00E511D5"/>
    <w:rsid w:val="00E60249"/>
    <w:rsid w:val="00E65269"/>
    <w:rsid w:val="00E76D66"/>
    <w:rsid w:val="00E85766"/>
    <w:rsid w:val="00EA796A"/>
    <w:rsid w:val="00EB1856"/>
    <w:rsid w:val="00EC50CE"/>
    <w:rsid w:val="00EC5B34"/>
    <w:rsid w:val="00EE2D5C"/>
    <w:rsid w:val="00EE4ADE"/>
    <w:rsid w:val="00EE5CB7"/>
    <w:rsid w:val="00F024FE"/>
    <w:rsid w:val="00F05AD4"/>
    <w:rsid w:val="00F25970"/>
    <w:rsid w:val="00F5180D"/>
    <w:rsid w:val="00F63781"/>
    <w:rsid w:val="00F67496"/>
    <w:rsid w:val="00F75893"/>
    <w:rsid w:val="00F801BA"/>
    <w:rsid w:val="00F8739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A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Date"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E85766"/>
    <w:pPr>
      <w:pageBreakBefore/>
      <w:numPr>
        <w:numId w:val="6"/>
      </w:numPr>
      <w:pBdr>
        <w:top w:val="single" w:sz="48" w:space="16" w:color="auto"/>
      </w:pBdr>
      <w:spacing w:after="360"/>
      <w:outlineLvl w:val="0"/>
    </w:pPr>
    <w:rPr>
      <w:b/>
      <w:sz w:val="60"/>
    </w:rPr>
  </w:style>
  <w:style w:type="paragraph" w:styleId="Heading2">
    <w:name w:val="heading 2"/>
    <w:basedOn w:val="Normal"/>
    <w:next w:val="Normal"/>
    <w:link w:val="Heading2Char"/>
    <w:qFormat/>
    <w:rsid w:val="00E85766"/>
    <w:pPr>
      <w:keepNext/>
      <w:numPr>
        <w:ilvl w:val="1"/>
        <w:numId w:val="6"/>
      </w:numPr>
      <w:spacing w:before="120" w:after="120"/>
      <w:outlineLvl w:val="1"/>
    </w:pPr>
    <w:rPr>
      <w:b/>
      <w:sz w:val="40"/>
    </w:rPr>
  </w:style>
  <w:style w:type="paragraph" w:styleId="Heading3">
    <w:name w:val="heading 3"/>
    <w:basedOn w:val="Normal"/>
    <w:next w:val="Normal"/>
    <w:link w:val="Heading3Char"/>
    <w:qFormat/>
    <w:rsid w:val="006C7157"/>
    <w:pPr>
      <w:keepNext/>
      <w:numPr>
        <w:ilvl w:val="2"/>
        <w:numId w:val="6"/>
      </w:numPr>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paragraph" w:styleId="Heading6">
    <w:name w:val="heading 6"/>
    <w:basedOn w:val="Heading3"/>
    <w:next w:val="Normal"/>
    <w:link w:val="Heading6Char"/>
    <w:qFormat/>
    <w:rsid w:val="00E85766"/>
    <w:pPr>
      <w:widowControl w:val="0"/>
      <w:autoSpaceDE w:val="0"/>
      <w:autoSpaceDN w:val="0"/>
      <w:adjustRightInd w:val="0"/>
      <w:spacing w:before="0" w:after="0" w:line="280" w:lineRule="atLeast"/>
      <w:outlineLvl w:val="5"/>
    </w:pPr>
    <w:rPr>
      <w:rFonts w:ascii="EYInterstate Light" w:hAnsi="EYInterstate Light" w:cs="Arial"/>
      <w:bCs/>
      <w:i/>
      <w:sz w:val="24"/>
      <w:lang w:val="en-US" w:eastAsia="en-US"/>
    </w:rPr>
  </w:style>
  <w:style w:type="paragraph" w:styleId="Heading7">
    <w:name w:val="heading 7"/>
    <w:basedOn w:val="Normal"/>
    <w:next w:val="Normal"/>
    <w:link w:val="Heading7Char"/>
    <w:qFormat/>
    <w:rsid w:val="00E85766"/>
    <w:pPr>
      <w:widowControl w:val="0"/>
      <w:autoSpaceDE w:val="0"/>
      <w:autoSpaceDN w:val="0"/>
      <w:adjustRightInd w:val="0"/>
      <w:spacing w:before="120" w:after="240" w:line="280" w:lineRule="atLeast"/>
      <w:outlineLvl w:val="6"/>
    </w:pPr>
    <w:rPr>
      <w:rFonts w:ascii="EYInterstate Light" w:hAnsi="EYInterstate Light"/>
      <w:b/>
      <w:i/>
      <w:sz w:val="24"/>
      <w:lang w:val="en-US" w:eastAsia="en-US"/>
    </w:rPr>
  </w:style>
  <w:style w:type="paragraph" w:styleId="Heading8">
    <w:name w:val="heading 8"/>
    <w:basedOn w:val="Normal"/>
    <w:next w:val="Normal"/>
    <w:link w:val="Heading8Char"/>
    <w:qFormat/>
    <w:rsid w:val="00E85766"/>
    <w:pPr>
      <w:widowControl w:val="0"/>
      <w:autoSpaceDE w:val="0"/>
      <w:autoSpaceDN w:val="0"/>
      <w:adjustRightInd w:val="0"/>
      <w:spacing w:before="120" w:after="240" w:line="280" w:lineRule="atLeast"/>
      <w:outlineLvl w:val="7"/>
    </w:pPr>
    <w:rPr>
      <w:rFonts w:ascii="EYInterstate Light" w:hAnsi="EYInterstate Light"/>
      <w:b/>
      <w:sz w:val="24"/>
      <w:lang w:val="en-US" w:eastAsia="en-US"/>
    </w:rPr>
  </w:style>
  <w:style w:type="paragraph" w:styleId="Heading9">
    <w:name w:val="heading 9"/>
    <w:basedOn w:val="Heading8"/>
    <w:next w:val="Normal"/>
    <w:link w:val="Heading9Char"/>
    <w:qFormat/>
    <w:rsid w:val="00E85766"/>
    <w:pPr>
      <w:pageBreakBefore/>
      <w:outlineLvl w:val="8"/>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3958D9"/>
    <w:pPr>
      <w:tabs>
        <w:tab w:val="right" w:pos="9356"/>
      </w:tabs>
      <w:spacing w:before="300"/>
      <w:ind w:left="567" w:right="567" w:hanging="567"/>
    </w:pPr>
    <w:rPr>
      <w:b/>
    </w:rPr>
  </w:style>
  <w:style w:type="paragraph" w:styleId="TOC2">
    <w:name w:val="toc 2"/>
    <w:basedOn w:val="Normal"/>
    <w:next w:val="Normal"/>
    <w:uiPriority w:val="39"/>
    <w:rsid w:val="003958D9"/>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6C7157"/>
    <w:pPr>
      <w:numPr>
        <w:numId w:val="0"/>
      </w:num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8D3C7B"/>
    <w:pPr>
      <w:spacing w:before="80"/>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8D3C7B"/>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E85766"/>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E85766"/>
    <w:rPr>
      <w:rFonts w:ascii="Georgia" w:hAnsi="Georgia"/>
      <w:b/>
      <w:sz w:val="40"/>
      <w:lang w:eastAsia="en-GB"/>
    </w:rPr>
  </w:style>
  <w:style w:type="character" w:customStyle="1" w:styleId="Heading3Char">
    <w:name w:val="Heading 3 Char"/>
    <w:link w:val="Heading3"/>
    <w:rsid w:val="006C7157"/>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Heading6Char">
    <w:name w:val="Heading 6 Char"/>
    <w:basedOn w:val="DefaultParagraphFont"/>
    <w:link w:val="Heading6"/>
    <w:rsid w:val="00E85766"/>
    <w:rPr>
      <w:rFonts w:ascii="EYInterstate Light" w:hAnsi="EYInterstate Light" w:cs="Arial"/>
      <w:b/>
      <w:bCs/>
      <w:i/>
      <w:sz w:val="24"/>
      <w:lang w:val="en-US" w:eastAsia="en-US"/>
    </w:rPr>
  </w:style>
  <w:style w:type="character" w:customStyle="1" w:styleId="Heading7Char">
    <w:name w:val="Heading 7 Char"/>
    <w:basedOn w:val="DefaultParagraphFont"/>
    <w:link w:val="Heading7"/>
    <w:rsid w:val="00E85766"/>
    <w:rPr>
      <w:rFonts w:ascii="EYInterstate Light" w:hAnsi="EYInterstate Light"/>
      <w:b/>
      <w:i/>
      <w:sz w:val="24"/>
      <w:lang w:val="en-US" w:eastAsia="en-US"/>
    </w:rPr>
  </w:style>
  <w:style w:type="character" w:customStyle="1" w:styleId="Heading8Char">
    <w:name w:val="Heading 8 Char"/>
    <w:basedOn w:val="DefaultParagraphFont"/>
    <w:link w:val="Heading8"/>
    <w:rsid w:val="00E85766"/>
    <w:rPr>
      <w:rFonts w:ascii="EYInterstate Light" w:hAnsi="EYInterstate Light"/>
      <w:b/>
      <w:sz w:val="24"/>
      <w:lang w:val="en-US" w:eastAsia="en-US"/>
    </w:rPr>
  </w:style>
  <w:style w:type="character" w:customStyle="1" w:styleId="Heading9Char">
    <w:name w:val="Heading 9 Char"/>
    <w:basedOn w:val="DefaultParagraphFont"/>
    <w:link w:val="Heading9"/>
    <w:rsid w:val="00E85766"/>
    <w:rPr>
      <w:rFonts w:ascii="EYInterstate Light" w:hAnsi="EYInterstate Light"/>
      <w:b/>
      <w:sz w:val="28"/>
      <w:lang w:val="en-US" w:eastAsia="en-US"/>
    </w:rPr>
  </w:style>
  <w:style w:type="character" w:customStyle="1" w:styleId="TitleChar">
    <w:name w:val="Title Char"/>
    <w:basedOn w:val="DefaultParagraphFont"/>
    <w:link w:val="Title"/>
    <w:rsid w:val="00E85766"/>
    <w:rPr>
      <w:rFonts w:ascii="Georgia" w:hAnsi="Georgia"/>
      <w:b/>
      <w:sz w:val="80"/>
      <w:lang w:eastAsia="en-GB"/>
    </w:rPr>
  </w:style>
  <w:style w:type="paragraph" w:styleId="CommentText">
    <w:name w:val="annotation text"/>
    <w:basedOn w:val="Normal"/>
    <w:link w:val="CommentTextChar"/>
    <w:semiHidden/>
    <w:unhideWhenUsed/>
    <w:pPr>
      <w:spacing w:line="240" w:lineRule="auto"/>
    </w:pPr>
    <w:rPr>
      <w:sz w:val="20"/>
    </w:rPr>
  </w:style>
  <w:style w:type="character" w:customStyle="1" w:styleId="CommentTextChar">
    <w:name w:val="Comment Text Char"/>
    <w:basedOn w:val="DefaultParagraphFont"/>
    <w:link w:val="CommentText"/>
    <w:semiHidden/>
    <w:rPr>
      <w:rFonts w:ascii="Georgia" w:hAnsi="Georgia"/>
      <w:lang w:eastAsia="en-GB"/>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5F08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F0885"/>
    <w:rPr>
      <w:rFonts w:ascii="Segoe UI" w:hAnsi="Segoe UI" w:cs="Segoe UI"/>
      <w:sz w:val="18"/>
      <w:szCs w:val="18"/>
      <w:lang w:eastAsia="en-GB"/>
    </w:rPr>
  </w:style>
  <w:style w:type="paragraph" w:styleId="CommentSubject">
    <w:name w:val="annotation subject"/>
    <w:basedOn w:val="CommentText"/>
    <w:next w:val="CommentText"/>
    <w:link w:val="CommentSubjectChar"/>
    <w:semiHidden/>
    <w:unhideWhenUsed/>
    <w:rsid w:val="00DF2477"/>
    <w:rPr>
      <w:b/>
      <w:bCs/>
    </w:rPr>
  </w:style>
  <w:style w:type="character" w:customStyle="1" w:styleId="CommentSubjectChar">
    <w:name w:val="Comment Subject Char"/>
    <w:basedOn w:val="CommentTextChar"/>
    <w:link w:val="CommentSubject"/>
    <w:semiHidden/>
    <w:rsid w:val="00DF2477"/>
    <w:rPr>
      <w:rFonts w:ascii="Georgia" w:hAnsi="Georgia"/>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Date"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E85766"/>
    <w:pPr>
      <w:pageBreakBefore/>
      <w:numPr>
        <w:numId w:val="6"/>
      </w:numPr>
      <w:pBdr>
        <w:top w:val="single" w:sz="48" w:space="16" w:color="auto"/>
      </w:pBdr>
      <w:spacing w:after="360"/>
      <w:outlineLvl w:val="0"/>
    </w:pPr>
    <w:rPr>
      <w:b/>
      <w:sz w:val="60"/>
    </w:rPr>
  </w:style>
  <w:style w:type="paragraph" w:styleId="Heading2">
    <w:name w:val="heading 2"/>
    <w:basedOn w:val="Normal"/>
    <w:next w:val="Normal"/>
    <w:link w:val="Heading2Char"/>
    <w:qFormat/>
    <w:rsid w:val="00E85766"/>
    <w:pPr>
      <w:keepNext/>
      <w:numPr>
        <w:ilvl w:val="1"/>
        <w:numId w:val="6"/>
      </w:numPr>
      <w:spacing w:before="120" w:after="120"/>
      <w:outlineLvl w:val="1"/>
    </w:pPr>
    <w:rPr>
      <w:b/>
      <w:sz w:val="40"/>
    </w:rPr>
  </w:style>
  <w:style w:type="paragraph" w:styleId="Heading3">
    <w:name w:val="heading 3"/>
    <w:basedOn w:val="Normal"/>
    <w:next w:val="Normal"/>
    <w:link w:val="Heading3Char"/>
    <w:qFormat/>
    <w:rsid w:val="006C7157"/>
    <w:pPr>
      <w:keepNext/>
      <w:numPr>
        <w:ilvl w:val="2"/>
        <w:numId w:val="6"/>
      </w:numPr>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paragraph" w:styleId="Heading6">
    <w:name w:val="heading 6"/>
    <w:basedOn w:val="Heading3"/>
    <w:next w:val="Normal"/>
    <w:link w:val="Heading6Char"/>
    <w:qFormat/>
    <w:rsid w:val="00E85766"/>
    <w:pPr>
      <w:widowControl w:val="0"/>
      <w:autoSpaceDE w:val="0"/>
      <w:autoSpaceDN w:val="0"/>
      <w:adjustRightInd w:val="0"/>
      <w:spacing w:before="0" w:after="0" w:line="280" w:lineRule="atLeast"/>
      <w:outlineLvl w:val="5"/>
    </w:pPr>
    <w:rPr>
      <w:rFonts w:ascii="EYInterstate Light" w:hAnsi="EYInterstate Light" w:cs="Arial"/>
      <w:bCs/>
      <w:i/>
      <w:sz w:val="24"/>
      <w:lang w:val="en-US" w:eastAsia="en-US"/>
    </w:rPr>
  </w:style>
  <w:style w:type="paragraph" w:styleId="Heading7">
    <w:name w:val="heading 7"/>
    <w:basedOn w:val="Normal"/>
    <w:next w:val="Normal"/>
    <w:link w:val="Heading7Char"/>
    <w:qFormat/>
    <w:rsid w:val="00E85766"/>
    <w:pPr>
      <w:widowControl w:val="0"/>
      <w:autoSpaceDE w:val="0"/>
      <w:autoSpaceDN w:val="0"/>
      <w:adjustRightInd w:val="0"/>
      <w:spacing w:before="120" w:after="240" w:line="280" w:lineRule="atLeast"/>
      <w:outlineLvl w:val="6"/>
    </w:pPr>
    <w:rPr>
      <w:rFonts w:ascii="EYInterstate Light" w:hAnsi="EYInterstate Light"/>
      <w:b/>
      <w:i/>
      <w:sz w:val="24"/>
      <w:lang w:val="en-US" w:eastAsia="en-US"/>
    </w:rPr>
  </w:style>
  <w:style w:type="paragraph" w:styleId="Heading8">
    <w:name w:val="heading 8"/>
    <w:basedOn w:val="Normal"/>
    <w:next w:val="Normal"/>
    <w:link w:val="Heading8Char"/>
    <w:qFormat/>
    <w:rsid w:val="00E85766"/>
    <w:pPr>
      <w:widowControl w:val="0"/>
      <w:autoSpaceDE w:val="0"/>
      <w:autoSpaceDN w:val="0"/>
      <w:adjustRightInd w:val="0"/>
      <w:spacing w:before="120" w:after="240" w:line="280" w:lineRule="atLeast"/>
      <w:outlineLvl w:val="7"/>
    </w:pPr>
    <w:rPr>
      <w:rFonts w:ascii="EYInterstate Light" w:hAnsi="EYInterstate Light"/>
      <w:b/>
      <w:sz w:val="24"/>
      <w:lang w:val="en-US" w:eastAsia="en-US"/>
    </w:rPr>
  </w:style>
  <w:style w:type="paragraph" w:styleId="Heading9">
    <w:name w:val="heading 9"/>
    <w:basedOn w:val="Heading8"/>
    <w:next w:val="Normal"/>
    <w:link w:val="Heading9Char"/>
    <w:qFormat/>
    <w:rsid w:val="00E85766"/>
    <w:pPr>
      <w:pageBreakBefore/>
      <w:outlineLvl w:val="8"/>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3958D9"/>
    <w:pPr>
      <w:tabs>
        <w:tab w:val="right" w:pos="9356"/>
      </w:tabs>
      <w:spacing w:before="300"/>
      <w:ind w:left="567" w:right="567" w:hanging="567"/>
    </w:pPr>
    <w:rPr>
      <w:b/>
    </w:rPr>
  </w:style>
  <w:style w:type="paragraph" w:styleId="TOC2">
    <w:name w:val="toc 2"/>
    <w:basedOn w:val="Normal"/>
    <w:next w:val="Normal"/>
    <w:uiPriority w:val="39"/>
    <w:rsid w:val="003958D9"/>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uiPriority w:val="99"/>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6C7157"/>
    <w:pPr>
      <w:numPr>
        <w:numId w:val="0"/>
      </w:num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8D3C7B"/>
    <w:pPr>
      <w:spacing w:before="80"/>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8D3C7B"/>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E85766"/>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E85766"/>
    <w:rPr>
      <w:rFonts w:ascii="Georgia" w:hAnsi="Georgia"/>
      <w:b/>
      <w:sz w:val="40"/>
      <w:lang w:eastAsia="en-GB"/>
    </w:rPr>
  </w:style>
  <w:style w:type="character" w:customStyle="1" w:styleId="Heading3Char">
    <w:name w:val="Heading 3 Char"/>
    <w:link w:val="Heading3"/>
    <w:rsid w:val="006C7157"/>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Heading6Char">
    <w:name w:val="Heading 6 Char"/>
    <w:basedOn w:val="DefaultParagraphFont"/>
    <w:link w:val="Heading6"/>
    <w:rsid w:val="00E85766"/>
    <w:rPr>
      <w:rFonts w:ascii="EYInterstate Light" w:hAnsi="EYInterstate Light" w:cs="Arial"/>
      <w:b/>
      <w:bCs/>
      <w:i/>
      <w:sz w:val="24"/>
      <w:lang w:val="en-US" w:eastAsia="en-US"/>
    </w:rPr>
  </w:style>
  <w:style w:type="character" w:customStyle="1" w:styleId="Heading7Char">
    <w:name w:val="Heading 7 Char"/>
    <w:basedOn w:val="DefaultParagraphFont"/>
    <w:link w:val="Heading7"/>
    <w:rsid w:val="00E85766"/>
    <w:rPr>
      <w:rFonts w:ascii="EYInterstate Light" w:hAnsi="EYInterstate Light"/>
      <w:b/>
      <w:i/>
      <w:sz w:val="24"/>
      <w:lang w:val="en-US" w:eastAsia="en-US"/>
    </w:rPr>
  </w:style>
  <w:style w:type="character" w:customStyle="1" w:styleId="Heading8Char">
    <w:name w:val="Heading 8 Char"/>
    <w:basedOn w:val="DefaultParagraphFont"/>
    <w:link w:val="Heading8"/>
    <w:rsid w:val="00E85766"/>
    <w:rPr>
      <w:rFonts w:ascii="EYInterstate Light" w:hAnsi="EYInterstate Light"/>
      <w:b/>
      <w:sz w:val="24"/>
      <w:lang w:val="en-US" w:eastAsia="en-US"/>
    </w:rPr>
  </w:style>
  <w:style w:type="character" w:customStyle="1" w:styleId="Heading9Char">
    <w:name w:val="Heading 9 Char"/>
    <w:basedOn w:val="DefaultParagraphFont"/>
    <w:link w:val="Heading9"/>
    <w:rsid w:val="00E85766"/>
    <w:rPr>
      <w:rFonts w:ascii="EYInterstate Light" w:hAnsi="EYInterstate Light"/>
      <w:b/>
      <w:sz w:val="28"/>
      <w:lang w:val="en-US" w:eastAsia="en-US"/>
    </w:rPr>
  </w:style>
  <w:style w:type="character" w:customStyle="1" w:styleId="TitleChar">
    <w:name w:val="Title Char"/>
    <w:basedOn w:val="DefaultParagraphFont"/>
    <w:link w:val="Title"/>
    <w:rsid w:val="00E85766"/>
    <w:rPr>
      <w:rFonts w:ascii="Georgia" w:hAnsi="Georgia"/>
      <w:b/>
      <w:sz w:val="80"/>
      <w:lang w:eastAsia="en-GB"/>
    </w:rPr>
  </w:style>
  <w:style w:type="paragraph" w:styleId="CommentText">
    <w:name w:val="annotation text"/>
    <w:basedOn w:val="Normal"/>
    <w:link w:val="CommentTextChar"/>
    <w:semiHidden/>
    <w:unhideWhenUsed/>
    <w:pPr>
      <w:spacing w:line="240" w:lineRule="auto"/>
    </w:pPr>
    <w:rPr>
      <w:sz w:val="20"/>
    </w:rPr>
  </w:style>
  <w:style w:type="character" w:customStyle="1" w:styleId="CommentTextChar">
    <w:name w:val="Comment Text Char"/>
    <w:basedOn w:val="DefaultParagraphFont"/>
    <w:link w:val="CommentText"/>
    <w:semiHidden/>
    <w:rPr>
      <w:rFonts w:ascii="Georgia" w:hAnsi="Georgia"/>
      <w:lang w:eastAsia="en-GB"/>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5F08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F0885"/>
    <w:rPr>
      <w:rFonts w:ascii="Segoe UI" w:hAnsi="Segoe UI" w:cs="Segoe UI"/>
      <w:sz w:val="18"/>
      <w:szCs w:val="18"/>
      <w:lang w:eastAsia="en-GB"/>
    </w:rPr>
  </w:style>
  <w:style w:type="paragraph" w:styleId="CommentSubject">
    <w:name w:val="annotation subject"/>
    <w:basedOn w:val="CommentText"/>
    <w:next w:val="CommentText"/>
    <w:link w:val="CommentSubjectChar"/>
    <w:semiHidden/>
    <w:unhideWhenUsed/>
    <w:rsid w:val="00DF2477"/>
    <w:rPr>
      <w:b/>
      <w:bCs/>
    </w:rPr>
  </w:style>
  <w:style w:type="character" w:customStyle="1" w:styleId="CommentSubjectChar">
    <w:name w:val="Comment Subject Char"/>
    <w:basedOn w:val="CommentTextChar"/>
    <w:link w:val="CommentSubject"/>
    <w:semiHidden/>
    <w:rsid w:val="00DF2477"/>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5.xml"/><Relationship Id="rId39" Type="http://schemas.openxmlformats.org/officeDocument/2006/relationships/hyperlink" Target="http://www.health.govt.nz/system/files/documents/publications/cancer-health-information-strategy-jul15-v2.pdf"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health.govt.nz/system/files/documents/publications/national-radiation-oncology-service-planning-jun14_0.pdf" TargetMode="Externa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hyperlink" Target="http://www.ncbi.nlm.nih.gov/pubmed/25455408" TargetMode="External"/><Relationship Id="rId38" Type="http://schemas.openxmlformats.org/officeDocument/2006/relationships/hyperlink" Target="http://www.health.govt.nz/system/files/documents/publications/new-zealand-cancer-plan-2015-2018-dec14-v3.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0.png"/><Relationship Id="rId41" Type="http://schemas.openxmlformats.org/officeDocument/2006/relationships/hyperlink" Target="http://www.ranzcr.edu.au/quality-a-safety/radiation-oncology/tripartite-radiation-oncology-practice-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hyperlink" Target="http://www.ncbi.nlm.nih.gov/pubmed/?term=Barton%20MB%5BAuthor%5D&amp;cauthor=true&amp;cauthor_uid=25455408" TargetMode="External"/><Relationship Id="rId37" Type="http://schemas.openxmlformats.org/officeDocument/2006/relationships/hyperlink" Target="http://www.health.govt.nz/our-work/populations/maori-health/he-korowai-oranga" TargetMode="External"/><Relationship Id="rId40" Type="http://schemas.openxmlformats.org/officeDocument/2006/relationships/hyperlink" Target="https://pure.strath.ac.uk/portal/files/38015246/Schang_et_al_NHS_Atlas_Health_Policy.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image" Target="media/image9.png"/><Relationship Id="rId36" Type="http://schemas.openxmlformats.org/officeDocument/2006/relationships/hyperlink" Target="http://www.health.govt.nz/system/files/documents/publications/new-zealand-health-strategy-futuredirection-2016-apr16.pdf"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ncbi.nlm.nih.gov/pubmed/?term=Delaney%20GP%5BAuthor%5D&amp;cauthor=true&amp;cauthor_uid=25455408"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oter" Target="footer7.xml"/><Relationship Id="rId30" Type="http://schemas.openxmlformats.org/officeDocument/2006/relationships/hyperlink" Target="https://www.cancerresearchuk.org/sites/default/files/policy_feb2014_radiotherapy_vision2014-2024_final.pdf" TargetMode="External"/><Relationship Id="rId35" Type="http://schemas.openxmlformats.org/officeDocument/2006/relationships/hyperlink" Target="https://www.hqsc.govt.nz/assets/Health-Quality-Evaluation/PR/Variation-literature-review-on-methods-for-influencing-practice-May-2014.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5AC8-2B91-4665-8995-8A3FE2D4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14</TotalTime>
  <Pages>45</Pages>
  <Words>15798</Words>
  <Characters>90050</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National Radiation Oncology Plan 2017–2021</vt:lpstr>
    </vt:vector>
  </TitlesOfParts>
  <Company>Microsoft</Company>
  <LinksUpToDate>false</LinksUpToDate>
  <CharactersWithSpaces>105637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Radiation Oncology Plan 2017–2021</dc:title>
  <dc:creator>Ministry of Health</dc:creator>
  <cp:lastModifiedBy>WordPRO4</cp:lastModifiedBy>
  <cp:revision>6</cp:revision>
  <cp:lastPrinted>2017-04-11T06:23:00Z</cp:lastPrinted>
  <dcterms:created xsi:type="dcterms:W3CDTF">2017-03-22T01:00:00Z</dcterms:created>
  <dcterms:modified xsi:type="dcterms:W3CDTF">2017-04-11T06:29:00Z</dcterms:modified>
</cp:coreProperties>
</file>