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1134" w:type="dxa"/>
        <w:tblLayout w:type="fixed"/>
        <w:tblCellMar>
          <w:left w:w="0" w:type="dxa"/>
          <w:right w:w="0" w:type="dxa"/>
        </w:tblCellMar>
        <w:tblLook w:val="04A0" w:firstRow="1" w:lastRow="0" w:firstColumn="1" w:lastColumn="0" w:noHBand="0" w:noVBand="1"/>
      </w:tblPr>
      <w:tblGrid>
        <w:gridCol w:w="425"/>
        <w:gridCol w:w="10348"/>
      </w:tblGrid>
      <w:tr w:rsidR="00DC7C56" w14:paraId="09DDDF23" w14:textId="77777777" w:rsidTr="005D50B6">
        <w:trPr>
          <w:cantSplit/>
        </w:trPr>
        <w:tc>
          <w:tcPr>
            <w:tcW w:w="425" w:type="dxa"/>
            <w:vMerge w:val="restart"/>
            <w:tcBorders>
              <w:top w:val="nil"/>
              <w:left w:val="nil"/>
              <w:bottom w:val="nil"/>
              <w:right w:val="nil"/>
            </w:tcBorders>
            <w:shd w:val="clear" w:color="auto" w:fill="1B83A0" w:themeFill="text1"/>
          </w:tcPr>
          <w:p w14:paraId="09DDDF21" w14:textId="77777777" w:rsidR="00DC7C56" w:rsidRDefault="00DC7C56" w:rsidP="00DC7C56"/>
        </w:tc>
        <w:tc>
          <w:tcPr>
            <w:tcW w:w="10348" w:type="dxa"/>
            <w:tcBorders>
              <w:top w:val="nil"/>
              <w:left w:val="nil"/>
              <w:bottom w:val="nil"/>
              <w:right w:val="nil"/>
            </w:tcBorders>
          </w:tcPr>
          <w:p w14:paraId="09DDDF22" w14:textId="7B9858DB" w:rsidR="00DC7C56" w:rsidRDefault="00000000" w:rsidP="00DC7C56">
            <w:pPr>
              <w:pStyle w:val="Title"/>
            </w:pPr>
            <w:sdt>
              <w:sdtPr>
                <w:alias w:val="Title"/>
                <w:tag w:val=""/>
                <w:id w:val="-226917753"/>
                <w:placeholder>
                  <w:docPart w:val="ABB2111A5E32427AADAB3B6DD45D1133"/>
                </w:placeholder>
                <w:dataBinding w:prefixMappings="xmlns:ns0='http://purl.org/dc/elements/1.1/' xmlns:ns1='http://schemas.openxmlformats.org/package/2006/metadata/core-properties' " w:xpath="/ns1:coreProperties[1]/ns0:title[1]" w:storeItemID="{6C3C8BC8-F283-45AE-878A-BAB7291924A1}"/>
                <w:text/>
              </w:sdtPr>
              <w:sdtContent>
                <w:r w:rsidR="008D41C9">
                  <w:rPr>
                    <w:caps w:val="0"/>
                  </w:rPr>
                  <w:t>National Polio Outbreak Preparedness and Response Framework for Aotearoa New Zealand</w:t>
                </w:r>
              </w:sdtContent>
            </w:sdt>
          </w:p>
        </w:tc>
      </w:tr>
      <w:tr w:rsidR="00DC7C56" w14:paraId="09DDDF26" w14:textId="77777777" w:rsidTr="005D50B6">
        <w:trPr>
          <w:cantSplit/>
        </w:trPr>
        <w:tc>
          <w:tcPr>
            <w:tcW w:w="425" w:type="dxa"/>
            <w:vMerge/>
            <w:tcBorders>
              <w:top w:val="nil"/>
              <w:left w:val="nil"/>
              <w:bottom w:val="nil"/>
              <w:right w:val="nil"/>
            </w:tcBorders>
            <w:shd w:val="clear" w:color="auto" w:fill="1B83A0" w:themeFill="text1"/>
          </w:tcPr>
          <w:p w14:paraId="09DDDF24" w14:textId="77777777" w:rsidR="00DC7C56" w:rsidRDefault="00DC7C56" w:rsidP="00DC7C56"/>
        </w:tc>
        <w:tc>
          <w:tcPr>
            <w:tcW w:w="10348" w:type="dxa"/>
            <w:tcBorders>
              <w:top w:val="nil"/>
              <w:left w:val="nil"/>
              <w:bottom w:val="nil"/>
              <w:right w:val="nil"/>
            </w:tcBorders>
          </w:tcPr>
          <w:p w14:paraId="09DDDF25" w14:textId="11C205B8" w:rsidR="00DC7C56" w:rsidRDefault="00DC7C56" w:rsidP="00DC7C56">
            <w:pPr>
              <w:pStyle w:val="Subhead"/>
            </w:pPr>
          </w:p>
        </w:tc>
      </w:tr>
      <w:tr w:rsidR="00DC7C56" w14:paraId="09DDDF29" w14:textId="77777777" w:rsidTr="005D50B6">
        <w:trPr>
          <w:cantSplit/>
        </w:trPr>
        <w:tc>
          <w:tcPr>
            <w:tcW w:w="425" w:type="dxa"/>
            <w:vMerge/>
            <w:tcBorders>
              <w:top w:val="nil"/>
              <w:left w:val="nil"/>
              <w:bottom w:val="nil"/>
              <w:right w:val="nil"/>
            </w:tcBorders>
            <w:shd w:val="clear" w:color="auto" w:fill="1B83A0" w:themeFill="text1"/>
          </w:tcPr>
          <w:p w14:paraId="09DDDF27" w14:textId="77777777" w:rsidR="00DC7C56" w:rsidRDefault="00DC7C56" w:rsidP="00DC7C56"/>
        </w:tc>
        <w:tc>
          <w:tcPr>
            <w:tcW w:w="10348" w:type="dxa"/>
            <w:tcBorders>
              <w:top w:val="nil"/>
              <w:left w:val="nil"/>
              <w:bottom w:val="nil"/>
              <w:right w:val="nil"/>
            </w:tcBorders>
          </w:tcPr>
          <w:p w14:paraId="09DDDF28" w14:textId="61F8772F" w:rsidR="00DC7C56" w:rsidRDefault="00A402E6" w:rsidP="00DC7C56">
            <w:pPr>
              <w:pStyle w:val="Year"/>
            </w:pPr>
            <w:r w:rsidRPr="00A402E6">
              <w:t>2023</w:t>
            </w:r>
          </w:p>
        </w:tc>
      </w:tr>
    </w:tbl>
    <w:p w14:paraId="09DDDF2A" w14:textId="77777777" w:rsidR="00C05132" w:rsidRPr="00B47C82" w:rsidRDefault="00DC7C56" w:rsidP="00E064D9">
      <w:pPr>
        <w:spacing w:before="960"/>
      </w:pPr>
      <w:r w:rsidRPr="00922A0F">
        <w:rPr>
          <w:noProof/>
          <w:lang w:eastAsia="en-NZ"/>
        </w:rPr>
        <w:drawing>
          <wp:inline distT="0" distB="0" distL="0" distR="0" wp14:anchorId="09DDDF8A" wp14:editId="1D15C44E">
            <wp:extent cx="6109335" cy="3396343"/>
            <wp:effectExtent l="0" t="0" r="5715" b="0"/>
            <wp:docPr id="8" name="Picture 1" descr="Background pattern&#10;&#10;Description automatically generated">
              <a:extLst xmlns:a="http://schemas.openxmlformats.org/drawingml/2006/main">
                <a:ext uri="{FF2B5EF4-FFF2-40B4-BE49-F238E27FC236}">
                  <a16:creationId xmlns:a16="http://schemas.microsoft.com/office/drawing/2014/main" id="{AD64F633-D4C7-BE1E-3B6B-F6DD95A2B2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Background pattern&#10;&#10;Description automatically generated">
                      <a:extLst>
                        <a:ext uri="{FF2B5EF4-FFF2-40B4-BE49-F238E27FC236}">
                          <a16:creationId xmlns:a16="http://schemas.microsoft.com/office/drawing/2014/main" id="{AD64F633-D4C7-BE1E-3B6B-F6DD95A2B235}"/>
                        </a:ext>
                      </a:extLst>
                    </pic:cNvPr>
                    <pic:cNvPicPr>
                      <a:picLocks noChangeAspect="1"/>
                    </pic:cNvPicPr>
                  </pic:nvPicPr>
                  <pic:blipFill rotWithShape="1">
                    <a:blip r:embed="rId8">
                      <a:extLst>
                        <a:ext uri="{28A0092B-C50C-407E-A947-70E740481C1C}">
                          <a14:useLocalDpi xmlns:a14="http://schemas.microsoft.com/office/drawing/2010/main" val="0"/>
                        </a:ext>
                      </a:extLst>
                    </a:blip>
                    <a:srcRect t="58053" b="4903"/>
                    <a:stretch/>
                  </pic:blipFill>
                  <pic:spPr bwMode="auto">
                    <a:xfrm>
                      <a:off x="0" y="0"/>
                      <a:ext cx="6116308" cy="3400219"/>
                    </a:xfrm>
                    <a:prstGeom prst="rect">
                      <a:avLst/>
                    </a:prstGeom>
                    <a:ln>
                      <a:noFill/>
                    </a:ln>
                    <a:extLst>
                      <a:ext uri="{53640926-AAD7-44D8-BBD7-CCE9431645EC}">
                        <a14:shadowObscured xmlns:a14="http://schemas.microsoft.com/office/drawing/2010/main"/>
                      </a:ext>
                    </a:extLst>
                  </pic:spPr>
                </pic:pic>
              </a:graphicData>
            </a:graphic>
          </wp:inline>
        </w:drawing>
      </w:r>
    </w:p>
    <w:p w14:paraId="09DDDF2B" w14:textId="77777777" w:rsidR="00142954" w:rsidRPr="00B47C82" w:rsidRDefault="00142954" w:rsidP="00142954">
      <w:pPr>
        <w:sectPr w:rsidR="00142954" w:rsidRPr="00B47C82" w:rsidSect="00E064D9">
          <w:headerReference w:type="default" r:id="rId9"/>
          <w:footerReference w:type="default" r:id="rId10"/>
          <w:pgSz w:w="11907" w:h="16834" w:code="9"/>
          <w:pgMar w:top="3119" w:right="1134" w:bottom="1134" w:left="1134" w:header="567" w:footer="851" w:gutter="0"/>
          <w:pgNumType w:start="1"/>
          <w:cols w:space="720"/>
        </w:sectPr>
      </w:pPr>
    </w:p>
    <w:p w14:paraId="09DDDF2C" w14:textId="77777777" w:rsidR="00D27922" w:rsidRPr="00B47C82" w:rsidRDefault="00D27922" w:rsidP="000F2AF2">
      <w:pPr>
        <w:pStyle w:val="Heading3"/>
        <w:numPr>
          <w:ilvl w:val="0"/>
          <w:numId w:val="0"/>
        </w:numPr>
      </w:pPr>
      <w:r w:rsidRPr="00B47C82">
        <w:lastRenderedPageBreak/>
        <w:t>Acknowledgements</w:t>
      </w:r>
    </w:p>
    <w:p w14:paraId="1049771C" w14:textId="548C91F2" w:rsidR="00721BD9" w:rsidRPr="00B61255" w:rsidRDefault="00721BD9" w:rsidP="00721BD9">
      <w:pPr>
        <w:spacing w:before="120"/>
        <w:rPr>
          <w:rFonts w:cs="Segoe UI"/>
          <w:sz w:val="20"/>
        </w:rPr>
      </w:pPr>
      <w:r w:rsidRPr="00B61255">
        <w:rPr>
          <w:rFonts w:cs="Segoe UI"/>
          <w:sz w:val="20"/>
        </w:rPr>
        <w:t xml:space="preserve">The Ministry of Health gratefully acknowledges the assistance of the members of the National Certification Committee for the Eradication of Polio (NCCEP) in the drafting of this </w:t>
      </w:r>
      <w:r w:rsidR="00A01CBF">
        <w:rPr>
          <w:rFonts w:cs="Segoe UI"/>
          <w:sz w:val="20"/>
        </w:rPr>
        <w:t>framework</w:t>
      </w:r>
      <w:r w:rsidRPr="00B61255">
        <w:rPr>
          <w:rFonts w:cs="Segoe UI"/>
          <w:sz w:val="20"/>
        </w:rPr>
        <w:t xml:space="preserve">: Professor Steve Chambers (Chair), Dr Mavis Duncanson, Dr Lesley Voss, Dr Erik Andersen, Dr Patrick O’Connor, Dr Sue Huang, and Rachel Bates providing secretarial support. We also acknowledge the support of our partners Te Aka Whai Ora, Te Whatu Ora and Whaikaha in the development of this </w:t>
      </w:r>
      <w:r w:rsidR="00A01CBF">
        <w:rPr>
          <w:rFonts w:cs="Segoe UI"/>
          <w:sz w:val="20"/>
        </w:rPr>
        <w:t>framework</w:t>
      </w:r>
      <w:r w:rsidRPr="00B61255">
        <w:rPr>
          <w:rFonts w:cs="Segoe UI"/>
          <w:sz w:val="20"/>
        </w:rPr>
        <w:t>, as well as ESR</w:t>
      </w:r>
      <w:r>
        <w:rPr>
          <w:rFonts w:cs="Segoe UI"/>
          <w:sz w:val="20"/>
        </w:rPr>
        <w:t>,</w:t>
      </w:r>
      <w:r w:rsidRPr="00B61255">
        <w:rPr>
          <w:rFonts w:cs="Segoe UI"/>
          <w:sz w:val="20"/>
        </w:rPr>
        <w:t xml:space="preserve"> who provided technical expertise and support.</w:t>
      </w:r>
    </w:p>
    <w:p w14:paraId="6D6B2D3C" w14:textId="4F852BFB" w:rsidR="00721BD9" w:rsidRPr="00B61255" w:rsidRDefault="00721BD9" w:rsidP="00721BD9">
      <w:pPr>
        <w:pStyle w:val="Imprint"/>
        <w:spacing w:before="1200"/>
        <w:rPr>
          <w:rFonts w:cs="Segoe UI"/>
        </w:rPr>
      </w:pPr>
      <w:r w:rsidRPr="00B61255">
        <w:rPr>
          <w:rFonts w:cs="Segoe UI"/>
        </w:rPr>
        <w:t xml:space="preserve">Citation: Ministry of Health. 2023. </w:t>
      </w:r>
      <w:r w:rsidRPr="00B61255">
        <w:rPr>
          <w:rFonts w:cs="Segoe UI"/>
          <w:i/>
        </w:rPr>
        <w:t>National Polio Outbreak Preparedness and Response Framework for Aotearoa New Zealand</w:t>
      </w:r>
      <w:r w:rsidRPr="00B61255">
        <w:rPr>
          <w:rFonts w:cs="Segoe UI"/>
        </w:rPr>
        <w:t>. Wellington: Ministry of Health.</w:t>
      </w:r>
    </w:p>
    <w:p w14:paraId="43B33C40" w14:textId="640E75B8" w:rsidR="00721BD9" w:rsidRPr="00B61255" w:rsidRDefault="00721BD9" w:rsidP="00721BD9">
      <w:pPr>
        <w:pStyle w:val="Imprint"/>
      </w:pPr>
      <w:r w:rsidRPr="006F3136">
        <w:t xml:space="preserve">Published in </w:t>
      </w:r>
      <w:r w:rsidR="006F3136" w:rsidRPr="006F3136">
        <w:t>October</w:t>
      </w:r>
      <w:r w:rsidRPr="006F3136">
        <w:t xml:space="preserve"> 2023 by the Ministry of Health</w:t>
      </w:r>
      <w:r w:rsidRPr="006F3136">
        <w:br/>
        <w:t>PO Box 5013, Wellington 6140, New Zealand</w:t>
      </w:r>
    </w:p>
    <w:p w14:paraId="4E1B3AFE" w14:textId="0CBE40DA" w:rsidR="00721BD9" w:rsidRPr="00B61255" w:rsidRDefault="00721BD9" w:rsidP="00721BD9">
      <w:pPr>
        <w:pStyle w:val="Imprint"/>
      </w:pPr>
      <w:r w:rsidRPr="00A61B9E">
        <w:t xml:space="preserve">ISBN </w:t>
      </w:r>
      <w:r w:rsidR="00E21EA4" w:rsidRPr="00E21EA4">
        <w:t>978-1-991075-60-4</w:t>
      </w:r>
      <w:r w:rsidRPr="00A61B9E">
        <w:t xml:space="preserve"> (online)</w:t>
      </w:r>
      <w:r w:rsidRPr="00A61B9E">
        <w:br/>
        <w:t xml:space="preserve">HP </w:t>
      </w:r>
      <w:r w:rsidR="001E12D2">
        <w:t>8858</w:t>
      </w:r>
    </w:p>
    <w:p w14:paraId="09DDDF31" w14:textId="77777777" w:rsidR="005718A6" w:rsidRPr="00B47C82" w:rsidRDefault="00F86028" w:rsidP="00D27922">
      <w:pPr>
        <w:spacing w:before="360"/>
      </w:pPr>
      <w:r>
        <w:rPr>
          <w:noProof/>
          <w:lang w:eastAsia="en-NZ"/>
        </w:rPr>
        <w:drawing>
          <wp:inline distT="0" distB="0" distL="0" distR="0" wp14:anchorId="09DDDF8C" wp14:editId="3D3FA57C">
            <wp:extent cx="1423284" cy="620202"/>
            <wp:effectExtent l="0" t="0" r="5715" b="8890"/>
            <wp:docPr id="17" name="Picture 17"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inistry of Health logo"/>
                    <pic:cNvPicPr>
                      <a:picLocks noChangeAspect="1" noChangeArrowheads="1"/>
                    </pic:cNvPicPr>
                  </pic:nvPicPr>
                  <pic:blipFill rotWithShape="1">
                    <a:blip r:embed="rId11" cstate="print">
                      <a:grayscl/>
                      <a:extLst>
                        <a:ext uri="{28A0092B-C50C-407E-A947-70E740481C1C}">
                          <a14:useLocalDpi xmlns:a14="http://schemas.microsoft.com/office/drawing/2010/main" val="0"/>
                        </a:ext>
                      </a:extLst>
                    </a:blip>
                    <a:srcRect l="2630" t="6666" r="3158" b="6473"/>
                    <a:stretch/>
                  </pic:blipFill>
                  <pic:spPr bwMode="auto">
                    <a:xfrm>
                      <a:off x="0" y="0"/>
                      <a:ext cx="1431581" cy="623817"/>
                    </a:xfrm>
                    <a:prstGeom prst="rect">
                      <a:avLst/>
                    </a:prstGeom>
                    <a:noFill/>
                    <a:ln>
                      <a:noFill/>
                    </a:ln>
                    <a:extLst>
                      <a:ext uri="{53640926-AAD7-44D8-BBD7-CCE9431645EC}">
                        <a14:shadowObscured xmlns:a14="http://schemas.microsoft.com/office/drawing/2010/main"/>
                      </a:ext>
                    </a:extLst>
                  </pic:spPr>
                </pic:pic>
              </a:graphicData>
            </a:graphic>
          </wp:inline>
        </w:drawing>
      </w:r>
    </w:p>
    <w:p w14:paraId="09DDDF32" w14:textId="10993DB2" w:rsidR="00A63DFF" w:rsidRPr="00B47C82" w:rsidRDefault="00A63DFF" w:rsidP="00A63DFF">
      <w:pPr>
        <w:pStyle w:val="Imprint"/>
        <w:spacing w:before="240" w:after="480"/>
      </w:pPr>
      <w:r w:rsidRPr="00B47C82">
        <w:t xml:space="preserve">This document is available at </w:t>
      </w:r>
      <w:hyperlink r:id="rId12" w:history="1">
        <w:r w:rsidR="00B155FD" w:rsidRPr="00F76CB4">
          <w:rPr>
            <w:rStyle w:val="Hyperlink"/>
          </w:rPr>
          <w:t>health.govt.nz</w:t>
        </w:r>
      </w:hyperlink>
    </w:p>
    <w:tbl>
      <w:tblPr>
        <w:tblW w:w="0" w:type="auto"/>
        <w:tblLayout w:type="fixed"/>
        <w:tblLook w:val="04A0" w:firstRow="1" w:lastRow="0" w:firstColumn="1" w:lastColumn="0" w:noHBand="0" w:noVBand="1"/>
      </w:tblPr>
      <w:tblGrid>
        <w:gridCol w:w="1526"/>
        <w:gridCol w:w="6061"/>
      </w:tblGrid>
      <w:tr w:rsidR="00A63DFF" w:rsidRPr="00B47C82" w14:paraId="09DDDF35" w14:textId="77777777" w:rsidTr="00A63DFF">
        <w:trPr>
          <w:cantSplit/>
        </w:trPr>
        <w:tc>
          <w:tcPr>
            <w:tcW w:w="1526" w:type="dxa"/>
          </w:tcPr>
          <w:p w14:paraId="09DDDF33" w14:textId="77777777" w:rsidR="00A63DFF" w:rsidRPr="00B47C82" w:rsidRDefault="00A63DFF" w:rsidP="00F103BE">
            <w:pPr>
              <w:spacing w:before="240"/>
              <w:rPr>
                <w:rFonts w:cs="Segoe UI"/>
                <w:sz w:val="15"/>
                <w:szCs w:val="15"/>
              </w:rPr>
            </w:pPr>
            <w:r w:rsidRPr="00B47C82">
              <w:rPr>
                <w:rFonts w:cs="Segoe UI"/>
                <w:b/>
                <w:noProof/>
                <w:sz w:val="15"/>
                <w:szCs w:val="15"/>
                <w:lang w:eastAsia="en-NZ"/>
              </w:rPr>
              <w:drawing>
                <wp:inline distT="0" distB="0" distL="0" distR="0" wp14:anchorId="09DDDF8E" wp14:editId="09DDDF8F">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09DDDF34" w14:textId="77777777" w:rsidR="00A63DFF" w:rsidRPr="00B47C82" w:rsidRDefault="00A63DFF" w:rsidP="00A63DFF">
            <w:pPr>
              <w:rPr>
                <w:rFonts w:cs="Segoe UI"/>
                <w:sz w:val="15"/>
                <w:szCs w:val="15"/>
              </w:rPr>
            </w:pPr>
            <w:r w:rsidRPr="00B47C82">
              <w:rPr>
                <w:rFonts w:cs="Segoe UI"/>
                <w:sz w:val="15"/>
                <w:szCs w:val="15"/>
              </w:rPr>
              <w:t xml:space="preserve">This work is licensed under the Creative Commons Attribution 4.0 International licence. In essence, </w:t>
            </w:r>
            <w:r w:rsidRPr="00B47C82">
              <w:rPr>
                <w:rFonts w:cs="Segoe UI"/>
                <w:bCs/>
                <w:sz w:val="15"/>
                <w:szCs w:val="15"/>
              </w:rPr>
              <w:t xml:space="preserve">you are free to: </w:t>
            </w:r>
            <w:r w:rsidRPr="00B47C82">
              <w:rPr>
                <w:rFonts w:cs="Segoe UI"/>
                <w:sz w:val="15"/>
                <w:szCs w:val="15"/>
              </w:rPr>
              <w:t xml:space="preserve">share ie, copy and redistribute the material in any medium or format; adapt ie, remix, transform and build upon the material. </w:t>
            </w:r>
            <w:r w:rsidRPr="00B47C82">
              <w:rPr>
                <w:rFonts w:cs="Segoe UI"/>
                <w:bCs/>
                <w:sz w:val="15"/>
                <w:szCs w:val="15"/>
              </w:rPr>
              <w:t>You must give appropriate credit, provide a link to the licence and indicate if changes were made.</w:t>
            </w:r>
          </w:p>
        </w:tc>
      </w:tr>
    </w:tbl>
    <w:p w14:paraId="09DDDF36" w14:textId="77777777" w:rsidR="007E74F1" w:rsidRPr="00B47C82" w:rsidRDefault="007E74F1" w:rsidP="006E2886">
      <w:pPr>
        <w:pStyle w:val="Imprint"/>
      </w:pPr>
    </w:p>
    <w:p w14:paraId="09DDDF37" w14:textId="77777777" w:rsidR="00C86248" w:rsidRPr="00B47C82" w:rsidRDefault="00C86248">
      <w:pPr>
        <w:jc w:val="center"/>
        <w:sectPr w:rsidR="00C86248" w:rsidRPr="00B47C82" w:rsidSect="003D59BB">
          <w:headerReference w:type="even" r:id="rId14"/>
          <w:footerReference w:type="even" r:id="rId15"/>
          <w:footerReference w:type="default" r:id="rId16"/>
          <w:pgSz w:w="11907" w:h="16834" w:code="9"/>
          <w:pgMar w:top="1701" w:right="2268" w:bottom="1134" w:left="2268" w:header="425" w:footer="284" w:gutter="0"/>
          <w:cols w:space="720"/>
          <w:vAlign w:val="bottom"/>
        </w:sectPr>
      </w:pPr>
    </w:p>
    <w:p w14:paraId="60A33875" w14:textId="77777777" w:rsidR="0018060A" w:rsidRPr="00B61255" w:rsidRDefault="0018060A" w:rsidP="005E3B50">
      <w:pPr>
        <w:pStyle w:val="Heading1"/>
        <w:numPr>
          <w:ilvl w:val="0"/>
          <w:numId w:val="0"/>
        </w:numPr>
      </w:pPr>
      <w:bookmarkStart w:id="0" w:name="_Toc146541094"/>
      <w:bookmarkStart w:id="1" w:name="_Toc147242124"/>
      <w:bookmarkStart w:id="2" w:name="_Toc405792991"/>
      <w:bookmarkStart w:id="3" w:name="_Toc405793224"/>
      <w:r w:rsidRPr="00B61255">
        <w:lastRenderedPageBreak/>
        <w:t>Glossary</w:t>
      </w:r>
      <w:bookmarkEnd w:id="0"/>
      <w:bookmarkEnd w:id="1"/>
    </w:p>
    <w:tbl>
      <w:tblPr>
        <w:tblStyle w:val="TableGrid1"/>
        <w:tblW w:w="5000" w:type="pct"/>
        <w:tblLayout w:type="fixed"/>
        <w:tblLook w:val="04A0" w:firstRow="1" w:lastRow="0" w:firstColumn="1" w:lastColumn="0" w:noHBand="0" w:noVBand="1"/>
      </w:tblPr>
      <w:tblGrid>
        <w:gridCol w:w="2267"/>
        <w:gridCol w:w="5812"/>
      </w:tblGrid>
      <w:tr w:rsidR="0018060A" w:rsidRPr="00B61255" w14:paraId="62F791B0" w14:textId="77777777" w:rsidTr="00184D75">
        <w:trPr>
          <w:cnfStyle w:val="100000000000" w:firstRow="1" w:lastRow="0" w:firstColumn="0" w:lastColumn="0" w:oddVBand="0" w:evenVBand="0" w:oddHBand="0" w:evenHBand="0" w:firstRowFirstColumn="0" w:firstRowLastColumn="0" w:lastRowFirstColumn="0" w:lastRowLastColumn="0"/>
          <w:cantSplit/>
          <w:trHeight w:val="20"/>
        </w:trPr>
        <w:tc>
          <w:tcPr>
            <w:tcW w:w="1403" w:type="pct"/>
          </w:tcPr>
          <w:p w14:paraId="70B9C2CF" w14:textId="77777777" w:rsidR="0018060A" w:rsidRPr="00B61255" w:rsidRDefault="0018060A" w:rsidP="00AD201D">
            <w:pPr>
              <w:pStyle w:val="TableText"/>
              <w:rPr>
                <w:b/>
                <w:bCs/>
              </w:rPr>
            </w:pPr>
            <w:r w:rsidRPr="00B61255">
              <w:rPr>
                <w:b/>
                <w:bCs/>
              </w:rPr>
              <w:t>Term</w:t>
            </w:r>
          </w:p>
        </w:tc>
        <w:tc>
          <w:tcPr>
            <w:tcW w:w="3597" w:type="pct"/>
          </w:tcPr>
          <w:p w14:paraId="21736507" w14:textId="77777777" w:rsidR="0018060A" w:rsidRPr="00B61255" w:rsidRDefault="0018060A" w:rsidP="00AD201D">
            <w:pPr>
              <w:pStyle w:val="TableText"/>
              <w:rPr>
                <w:b/>
                <w:bCs/>
              </w:rPr>
            </w:pPr>
            <w:r w:rsidRPr="00B61255">
              <w:rPr>
                <w:b/>
                <w:bCs/>
              </w:rPr>
              <w:t>Definition</w:t>
            </w:r>
          </w:p>
        </w:tc>
      </w:tr>
      <w:tr w:rsidR="0018060A" w:rsidRPr="00B61255" w14:paraId="1665F11B" w14:textId="77777777" w:rsidTr="00184D75">
        <w:trPr>
          <w:cantSplit/>
          <w:trHeight w:val="20"/>
        </w:trPr>
        <w:tc>
          <w:tcPr>
            <w:tcW w:w="1403" w:type="pct"/>
          </w:tcPr>
          <w:p w14:paraId="4E9CE61A" w14:textId="77777777" w:rsidR="0018060A" w:rsidRPr="00B61255" w:rsidRDefault="0018060A" w:rsidP="00AD201D">
            <w:pPr>
              <w:pStyle w:val="TableText"/>
              <w:rPr>
                <w:b/>
                <w:bCs/>
              </w:rPr>
            </w:pPr>
            <w:r w:rsidRPr="00B61255">
              <w:rPr>
                <w:b/>
                <w:bCs/>
              </w:rPr>
              <w:t>acute flaccid paralysis (AFP)</w:t>
            </w:r>
          </w:p>
        </w:tc>
        <w:tc>
          <w:tcPr>
            <w:tcW w:w="3597" w:type="pct"/>
          </w:tcPr>
          <w:p w14:paraId="74345320" w14:textId="77777777" w:rsidR="0018060A" w:rsidRPr="00B61255" w:rsidRDefault="0018060A" w:rsidP="00AD201D">
            <w:pPr>
              <w:pStyle w:val="TableText"/>
            </w:pPr>
            <w:r w:rsidRPr="00B61255">
              <w:t>A clinical manifestation characterised by sudden onset of weakness or paralysis and reduced muscle tone.</w:t>
            </w:r>
          </w:p>
        </w:tc>
      </w:tr>
      <w:tr w:rsidR="0018060A" w:rsidRPr="00B61255" w14:paraId="34C16514" w14:textId="77777777" w:rsidTr="00184D75">
        <w:trPr>
          <w:cantSplit/>
          <w:trHeight w:val="20"/>
        </w:trPr>
        <w:tc>
          <w:tcPr>
            <w:tcW w:w="1403" w:type="pct"/>
          </w:tcPr>
          <w:p w14:paraId="5FDF63A9" w14:textId="77777777" w:rsidR="0018060A" w:rsidRPr="00B61255" w:rsidRDefault="0018060A" w:rsidP="00AD201D">
            <w:pPr>
              <w:pStyle w:val="TableText"/>
              <w:rPr>
                <w:b/>
                <w:bCs/>
              </w:rPr>
            </w:pPr>
            <w:r w:rsidRPr="00B61255">
              <w:rPr>
                <w:b/>
                <w:bCs/>
              </w:rPr>
              <w:t>ambiguous VDVP (aVDPV)</w:t>
            </w:r>
          </w:p>
        </w:tc>
        <w:tc>
          <w:tcPr>
            <w:tcW w:w="3597" w:type="pct"/>
          </w:tcPr>
          <w:p w14:paraId="17FF35D8" w14:textId="3E9C65B3" w:rsidR="0018060A" w:rsidRPr="00B61255" w:rsidRDefault="0018060A" w:rsidP="00AD201D">
            <w:pPr>
              <w:pStyle w:val="TableText"/>
            </w:pPr>
            <w:r w:rsidRPr="00B61255">
              <w:t xml:space="preserve">A </w:t>
            </w:r>
            <w:r w:rsidRPr="0053470D">
              <w:t xml:space="preserve">vaccine-derived poliovirus </w:t>
            </w:r>
            <w:r>
              <w:t>(</w:t>
            </w:r>
            <w:r w:rsidRPr="00B61255">
              <w:t>VDPV</w:t>
            </w:r>
            <w:r>
              <w:t>)</w:t>
            </w:r>
            <w:r w:rsidRPr="00B61255">
              <w:t xml:space="preserve"> isolate from individuals or from environmental samples, without evidence of circulation and from individuals with no known immunodeficiency. A VDPV isolate should only be classified as </w:t>
            </w:r>
            <w:r>
              <w:t>‘</w:t>
            </w:r>
            <w:r w:rsidRPr="00B61255">
              <w:t>ambiguous</w:t>
            </w:r>
            <w:r>
              <w:t>’</w:t>
            </w:r>
            <w:r w:rsidRPr="00B61255">
              <w:t xml:space="preserve"> once additional investigations have excluded that it is part of an ongoing chain of transmission</w:t>
            </w:r>
            <w:r>
              <w:t>;</w:t>
            </w:r>
            <w:r w:rsidRPr="00B61255">
              <w:t xml:space="preserve"> </w:t>
            </w:r>
            <w:r>
              <w:t>that is,</w:t>
            </w:r>
            <w:r w:rsidRPr="00B61255">
              <w:t xml:space="preserve"> a </w:t>
            </w:r>
            <w:r w:rsidR="00E45AC1" w:rsidRPr="00E45AC1">
              <w:t xml:space="preserve">circulating vaccine-derived poliovirus </w:t>
            </w:r>
            <w:r w:rsidR="00E45AC1">
              <w:t>(</w:t>
            </w:r>
            <w:r w:rsidRPr="00B61255">
              <w:t>cVDPV</w:t>
            </w:r>
            <w:r w:rsidR="00E45AC1">
              <w:t>)</w:t>
            </w:r>
            <w:r w:rsidRPr="00B61255">
              <w:t xml:space="preserve">, or derived from an </w:t>
            </w:r>
            <w:r w:rsidR="00E45AC1" w:rsidRPr="00E45AC1">
              <w:t>immune-deficiency associated</w:t>
            </w:r>
            <w:r w:rsidR="00E45AC1">
              <w:t xml:space="preserve"> </w:t>
            </w:r>
            <w:r w:rsidR="00E45AC1" w:rsidRPr="00E45AC1">
              <w:t xml:space="preserve">vaccine-derived poliovirus </w:t>
            </w:r>
            <w:r w:rsidR="00E45AC1">
              <w:t>(</w:t>
            </w:r>
            <w:r w:rsidRPr="00B61255">
              <w:t>iVDPV</w:t>
            </w:r>
            <w:r w:rsidR="00E45AC1">
              <w:t>)</w:t>
            </w:r>
            <w:r w:rsidRPr="00B61255">
              <w:t xml:space="preserve">. A VDPV classified as </w:t>
            </w:r>
            <w:r>
              <w:t>‘</w:t>
            </w:r>
            <w:r w:rsidRPr="00B61255">
              <w:t>ambiguous</w:t>
            </w:r>
            <w:r>
              <w:t>’</w:t>
            </w:r>
            <w:r w:rsidRPr="00B61255">
              <w:t xml:space="preserve"> may need to be reclassified as </w:t>
            </w:r>
            <w:r>
              <w:t>‘</w:t>
            </w:r>
            <w:r w:rsidRPr="00B61255">
              <w:t>circulating</w:t>
            </w:r>
            <w:r>
              <w:t>’</w:t>
            </w:r>
            <w:r w:rsidRPr="00B61255">
              <w:t xml:space="preserve"> if genetically linked isolates are found subsequently.</w:t>
            </w:r>
          </w:p>
        </w:tc>
      </w:tr>
      <w:tr w:rsidR="0018060A" w:rsidRPr="00B61255" w14:paraId="5D78EAE7" w14:textId="77777777" w:rsidTr="00936F1A">
        <w:trPr>
          <w:cantSplit/>
          <w:trHeight w:val="20"/>
        </w:trPr>
        <w:tc>
          <w:tcPr>
            <w:tcW w:w="1403" w:type="pct"/>
          </w:tcPr>
          <w:p w14:paraId="45D6DB70" w14:textId="64A20C85" w:rsidR="0018060A" w:rsidRPr="00B61255" w:rsidRDefault="0018060A" w:rsidP="00AD201D">
            <w:pPr>
              <w:pStyle w:val="TableText"/>
              <w:rPr>
                <w:b/>
                <w:bCs/>
              </w:rPr>
            </w:pPr>
            <w:r w:rsidRPr="00B61255">
              <w:rPr>
                <w:b/>
                <w:bCs/>
              </w:rPr>
              <w:t xml:space="preserve">circulating </w:t>
            </w:r>
            <w:r>
              <w:rPr>
                <w:b/>
                <w:bCs/>
              </w:rPr>
              <w:t>v</w:t>
            </w:r>
            <w:r w:rsidRPr="00B61255">
              <w:rPr>
                <w:b/>
                <w:bCs/>
              </w:rPr>
              <w:t>accine-</w:t>
            </w:r>
            <w:r>
              <w:rPr>
                <w:b/>
                <w:bCs/>
              </w:rPr>
              <w:t>d</w:t>
            </w:r>
            <w:r w:rsidRPr="00B61255">
              <w:rPr>
                <w:b/>
                <w:bCs/>
              </w:rPr>
              <w:t xml:space="preserve">erived </w:t>
            </w:r>
            <w:r>
              <w:rPr>
                <w:b/>
                <w:bCs/>
              </w:rPr>
              <w:t>p</w:t>
            </w:r>
            <w:r w:rsidRPr="00B61255">
              <w:rPr>
                <w:b/>
                <w:bCs/>
              </w:rPr>
              <w:t>oliovirus (cVDPV)</w:t>
            </w:r>
          </w:p>
        </w:tc>
        <w:tc>
          <w:tcPr>
            <w:tcW w:w="3597" w:type="pct"/>
          </w:tcPr>
          <w:p w14:paraId="0CD6F805" w14:textId="047EA248" w:rsidR="0018060A" w:rsidRPr="00B61255" w:rsidRDefault="0018060A" w:rsidP="00AD201D">
            <w:pPr>
              <w:pStyle w:val="TableText"/>
            </w:pPr>
            <w:r w:rsidRPr="00B61255">
              <w:t>VDPV isolates for which there is evidence of person-to-person transmission in the community. This is defined as</w:t>
            </w:r>
            <w:r>
              <w:t xml:space="preserve"> g</w:t>
            </w:r>
            <w:r w:rsidRPr="00B61255">
              <w:t>enetically linked VDPVs, isolated from:</w:t>
            </w:r>
            <w:r w:rsidRPr="00B61255">
              <w:rPr>
                <w:vertAlign w:val="superscript"/>
              </w:rPr>
              <w:footnoteReference w:id="1"/>
            </w:r>
            <w:r w:rsidRPr="00B61255">
              <w:t xml:space="preserve"> </w:t>
            </w:r>
          </w:p>
          <w:p w14:paraId="2DF59C9A" w14:textId="09244E58" w:rsidR="0018060A" w:rsidRPr="00B61255" w:rsidRDefault="0018060A" w:rsidP="00AD201D">
            <w:pPr>
              <w:pStyle w:val="TableBullet"/>
            </w:pPr>
            <w:r w:rsidRPr="00B61255">
              <w:t>at least two individuals (not necessarily AFP cases), who are not direct (</w:t>
            </w:r>
            <w:r>
              <w:t>ie,</w:t>
            </w:r>
            <w:r w:rsidRPr="00B61255">
              <w:t xml:space="preserve"> household) contacts; or</w:t>
            </w:r>
          </w:p>
          <w:p w14:paraId="4285900B" w14:textId="61E8312E" w:rsidR="0018060A" w:rsidRPr="00B61255" w:rsidRDefault="0018060A" w:rsidP="00AD201D">
            <w:pPr>
              <w:pStyle w:val="TableBullet"/>
            </w:pPr>
            <w:r w:rsidRPr="00B61255">
              <w:t>one individual and one or more environmental surveillance</w:t>
            </w:r>
            <w:r>
              <w:t xml:space="preserve"> </w:t>
            </w:r>
            <w:r w:rsidRPr="00B61255">
              <w:t>samples; or</w:t>
            </w:r>
          </w:p>
          <w:p w14:paraId="18F3D682" w14:textId="45C179C7" w:rsidR="0018060A" w:rsidRPr="00B61255" w:rsidRDefault="0018060A" w:rsidP="00AD201D">
            <w:pPr>
              <w:pStyle w:val="TableBullet"/>
            </w:pPr>
            <w:r w:rsidRPr="00B61255">
              <w:t xml:space="preserve">two or more </w:t>
            </w:r>
            <w:r w:rsidRPr="00315F37">
              <w:t>environmental surveillance</w:t>
            </w:r>
            <w:r w:rsidRPr="00B61255">
              <w:t xml:space="preserve"> samples if they were collected at more than one distinct </w:t>
            </w:r>
            <w:r w:rsidRPr="00315F37">
              <w:t xml:space="preserve">environmental surveillance </w:t>
            </w:r>
            <w:r w:rsidRPr="00B61255">
              <w:t xml:space="preserve">collection site (no overlapping of catchment areas), or from one site if collection times were more than two months apart. </w:t>
            </w:r>
          </w:p>
        </w:tc>
      </w:tr>
      <w:tr w:rsidR="0018060A" w:rsidRPr="00B61255" w14:paraId="48B5DFCC" w14:textId="77777777" w:rsidTr="00936F1A">
        <w:trPr>
          <w:cantSplit/>
          <w:trHeight w:val="20"/>
        </w:trPr>
        <w:tc>
          <w:tcPr>
            <w:tcW w:w="1403" w:type="pct"/>
          </w:tcPr>
          <w:p w14:paraId="02D88A2C" w14:textId="77777777" w:rsidR="0018060A" w:rsidRPr="00B61255" w:rsidRDefault="0018060A" w:rsidP="00AD201D">
            <w:pPr>
              <w:pStyle w:val="TableText"/>
              <w:rPr>
                <w:b/>
                <w:bCs/>
              </w:rPr>
            </w:pPr>
            <w:r w:rsidRPr="00B61255">
              <w:rPr>
                <w:b/>
                <w:bCs/>
              </w:rPr>
              <w:t>immune-deficiency associated VDPV (iVDPV)</w:t>
            </w:r>
          </w:p>
        </w:tc>
        <w:tc>
          <w:tcPr>
            <w:tcW w:w="3597" w:type="pct"/>
          </w:tcPr>
          <w:p w14:paraId="48395CD3" w14:textId="370909E7" w:rsidR="0018060A" w:rsidRPr="00B61255" w:rsidRDefault="0018060A" w:rsidP="00AD201D">
            <w:pPr>
              <w:pStyle w:val="TableText"/>
            </w:pPr>
            <w:r w:rsidRPr="00B61255">
              <w:t>Prolonged replication of VDPVs has been observed in a small number of people with</w:t>
            </w:r>
            <w:r>
              <w:t xml:space="preserve"> </w:t>
            </w:r>
            <w:r w:rsidRPr="00D04956">
              <w:t>primary</w:t>
            </w:r>
            <w:r w:rsidRPr="00D04956" w:rsidDel="00D04956">
              <w:t xml:space="preserve"> </w:t>
            </w:r>
            <w:r w:rsidRPr="00B61255">
              <w:t>immunodeficienc</w:t>
            </w:r>
            <w:r>
              <w:t>ies</w:t>
            </w:r>
            <w:r w:rsidRPr="00B61255">
              <w:t>. Because they are not able to mount an immune response, these people are not able to clear the intestinal vaccine</w:t>
            </w:r>
            <w:r>
              <w:t>-</w:t>
            </w:r>
            <w:r w:rsidRPr="00B61255">
              <w:t>virus infection, which is usually cleared within six to eight weeks. They therefore excrete iVDPVs for prolonged periods. These are classified based on genetic + epidemiological evidence</w:t>
            </w:r>
            <w:r>
              <w:t xml:space="preserve"> —</w:t>
            </w:r>
            <w:r w:rsidRPr="00B61255">
              <w:t xml:space="preserve"> </w:t>
            </w:r>
            <w:r>
              <w:t>for example,</w:t>
            </w:r>
            <w:r w:rsidRPr="00B61255">
              <w:t xml:space="preserve"> newly detected VDPV without known genetically linked previous VDPV + evidence of </w:t>
            </w:r>
            <w:r w:rsidRPr="00BA5533">
              <w:t xml:space="preserve">primary immunodeficiency </w:t>
            </w:r>
            <w:r w:rsidRPr="00B61255">
              <w:t>following detailed field investigation.</w:t>
            </w:r>
          </w:p>
          <w:p w14:paraId="5BAAF640" w14:textId="77777777" w:rsidR="0018060A" w:rsidRPr="00B61255" w:rsidRDefault="0018060A" w:rsidP="00AD201D">
            <w:pPr>
              <w:pStyle w:val="TableText"/>
            </w:pPr>
            <w:r w:rsidRPr="00B61255">
              <w:t>The occurrence of iVDPVs is very rare. Only 111 cases have been documented worldwide since 1962. Of these, most stopped excretion within six months or died.</w:t>
            </w:r>
          </w:p>
        </w:tc>
      </w:tr>
      <w:tr w:rsidR="0018060A" w:rsidRPr="00B61255" w14:paraId="6EF31C44" w14:textId="77777777" w:rsidTr="00936F1A">
        <w:trPr>
          <w:cantSplit/>
          <w:trHeight w:val="20"/>
        </w:trPr>
        <w:tc>
          <w:tcPr>
            <w:tcW w:w="1403" w:type="pct"/>
          </w:tcPr>
          <w:p w14:paraId="04577A31" w14:textId="77777777" w:rsidR="0018060A" w:rsidRPr="00B61255" w:rsidRDefault="0018060A" w:rsidP="00AD201D">
            <w:pPr>
              <w:pStyle w:val="TableText"/>
              <w:rPr>
                <w:b/>
                <w:bCs/>
              </w:rPr>
            </w:pPr>
            <w:r w:rsidRPr="00B61255">
              <w:rPr>
                <w:b/>
                <w:bCs/>
              </w:rPr>
              <w:t>inactivated polio vaccine (IPV)</w:t>
            </w:r>
          </w:p>
        </w:tc>
        <w:tc>
          <w:tcPr>
            <w:tcW w:w="3597" w:type="pct"/>
          </w:tcPr>
          <w:p w14:paraId="2AF75E8D" w14:textId="77777777" w:rsidR="0018060A" w:rsidRPr="00B61255" w:rsidRDefault="0018060A" w:rsidP="00AD201D">
            <w:pPr>
              <w:pStyle w:val="TableText"/>
            </w:pPr>
            <w:r w:rsidRPr="00B61255">
              <w:t>A vaccine that is injected and works by producing protective antibodies in the blood, thus preventing the spread of poliovirus to the central nervous system. However, it induces only very low levels of immunity to poliovirus locally, inside the gut. IPV provides individual protection against polio paralysis but, unlike bOPV or nOPV2, has unknown efficacy against asymptomatic infection and the subsequent spread of poliovirus.</w:t>
            </w:r>
          </w:p>
        </w:tc>
      </w:tr>
      <w:tr w:rsidR="0018060A" w:rsidRPr="00B61255" w14:paraId="451C37DD" w14:textId="77777777" w:rsidTr="00184D75">
        <w:trPr>
          <w:cantSplit/>
          <w:trHeight w:val="20"/>
        </w:trPr>
        <w:tc>
          <w:tcPr>
            <w:tcW w:w="1403" w:type="pct"/>
          </w:tcPr>
          <w:p w14:paraId="657998CB" w14:textId="77777777" w:rsidR="0018060A" w:rsidRPr="00B61255" w:rsidRDefault="0018060A" w:rsidP="00AD201D">
            <w:pPr>
              <w:pStyle w:val="TableText"/>
              <w:rPr>
                <w:rFonts w:eastAsia="Segoe UI"/>
                <w:b/>
                <w:bCs/>
              </w:rPr>
            </w:pPr>
            <w:r w:rsidRPr="00B61255">
              <w:rPr>
                <w:rFonts w:eastAsia="Segoe UI"/>
                <w:b/>
                <w:bCs/>
              </w:rPr>
              <w:lastRenderedPageBreak/>
              <w:t>novel oral polio vaccine type 2 (nOPV2)</w:t>
            </w:r>
          </w:p>
        </w:tc>
        <w:tc>
          <w:tcPr>
            <w:tcW w:w="3597" w:type="pct"/>
          </w:tcPr>
          <w:p w14:paraId="04E7A11B" w14:textId="62B45B89" w:rsidR="0018060A" w:rsidRPr="00B61255" w:rsidRDefault="0018060A" w:rsidP="00AD201D">
            <w:pPr>
              <w:pStyle w:val="TableText"/>
              <w:rPr>
                <w:rFonts w:eastAsia="Segoe UI"/>
              </w:rPr>
            </w:pPr>
            <w:r w:rsidRPr="00B61255">
              <w:rPr>
                <w:rFonts w:eastAsia="Segoe UI"/>
              </w:rPr>
              <w:t xml:space="preserve">The novel oral polio vaccine type 2 (nOPV2) is a modified version of the existing type 2 monovalent OPV (mOPV2), which is similar to bOPV but aims at protecting against poliovirus type 2. </w:t>
            </w:r>
          </w:p>
        </w:tc>
      </w:tr>
      <w:tr w:rsidR="0018060A" w:rsidRPr="00B61255" w14:paraId="1867F511" w14:textId="77777777" w:rsidTr="00936F1A">
        <w:trPr>
          <w:cantSplit/>
          <w:trHeight w:val="20"/>
        </w:trPr>
        <w:tc>
          <w:tcPr>
            <w:tcW w:w="1403" w:type="pct"/>
          </w:tcPr>
          <w:p w14:paraId="6697F5D2" w14:textId="50F7AEBE" w:rsidR="0018060A" w:rsidRPr="00B61255" w:rsidRDefault="0018060A" w:rsidP="00AD201D">
            <w:pPr>
              <w:pStyle w:val="TableText"/>
              <w:rPr>
                <w:b/>
                <w:bCs/>
              </w:rPr>
            </w:pPr>
            <w:r>
              <w:rPr>
                <w:b/>
                <w:bCs/>
              </w:rPr>
              <w:t>o</w:t>
            </w:r>
            <w:r w:rsidRPr="00B61255">
              <w:rPr>
                <w:b/>
                <w:bCs/>
              </w:rPr>
              <w:t xml:space="preserve">ral </w:t>
            </w:r>
            <w:r>
              <w:rPr>
                <w:b/>
                <w:bCs/>
              </w:rPr>
              <w:t>p</w:t>
            </w:r>
            <w:r w:rsidRPr="00B61255">
              <w:rPr>
                <w:b/>
                <w:bCs/>
              </w:rPr>
              <w:t xml:space="preserve">oliovirus </w:t>
            </w:r>
            <w:r>
              <w:rPr>
                <w:b/>
                <w:bCs/>
              </w:rPr>
              <w:t>v</w:t>
            </w:r>
            <w:r w:rsidRPr="00B61255">
              <w:rPr>
                <w:b/>
                <w:bCs/>
              </w:rPr>
              <w:t>accine (OPV</w:t>
            </w:r>
            <w:r>
              <w:rPr>
                <w:b/>
                <w:bCs/>
              </w:rPr>
              <w:t>)</w:t>
            </w:r>
          </w:p>
        </w:tc>
        <w:tc>
          <w:tcPr>
            <w:tcW w:w="3597" w:type="pct"/>
          </w:tcPr>
          <w:p w14:paraId="6EBE5FA3" w14:textId="77777777" w:rsidR="0018060A" w:rsidRPr="00B61255" w:rsidRDefault="0018060A" w:rsidP="00AD201D">
            <w:pPr>
              <w:pStyle w:val="TableText"/>
            </w:pPr>
            <w:r w:rsidRPr="00B61255">
              <w:t>There are different types of oral poliovirus vaccine, which may contain one, a combination of two, or all three different serotypes of attenuated vaccine.</w:t>
            </w:r>
          </w:p>
        </w:tc>
      </w:tr>
      <w:tr w:rsidR="00936F1A" w:rsidRPr="00B61255" w14:paraId="44EE046F" w14:textId="77777777" w:rsidTr="00E45AC1">
        <w:trPr>
          <w:cantSplit/>
          <w:trHeight w:val="20"/>
        </w:trPr>
        <w:tc>
          <w:tcPr>
            <w:tcW w:w="1403" w:type="pct"/>
          </w:tcPr>
          <w:p w14:paraId="35E07749" w14:textId="35A8B08F" w:rsidR="00936F1A" w:rsidRPr="00B61255" w:rsidDel="00A57607" w:rsidRDefault="00936F1A" w:rsidP="00184D75">
            <w:pPr>
              <w:pStyle w:val="TableText"/>
              <w:ind w:left="567"/>
              <w:rPr>
                <w:b/>
                <w:bCs/>
              </w:rPr>
            </w:pPr>
            <w:r>
              <w:rPr>
                <w:b/>
                <w:bCs/>
              </w:rPr>
              <w:t>m</w:t>
            </w:r>
            <w:r w:rsidRPr="00B61255">
              <w:rPr>
                <w:b/>
                <w:bCs/>
              </w:rPr>
              <w:t>onovalent oral poliovirus vaccine (mOPV)</w:t>
            </w:r>
          </w:p>
        </w:tc>
        <w:tc>
          <w:tcPr>
            <w:tcW w:w="3597" w:type="pct"/>
          </w:tcPr>
          <w:p w14:paraId="7F4CEB5B" w14:textId="79997605" w:rsidR="00936F1A" w:rsidRPr="00B61255" w:rsidRDefault="00936F1A" w:rsidP="00AD201D">
            <w:pPr>
              <w:pStyle w:val="TableText"/>
            </w:pPr>
            <w:r w:rsidRPr="00B61255">
              <w:t>Monovalent oral polio vaccines (mOPV) confer immunity to just one of the three serotypes of OPV. There are licen</w:t>
            </w:r>
            <w:r>
              <w:t>s</w:t>
            </w:r>
            <w:r w:rsidRPr="00B61255">
              <w:t>ed mOPVs for type 1 and type 3, and mOPV type 2 has been stockpiled in the event of a</w:t>
            </w:r>
            <w:r>
              <w:t xml:space="preserve"> </w:t>
            </w:r>
            <w:r w:rsidRPr="00B61255">
              <w:t>cVDPV</w:t>
            </w:r>
            <w:r>
              <w:t xml:space="preserve"> type </w:t>
            </w:r>
            <w:r w:rsidRPr="00B61255">
              <w:t>2</w:t>
            </w:r>
            <w:r>
              <w:t xml:space="preserve"> outbreak</w:t>
            </w:r>
            <w:r w:rsidRPr="00B61255">
              <w:t>.</w:t>
            </w:r>
          </w:p>
        </w:tc>
      </w:tr>
      <w:tr w:rsidR="00936F1A" w:rsidRPr="00B61255" w14:paraId="1409A91B" w14:textId="77777777" w:rsidTr="00E45AC1">
        <w:trPr>
          <w:cantSplit/>
          <w:trHeight w:val="20"/>
        </w:trPr>
        <w:tc>
          <w:tcPr>
            <w:tcW w:w="1403" w:type="pct"/>
          </w:tcPr>
          <w:p w14:paraId="0175B4F1" w14:textId="7C73A8D5" w:rsidR="00936F1A" w:rsidRPr="00B61255" w:rsidDel="00A57607" w:rsidRDefault="00936F1A" w:rsidP="00184D75">
            <w:pPr>
              <w:pStyle w:val="TableText"/>
              <w:ind w:left="567"/>
              <w:rPr>
                <w:b/>
                <w:bCs/>
              </w:rPr>
            </w:pPr>
            <w:r w:rsidRPr="00B61255">
              <w:rPr>
                <w:b/>
                <w:bCs/>
              </w:rPr>
              <w:t>bivalent oral poliovirus vaccine (bOPV)</w:t>
            </w:r>
          </w:p>
        </w:tc>
        <w:tc>
          <w:tcPr>
            <w:tcW w:w="3597" w:type="pct"/>
          </w:tcPr>
          <w:p w14:paraId="1BAB41D8" w14:textId="195A83C6" w:rsidR="00936F1A" w:rsidRPr="00B61255" w:rsidRDefault="00936F1A" w:rsidP="00AD201D">
            <w:pPr>
              <w:pStyle w:val="TableText"/>
            </w:pPr>
            <w:r w:rsidRPr="00B61255">
              <w:t>Following April 2016, the trivalent oral poliovirus vaccine was replaced with the bivalent oral poliovirus vaccine (bOPV) in routine immun</w:t>
            </w:r>
            <w:r>
              <w:t>is</w:t>
            </w:r>
            <w:r w:rsidRPr="00B61255">
              <w:t>ation around the world. Bivalent OPV contains only attenuated virus of serotypes 1 and 3</w:t>
            </w:r>
            <w:r>
              <w:t>.</w:t>
            </w:r>
          </w:p>
        </w:tc>
      </w:tr>
      <w:tr w:rsidR="00936F1A" w:rsidRPr="00B61255" w14:paraId="02B49882" w14:textId="77777777" w:rsidTr="00E45AC1">
        <w:trPr>
          <w:cantSplit/>
          <w:trHeight w:val="20"/>
        </w:trPr>
        <w:tc>
          <w:tcPr>
            <w:tcW w:w="1403" w:type="pct"/>
          </w:tcPr>
          <w:p w14:paraId="7278C4C3" w14:textId="3DD1FECB" w:rsidR="00936F1A" w:rsidRPr="00B61255" w:rsidDel="00A57607" w:rsidRDefault="00936F1A" w:rsidP="00184D75">
            <w:pPr>
              <w:pStyle w:val="TableText"/>
              <w:ind w:left="567"/>
              <w:rPr>
                <w:b/>
                <w:bCs/>
              </w:rPr>
            </w:pPr>
            <w:r w:rsidRPr="00B61255">
              <w:rPr>
                <w:b/>
                <w:bCs/>
              </w:rPr>
              <w:t>trivalent oral poliovirus vaccine (tOPV)</w:t>
            </w:r>
          </w:p>
        </w:tc>
        <w:tc>
          <w:tcPr>
            <w:tcW w:w="3597" w:type="pct"/>
          </w:tcPr>
          <w:p w14:paraId="1E21688D" w14:textId="307695AA" w:rsidR="00936F1A" w:rsidRPr="00B61255" w:rsidRDefault="00936F1A" w:rsidP="00AD201D">
            <w:pPr>
              <w:pStyle w:val="TableText"/>
            </w:pPr>
            <w:r w:rsidRPr="00B61255">
              <w:t>Prior to April 2016, the trivalent oral poliovirus vaccine (tOPV) was the predominant vaccine used for routine immun</w:t>
            </w:r>
            <w:r>
              <w:t>is</w:t>
            </w:r>
            <w:r w:rsidRPr="00B61255">
              <w:t>ation against poliovirus. tOPV consists of a mixture of live, attenuated polioviruses of all three serotypes.</w:t>
            </w:r>
          </w:p>
        </w:tc>
      </w:tr>
      <w:tr w:rsidR="0018060A" w:rsidRPr="00B61255" w14:paraId="6D4327C7" w14:textId="77777777" w:rsidTr="00936F1A">
        <w:trPr>
          <w:cantSplit/>
          <w:trHeight w:val="20"/>
        </w:trPr>
        <w:tc>
          <w:tcPr>
            <w:tcW w:w="1403" w:type="pct"/>
          </w:tcPr>
          <w:p w14:paraId="67314299" w14:textId="77777777" w:rsidR="0018060A" w:rsidRPr="00B61255" w:rsidRDefault="0018060A" w:rsidP="00AD201D">
            <w:pPr>
              <w:pStyle w:val="TableText"/>
              <w:rPr>
                <w:b/>
                <w:bCs/>
              </w:rPr>
            </w:pPr>
            <w:r w:rsidRPr="00B61255">
              <w:rPr>
                <w:b/>
                <w:bCs/>
              </w:rPr>
              <w:t>Sabin-like</w:t>
            </w:r>
          </w:p>
        </w:tc>
        <w:tc>
          <w:tcPr>
            <w:tcW w:w="3597" w:type="pct"/>
          </w:tcPr>
          <w:p w14:paraId="67D4D4FA" w14:textId="03FFB08A" w:rsidR="0018060A" w:rsidRPr="00B61255" w:rsidRDefault="0018060A" w:rsidP="00AD201D">
            <w:pPr>
              <w:pStyle w:val="TableText"/>
            </w:pPr>
            <w:r w:rsidRPr="00B61255">
              <w:t>Sabin-like polioviruses are those that either have a genotype that is the same as the standard Sabin strain in OPV</w:t>
            </w:r>
            <w:r>
              <w:rPr>
                <w:rStyle w:val="FootnoteReference"/>
              </w:rPr>
              <w:footnoteReference w:id="2"/>
            </w:r>
            <w:r w:rsidRPr="00B61255">
              <w:t xml:space="preserve"> or that has begun to diverge, but to a lesser degree than those that are able to cause paralysis, known as a vaccine-derived poliovirus. </w:t>
            </w:r>
          </w:p>
          <w:p w14:paraId="480B1C22" w14:textId="79F75103" w:rsidR="0018060A" w:rsidRPr="00FD00BC" w:rsidRDefault="0018060A" w:rsidP="00AD201D">
            <w:pPr>
              <w:pStyle w:val="TableText"/>
              <w:rPr>
                <w:i/>
                <w:iCs/>
              </w:rPr>
            </w:pPr>
            <w:r w:rsidRPr="00B61255">
              <w:t>Sabin-like viruses are commonly detected in the population and the environment when OPV is used in routine immun</w:t>
            </w:r>
            <w:r>
              <w:t>is</w:t>
            </w:r>
            <w:r w:rsidRPr="00B61255">
              <w:t>ation or supplementary immun</w:t>
            </w:r>
            <w:r>
              <w:t>is</w:t>
            </w:r>
            <w:r w:rsidRPr="00B61255">
              <w:t xml:space="preserve">ation activities with OPV. This includes types 1, 2 </w:t>
            </w:r>
            <w:r>
              <w:t xml:space="preserve">and </w:t>
            </w:r>
            <w:r w:rsidRPr="00B61255">
              <w:t>3, corresponding to the types of live attenuated poliomyelitis viruses used in OPV</w:t>
            </w:r>
            <w:r>
              <w:t>.</w:t>
            </w:r>
            <w:r w:rsidRPr="00B61255">
              <w:rPr>
                <w:vertAlign w:val="superscript"/>
              </w:rPr>
              <w:footnoteReference w:id="3"/>
            </w:r>
            <w:r w:rsidRPr="00B61255">
              <w:t xml:space="preserve"> </w:t>
            </w:r>
          </w:p>
        </w:tc>
      </w:tr>
      <w:tr w:rsidR="0018060A" w:rsidRPr="00B61255" w14:paraId="32FF8D8A" w14:textId="77777777" w:rsidTr="00184D75">
        <w:trPr>
          <w:cantSplit/>
          <w:trHeight w:val="20"/>
        </w:trPr>
        <w:tc>
          <w:tcPr>
            <w:tcW w:w="1403" w:type="pct"/>
          </w:tcPr>
          <w:p w14:paraId="78DE2EB6" w14:textId="77777777" w:rsidR="0018060A" w:rsidRPr="00B61255" w:rsidRDefault="0018060A" w:rsidP="00AD201D">
            <w:pPr>
              <w:pStyle w:val="TableText"/>
              <w:rPr>
                <w:b/>
                <w:bCs/>
              </w:rPr>
            </w:pPr>
            <w:r w:rsidRPr="00B61255">
              <w:rPr>
                <w:b/>
                <w:bCs/>
              </w:rPr>
              <w:t>vaccine-associated paralytic poliomyelitis (VAPP)</w:t>
            </w:r>
          </w:p>
        </w:tc>
        <w:tc>
          <w:tcPr>
            <w:tcW w:w="3597" w:type="pct"/>
          </w:tcPr>
          <w:p w14:paraId="7EB2F8CB" w14:textId="5CBEEEA1" w:rsidR="0018060A" w:rsidRPr="00B61255" w:rsidRDefault="00DD390F" w:rsidP="00AD201D">
            <w:pPr>
              <w:pStyle w:val="TableText"/>
            </w:pPr>
            <w:r w:rsidRPr="00DD390F">
              <w:t xml:space="preserve">Vaccine-associated paralytic poliomyelitis </w:t>
            </w:r>
            <w:r>
              <w:t>(</w:t>
            </w:r>
            <w:r w:rsidR="0018060A" w:rsidRPr="00B61255">
              <w:t>VAPP</w:t>
            </w:r>
            <w:r>
              <w:t>)</w:t>
            </w:r>
            <w:r w:rsidR="0018060A" w:rsidRPr="00B61255">
              <w:t xml:space="preserve"> occurs when an OPV virus strain reverts to neurovirulence during replication in the gastrointestinal tract of a susceptible host. It may occur in recently vaccinated infants, individuals with B cell immunodeficiency, and direct contacts of OPV recipients.</w:t>
            </w:r>
          </w:p>
        </w:tc>
      </w:tr>
      <w:tr w:rsidR="0018060A" w:rsidRPr="00B61255" w14:paraId="249DCC85" w14:textId="77777777" w:rsidTr="00184D75">
        <w:trPr>
          <w:cantSplit/>
          <w:trHeight w:val="20"/>
        </w:trPr>
        <w:tc>
          <w:tcPr>
            <w:tcW w:w="1403" w:type="pct"/>
          </w:tcPr>
          <w:p w14:paraId="10E5C279" w14:textId="77777777" w:rsidR="0018060A" w:rsidRPr="00B61255" w:rsidRDefault="0018060A" w:rsidP="00AD201D">
            <w:pPr>
              <w:pStyle w:val="TableText"/>
              <w:rPr>
                <w:b/>
                <w:bCs/>
              </w:rPr>
            </w:pPr>
            <w:r w:rsidRPr="00B61255">
              <w:rPr>
                <w:b/>
                <w:bCs/>
              </w:rPr>
              <w:t>vaccine-derived poliovirus (VDPV)</w:t>
            </w:r>
          </w:p>
        </w:tc>
        <w:tc>
          <w:tcPr>
            <w:tcW w:w="3597" w:type="pct"/>
          </w:tcPr>
          <w:p w14:paraId="59625F8B" w14:textId="39970976" w:rsidR="0018060A" w:rsidRPr="00B61255" w:rsidRDefault="0018060A" w:rsidP="00AD201D">
            <w:pPr>
              <w:pStyle w:val="TableText"/>
            </w:pPr>
            <w:r w:rsidRPr="00B61255">
              <w:t xml:space="preserve">Vaccine-derived poliovirus </w:t>
            </w:r>
            <w:r w:rsidR="00DD390F">
              <w:t>(</w:t>
            </w:r>
            <w:r w:rsidR="00DD390F" w:rsidRPr="00DD390F">
              <w:t>VDPV</w:t>
            </w:r>
            <w:r w:rsidR="00DD390F">
              <w:t>)</w:t>
            </w:r>
            <w:r w:rsidR="00C91340">
              <w:t xml:space="preserve"> </w:t>
            </w:r>
            <w:r w:rsidRPr="00B61255">
              <w:t>is the live, attenuated strain of the poliovirus contained in the OPV that has changed and reverted to a form that can cause paralysis in humans and has the capacity for sustained circulation. Vaccine-derived polioviruses differ from the parental (original) Sabin strains found in the vaccine by 1% to 15% of VP1 nucleotides. This is a measure of genetic change that scientists use to monitor the circulation of viruses.</w:t>
            </w:r>
          </w:p>
          <w:p w14:paraId="2DF82B31" w14:textId="2EC09CA1" w:rsidR="0018060A" w:rsidRPr="00B61255" w:rsidRDefault="0018060A" w:rsidP="00AD201D">
            <w:pPr>
              <w:pStyle w:val="TableText"/>
            </w:pPr>
            <w:r w:rsidRPr="00B61255">
              <w:t>VDPV includes types 1, 2 and 3, defined below.</w:t>
            </w:r>
          </w:p>
        </w:tc>
      </w:tr>
      <w:tr w:rsidR="0018060A" w:rsidRPr="00B61255" w14:paraId="4A0933A7" w14:textId="77777777" w:rsidTr="00184D75">
        <w:trPr>
          <w:cantSplit/>
          <w:trHeight w:val="20"/>
        </w:trPr>
        <w:tc>
          <w:tcPr>
            <w:tcW w:w="1403" w:type="pct"/>
          </w:tcPr>
          <w:p w14:paraId="54BBDC5D" w14:textId="78AF9820" w:rsidR="0018060A" w:rsidRPr="00B61255" w:rsidRDefault="0018060A" w:rsidP="00936F1A">
            <w:pPr>
              <w:pStyle w:val="TableText"/>
              <w:ind w:left="567"/>
              <w:rPr>
                <w:b/>
                <w:bCs/>
              </w:rPr>
            </w:pPr>
            <w:r w:rsidRPr="00B61255">
              <w:rPr>
                <w:b/>
                <w:bCs/>
              </w:rPr>
              <w:t xml:space="preserve">VDPV types 1 </w:t>
            </w:r>
            <w:r>
              <w:rPr>
                <w:b/>
                <w:bCs/>
              </w:rPr>
              <w:t>and</w:t>
            </w:r>
            <w:r w:rsidRPr="00B61255">
              <w:rPr>
                <w:b/>
                <w:bCs/>
              </w:rPr>
              <w:t xml:space="preserve"> 3</w:t>
            </w:r>
            <w:r>
              <w:rPr>
                <w:b/>
                <w:bCs/>
              </w:rPr>
              <w:t xml:space="preserve"> (VDPV1 and VDPV3)</w:t>
            </w:r>
          </w:p>
        </w:tc>
        <w:tc>
          <w:tcPr>
            <w:tcW w:w="3597" w:type="pct"/>
          </w:tcPr>
          <w:p w14:paraId="4601B1A7" w14:textId="38812915" w:rsidR="0018060A" w:rsidRPr="00B61255" w:rsidRDefault="0018060A" w:rsidP="00AD201D">
            <w:pPr>
              <w:pStyle w:val="TableText"/>
            </w:pPr>
            <w:r w:rsidRPr="00B61255">
              <w:t xml:space="preserve">VDPV1 </w:t>
            </w:r>
            <w:r>
              <w:t>and VDPV</w:t>
            </w:r>
            <w:r w:rsidRPr="00B61255">
              <w:t>3 are polioviruses that are &gt;1% divergent (</w:t>
            </w:r>
            <w:r>
              <w:t>ie,</w:t>
            </w:r>
            <w:r w:rsidRPr="00B61255">
              <w:t xml:space="preserve"> ≥10 nucleotide differences in the genetic sequence) from the corresponding OPV strain in the complete viral protein 1 (VP1) genomic coding region.</w:t>
            </w:r>
            <w:r w:rsidRPr="00B61255">
              <w:rPr>
                <w:vertAlign w:val="superscript"/>
              </w:rPr>
              <w:footnoteReference w:id="4"/>
            </w:r>
          </w:p>
        </w:tc>
      </w:tr>
      <w:tr w:rsidR="0018060A" w:rsidRPr="00B61255" w14:paraId="1C805FC5" w14:textId="77777777" w:rsidTr="00184D75">
        <w:trPr>
          <w:cantSplit/>
          <w:trHeight w:val="20"/>
        </w:trPr>
        <w:tc>
          <w:tcPr>
            <w:tcW w:w="1403" w:type="pct"/>
          </w:tcPr>
          <w:p w14:paraId="5E0F5B4B" w14:textId="77777777" w:rsidR="0018060A" w:rsidRPr="00B61255" w:rsidRDefault="0018060A" w:rsidP="00936F1A">
            <w:pPr>
              <w:pStyle w:val="TableText"/>
              <w:ind w:left="567"/>
              <w:rPr>
                <w:b/>
                <w:bCs/>
              </w:rPr>
            </w:pPr>
            <w:r w:rsidRPr="00B61255">
              <w:rPr>
                <w:b/>
                <w:bCs/>
              </w:rPr>
              <w:lastRenderedPageBreak/>
              <w:t>VDPV type 2 (VDPV2)</w:t>
            </w:r>
          </w:p>
        </w:tc>
        <w:tc>
          <w:tcPr>
            <w:tcW w:w="3597" w:type="pct"/>
          </w:tcPr>
          <w:p w14:paraId="0E2E2CFB" w14:textId="35551C44" w:rsidR="0018060A" w:rsidRPr="00B61255" w:rsidRDefault="0018060A" w:rsidP="00AD201D">
            <w:pPr>
              <w:pStyle w:val="TableText"/>
            </w:pPr>
            <w:r w:rsidRPr="00B61255">
              <w:t>VDPV2s are &gt;0.6% divergent (</w:t>
            </w:r>
            <w:r>
              <w:t>ie,</w:t>
            </w:r>
            <w:r w:rsidRPr="00B61255">
              <w:t xml:space="preserve"> ≥6 nucleotide differences in the genetic sequence).</w:t>
            </w:r>
          </w:p>
        </w:tc>
      </w:tr>
      <w:tr w:rsidR="0018060A" w:rsidRPr="00B61255" w14:paraId="5FC16AC3" w14:textId="77777777" w:rsidTr="00184D75">
        <w:trPr>
          <w:cantSplit/>
          <w:trHeight w:val="20"/>
        </w:trPr>
        <w:tc>
          <w:tcPr>
            <w:tcW w:w="1403" w:type="pct"/>
          </w:tcPr>
          <w:p w14:paraId="03E6C018" w14:textId="77777777" w:rsidR="0018060A" w:rsidRPr="00B61255" w:rsidRDefault="0018060A" w:rsidP="00AD201D">
            <w:pPr>
              <w:pStyle w:val="TableText"/>
              <w:rPr>
                <w:b/>
                <w:bCs/>
              </w:rPr>
            </w:pPr>
            <w:r w:rsidRPr="00B61255">
              <w:rPr>
                <w:b/>
                <w:bCs/>
              </w:rPr>
              <w:t>wild poliovirus (WPV)</w:t>
            </w:r>
          </w:p>
        </w:tc>
        <w:tc>
          <w:tcPr>
            <w:tcW w:w="3597" w:type="pct"/>
          </w:tcPr>
          <w:p w14:paraId="4663FCAF" w14:textId="77777777" w:rsidR="0018060A" w:rsidRDefault="0018060A" w:rsidP="00AD201D">
            <w:pPr>
              <w:pStyle w:val="TableText"/>
            </w:pPr>
            <w:r w:rsidRPr="00B61255">
              <w:t>Naturally occurring poliovirus. Polioviruses with greater than 15% sequence difference in the VP1 coding region are defined as wild polioviruses.</w:t>
            </w:r>
          </w:p>
          <w:p w14:paraId="04E1A69C" w14:textId="77777777" w:rsidR="0018060A" w:rsidRPr="00B61255" w:rsidRDefault="0018060A" w:rsidP="00AD201D">
            <w:pPr>
              <w:pStyle w:val="TableText"/>
            </w:pPr>
            <w:r>
              <w:t xml:space="preserve">WPV </w:t>
            </w:r>
            <w:r w:rsidRPr="006B3039">
              <w:t>includes types 1, 2 and 3</w:t>
            </w:r>
            <w:r>
              <w:t xml:space="preserve"> (WPV1, WPV2, WPV3).</w:t>
            </w:r>
          </w:p>
        </w:tc>
      </w:tr>
    </w:tbl>
    <w:p w14:paraId="1A29AE9B" w14:textId="77777777" w:rsidR="0018060A" w:rsidRPr="00B61255" w:rsidRDefault="0018060A" w:rsidP="0018060A"/>
    <w:p w14:paraId="09DDDF3E" w14:textId="77777777" w:rsidR="00414C35" w:rsidRPr="00B47C82" w:rsidRDefault="00414C35" w:rsidP="00414C35">
      <w:pPr>
        <w:sectPr w:rsidR="00414C35" w:rsidRPr="00B47C82" w:rsidSect="0078658E">
          <w:headerReference w:type="default" r:id="rId17"/>
          <w:footerReference w:type="even" r:id="rId18"/>
          <w:footerReference w:type="default" r:id="rId19"/>
          <w:pgSz w:w="11907" w:h="16840" w:code="9"/>
          <w:pgMar w:top="1418" w:right="1701" w:bottom="1134" w:left="1843" w:header="284" w:footer="425" w:gutter="284"/>
          <w:pgNumType w:fmt="lowerRoman"/>
          <w:cols w:space="720"/>
        </w:sectPr>
      </w:pPr>
    </w:p>
    <w:bookmarkEnd w:id="2"/>
    <w:bookmarkEnd w:id="3"/>
    <w:p w14:paraId="09DDDF3F" w14:textId="5CBB6EEE" w:rsidR="00C86248" w:rsidRPr="00AA2D6A" w:rsidRDefault="00AA2D6A" w:rsidP="00AA2D6A">
      <w:pPr>
        <w:rPr>
          <w:color w:val="1B83A0"/>
        </w:rPr>
      </w:pPr>
      <w:r w:rsidRPr="00AA2D6A">
        <w:rPr>
          <w:b/>
          <w:bCs/>
          <w:color w:val="1B83A0"/>
          <w:sz w:val="72"/>
          <w:szCs w:val="72"/>
        </w:rPr>
        <w:lastRenderedPageBreak/>
        <w:t>Contents</w:t>
      </w:r>
    </w:p>
    <w:p w14:paraId="761AD014" w14:textId="33BD30D2" w:rsidR="005207D8" w:rsidRDefault="005207D8">
      <w:pPr>
        <w:pStyle w:val="TOC1"/>
        <w:rPr>
          <w:rFonts w:asciiTheme="minorHAnsi" w:eastAsiaTheme="minorEastAsia" w:hAnsiTheme="minorHAnsi" w:cstheme="minorBidi"/>
          <w:noProof/>
          <w:sz w:val="22"/>
          <w:szCs w:val="22"/>
          <w:lang w:eastAsia="en-NZ"/>
        </w:rPr>
      </w:pPr>
      <w:r>
        <w:rPr>
          <w:rFonts w:ascii="Segoe UI Semibold" w:hAnsi="Segoe UI Semibold"/>
          <w:b/>
        </w:rPr>
        <w:fldChar w:fldCharType="begin"/>
      </w:r>
      <w:r>
        <w:rPr>
          <w:rFonts w:ascii="Segoe UI Semibold" w:hAnsi="Segoe UI Semibold"/>
          <w:b/>
        </w:rPr>
        <w:instrText xml:space="preserve"> TOC \o "1-2" \h \z </w:instrText>
      </w:r>
      <w:r>
        <w:rPr>
          <w:rFonts w:ascii="Segoe UI Semibold" w:hAnsi="Segoe UI Semibold"/>
          <w:b/>
        </w:rPr>
        <w:fldChar w:fldCharType="separate"/>
      </w:r>
      <w:hyperlink w:anchor="_Toc147242124" w:history="1">
        <w:r w:rsidRPr="000371B1">
          <w:rPr>
            <w:rStyle w:val="Hyperlink"/>
            <w:noProof/>
          </w:rPr>
          <w:t>Glossary</w:t>
        </w:r>
        <w:r>
          <w:rPr>
            <w:noProof/>
            <w:webHidden/>
          </w:rPr>
          <w:tab/>
        </w:r>
        <w:r>
          <w:rPr>
            <w:noProof/>
            <w:webHidden/>
          </w:rPr>
          <w:fldChar w:fldCharType="begin"/>
        </w:r>
        <w:r>
          <w:rPr>
            <w:noProof/>
            <w:webHidden/>
          </w:rPr>
          <w:instrText xml:space="preserve"> PAGEREF _Toc147242124 \h </w:instrText>
        </w:r>
        <w:r>
          <w:rPr>
            <w:noProof/>
            <w:webHidden/>
          </w:rPr>
        </w:r>
        <w:r>
          <w:rPr>
            <w:noProof/>
            <w:webHidden/>
          </w:rPr>
          <w:fldChar w:fldCharType="separate"/>
        </w:r>
        <w:r w:rsidR="009B1F81">
          <w:rPr>
            <w:noProof/>
            <w:webHidden/>
          </w:rPr>
          <w:t>iii</w:t>
        </w:r>
        <w:r>
          <w:rPr>
            <w:noProof/>
            <w:webHidden/>
          </w:rPr>
          <w:fldChar w:fldCharType="end"/>
        </w:r>
      </w:hyperlink>
    </w:p>
    <w:p w14:paraId="7DAD7AA3" w14:textId="55A2D84F" w:rsidR="005207D8" w:rsidRDefault="00000000">
      <w:pPr>
        <w:pStyle w:val="TOC1"/>
        <w:rPr>
          <w:rFonts w:asciiTheme="minorHAnsi" w:eastAsiaTheme="minorEastAsia" w:hAnsiTheme="minorHAnsi" w:cstheme="minorBidi"/>
          <w:noProof/>
          <w:sz w:val="22"/>
          <w:szCs w:val="22"/>
          <w:lang w:eastAsia="en-NZ"/>
        </w:rPr>
      </w:pPr>
      <w:hyperlink w:anchor="_Toc147242125" w:history="1">
        <w:r w:rsidR="005207D8" w:rsidRPr="000371B1">
          <w:rPr>
            <w:rStyle w:val="Hyperlink"/>
            <w:noProof/>
          </w:rPr>
          <w:t>Key points</w:t>
        </w:r>
        <w:r w:rsidR="005207D8">
          <w:rPr>
            <w:noProof/>
            <w:webHidden/>
          </w:rPr>
          <w:tab/>
        </w:r>
        <w:r w:rsidR="005207D8">
          <w:rPr>
            <w:noProof/>
            <w:webHidden/>
          </w:rPr>
          <w:fldChar w:fldCharType="begin"/>
        </w:r>
        <w:r w:rsidR="005207D8">
          <w:rPr>
            <w:noProof/>
            <w:webHidden/>
          </w:rPr>
          <w:instrText xml:space="preserve"> PAGEREF _Toc147242125 \h </w:instrText>
        </w:r>
        <w:r w:rsidR="005207D8">
          <w:rPr>
            <w:noProof/>
            <w:webHidden/>
          </w:rPr>
        </w:r>
        <w:r w:rsidR="005207D8">
          <w:rPr>
            <w:noProof/>
            <w:webHidden/>
          </w:rPr>
          <w:fldChar w:fldCharType="separate"/>
        </w:r>
        <w:r w:rsidR="009B1F81">
          <w:rPr>
            <w:noProof/>
            <w:webHidden/>
          </w:rPr>
          <w:t>vii</w:t>
        </w:r>
        <w:r w:rsidR="005207D8">
          <w:rPr>
            <w:noProof/>
            <w:webHidden/>
          </w:rPr>
          <w:fldChar w:fldCharType="end"/>
        </w:r>
      </w:hyperlink>
    </w:p>
    <w:p w14:paraId="0346BB3A" w14:textId="3B1CECD9" w:rsidR="005207D8" w:rsidRDefault="00000000">
      <w:pPr>
        <w:pStyle w:val="TOC2"/>
        <w:rPr>
          <w:rFonts w:asciiTheme="minorHAnsi" w:eastAsiaTheme="minorEastAsia" w:hAnsiTheme="minorHAnsi" w:cstheme="minorBidi"/>
          <w:noProof/>
          <w:sz w:val="22"/>
          <w:szCs w:val="22"/>
          <w:lang w:eastAsia="en-NZ"/>
        </w:rPr>
      </w:pPr>
      <w:hyperlink w:anchor="_Toc147242126" w:history="1">
        <w:r w:rsidR="005207D8" w:rsidRPr="000371B1">
          <w:rPr>
            <w:rStyle w:val="Hyperlink"/>
            <w:noProof/>
            <w:lang w:eastAsia="en-NZ"/>
          </w:rPr>
          <w:t>Background and international context</w:t>
        </w:r>
        <w:r w:rsidR="005207D8">
          <w:rPr>
            <w:noProof/>
            <w:webHidden/>
          </w:rPr>
          <w:tab/>
        </w:r>
        <w:r w:rsidR="005207D8">
          <w:rPr>
            <w:noProof/>
            <w:webHidden/>
          </w:rPr>
          <w:fldChar w:fldCharType="begin"/>
        </w:r>
        <w:r w:rsidR="005207D8">
          <w:rPr>
            <w:noProof/>
            <w:webHidden/>
          </w:rPr>
          <w:instrText xml:space="preserve"> PAGEREF _Toc147242126 \h </w:instrText>
        </w:r>
        <w:r w:rsidR="005207D8">
          <w:rPr>
            <w:noProof/>
            <w:webHidden/>
          </w:rPr>
        </w:r>
        <w:r w:rsidR="005207D8">
          <w:rPr>
            <w:noProof/>
            <w:webHidden/>
          </w:rPr>
          <w:fldChar w:fldCharType="separate"/>
        </w:r>
        <w:r w:rsidR="009B1F81">
          <w:rPr>
            <w:noProof/>
            <w:webHidden/>
          </w:rPr>
          <w:t>vii</w:t>
        </w:r>
        <w:r w:rsidR="005207D8">
          <w:rPr>
            <w:noProof/>
            <w:webHidden/>
          </w:rPr>
          <w:fldChar w:fldCharType="end"/>
        </w:r>
      </w:hyperlink>
    </w:p>
    <w:p w14:paraId="4B8944DC" w14:textId="0F8C9E64" w:rsidR="005207D8" w:rsidRDefault="00000000">
      <w:pPr>
        <w:pStyle w:val="TOC2"/>
        <w:rPr>
          <w:rFonts w:asciiTheme="minorHAnsi" w:eastAsiaTheme="minorEastAsia" w:hAnsiTheme="minorHAnsi" w:cstheme="minorBidi"/>
          <w:noProof/>
          <w:sz w:val="22"/>
          <w:szCs w:val="22"/>
          <w:lang w:eastAsia="en-NZ"/>
        </w:rPr>
      </w:pPr>
      <w:hyperlink w:anchor="_Toc147242127" w:history="1">
        <w:r w:rsidR="005207D8" w:rsidRPr="000371B1">
          <w:rPr>
            <w:rStyle w:val="Hyperlink"/>
            <w:noProof/>
          </w:rPr>
          <w:t>Local context</w:t>
        </w:r>
        <w:r w:rsidR="005207D8">
          <w:rPr>
            <w:noProof/>
            <w:webHidden/>
          </w:rPr>
          <w:tab/>
        </w:r>
        <w:r w:rsidR="005207D8">
          <w:rPr>
            <w:noProof/>
            <w:webHidden/>
          </w:rPr>
          <w:fldChar w:fldCharType="begin"/>
        </w:r>
        <w:r w:rsidR="005207D8">
          <w:rPr>
            <w:noProof/>
            <w:webHidden/>
          </w:rPr>
          <w:instrText xml:space="preserve"> PAGEREF _Toc147242127 \h </w:instrText>
        </w:r>
        <w:r w:rsidR="005207D8">
          <w:rPr>
            <w:noProof/>
            <w:webHidden/>
          </w:rPr>
        </w:r>
        <w:r w:rsidR="005207D8">
          <w:rPr>
            <w:noProof/>
            <w:webHidden/>
          </w:rPr>
          <w:fldChar w:fldCharType="separate"/>
        </w:r>
        <w:r w:rsidR="009B1F81">
          <w:rPr>
            <w:noProof/>
            <w:webHidden/>
          </w:rPr>
          <w:t>vii</w:t>
        </w:r>
        <w:r w:rsidR="005207D8">
          <w:rPr>
            <w:noProof/>
            <w:webHidden/>
          </w:rPr>
          <w:fldChar w:fldCharType="end"/>
        </w:r>
      </w:hyperlink>
    </w:p>
    <w:p w14:paraId="6C238CE1" w14:textId="797BA368" w:rsidR="005207D8" w:rsidRDefault="00000000">
      <w:pPr>
        <w:pStyle w:val="TOC2"/>
        <w:rPr>
          <w:rFonts w:asciiTheme="minorHAnsi" w:eastAsiaTheme="minorEastAsia" w:hAnsiTheme="minorHAnsi" w:cstheme="minorBidi"/>
          <w:noProof/>
          <w:sz w:val="22"/>
          <w:szCs w:val="22"/>
          <w:lang w:eastAsia="en-NZ"/>
        </w:rPr>
      </w:pPr>
      <w:hyperlink w:anchor="_Toc147242128" w:history="1">
        <w:r w:rsidR="005207D8" w:rsidRPr="000371B1">
          <w:rPr>
            <w:rStyle w:val="Hyperlink"/>
            <w:noProof/>
          </w:rPr>
          <w:t>Likely polio scenarios and suggested responses</w:t>
        </w:r>
        <w:r w:rsidR="005207D8">
          <w:rPr>
            <w:noProof/>
            <w:webHidden/>
          </w:rPr>
          <w:tab/>
        </w:r>
        <w:r w:rsidR="005207D8">
          <w:rPr>
            <w:noProof/>
            <w:webHidden/>
          </w:rPr>
          <w:fldChar w:fldCharType="begin"/>
        </w:r>
        <w:r w:rsidR="005207D8">
          <w:rPr>
            <w:noProof/>
            <w:webHidden/>
          </w:rPr>
          <w:instrText xml:space="preserve"> PAGEREF _Toc147242128 \h </w:instrText>
        </w:r>
        <w:r w:rsidR="005207D8">
          <w:rPr>
            <w:noProof/>
            <w:webHidden/>
          </w:rPr>
        </w:r>
        <w:r w:rsidR="005207D8">
          <w:rPr>
            <w:noProof/>
            <w:webHidden/>
          </w:rPr>
          <w:fldChar w:fldCharType="separate"/>
        </w:r>
        <w:r w:rsidR="009B1F81">
          <w:rPr>
            <w:noProof/>
            <w:webHidden/>
          </w:rPr>
          <w:t>viii</w:t>
        </w:r>
        <w:r w:rsidR="005207D8">
          <w:rPr>
            <w:noProof/>
            <w:webHidden/>
          </w:rPr>
          <w:fldChar w:fldCharType="end"/>
        </w:r>
      </w:hyperlink>
    </w:p>
    <w:p w14:paraId="2AE0863B" w14:textId="7AB7BEDF" w:rsidR="005207D8" w:rsidRDefault="00000000">
      <w:pPr>
        <w:pStyle w:val="TOC2"/>
        <w:rPr>
          <w:rFonts w:asciiTheme="minorHAnsi" w:eastAsiaTheme="minorEastAsia" w:hAnsiTheme="minorHAnsi" w:cstheme="minorBidi"/>
          <w:noProof/>
          <w:sz w:val="22"/>
          <w:szCs w:val="22"/>
          <w:lang w:eastAsia="en-NZ"/>
        </w:rPr>
      </w:pPr>
      <w:hyperlink w:anchor="_Toc147242129" w:history="1">
        <w:r w:rsidR="005207D8" w:rsidRPr="000371B1">
          <w:rPr>
            <w:rStyle w:val="Hyperlink"/>
            <w:noProof/>
          </w:rPr>
          <w:t>Potential polio scenarios and responses</w:t>
        </w:r>
        <w:r w:rsidR="005207D8">
          <w:rPr>
            <w:noProof/>
            <w:webHidden/>
          </w:rPr>
          <w:tab/>
        </w:r>
        <w:r w:rsidR="005207D8">
          <w:rPr>
            <w:noProof/>
            <w:webHidden/>
          </w:rPr>
          <w:fldChar w:fldCharType="begin"/>
        </w:r>
        <w:r w:rsidR="005207D8">
          <w:rPr>
            <w:noProof/>
            <w:webHidden/>
          </w:rPr>
          <w:instrText xml:space="preserve"> PAGEREF _Toc147242129 \h </w:instrText>
        </w:r>
        <w:r w:rsidR="005207D8">
          <w:rPr>
            <w:noProof/>
            <w:webHidden/>
          </w:rPr>
        </w:r>
        <w:r w:rsidR="005207D8">
          <w:rPr>
            <w:noProof/>
            <w:webHidden/>
          </w:rPr>
          <w:fldChar w:fldCharType="separate"/>
        </w:r>
        <w:r w:rsidR="009B1F81">
          <w:rPr>
            <w:noProof/>
            <w:webHidden/>
          </w:rPr>
          <w:t>ix</w:t>
        </w:r>
        <w:r w:rsidR="005207D8">
          <w:rPr>
            <w:noProof/>
            <w:webHidden/>
          </w:rPr>
          <w:fldChar w:fldCharType="end"/>
        </w:r>
      </w:hyperlink>
    </w:p>
    <w:p w14:paraId="028A4DE5" w14:textId="224FBD73" w:rsidR="005207D8" w:rsidRDefault="00000000">
      <w:pPr>
        <w:pStyle w:val="TOC1"/>
        <w:rPr>
          <w:rFonts w:asciiTheme="minorHAnsi" w:eastAsiaTheme="minorEastAsia" w:hAnsiTheme="minorHAnsi" w:cstheme="minorBidi"/>
          <w:noProof/>
          <w:sz w:val="22"/>
          <w:szCs w:val="22"/>
          <w:lang w:eastAsia="en-NZ"/>
        </w:rPr>
      </w:pPr>
      <w:hyperlink w:anchor="_Toc147242130" w:history="1">
        <w:r w:rsidR="005207D8" w:rsidRPr="000371B1">
          <w:rPr>
            <w:rStyle w:val="Hyperlink"/>
            <w:noProof/>
          </w:rPr>
          <w:t>1</w:t>
        </w:r>
        <w:r w:rsidR="005207D8">
          <w:rPr>
            <w:rFonts w:asciiTheme="minorHAnsi" w:eastAsiaTheme="minorEastAsia" w:hAnsiTheme="minorHAnsi" w:cstheme="minorBidi"/>
            <w:noProof/>
            <w:sz w:val="22"/>
            <w:szCs w:val="22"/>
            <w:lang w:eastAsia="en-NZ"/>
          </w:rPr>
          <w:tab/>
        </w:r>
        <w:r w:rsidR="005207D8" w:rsidRPr="000371B1">
          <w:rPr>
            <w:rStyle w:val="Hyperlink"/>
            <w:noProof/>
          </w:rPr>
          <w:t>Introduction</w:t>
        </w:r>
        <w:r w:rsidR="005207D8">
          <w:rPr>
            <w:noProof/>
            <w:webHidden/>
          </w:rPr>
          <w:tab/>
        </w:r>
        <w:r w:rsidR="005207D8">
          <w:rPr>
            <w:noProof/>
            <w:webHidden/>
          </w:rPr>
          <w:fldChar w:fldCharType="begin"/>
        </w:r>
        <w:r w:rsidR="005207D8">
          <w:rPr>
            <w:noProof/>
            <w:webHidden/>
          </w:rPr>
          <w:instrText xml:space="preserve"> PAGEREF _Toc147242130 \h </w:instrText>
        </w:r>
        <w:r w:rsidR="005207D8">
          <w:rPr>
            <w:noProof/>
            <w:webHidden/>
          </w:rPr>
        </w:r>
        <w:r w:rsidR="005207D8">
          <w:rPr>
            <w:noProof/>
            <w:webHidden/>
          </w:rPr>
          <w:fldChar w:fldCharType="separate"/>
        </w:r>
        <w:r w:rsidR="009B1F81">
          <w:rPr>
            <w:noProof/>
            <w:webHidden/>
          </w:rPr>
          <w:t>1</w:t>
        </w:r>
        <w:r w:rsidR="005207D8">
          <w:rPr>
            <w:noProof/>
            <w:webHidden/>
          </w:rPr>
          <w:fldChar w:fldCharType="end"/>
        </w:r>
      </w:hyperlink>
    </w:p>
    <w:p w14:paraId="0EDAF01C" w14:textId="3DB38C50" w:rsidR="005207D8" w:rsidRDefault="00000000">
      <w:pPr>
        <w:pStyle w:val="TOC2"/>
        <w:rPr>
          <w:rFonts w:asciiTheme="minorHAnsi" w:eastAsiaTheme="minorEastAsia" w:hAnsiTheme="minorHAnsi" w:cstheme="minorBidi"/>
          <w:noProof/>
          <w:sz w:val="22"/>
          <w:szCs w:val="22"/>
          <w:lang w:eastAsia="en-NZ"/>
        </w:rPr>
      </w:pPr>
      <w:hyperlink w:anchor="_Toc147242131" w:history="1">
        <w:r w:rsidR="005207D8" w:rsidRPr="000371B1">
          <w:rPr>
            <w:rStyle w:val="Hyperlink"/>
            <w:noProof/>
          </w:rPr>
          <w:t>1.1</w:t>
        </w:r>
        <w:r w:rsidR="005207D8">
          <w:rPr>
            <w:rFonts w:asciiTheme="minorHAnsi" w:eastAsiaTheme="minorEastAsia" w:hAnsiTheme="minorHAnsi" w:cstheme="minorBidi"/>
            <w:noProof/>
            <w:sz w:val="22"/>
            <w:szCs w:val="22"/>
            <w:lang w:eastAsia="en-NZ"/>
          </w:rPr>
          <w:tab/>
        </w:r>
        <w:r w:rsidR="005207D8" w:rsidRPr="000371B1">
          <w:rPr>
            <w:rStyle w:val="Hyperlink"/>
            <w:noProof/>
          </w:rPr>
          <w:t>Purpose of this preparedness and response framework</w:t>
        </w:r>
        <w:r w:rsidR="005207D8">
          <w:rPr>
            <w:noProof/>
            <w:webHidden/>
          </w:rPr>
          <w:tab/>
        </w:r>
        <w:r w:rsidR="005207D8">
          <w:rPr>
            <w:noProof/>
            <w:webHidden/>
          </w:rPr>
          <w:fldChar w:fldCharType="begin"/>
        </w:r>
        <w:r w:rsidR="005207D8">
          <w:rPr>
            <w:noProof/>
            <w:webHidden/>
          </w:rPr>
          <w:instrText xml:space="preserve"> PAGEREF _Toc147242131 \h </w:instrText>
        </w:r>
        <w:r w:rsidR="005207D8">
          <w:rPr>
            <w:noProof/>
            <w:webHidden/>
          </w:rPr>
        </w:r>
        <w:r w:rsidR="005207D8">
          <w:rPr>
            <w:noProof/>
            <w:webHidden/>
          </w:rPr>
          <w:fldChar w:fldCharType="separate"/>
        </w:r>
        <w:r w:rsidR="009B1F81">
          <w:rPr>
            <w:noProof/>
            <w:webHidden/>
          </w:rPr>
          <w:t>1</w:t>
        </w:r>
        <w:r w:rsidR="005207D8">
          <w:rPr>
            <w:noProof/>
            <w:webHidden/>
          </w:rPr>
          <w:fldChar w:fldCharType="end"/>
        </w:r>
      </w:hyperlink>
    </w:p>
    <w:p w14:paraId="003A1235" w14:textId="1753D955" w:rsidR="005207D8" w:rsidRDefault="00000000">
      <w:pPr>
        <w:pStyle w:val="TOC2"/>
        <w:rPr>
          <w:rFonts w:asciiTheme="minorHAnsi" w:eastAsiaTheme="minorEastAsia" w:hAnsiTheme="minorHAnsi" w:cstheme="minorBidi"/>
          <w:noProof/>
          <w:sz w:val="22"/>
          <w:szCs w:val="22"/>
          <w:lang w:eastAsia="en-NZ"/>
        </w:rPr>
      </w:pPr>
      <w:hyperlink w:anchor="_Toc147242132" w:history="1">
        <w:r w:rsidR="005207D8" w:rsidRPr="000371B1">
          <w:rPr>
            <w:rStyle w:val="Hyperlink"/>
            <w:noProof/>
          </w:rPr>
          <w:t>1.2</w:t>
        </w:r>
        <w:r w:rsidR="005207D8">
          <w:rPr>
            <w:rFonts w:asciiTheme="minorHAnsi" w:eastAsiaTheme="minorEastAsia" w:hAnsiTheme="minorHAnsi" w:cstheme="minorBidi"/>
            <w:noProof/>
            <w:sz w:val="22"/>
            <w:szCs w:val="22"/>
            <w:lang w:eastAsia="en-NZ"/>
          </w:rPr>
          <w:tab/>
        </w:r>
        <w:r w:rsidR="005207D8" w:rsidRPr="000371B1">
          <w:rPr>
            <w:rStyle w:val="Hyperlink"/>
            <w:noProof/>
          </w:rPr>
          <w:t>Aims and aspirations</w:t>
        </w:r>
        <w:r w:rsidR="005207D8">
          <w:rPr>
            <w:noProof/>
            <w:webHidden/>
          </w:rPr>
          <w:tab/>
        </w:r>
        <w:r w:rsidR="005207D8">
          <w:rPr>
            <w:noProof/>
            <w:webHidden/>
          </w:rPr>
          <w:fldChar w:fldCharType="begin"/>
        </w:r>
        <w:r w:rsidR="005207D8">
          <w:rPr>
            <w:noProof/>
            <w:webHidden/>
          </w:rPr>
          <w:instrText xml:space="preserve"> PAGEREF _Toc147242132 \h </w:instrText>
        </w:r>
        <w:r w:rsidR="005207D8">
          <w:rPr>
            <w:noProof/>
            <w:webHidden/>
          </w:rPr>
        </w:r>
        <w:r w:rsidR="005207D8">
          <w:rPr>
            <w:noProof/>
            <w:webHidden/>
          </w:rPr>
          <w:fldChar w:fldCharType="separate"/>
        </w:r>
        <w:r w:rsidR="009B1F81">
          <w:rPr>
            <w:noProof/>
            <w:webHidden/>
          </w:rPr>
          <w:t>2</w:t>
        </w:r>
        <w:r w:rsidR="005207D8">
          <w:rPr>
            <w:noProof/>
            <w:webHidden/>
          </w:rPr>
          <w:fldChar w:fldCharType="end"/>
        </w:r>
      </w:hyperlink>
    </w:p>
    <w:p w14:paraId="4ED92FEE" w14:textId="5D74D284" w:rsidR="005207D8" w:rsidRDefault="00000000">
      <w:pPr>
        <w:pStyle w:val="TOC2"/>
        <w:rPr>
          <w:rFonts w:asciiTheme="minorHAnsi" w:eastAsiaTheme="minorEastAsia" w:hAnsiTheme="minorHAnsi" w:cstheme="minorBidi"/>
          <w:noProof/>
          <w:sz w:val="22"/>
          <w:szCs w:val="22"/>
          <w:lang w:eastAsia="en-NZ"/>
        </w:rPr>
      </w:pPr>
      <w:hyperlink w:anchor="_Toc147242133" w:history="1">
        <w:r w:rsidR="005207D8" w:rsidRPr="000371B1">
          <w:rPr>
            <w:rStyle w:val="Hyperlink"/>
            <w:noProof/>
          </w:rPr>
          <w:t>1.3</w:t>
        </w:r>
        <w:r w:rsidR="005207D8">
          <w:rPr>
            <w:rFonts w:asciiTheme="minorHAnsi" w:eastAsiaTheme="minorEastAsia" w:hAnsiTheme="minorHAnsi" w:cstheme="minorBidi"/>
            <w:noProof/>
            <w:sz w:val="22"/>
            <w:szCs w:val="22"/>
            <w:lang w:eastAsia="en-NZ"/>
          </w:rPr>
          <w:tab/>
        </w:r>
        <w:r w:rsidR="005207D8" w:rsidRPr="000371B1">
          <w:rPr>
            <w:rStyle w:val="Hyperlink"/>
            <w:noProof/>
          </w:rPr>
          <w:t>Global and local situation</w:t>
        </w:r>
        <w:r w:rsidR="005207D8">
          <w:rPr>
            <w:noProof/>
            <w:webHidden/>
          </w:rPr>
          <w:tab/>
        </w:r>
        <w:r w:rsidR="005207D8">
          <w:rPr>
            <w:noProof/>
            <w:webHidden/>
          </w:rPr>
          <w:fldChar w:fldCharType="begin"/>
        </w:r>
        <w:r w:rsidR="005207D8">
          <w:rPr>
            <w:noProof/>
            <w:webHidden/>
          </w:rPr>
          <w:instrText xml:space="preserve"> PAGEREF _Toc147242133 \h </w:instrText>
        </w:r>
        <w:r w:rsidR="005207D8">
          <w:rPr>
            <w:noProof/>
            <w:webHidden/>
          </w:rPr>
        </w:r>
        <w:r w:rsidR="005207D8">
          <w:rPr>
            <w:noProof/>
            <w:webHidden/>
          </w:rPr>
          <w:fldChar w:fldCharType="separate"/>
        </w:r>
        <w:r w:rsidR="009B1F81">
          <w:rPr>
            <w:noProof/>
            <w:webHidden/>
          </w:rPr>
          <w:t>2</w:t>
        </w:r>
        <w:r w:rsidR="005207D8">
          <w:rPr>
            <w:noProof/>
            <w:webHidden/>
          </w:rPr>
          <w:fldChar w:fldCharType="end"/>
        </w:r>
      </w:hyperlink>
    </w:p>
    <w:p w14:paraId="7D108B89" w14:textId="1E43BEAD" w:rsidR="005207D8" w:rsidRDefault="00000000">
      <w:pPr>
        <w:pStyle w:val="TOC2"/>
        <w:rPr>
          <w:rFonts w:asciiTheme="minorHAnsi" w:eastAsiaTheme="minorEastAsia" w:hAnsiTheme="minorHAnsi" w:cstheme="minorBidi"/>
          <w:noProof/>
          <w:sz w:val="22"/>
          <w:szCs w:val="22"/>
          <w:lang w:eastAsia="en-NZ"/>
        </w:rPr>
      </w:pPr>
      <w:hyperlink w:anchor="_Toc147242134" w:history="1">
        <w:r w:rsidR="005207D8" w:rsidRPr="000371B1">
          <w:rPr>
            <w:rStyle w:val="Hyperlink"/>
            <w:noProof/>
          </w:rPr>
          <w:t>1.4</w:t>
        </w:r>
        <w:r w:rsidR="005207D8">
          <w:rPr>
            <w:rFonts w:asciiTheme="minorHAnsi" w:eastAsiaTheme="minorEastAsia" w:hAnsiTheme="minorHAnsi" w:cstheme="minorBidi"/>
            <w:noProof/>
            <w:sz w:val="22"/>
            <w:szCs w:val="22"/>
            <w:lang w:eastAsia="en-NZ"/>
          </w:rPr>
          <w:tab/>
        </w:r>
        <w:r w:rsidR="005207D8" w:rsidRPr="000371B1">
          <w:rPr>
            <w:rStyle w:val="Hyperlink"/>
            <w:noProof/>
          </w:rPr>
          <w:t>Existing surveillance</w:t>
        </w:r>
        <w:r w:rsidR="005207D8">
          <w:rPr>
            <w:noProof/>
            <w:webHidden/>
          </w:rPr>
          <w:tab/>
        </w:r>
        <w:r w:rsidR="005207D8">
          <w:rPr>
            <w:noProof/>
            <w:webHidden/>
          </w:rPr>
          <w:fldChar w:fldCharType="begin"/>
        </w:r>
        <w:r w:rsidR="005207D8">
          <w:rPr>
            <w:noProof/>
            <w:webHidden/>
          </w:rPr>
          <w:instrText xml:space="preserve"> PAGEREF _Toc147242134 \h </w:instrText>
        </w:r>
        <w:r w:rsidR="005207D8">
          <w:rPr>
            <w:noProof/>
            <w:webHidden/>
          </w:rPr>
        </w:r>
        <w:r w:rsidR="005207D8">
          <w:rPr>
            <w:noProof/>
            <w:webHidden/>
          </w:rPr>
          <w:fldChar w:fldCharType="separate"/>
        </w:r>
        <w:r w:rsidR="009B1F81">
          <w:rPr>
            <w:noProof/>
            <w:webHidden/>
          </w:rPr>
          <w:t>7</w:t>
        </w:r>
        <w:r w:rsidR="005207D8">
          <w:rPr>
            <w:noProof/>
            <w:webHidden/>
          </w:rPr>
          <w:fldChar w:fldCharType="end"/>
        </w:r>
      </w:hyperlink>
    </w:p>
    <w:p w14:paraId="7EC5F955" w14:textId="3DF57D34" w:rsidR="005207D8" w:rsidRDefault="00000000">
      <w:pPr>
        <w:pStyle w:val="TOC2"/>
        <w:rPr>
          <w:rFonts w:asciiTheme="minorHAnsi" w:eastAsiaTheme="minorEastAsia" w:hAnsiTheme="minorHAnsi" w:cstheme="minorBidi"/>
          <w:noProof/>
          <w:sz w:val="22"/>
          <w:szCs w:val="22"/>
          <w:lang w:eastAsia="en-NZ"/>
        </w:rPr>
      </w:pPr>
      <w:hyperlink w:anchor="_Toc147242135" w:history="1">
        <w:r w:rsidR="005207D8" w:rsidRPr="000371B1">
          <w:rPr>
            <w:rStyle w:val="Hyperlink"/>
            <w:noProof/>
          </w:rPr>
          <w:t>1.5</w:t>
        </w:r>
        <w:r w:rsidR="005207D8">
          <w:rPr>
            <w:rFonts w:asciiTheme="minorHAnsi" w:eastAsiaTheme="minorEastAsia" w:hAnsiTheme="minorHAnsi" w:cstheme="minorBidi"/>
            <w:noProof/>
            <w:sz w:val="22"/>
            <w:szCs w:val="22"/>
            <w:lang w:eastAsia="en-NZ"/>
          </w:rPr>
          <w:tab/>
        </w:r>
        <w:r w:rsidR="005207D8" w:rsidRPr="000371B1">
          <w:rPr>
            <w:rStyle w:val="Hyperlink"/>
            <w:noProof/>
          </w:rPr>
          <w:t>Other surveillance mechanisms</w:t>
        </w:r>
        <w:r w:rsidR="005207D8">
          <w:rPr>
            <w:noProof/>
            <w:webHidden/>
          </w:rPr>
          <w:tab/>
        </w:r>
        <w:r w:rsidR="005207D8">
          <w:rPr>
            <w:noProof/>
            <w:webHidden/>
          </w:rPr>
          <w:fldChar w:fldCharType="begin"/>
        </w:r>
        <w:r w:rsidR="005207D8">
          <w:rPr>
            <w:noProof/>
            <w:webHidden/>
          </w:rPr>
          <w:instrText xml:space="preserve"> PAGEREF _Toc147242135 \h </w:instrText>
        </w:r>
        <w:r w:rsidR="005207D8">
          <w:rPr>
            <w:noProof/>
            <w:webHidden/>
          </w:rPr>
        </w:r>
        <w:r w:rsidR="005207D8">
          <w:rPr>
            <w:noProof/>
            <w:webHidden/>
          </w:rPr>
          <w:fldChar w:fldCharType="separate"/>
        </w:r>
        <w:r w:rsidR="009B1F81">
          <w:rPr>
            <w:noProof/>
            <w:webHidden/>
          </w:rPr>
          <w:t>9</w:t>
        </w:r>
        <w:r w:rsidR="005207D8">
          <w:rPr>
            <w:noProof/>
            <w:webHidden/>
          </w:rPr>
          <w:fldChar w:fldCharType="end"/>
        </w:r>
      </w:hyperlink>
    </w:p>
    <w:p w14:paraId="0BFB27BF" w14:textId="2545706C" w:rsidR="005207D8" w:rsidRDefault="00000000">
      <w:pPr>
        <w:pStyle w:val="TOC2"/>
        <w:rPr>
          <w:rFonts w:asciiTheme="minorHAnsi" w:eastAsiaTheme="minorEastAsia" w:hAnsiTheme="minorHAnsi" w:cstheme="minorBidi"/>
          <w:noProof/>
          <w:sz w:val="22"/>
          <w:szCs w:val="22"/>
          <w:lang w:eastAsia="en-NZ"/>
        </w:rPr>
      </w:pPr>
      <w:hyperlink w:anchor="_Toc147242136" w:history="1">
        <w:r w:rsidR="005207D8" w:rsidRPr="000371B1">
          <w:rPr>
            <w:rStyle w:val="Hyperlink"/>
            <w:noProof/>
          </w:rPr>
          <w:t>1.6</w:t>
        </w:r>
        <w:r w:rsidR="005207D8">
          <w:rPr>
            <w:rFonts w:asciiTheme="minorHAnsi" w:eastAsiaTheme="minorEastAsia" w:hAnsiTheme="minorHAnsi" w:cstheme="minorBidi"/>
            <w:noProof/>
            <w:sz w:val="22"/>
            <w:szCs w:val="22"/>
            <w:lang w:eastAsia="en-NZ"/>
          </w:rPr>
          <w:tab/>
        </w:r>
        <w:r w:rsidR="005207D8" w:rsidRPr="000371B1">
          <w:rPr>
            <w:rStyle w:val="Hyperlink"/>
            <w:noProof/>
          </w:rPr>
          <w:t>Potential scenarios for poliovirus importation or circulation in Aotearoa</w:t>
        </w:r>
        <w:r w:rsidR="005207D8">
          <w:rPr>
            <w:noProof/>
            <w:webHidden/>
          </w:rPr>
          <w:tab/>
        </w:r>
        <w:r w:rsidR="005207D8">
          <w:rPr>
            <w:noProof/>
            <w:webHidden/>
          </w:rPr>
          <w:fldChar w:fldCharType="begin"/>
        </w:r>
        <w:r w:rsidR="005207D8">
          <w:rPr>
            <w:noProof/>
            <w:webHidden/>
          </w:rPr>
          <w:instrText xml:space="preserve"> PAGEREF _Toc147242136 \h </w:instrText>
        </w:r>
        <w:r w:rsidR="005207D8">
          <w:rPr>
            <w:noProof/>
            <w:webHidden/>
          </w:rPr>
        </w:r>
        <w:r w:rsidR="005207D8">
          <w:rPr>
            <w:noProof/>
            <w:webHidden/>
          </w:rPr>
          <w:fldChar w:fldCharType="separate"/>
        </w:r>
        <w:r w:rsidR="009B1F81">
          <w:rPr>
            <w:noProof/>
            <w:webHidden/>
          </w:rPr>
          <w:t>12</w:t>
        </w:r>
        <w:r w:rsidR="005207D8">
          <w:rPr>
            <w:noProof/>
            <w:webHidden/>
          </w:rPr>
          <w:fldChar w:fldCharType="end"/>
        </w:r>
      </w:hyperlink>
    </w:p>
    <w:p w14:paraId="3D307339" w14:textId="57C8865F" w:rsidR="005207D8" w:rsidRDefault="00000000">
      <w:pPr>
        <w:pStyle w:val="TOC1"/>
        <w:rPr>
          <w:rFonts w:asciiTheme="minorHAnsi" w:eastAsiaTheme="minorEastAsia" w:hAnsiTheme="minorHAnsi" w:cstheme="minorBidi"/>
          <w:noProof/>
          <w:sz w:val="22"/>
          <w:szCs w:val="22"/>
          <w:lang w:eastAsia="en-NZ"/>
        </w:rPr>
      </w:pPr>
      <w:hyperlink w:anchor="_Toc147242137" w:history="1">
        <w:r w:rsidR="005207D8" w:rsidRPr="000371B1">
          <w:rPr>
            <w:rStyle w:val="Hyperlink"/>
            <w:noProof/>
          </w:rPr>
          <w:t>2</w:t>
        </w:r>
        <w:r w:rsidR="005207D8">
          <w:rPr>
            <w:rFonts w:asciiTheme="minorHAnsi" w:eastAsiaTheme="minorEastAsia" w:hAnsiTheme="minorHAnsi" w:cstheme="minorBidi"/>
            <w:noProof/>
            <w:sz w:val="22"/>
            <w:szCs w:val="22"/>
            <w:lang w:eastAsia="en-NZ"/>
          </w:rPr>
          <w:tab/>
        </w:r>
        <w:r w:rsidR="005207D8" w:rsidRPr="000371B1">
          <w:rPr>
            <w:rStyle w:val="Hyperlink"/>
            <w:noProof/>
          </w:rPr>
          <w:t>Background</w:t>
        </w:r>
        <w:r w:rsidR="005207D8">
          <w:rPr>
            <w:noProof/>
            <w:webHidden/>
          </w:rPr>
          <w:tab/>
        </w:r>
        <w:r w:rsidR="005207D8">
          <w:rPr>
            <w:noProof/>
            <w:webHidden/>
          </w:rPr>
          <w:fldChar w:fldCharType="begin"/>
        </w:r>
        <w:r w:rsidR="005207D8">
          <w:rPr>
            <w:noProof/>
            <w:webHidden/>
          </w:rPr>
          <w:instrText xml:space="preserve"> PAGEREF _Toc147242137 \h </w:instrText>
        </w:r>
        <w:r w:rsidR="005207D8">
          <w:rPr>
            <w:noProof/>
            <w:webHidden/>
          </w:rPr>
        </w:r>
        <w:r w:rsidR="005207D8">
          <w:rPr>
            <w:noProof/>
            <w:webHidden/>
          </w:rPr>
          <w:fldChar w:fldCharType="separate"/>
        </w:r>
        <w:r w:rsidR="009B1F81">
          <w:rPr>
            <w:noProof/>
            <w:webHidden/>
          </w:rPr>
          <w:t>13</w:t>
        </w:r>
        <w:r w:rsidR="005207D8">
          <w:rPr>
            <w:noProof/>
            <w:webHidden/>
          </w:rPr>
          <w:fldChar w:fldCharType="end"/>
        </w:r>
      </w:hyperlink>
    </w:p>
    <w:p w14:paraId="06C12B53" w14:textId="6BD673E1" w:rsidR="005207D8" w:rsidRDefault="00000000">
      <w:pPr>
        <w:pStyle w:val="TOC2"/>
        <w:rPr>
          <w:rFonts w:asciiTheme="minorHAnsi" w:eastAsiaTheme="minorEastAsia" w:hAnsiTheme="minorHAnsi" w:cstheme="minorBidi"/>
          <w:noProof/>
          <w:sz w:val="22"/>
          <w:szCs w:val="22"/>
          <w:lang w:eastAsia="en-NZ"/>
        </w:rPr>
      </w:pPr>
      <w:hyperlink w:anchor="_Toc147242138" w:history="1">
        <w:r w:rsidR="005207D8" w:rsidRPr="000371B1">
          <w:rPr>
            <w:rStyle w:val="Hyperlink"/>
            <w:noProof/>
            <w:lang w:eastAsia="en-US"/>
          </w:rPr>
          <w:t>2.1</w:t>
        </w:r>
        <w:r w:rsidR="005207D8">
          <w:rPr>
            <w:rFonts w:asciiTheme="minorHAnsi" w:eastAsiaTheme="minorEastAsia" w:hAnsiTheme="minorHAnsi" w:cstheme="minorBidi"/>
            <w:noProof/>
            <w:sz w:val="22"/>
            <w:szCs w:val="22"/>
            <w:lang w:eastAsia="en-NZ"/>
          </w:rPr>
          <w:tab/>
        </w:r>
        <w:r w:rsidR="005207D8" w:rsidRPr="000371B1">
          <w:rPr>
            <w:rStyle w:val="Hyperlink"/>
            <w:noProof/>
            <w:lang w:eastAsia="en-US"/>
          </w:rPr>
          <w:t>Clinical description of polio</w:t>
        </w:r>
        <w:r w:rsidR="005207D8">
          <w:rPr>
            <w:noProof/>
            <w:webHidden/>
          </w:rPr>
          <w:tab/>
        </w:r>
        <w:r w:rsidR="005207D8">
          <w:rPr>
            <w:noProof/>
            <w:webHidden/>
          </w:rPr>
          <w:fldChar w:fldCharType="begin"/>
        </w:r>
        <w:r w:rsidR="005207D8">
          <w:rPr>
            <w:noProof/>
            <w:webHidden/>
          </w:rPr>
          <w:instrText xml:space="preserve"> PAGEREF _Toc147242138 \h </w:instrText>
        </w:r>
        <w:r w:rsidR="005207D8">
          <w:rPr>
            <w:noProof/>
            <w:webHidden/>
          </w:rPr>
        </w:r>
        <w:r w:rsidR="005207D8">
          <w:rPr>
            <w:noProof/>
            <w:webHidden/>
          </w:rPr>
          <w:fldChar w:fldCharType="separate"/>
        </w:r>
        <w:r w:rsidR="009B1F81">
          <w:rPr>
            <w:noProof/>
            <w:webHidden/>
          </w:rPr>
          <w:t>13</w:t>
        </w:r>
        <w:r w:rsidR="005207D8">
          <w:rPr>
            <w:noProof/>
            <w:webHidden/>
          </w:rPr>
          <w:fldChar w:fldCharType="end"/>
        </w:r>
      </w:hyperlink>
    </w:p>
    <w:p w14:paraId="3BA7CBEB" w14:textId="355B7825" w:rsidR="005207D8" w:rsidRDefault="00000000">
      <w:pPr>
        <w:pStyle w:val="TOC2"/>
        <w:rPr>
          <w:rFonts w:asciiTheme="minorHAnsi" w:eastAsiaTheme="minorEastAsia" w:hAnsiTheme="minorHAnsi" w:cstheme="minorBidi"/>
          <w:noProof/>
          <w:sz w:val="22"/>
          <w:szCs w:val="22"/>
          <w:lang w:eastAsia="en-NZ"/>
        </w:rPr>
      </w:pPr>
      <w:hyperlink w:anchor="_Toc147242139" w:history="1">
        <w:r w:rsidR="005207D8" w:rsidRPr="000371B1">
          <w:rPr>
            <w:rStyle w:val="Hyperlink"/>
            <w:noProof/>
          </w:rPr>
          <w:t>2.2</w:t>
        </w:r>
        <w:r w:rsidR="005207D8">
          <w:rPr>
            <w:rFonts w:asciiTheme="minorHAnsi" w:eastAsiaTheme="minorEastAsia" w:hAnsiTheme="minorHAnsi" w:cstheme="minorBidi"/>
            <w:noProof/>
            <w:sz w:val="22"/>
            <w:szCs w:val="22"/>
            <w:lang w:eastAsia="en-NZ"/>
          </w:rPr>
          <w:tab/>
        </w:r>
        <w:r w:rsidR="005207D8" w:rsidRPr="000371B1">
          <w:rPr>
            <w:rStyle w:val="Hyperlink"/>
            <w:noProof/>
          </w:rPr>
          <w:t>The spread of poliovirus</w:t>
        </w:r>
        <w:r w:rsidR="005207D8">
          <w:rPr>
            <w:noProof/>
            <w:webHidden/>
          </w:rPr>
          <w:tab/>
        </w:r>
        <w:r w:rsidR="005207D8">
          <w:rPr>
            <w:noProof/>
            <w:webHidden/>
          </w:rPr>
          <w:fldChar w:fldCharType="begin"/>
        </w:r>
        <w:r w:rsidR="005207D8">
          <w:rPr>
            <w:noProof/>
            <w:webHidden/>
          </w:rPr>
          <w:instrText xml:space="preserve"> PAGEREF _Toc147242139 \h </w:instrText>
        </w:r>
        <w:r w:rsidR="005207D8">
          <w:rPr>
            <w:noProof/>
            <w:webHidden/>
          </w:rPr>
        </w:r>
        <w:r w:rsidR="005207D8">
          <w:rPr>
            <w:noProof/>
            <w:webHidden/>
          </w:rPr>
          <w:fldChar w:fldCharType="separate"/>
        </w:r>
        <w:r w:rsidR="009B1F81">
          <w:rPr>
            <w:noProof/>
            <w:webHidden/>
          </w:rPr>
          <w:t>14</w:t>
        </w:r>
        <w:r w:rsidR="005207D8">
          <w:rPr>
            <w:noProof/>
            <w:webHidden/>
          </w:rPr>
          <w:fldChar w:fldCharType="end"/>
        </w:r>
      </w:hyperlink>
    </w:p>
    <w:p w14:paraId="2F46DC20" w14:textId="1D7E83BD" w:rsidR="005207D8" w:rsidRDefault="00000000">
      <w:pPr>
        <w:pStyle w:val="TOC2"/>
        <w:rPr>
          <w:rFonts w:asciiTheme="minorHAnsi" w:eastAsiaTheme="minorEastAsia" w:hAnsiTheme="minorHAnsi" w:cstheme="minorBidi"/>
          <w:noProof/>
          <w:sz w:val="22"/>
          <w:szCs w:val="22"/>
          <w:lang w:eastAsia="en-NZ"/>
        </w:rPr>
      </w:pPr>
      <w:hyperlink w:anchor="_Toc147242140" w:history="1">
        <w:r w:rsidR="005207D8" w:rsidRPr="000371B1">
          <w:rPr>
            <w:rStyle w:val="Hyperlink"/>
            <w:noProof/>
          </w:rPr>
          <w:t>2.3</w:t>
        </w:r>
        <w:r w:rsidR="005207D8">
          <w:rPr>
            <w:rFonts w:asciiTheme="minorHAnsi" w:eastAsiaTheme="minorEastAsia" w:hAnsiTheme="minorHAnsi" w:cstheme="minorBidi"/>
            <w:noProof/>
            <w:sz w:val="22"/>
            <w:szCs w:val="22"/>
            <w:lang w:eastAsia="en-NZ"/>
          </w:rPr>
          <w:tab/>
        </w:r>
        <w:r w:rsidR="005207D8" w:rsidRPr="000371B1">
          <w:rPr>
            <w:rStyle w:val="Hyperlink"/>
            <w:noProof/>
          </w:rPr>
          <w:t>WHO definitions of polio events and outbreaks</w:t>
        </w:r>
        <w:r w:rsidR="005207D8">
          <w:rPr>
            <w:noProof/>
            <w:webHidden/>
          </w:rPr>
          <w:tab/>
        </w:r>
        <w:r w:rsidR="005207D8">
          <w:rPr>
            <w:noProof/>
            <w:webHidden/>
          </w:rPr>
          <w:fldChar w:fldCharType="begin"/>
        </w:r>
        <w:r w:rsidR="005207D8">
          <w:rPr>
            <w:noProof/>
            <w:webHidden/>
          </w:rPr>
          <w:instrText xml:space="preserve"> PAGEREF _Toc147242140 \h </w:instrText>
        </w:r>
        <w:r w:rsidR="005207D8">
          <w:rPr>
            <w:noProof/>
            <w:webHidden/>
          </w:rPr>
        </w:r>
        <w:r w:rsidR="005207D8">
          <w:rPr>
            <w:noProof/>
            <w:webHidden/>
          </w:rPr>
          <w:fldChar w:fldCharType="separate"/>
        </w:r>
        <w:r w:rsidR="009B1F81">
          <w:rPr>
            <w:noProof/>
            <w:webHidden/>
          </w:rPr>
          <w:t>14</w:t>
        </w:r>
        <w:r w:rsidR="005207D8">
          <w:rPr>
            <w:noProof/>
            <w:webHidden/>
          </w:rPr>
          <w:fldChar w:fldCharType="end"/>
        </w:r>
      </w:hyperlink>
    </w:p>
    <w:p w14:paraId="4C7784BA" w14:textId="5FB78D8B" w:rsidR="005207D8" w:rsidRDefault="00000000">
      <w:pPr>
        <w:pStyle w:val="TOC2"/>
        <w:rPr>
          <w:rFonts w:asciiTheme="minorHAnsi" w:eastAsiaTheme="minorEastAsia" w:hAnsiTheme="minorHAnsi" w:cstheme="minorBidi"/>
          <w:noProof/>
          <w:sz w:val="22"/>
          <w:szCs w:val="22"/>
          <w:lang w:eastAsia="en-NZ"/>
        </w:rPr>
      </w:pPr>
      <w:hyperlink w:anchor="_Toc147242141" w:history="1">
        <w:r w:rsidR="005207D8" w:rsidRPr="000371B1">
          <w:rPr>
            <w:rStyle w:val="Hyperlink"/>
            <w:noProof/>
          </w:rPr>
          <w:t>2.4</w:t>
        </w:r>
        <w:r w:rsidR="005207D8">
          <w:rPr>
            <w:rFonts w:asciiTheme="minorHAnsi" w:eastAsiaTheme="minorEastAsia" w:hAnsiTheme="minorHAnsi" w:cstheme="minorBidi"/>
            <w:noProof/>
            <w:sz w:val="22"/>
            <w:szCs w:val="22"/>
            <w:lang w:eastAsia="en-NZ"/>
          </w:rPr>
          <w:tab/>
        </w:r>
        <w:r w:rsidR="005207D8" w:rsidRPr="000371B1">
          <w:rPr>
            <w:rStyle w:val="Hyperlink"/>
            <w:noProof/>
          </w:rPr>
          <w:t>Polio vaccines in Aotearoa and internationally</w:t>
        </w:r>
        <w:r w:rsidR="005207D8">
          <w:rPr>
            <w:noProof/>
            <w:webHidden/>
          </w:rPr>
          <w:tab/>
        </w:r>
        <w:r w:rsidR="005207D8">
          <w:rPr>
            <w:noProof/>
            <w:webHidden/>
          </w:rPr>
          <w:fldChar w:fldCharType="begin"/>
        </w:r>
        <w:r w:rsidR="005207D8">
          <w:rPr>
            <w:noProof/>
            <w:webHidden/>
          </w:rPr>
          <w:instrText xml:space="preserve"> PAGEREF _Toc147242141 \h </w:instrText>
        </w:r>
        <w:r w:rsidR="005207D8">
          <w:rPr>
            <w:noProof/>
            <w:webHidden/>
          </w:rPr>
        </w:r>
        <w:r w:rsidR="005207D8">
          <w:rPr>
            <w:noProof/>
            <w:webHidden/>
          </w:rPr>
          <w:fldChar w:fldCharType="separate"/>
        </w:r>
        <w:r w:rsidR="009B1F81">
          <w:rPr>
            <w:noProof/>
            <w:webHidden/>
          </w:rPr>
          <w:t>15</w:t>
        </w:r>
        <w:r w:rsidR="005207D8">
          <w:rPr>
            <w:noProof/>
            <w:webHidden/>
          </w:rPr>
          <w:fldChar w:fldCharType="end"/>
        </w:r>
      </w:hyperlink>
    </w:p>
    <w:p w14:paraId="202BA9E4" w14:textId="56AADA05" w:rsidR="005207D8" w:rsidRDefault="00000000">
      <w:pPr>
        <w:pStyle w:val="TOC2"/>
        <w:rPr>
          <w:rFonts w:asciiTheme="minorHAnsi" w:eastAsiaTheme="minorEastAsia" w:hAnsiTheme="minorHAnsi" w:cstheme="minorBidi"/>
          <w:noProof/>
          <w:sz w:val="22"/>
          <w:szCs w:val="22"/>
          <w:lang w:eastAsia="en-NZ"/>
        </w:rPr>
      </w:pPr>
      <w:hyperlink w:anchor="_Toc147242142" w:history="1">
        <w:r w:rsidR="005207D8" w:rsidRPr="000371B1">
          <w:rPr>
            <w:rStyle w:val="Hyperlink"/>
            <w:noProof/>
          </w:rPr>
          <w:t>2.5</w:t>
        </w:r>
        <w:r w:rsidR="005207D8">
          <w:rPr>
            <w:rFonts w:asciiTheme="minorHAnsi" w:eastAsiaTheme="minorEastAsia" w:hAnsiTheme="minorHAnsi" w:cstheme="minorBidi"/>
            <w:noProof/>
            <w:sz w:val="22"/>
            <w:szCs w:val="22"/>
            <w:lang w:eastAsia="en-NZ"/>
          </w:rPr>
          <w:tab/>
        </w:r>
        <w:r w:rsidR="005207D8" w:rsidRPr="000371B1">
          <w:rPr>
            <w:rStyle w:val="Hyperlink"/>
            <w:noProof/>
          </w:rPr>
          <w:t>Principles for current vaccination preparedness in Aotearoa</w:t>
        </w:r>
        <w:r w:rsidR="005207D8">
          <w:rPr>
            <w:noProof/>
            <w:webHidden/>
          </w:rPr>
          <w:tab/>
        </w:r>
        <w:r w:rsidR="005207D8">
          <w:rPr>
            <w:noProof/>
            <w:webHidden/>
          </w:rPr>
          <w:fldChar w:fldCharType="begin"/>
        </w:r>
        <w:r w:rsidR="005207D8">
          <w:rPr>
            <w:noProof/>
            <w:webHidden/>
          </w:rPr>
          <w:instrText xml:space="preserve"> PAGEREF _Toc147242142 \h </w:instrText>
        </w:r>
        <w:r w:rsidR="005207D8">
          <w:rPr>
            <w:noProof/>
            <w:webHidden/>
          </w:rPr>
        </w:r>
        <w:r w:rsidR="005207D8">
          <w:rPr>
            <w:noProof/>
            <w:webHidden/>
          </w:rPr>
          <w:fldChar w:fldCharType="separate"/>
        </w:r>
        <w:r w:rsidR="009B1F81">
          <w:rPr>
            <w:noProof/>
            <w:webHidden/>
          </w:rPr>
          <w:t>17</w:t>
        </w:r>
        <w:r w:rsidR="005207D8">
          <w:rPr>
            <w:noProof/>
            <w:webHidden/>
          </w:rPr>
          <w:fldChar w:fldCharType="end"/>
        </w:r>
      </w:hyperlink>
    </w:p>
    <w:p w14:paraId="46214CE5" w14:textId="4BD7BBB1" w:rsidR="005207D8" w:rsidRDefault="00000000">
      <w:pPr>
        <w:pStyle w:val="TOC1"/>
        <w:rPr>
          <w:rFonts w:asciiTheme="minorHAnsi" w:eastAsiaTheme="minorEastAsia" w:hAnsiTheme="minorHAnsi" w:cstheme="minorBidi"/>
          <w:noProof/>
          <w:sz w:val="22"/>
          <w:szCs w:val="22"/>
          <w:lang w:eastAsia="en-NZ"/>
        </w:rPr>
      </w:pPr>
      <w:hyperlink w:anchor="_Toc147242143" w:history="1">
        <w:r w:rsidR="005207D8" w:rsidRPr="000371B1">
          <w:rPr>
            <w:rStyle w:val="Hyperlink"/>
            <w:noProof/>
          </w:rPr>
          <w:t>3</w:t>
        </w:r>
        <w:r w:rsidR="005207D8">
          <w:rPr>
            <w:rFonts w:asciiTheme="minorHAnsi" w:eastAsiaTheme="minorEastAsia" w:hAnsiTheme="minorHAnsi" w:cstheme="minorBidi"/>
            <w:noProof/>
            <w:sz w:val="22"/>
            <w:szCs w:val="22"/>
            <w:lang w:eastAsia="en-NZ"/>
          </w:rPr>
          <w:tab/>
        </w:r>
        <w:r w:rsidR="005207D8" w:rsidRPr="000371B1">
          <w:rPr>
            <w:rStyle w:val="Hyperlink"/>
            <w:noProof/>
          </w:rPr>
          <w:t>Key poliovirus importation or circulation scenarios and corresponding actions</w:t>
        </w:r>
        <w:r w:rsidR="005207D8">
          <w:rPr>
            <w:noProof/>
            <w:webHidden/>
          </w:rPr>
          <w:tab/>
        </w:r>
        <w:r w:rsidR="005207D8">
          <w:rPr>
            <w:noProof/>
            <w:webHidden/>
          </w:rPr>
          <w:fldChar w:fldCharType="begin"/>
        </w:r>
        <w:r w:rsidR="005207D8">
          <w:rPr>
            <w:noProof/>
            <w:webHidden/>
          </w:rPr>
          <w:instrText xml:space="preserve"> PAGEREF _Toc147242143 \h </w:instrText>
        </w:r>
        <w:r w:rsidR="005207D8">
          <w:rPr>
            <w:noProof/>
            <w:webHidden/>
          </w:rPr>
        </w:r>
        <w:r w:rsidR="005207D8">
          <w:rPr>
            <w:noProof/>
            <w:webHidden/>
          </w:rPr>
          <w:fldChar w:fldCharType="separate"/>
        </w:r>
        <w:r w:rsidR="009B1F81">
          <w:rPr>
            <w:noProof/>
            <w:webHidden/>
          </w:rPr>
          <w:t>18</w:t>
        </w:r>
        <w:r w:rsidR="005207D8">
          <w:rPr>
            <w:noProof/>
            <w:webHidden/>
          </w:rPr>
          <w:fldChar w:fldCharType="end"/>
        </w:r>
      </w:hyperlink>
    </w:p>
    <w:p w14:paraId="068FC875" w14:textId="258FBB15" w:rsidR="005207D8" w:rsidRDefault="00000000">
      <w:pPr>
        <w:pStyle w:val="TOC2"/>
        <w:rPr>
          <w:rFonts w:asciiTheme="minorHAnsi" w:eastAsiaTheme="minorEastAsia" w:hAnsiTheme="minorHAnsi" w:cstheme="minorBidi"/>
          <w:noProof/>
          <w:sz w:val="22"/>
          <w:szCs w:val="22"/>
          <w:lang w:eastAsia="en-NZ"/>
        </w:rPr>
      </w:pPr>
      <w:hyperlink w:anchor="_Toc147242144" w:history="1">
        <w:r w:rsidR="005207D8" w:rsidRPr="000371B1">
          <w:rPr>
            <w:rStyle w:val="Hyperlink"/>
            <w:noProof/>
            <w:lang w:eastAsia="en-US"/>
          </w:rPr>
          <w:t>3.1</w:t>
        </w:r>
        <w:r w:rsidR="005207D8">
          <w:rPr>
            <w:rFonts w:asciiTheme="minorHAnsi" w:eastAsiaTheme="minorEastAsia" w:hAnsiTheme="minorHAnsi" w:cstheme="minorBidi"/>
            <w:noProof/>
            <w:sz w:val="22"/>
            <w:szCs w:val="22"/>
            <w:lang w:eastAsia="en-NZ"/>
          </w:rPr>
          <w:tab/>
        </w:r>
        <w:r w:rsidR="005207D8" w:rsidRPr="000371B1">
          <w:rPr>
            <w:rStyle w:val="Hyperlink"/>
            <w:noProof/>
            <w:lang w:eastAsia="en-US"/>
          </w:rPr>
          <w:t>Notification and obligations under the IHR</w:t>
        </w:r>
        <w:r w:rsidR="005207D8">
          <w:rPr>
            <w:noProof/>
            <w:webHidden/>
          </w:rPr>
          <w:tab/>
        </w:r>
        <w:r w:rsidR="005207D8">
          <w:rPr>
            <w:noProof/>
            <w:webHidden/>
          </w:rPr>
          <w:fldChar w:fldCharType="begin"/>
        </w:r>
        <w:r w:rsidR="005207D8">
          <w:rPr>
            <w:noProof/>
            <w:webHidden/>
          </w:rPr>
          <w:instrText xml:space="preserve"> PAGEREF _Toc147242144 \h </w:instrText>
        </w:r>
        <w:r w:rsidR="005207D8">
          <w:rPr>
            <w:noProof/>
            <w:webHidden/>
          </w:rPr>
        </w:r>
        <w:r w:rsidR="005207D8">
          <w:rPr>
            <w:noProof/>
            <w:webHidden/>
          </w:rPr>
          <w:fldChar w:fldCharType="separate"/>
        </w:r>
        <w:r w:rsidR="009B1F81">
          <w:rPr>
            <w:noProof/>
            <w:webHidden/>
          </w:rPr>
          <w:t>19</w:t>
        </w:r>
        <w:r w:rsidR="005207D8">
          <w:rPr>
            <w:noProof/>
            <w:webHidden/>
          </w:rPr>
          <w:fldChar w:fldCharType="end"/>
        </w:r>
      </w:hyperlink>
    </w:p>
    <w:p w14:paraId="5509ED1F" w14:textId="6C24EC21" w:rsidR="005207D8" w:rsidRDefault="00000000">
      <w:pPr>
        <w:pStyle w:val="TOC2"/>
        <w:rPr>
          <w:rFonts w:asciiTheme="minorHAnsi" w:eastAsiaTheme="minorEastAsia" w:hAnsiTheme="minorHAnsi" w:cstheme="minorBidi"/>
          <w:noProof/>
          <w:sz w:val="22"/>
          <w:szCs w:val="22"/>
          <w:lang w:eastAsia="en-NZ"/>
        </w:rPr>
      </w:pPr>
      <w:hyperlink w:anchor="_Toc147242145" w:history="1">
        <w:r w:rsidR="005207D8" w:rsidRPr="000371B1">
          <w:rPr>
            <w:rStyle w:val="Hyperlink"/>
            <w:noProof/>
            <w:lang w:eastAsia="en-US"/>
          </w:rPr>
          <w:t>3.2</w:t>
        </w:r>
        <w:r w:rsidR="005207D8">
          <w:rPr>
            <w:rFonts w:asciiTheme="minorHAnsi" w:eastAsiaTheme="minorEastAsia" w:hAnsiTheme="minorHAnsi" w:cstheme="minorBidi"/>
            <w:noProof/>
            <w:sz w:val="22"/>
            <w:szCs w:val="22"/>
            <w:lang w:eastAsia="en-NZ"/>
          </w:rPr>
          <w:tab/>
        </w:r>
        <w:r w:rsidR="005207D8" w:rsidRPr="000371B1">
          <w:rPr>
            <w:rStyle w:val="Hyperlink"/>
            <w:noProof/>
            <w:lang w:eastAsia="en-US"/>
          </w:rPr>
          <w:t>Detection in environment (wastewater testing)</w:t>
        </w:r>
        <w:r w:rsidR="005207D8">
          <w:rPr>
            <w:noProof/>
            <w:webHidden/>
          </w:rPr>
          <w:tab/>
        </w:r>
        <w:r w:rsidR="005207D8">
          <w:rPr>
            <w:noProof/>
            <w:webHidden/>
          </w:rPr>
          <w:fldChar w:fldCharType="begin"/>
        </w:r>
        <w:r w:rsidR="005207D8">
          <w:rPr>
            <w:noProof/>
            <w:webHidden/>
          </w:rPr>
          <w:instrText xml:space="preserve"> PAGEREF _Toc147242145 \h </w:instrText>
        </w:r>
        <w:r w:rsidR="005207D8">
          <w:rPr>
            <w:noProof/>
            <w:webHidden/>
          </w:rPr>
        </w:r>
        <w:r w:rsidR="005207D8">
          <w:rPr>
            <w:noProof/>
            <w:webHidden/>
          </w:rPr>
          <w:fldChar w:fldCharType="separate"/>
        </w:r>
        <w:r w:rsidR="009B1F81">
          <w:rPr>
            <w:noProof/>
            <w:webHidden/>
          </w:rPr>
          <w:t>20</w:t>
        </w:r>
        <w:r w:rsidR="005207D8">
          <w:rPr>
            <w:noProof/>
            <w:webHidden/>
          </w:rPr>
          <w:fldChar w:fldCharType="end"/>
        </w:r>
      </w:hyperlink>
    </w:p>
    <w:p w14:paraId="78DA9613" w14:textId="595CA3F2" w:rsidR="005207D8" w:rsidRDefault="00000000">
      <w:pPr>
        <w:pStyle w:val="TOC2"/>
        <w:rPr>
          <w:rFonts w:asciiTheme="minorHAnsi" w:eastAsiaTheme="minorEastAsia" w:hAnsiTheme="minorHAnsi" w:cstheme="minorBidi"/>
          <w:noProof/>
          <w:sz w:val="22"/>
          <w:szCs w:val="22"/>
          <w:lang w:eastAsia="en-NZ"/>
        </w:rPr>
      </w:pPr>
      <w:hyperlink w:anchor="_Toc147242146" w:history="1">
        <w:r w:rsidR="005207D8" w:rsidRPr="000371B1">
          <w:rPr>
            <w:rStyle w:val="Hyperlink"/>
            <w:noProof/>
            <w:lang w:eastAsia="en-US"/>
          </w:rPr>
          <w:t>3.3</w:t>
        </w:r>
        <w:r w:rsidR="005207D8">
          <w:rPr>
            <w:rFonts w:asciiTheme="minorHAnsi" w:eastAsiaTheme="minorEastAsia" w:hAnsiTheme="minorHAnsi" w:cstheme="minorBidi"/>
            <w:noProof/>
            <w:sz w:val="22"/>
            <w:szCs w:val="22"/>
            <w:lang w:eastAsia="en-NZ"/>
          </w:rPr>
          <w:tab/>
        </w:r>
        <w:r w:rsidR="005207D8" w:rsidRPr="000371B1">
          <w:rPr>
            <w:rStyle w:val="Hyperlink"/>
            <w:noProof/>
            <w:lang w:eastAsia="en-US"/>
          </w:rPr>
          <w:t>Detection in a person with AFP</w:t>
        </w:r>
        <w:r w:rsidR="005207D8">
          <w:rPr>
            <w:noProof/>
            <w:webHidden/>
          </w:rPr>
          <w:tab/>
        </w:r>
        <w:r w:rsidR="005207D8">
          <w:rPr>
            <w:noProof/>
            <w:webHidden/>
          </w:rPr>
          <w:fldChar w:fldCharType="begin"/>
        </w:r>
        <w:r w:rsidR="005207D8">
          <w:rPr>
            <w:noProof/>
            <w:webHidden/>
          </w:rPr>
          <w:instrText xml:space="preserve"> PAGEREF _Toc147242146 \h </w:instrText>
        </w:r>
        <w:r w:rsidR="005207D8">
          <w:rPr>
            <w:noProof/>
            <w:webHidden/>
          </w:rPr>
        </w:r>
        <w:r w:rsidR="005207D8">
          <w:rPr>
            <w:noProof/>
            <w:webHidden/>
          </w:rPr>
          <w:fldChar w:fldCharType="separate"/>
        </w:r>
        <w:r w:rsidR="009B1F81">
          <w:rPr>
            <w:noProof/>
            <w:webHidden/>
          </w:rPr>
          <w:t>27</w:t>
        </w:r>
        <w:r w:rsidR="005207D8">
          <w:rPr>
            <w:noProof/>
            <w:webHidden/>
          </w:rPr>
          <w:fldChar w:fldCharType="end"/>
        </w:r>
      </w:hyperlink>
    </w:p>
    <w:p w14:paraId="74BC529B" w14:textId="705CAD8D" w:rsidR="005207D8" w:rsidRDefault="00000000">
      <w:pPr>
        <w:pStyle w:val="TOC2"/>
        <w:rPr>
          <w:rFonts w:asciiTheme="minorHAnsi" w:eastAsiaTheme="minorEastAsia" w:hAnsiTheme="minorHAnsi" w:cstheme="minorBidi"/>
          <w:noProof/>
          <w:sz w:val="22"/>
          <w:szCs w:val="22"/>
          <w:lang w:eastAsia="en-NZ"/>
        </w:rPr>
      </w:pPr>
      <w:hyperlink w:anchor="_Toc147242147" w:history="1">
        <w:r w:rsidR="005207D8" w:rsidRPr="000371B1">
          <w:rPr>
            <w:rStyle w:val="Hyperlink"/>
            <w:noProof/>
            <w:lang w:eastAsia="en-US"/>
          </w:rPr>
          <w:t>3.4</w:t>
        </w:r>
        <w:r w:rsidR="005207D8">
          <w:rPr>
            <w:rFonts w:asciiTheme="minorHAnsi" w:eastAsiaTheme="minorEastAsia" w:hAnsiTheme="minorHAnsi" w:cstheme="minorBidi"/>
            <w:noProof/>
            <w:sz w:val="22"/>
            <w:szCs w:val="22"/>
            <w:lang w:eastAsia="en-NZ"/>
          </w:rPr>
          <w:tab/>
        </w:r>
        <w:r w:rsidR="005207D8" w:rsidRPr="000371B1">
          <w:rPr>
            <w:rStyle w:val="Hyperlink"/>
            <w:noProof/>
            <w:lang w:eastAsia="en-US"/>
          </w:rPr>
          <w:t>Facility-related exposure to live polioviruses</w:t>
        </w:r>
        <w:r w:rsidR="005207D8">
          <w:rPr>
            <w:noProof/>
            <w:webHidden/>
          </w:rPr>
          <w:tab/>
        </w:r>
        <w:r w:rsidR="005207D8">
          <w:rPr>
            <w:noProof/>
            <w:webHidden/>
          </w:rPr>
          <w:fldChar w:fldCharType="begin"/>
        </w:r>
        <w:r w:rsidR="005207D8">
          <w:rPr>
            <w:noProof/>
            <w:webHidden/>
          </w:rPr>
          <w:instrText xml:space="preserve"> PAGEREF _Toc147242147 \h </w:instrText>
        </w:r>
        <w:r w:rsidR="005207D8">
          <w:rPr>
            <w:noProof/>
            <w:webHidden/>
          </w:rPr>
        </w:r>
        <w:r w:rsidR="005207D8">
          <w:rPr>
            <w:noProof/>
            <w:webHidden/>
          </w:rPr>
          <w:fldChar w:fldCharType="separate"/>
        </w:r>
        <w:r w:rsidR="009B1F81">
          <w:rPr>
            <w:noProof/>
            <w:webHidden/>
          </w:rPr>
          <w:t>29</w:t>
        </w:r>
        <w:r w:rsidR="005207D8">
          <w:rPr>
            <w:noProof/>
            <w:webHidden/>
          </w:rPr>
          <w:fldChar w:fldCharType="end"/>
        </w:r>
      </w:hyperlink>
    </w:p>
    <w:p w14:paraId="77BA0050" w14:textId="3D8A2911" w:rsidR="005207D8" w:rsidRDefault="00000000">
      <w:pPr>
        <w:pStyle w:val="TOC2"/>
        <w:rPr>
          <w:rFonts w:asciiTheme="minorHAnsi" w:eastAsiaTheme="minorEastAsia" w:hAnsiTheme="minorHAnsi" w:cstheme="minorBidi"/>
          <w:noProof/>
          <w:sz w:val="22"/>
          <w:szCs w:val="22"/>
          <w:lang w:eastAsia="en-NZ"/>
        </w:rPr>
      </w:pPr>
      <w:hyperlink w:anchor="_Toc147242148" w:history="1">
        <w:r w:rsidR="005207D8" w:rsidRPr="000371B1">
          <w:rPr>
            <w:rStyle w:val="Hyperlink"/>
            <w:noProof/>
            <w:lang w:eastAsia="en-US"/>
          </w:rPr>
          <w:t>3.5</w:t>
        </w:r>
        <w:r w:rsidR="005207D8">
          <w:rPr>
            <w:rFonts w:asciiTheme="minorHAnsi" w:eastAsiaTheme="minorEastAsia" w:hAnsiTheme="minorHAnsi" w:cstheme="minorBidi"/>
            <w:noProof/>
            <w:sz w:val="22"/>
            <w:szCs w:val="22"/>
            <w:lang w:eastAsia="en-NZ"/>
          </w:rPr>
          <w:tab/>
        </w:r>
        <w:r w:rsidR="005207D8" w:rsidRPr="000371B1">
          <w:rPr>
            <w:rStyle w:val="Hyperlink"/>
            <w:noProof/>
            <w:lang w:eastAsia="en-US"/>
          </w:rPr>
          <w:t>Known contact of a case overseas</w:t>
        </w:r>
        <w:r w:rsidR="005207D8">
          <w:rPr>
            <w:noProof/>
            <w:webHidden/>
          </w:rPr>
          <w:tab/>
        </w:r>
        <w:r w:rsidR="005207D8">
          <w:rPr>
            <w:noProof/>
            <w:webHidden/>
          </w:rPr>
          <w:fldChar w:fldCharType="begin"/>
        </w:r>
        <w:r w:rsidR="005207D8">
          <w:rPr>
            <w:noProof/>
            <w:webHidden/>
          </w:rPr>
          <w:instrText xml:space="preserve"> PAGEREF _Toc147242148 \h </w:instrText>
        </w:r>
        <w:r w:rsidR="005207D8">
          <w:rPr>
            <w:noProof/>
            <w:webHidden/>
          </w:rPr>
        </w:r>
        <w:r w:rsidR="005207D8">
          <w:rPr>
            <w:noProof/>
            <w:webHidden/>
          </w:rPr>
          <w:fldChar w:fldCharType="separate"/>
        </w:r>
        <w:r w:rsidR="009B1F81">
          <w:rPr>
            <w:noProof/>
            <w:webHidden/>
          </w:rPr>
          <w:t>31</w:t>
        </w:r>
        <w:r w:rsidR="005207D8">
          <w:rPr>
            <w:noProof/>
            <w:webHidden/>
          </w:rPr>
          <w:fldChar w:fldCharType="end"/>
        </w:r>
      </w:hyperlink>
    </w:p>
    <w:p w14:paraId="35AAEE94" w14:textId="238B32FA" w:rsidR="005207D8" w:rsidRDefault="00000000">
      <w:pPr>
        <w:pStyle w:val="TOC2"/>
        <w:rPr>
          <w:rFonts w:asciiTheme="minorHAnsi" w:eastAsiaTheme="minorEastAsia" w:hAnsiTheme="minorHAnsi" w:cstheme="minorBidi"/>
          <w:noProof/>
          <w:sz w:val="22"/>
          <w:szCs w:val="22"/>
          <w:lang w:eastAsia="en-NZ"/>
        </w:rPr>
      </w:pPr>
      <w:hyperlink w:anchor="_Toc147242149" w:history="1">
        <w:r w:rsidR="005207D8" w:rsidRPr="000371B1">
          <w:rPr>
            <w:rStyle w:val="Hyperlink"/>
            <w:noProof/>
            <w:lang w:eastAsia="en-US"/>
          </w:rPr>
          <w:t>3.6</w:t>
        </w:r>
        <w:r w:rsidR="005207D8">
          <w:rPr>
            <w:rFonts w:asciiTheme="minorHAnsi" w:eastAsiaTheme="minorEastAsia" w:hAnsiTheme="minorHAnsi" w:cstheme="minorBidi"/>
            <w:noProof/>
            <w:sz w:val="22"/>
            <w:szCs w:val="22"/>
            <w:lang w:eastAsia="en-NZ"/>
          </w:rPr>
          <w:tab/>
        </w:r>
        <w:r w:rsidR="005207D8" w:rsidRPr="000371B1">
          <w:rPr>
            <w:rStyle w:val="Hyperlink"/>
            <w:noProof/>
            <w:lang w:eastAsia="en-US"/>
          </w:rPr>
          <w:t>Summary table of key scenarios and potential responses</w:t>
        </w:r>
        <w:r w:rsidR="005207D8">
          <w:rPr>
            <w:noProof/>
            <w:webHidden/>
          </w:rPr>
          <w:tab/>
        </w:r>
        <w:r w:rsidR="005207D8">
          <w:rPr>
            <w:noProof/>
            <w:webHidden/>
          </w:rPr>
          <w:fldChar w:fldCharType="begin"/>
        </w:r>
        <w:r w:rsidR="005207D8">
          <w:rPr>
            <w:noProof/>
            <w:webHidden/>
          </w:rPr>
          <w:instrText xml:space="preserve"> PAGEREF _Toc147242149 \h </w:instrText>
        </w:r>
        <w:r w:rsidR="005207D8">
          <w:rPr>
            <w:noProof/>
            <w:webHidden/>
          </w:rPr>
        </w:r>
        <w:r w:rsidR="005207D8">
          <w:rPr>
            <w:noProof/>
            <w:webHidden/>
          </w:rPr>
          <w:fldChar w:fldCharType="separate"/>
        </w:r>
        <w:r w:rsidR="009B1F81">
          <w:rPr>
            <w:noProof/>
            <w:webHidden/>
          </w:rPr>
          <w:t>33</w:t>
        </w:r>
        <w:r w:rsidR="005207D8">
          <w:rPr>
            <w:noProof/>
            <w:webHidden/>
          </w:rPr>
          <w:fldChar w:fldCharType="end"/>
        </w:r>
      </w:hyperlink>
    </w:p>
    <w:p w14:paraId="798F84CB" w14:textId="6D22C6D7" w:rsidR="005207D8" w:rsidRDefault="00000000">
      <w:pPr>
        <w:pStyle w:val="TOC2"/>
        <w:rPr>
          <w:rFonts w:asciiTheme="minorHAnsi" w:eastAsiaTheme="minorEastAsia" w:hAnsiTheme="minorHAnsi" w:cstheme="minorBidi"/>
          <w:noProof/>
          <w:sz w:val="22"/>
          <w:szCs w:val="22"/>
          <w:lang w:eastAsia="en-NZ"/>
        </w:rPr>
      </w:pPr>
      <w:hyperlink w:anchor="_Toc147242150" w:history="1">
        <w:r w:rsidR="005207D8" w:rsidRPr="000371B1">
          <w:rPr>
            <w:rStyle w:val="Hyperlink"/>
            <w:noProof/>
            <w:lang w:eastAsia="en-US"/>
          </w:rPr>
          <w:t>3.7</w:t>
        </w:r>
        <w:r w:rsidR="005207D8">
          <w:rPr>
            <w:rFonts w:asciiTheme="minorHAnsi" w:eastAsiaTheme="minorEastAsia" w:hAnsiTheme="minorHAnsi" w:cstheme="minorBidi"/>
            <w:noProof/>
            <w:sz w:val="22"/>
            <w:szCs w:val="22"/>
            <w:lang w:eastAsia="en-NZ"/>
          </w:rPr>
          <w:tab/>
        </w:r>
        <w:r w:rsidR="005207D8" w:rsidRPr="000371B1">
          <w:rPr>
            <w:rStyle w:val="Hyperlink"/>
            <w:noProof/>
            <w:lang w:eastAsia="en-US"/>
          </w:rPr>
          <w:t>End of outbreak and monitoring and evaluation</w:t>
        </w:r>
        <w:r w:rsidR="005207D8">
          <w:rPr>
            <w:noProof/>
            <w:webHidden/>
          </w:rPr>
          <w:tab/>
        </w:r>
        <w:r w:rsidR="005207D8">
          <w:rPr>
            <w:noProof/>
            <w:webHidden/>
          </w:rPr>
          <w:fldChar w:fldCharType="begin"/>
        </w:r>
        <w:r w:rsidR="005207D8">
          <w:rPr>
            <w:noProof/>
            <w:webHidden/>
          </w:rPr>
          <w:instrText xml:space="preserve"> PAGEREF _Toc147242150 \h </w:instrText>
        </w:r>
        <w:r w:rsidR="005207D8">
          <w:rPr>
            <w:noProof/>
            <w:webHidden/>
          </w:rPr>
        </w:r>
        <w:r w:rsidR="005207D8">
          <w:rPr>
            <w:noProof/>
            <w:webHidden/>
          </w:rPr>
          <w:fldChar w:fldCharType="separate"/>
        </w:r>
        <w:r w:rsidR="009B1F81">
          <w:rPr>
            <w:noProof/>
            <w:webHidden/>
          </w:rPr>
          <w:t>37</w:t>
        </w:r>
        <w:r w:rsidR="005207D8">
          <w:rPr>
            <w:noProof/>
            <w:webHidden/>
          </w:rPr>
          <w:fldChar w:fldCharType="end"/>
        </w:r>
      </w:hyperlink>
    </w:p>
    <w:p w14:paraId="11E66891" w14:textId="47DB703D" w:rsidR="005207D8" w:rsidRDefault="00000000">
      <w:pPr>
        <w:pStyle w:val="TOC1"/>
        <w:rPr>
          <w:rFonts w:asciiTheme="minorHAnsi" w:eastAsiaTheme="minorEastAsia" w:hAnsiTheme="minorHAnsi" w:cstheme="minorBidi"/>
          <w:noProof/>
          <w:sz w:val="22"/>
          <w:szCs w:val="22"/>
          <w:lang w:eastAsia="en-NZ"/>
        </w:rPr>
      </w:pPr>
      <w:hyperlink w:anchor="_Toc147242151" w:history="1">
        <w:r w:rsidR="005207D8" w:rsidRPr="000371B1">
          <w:rPr>
            <w:rStyle w:val="Hyperlink"/>
            <w:noProof/>
          </w:rPr>
          <w:t>Appendix 1:  Timelines for wastewater laboratory testing</w:t>
        </w:r>
        <w:r w:rsidR="005207D8">
          <w:rPr>
            <w:noProof/>
            <w:webHidden/>
          </w:rPr>
          <w:tab/>
        </w:r>
        <w:r w:rsidR="005207D8">
          <w:rPr>
            <w:noProof/>
            <w:webHidden/>
          </w:rPr>
          <w:fldChar w:fldCharType="begin"/>
        </w:r>
        <w:r w:rsidR="005207D8">
          <w:rPr>
            <w:noProof/>
            <w:webHidden/>
          </w:rPr>
          <w:instrText xml:space="preserve"> PAGEREF _Toc147242151 \h </w:instrText>
        </w:r>
        <w:r w:rsidR="005207D8">
          <w:rPr>
            <w:noProof/>
            <w:webHidden/>
          </w:rPr>
        </w:r>
        <w:r w:rsidR="005207D8">
          <w:rPr>
            <w:noProof/>
            <w:webHidden/>
          </w:rPr>
          <w:fldChar w:fldCharType="separate"/>
        </w:r>
        <w:r w:rsidR="009B1F81">
          <w:rPr>
            <w:noProof/>
            <w:webHidden/>
          </w:rPr>
          <w:t>39</w:t>
        </w:r>
        <w:r w:rsidR="005207D8">
          <w:rPr>
            <w:noProof/>
            <w:webHidden/>
          </w:rPr>
          <w:fldChar w:fldCharType="end"/>
        </w:r>
      </w:hyperlink>
    </w:p>
    <w:p w14:paraId="09DDDF48" w14:textId="4F46503A" w:rsidR="0033448B" w:rsidRPr="00936F1A" w:rsidRDefault="005207D8" w:rsidP="00DA368E">
      <w:pPr>
        <w:spacing w:before="240"/>
        <w:rPr>
          <w:b/>
          <w:bCs/>
        </w:rPr>
      </w:pPr>
      <w:r>
        <w:rPr>
          <w:rFonts w:ascii="Segoe UI Semibold" w:hAnsi="Segoe UI Semibold"/>
          <w:b/>
          <w:sz w:val="24"/>
        </w:rPr>
        <w:fldChar w:fldCharType="end"/>
      </w:r>
      <w:r w:rsidR="0033448B" w:rsidRPr="00936F1A">
        <w:rPr>
          <w:b/>
          <w:bCs/>
        </w:rPr>
        <w:t xml:space="preserve">List of </w:t>
      </w:r>
      <w:r w:rsidR="0033448B" w:rsidRPr="000C59EE">
        <w:rPr>
          <w:b/>
          <w:bCs/>
        </w:rPr>
        <w:t>F</w:t>
      </w:r>
      <w:r w:rsidR="0033448B" w:rsidRPr="00936F1A">
        <w:rPr>
          <w:b/>
          <w:bCs/>
        </w:rPr>
        <w:t>igures</w:t>
      </w:r>
    </w:p>
    <w:p w14:paraId="57B5B9F5" w14:textId="68122EA7" w:rsidR="00663846" w:rsidRDefault="0033448B">
      <w:pPr>
        <w:pStyle w:val="TOC3"/>
        <w:rPr>
          <w:rFonts w:asciiTheme="minorHAnsi" w:eastAsiaTheme="minorEastAsia" w:hAnsiTheme="minorHAnsi" w:cstheme="minorBidi"/>
          <w:noProof/>
          <w:sz w:val="22"/>
          <w:szCs w:val="22"/>
          <w:lang w:eastAsia="en-NZ"/>
        </w:rPr>
      </w:pPr>
      <w:r w:rsidRPr="00B47C82">
        <w:fldChar w:fldCharType="begin"/>
      </w:r>
      <w:r w:rsidRPr="00B47C82">
        <w:instrText xml:space="preserve"> TOC \t "Figure,3" </w:instrText>
      </w:r>
      <w:r w:rsidRPr="00B47C82">
        <w:fldChar w:fldCharType="separate"/>
      </w:r>
      <w:r w:rsidR="00663846">
        <w:rPr>
          <w:noProof/>
        </w:rPr>
        <w:t>Figure 1: Flow chart for assessing situations for targeted healthy children stool sampling</w:t>
      </w:r>
      <w:r w:rsidR="00663846">
        <w:rPr>
          <w:noProof/>
        </w:rPr>
        <w:tab/>
      </w:r>
      <w:r w:rsidR="00663846">
        <w:rPr>
          <w:noProof/>
        </w:rPr>
        <w:fldChar w:fldCharType="begin"/>
      </w:r>
      <w:r w:rsidR="00663846">
        <w:rPr>
          <w:noProof/>
        </w:rPr>
        <w:instrText xml:space="preserve"> PAGEREF _Toc147153731 \h </w:instrText>
      </w:r>
      <w:r w:rsidR="00663846">
        <w:rPr>
          <w:noProof/>
        </w:rPr>
      </w:r>
      <w:r w:rsidR="00663846">
        <w:rPr>
          <w:noProof/>
        </w:rPr>
        <w:fldChar w:fldCharType="separate"/>
      </w:r>
      <w:r w:rsidR="009B1F81">
        <w:rPr>
          <w:noProof/>
        </w:rPr>
        <w:t>11</w:t>
      </w:r>
      <w:r w:rsidR="00663846">
        <w:rPr>
          <w:noProof/>
        </w:rPr>
        <w:fldChar w:fldCharType="end"/>
      </w:r>
    </w:p>
    <w:p w14:paraId="71ABD068" w14:textId="112733C3" w:rsidR="00663846" w:rsidRDefault="00663846">
      <w:pPr>
        <w:pStyle w:val="TOC3"/>
        <w:rPr>
          <w:rFonts w:asciiTheme="minorHAnsi" w:eastAsiaTheme="minorEastAsia" w:hAnsiTheme="minorHAnsi" w:cstheme="minorBidi"/>
          <w:noProof/>
          <w:sz w:val="22"/>
          <w:szCs w:val="22"/>
          <w:lang w:eastAsia="en-NZ"/>
        </w:rPr>
      </w:pPr>
      <w:r>
        <w:rPr>
          <w:noProof/>
        </w:rPr>
        <w:t>Figure 2: Poliovirus characterisation and risk guidance</w:t>
      </w:r>
      <w:r>
        <w:rPr>
          <w:noProof/>
        </w:rPr>
        <w:tab/>
      </w:r>
      <w:r>
        <w:rPr>
          <w:noProof/>
        </w:rPr>
        <w:fldChar w:fldCharType="begin"/>
      </w:r>
      <w:r>
        <w:rPr>
          <w:noProof/>
        </w:rPr>
        <w:instrText xml:space="preserve"> PAGEREF _Toc147153732 \h </w:instrText>
      </w:r>
      <w:r>
        <w:rPr>
          <w:noProof/>
        </w:rPr>
      </w:r>
      <w:r>
        <w:rPr>
          <w:noProof/>
        </w:rPr>
        <w:fldChar w:fldCharType="separate"/>
      </w:r>
      <w:r w:rsidR="009B1F81">
        <w:rPr>
          <w:noProof/>
        </w:rPr>
        <w:t>23</w:t>
      </w:r>
      <w:r>
        <w:rPr>
          <w:noProof/>
        </w:rPr>
        <w:fldChar w:fldCharType="end"/>
      </w:r>
    </w:p>
    <w:p w14:paraId="640D8821" w14:textId="67670EE7" w:rsidR="008B6B73" w:rsidRDefault="0033448B" w:rsidP="009220F3">
      <w:pPr>
        <w:sectPr w:rsidR="008B6B73" w:rsidSect="00823DD4">
          <w:pgSz w:w="11907" w:h="16834" w:code="9"/>
          <w:pgMar w:top="1418" w:right="1701" w:bottom="1134" w:left="1843" w:header="284" w:footer="425" w:gutter="284"/>
          <w:pgNumType w:fmt="lowerRoman"/>
          <w:cols w:space="720"/>
          <w:docGrid w:linePitch="286"/>
        </w:sectPr>
      </w:pPr>
      <w:r w:rsidRPr="00B47C82">
        <w:fldChar w:fldCharType="end"/>
      </w:r>
    </w:p>
    <w:p w14:paraId="49AE0B07" w14:textId="77777777" w:rsidR="00386D81" w:rsidRPr="00B61255" w:rsidRDefault="00386D81" w:rsidP="005E3B50">
      <w:pPr>
        <w:pStyle w:val="Heading1"/>
        <w:numPr>
          <w:ilvl w:val="0"/>
          <w:numId w:val="0"/>
        </w:numPr>
      </w:pPr>
      <w:bookmarkStart w:id="4" w:name="_Toc132616735"/>
      <w:bookmarkStart w:id="5" w:name="_Toc146541095"/>
      <w:bookmarkStart w:id="6" w:name="_Toc147242125"/>
      <w:r w:rsidRPr="00B61255">
        <w:lastRenderedPageBreak/>
        <w:t xml:space="preserve">Key </w:t>
      </w:r>
      <w:r w:rsidRPr="00AA2D6A">
        <w:t>points</w:t>
      </w:r>
      <w:bookmarkEnd w:id="4"/>
      <w:bookmarkEnd w:id="5"/>
      <w:bookmarkEnd w:id="6"/>
    </w:p>
    <w:p w14:paraId="34E9D80C" w14:textId="77777777" w:rsidR="00386D81" w:rsidRPr="00B61255" w:rsidRDefault="00386D81" w:rsidP="000F2AF2">
      <w:pPr>
        <w:pStyle w:val="Heading2"/>
        <w:numPr>
          <w:ilvl w:val="0"/>
          <w:numId w:val="0"/>
        </w:numPr>
        <w:rPr>
          <w:lang w:eastAsia="en-NZ"/>
        </w:rPr>
      </w:pPr>
      <w:bookmarkStart w:id="7" w:name="_Toc146541096"/>
      <w:bookmarkStart w:id="8" w:name="_Toc147242126"/>
      <w:r w:rsidRPr="00B61255">
        <w:rPr>
          <w:lang w:eastAsia="en-NZ"/>
        </w:rPr>
        <w:t>Background and international context</w:t>
      </w:r>
      <w:bookmarkEnd w:id="7"/>
      <w:bookmarkEnd w:id="8"/>
    </w:p>
    <w:p w14:paraId="0A12094C" w14:textId="702B662D" w:rsidR="00386D81" w:rsidRPr="002F5725" w:rsidRDefault="00386D81" w:rsidP="0072733D">
      <w:pPr>
        <w:pStyle w:val="Bullet"/>
        <w:spacing w:before="120"/>
        <w:rPr>
          <w:rFonts w:eastAsia="Calibri" w:cs="Calibri"/>
          <w:szCs w:val="22"/>
        </w:rPr>
      </w:pPr>
      <w:r w:rsidRPr="00B61255">
        <w:rPr>
          <w:rFonts w:cs="Arial"/>
        </w:rPr>
        <w:t>Poliomyelitis (polio) is caused by wild poliovirus types 1, 2 and 3</w:t>
      </w:r>
      <w:r>
        <w:rPr>
          <w:rFonts w:cs="Arial"/>
        </w:rPr>
        <w:t xml:space="preserve"> (WPV1, WPV2 and WPV3)</w:t>
      </w:r>
      <w:r w:rsidRPr="00B61255">
        <w:rPr>
          <w:rFonts w:cs="Arial"/>
        </w:rPr>
        <w:t>, or by live vaccine-derived poliovirus</w:t>
      </w:r>
      <w:r>
        <w:rPr>
          <w:rFonts w:cs="Arial"/>
        </w:rPr>
        <w:t xml:space="preserve"> (</w:t>
      </w:r>
      <w:r w:rsidRPr="001564DA">
        <w:rPr>
          <w:rFonts w:cs="Arial"/>
        </w:rPr>
        <w:t>VDPV</w:t>
      </w:r>
      <w:r>
        <w:rPr>
          <w:rFonts w:cs="Arial"/>
        </w:rPr>
        <w:t>)</w:t>
      </w:r>
      <w:r w:rsidRPr="00B61255">
        <w:rPr>
          <w:rFonts w:cs="Arial"/>
        </w:rPr>
        <w:t xml:space="preserve">. </w:t>
      </w:r>
      <w:r w:rsidRPr="006B4AF0">
        <w:rPr>
          <w:rFonts w:cs="Arial"/>
        </w:rPr>
        <w:t>WPV2</w:t>
      </w:r>
      <w:r>
        <w:rPr>
          <w:rFonts w:cs="Arial"/>
        </w:rPr>
        <w:t xml:space="preserve"> </w:t>
      </w:r>
      <w:r w:rsidRPr="00B61255">
        <w:rPr>
          <w:rFonts w:cs="Arial"/>
        </w:rPr>
        <w:t xml:space="preserve">was declared eradicated by the World Health Organization (WHO) in September 2015, </w:t>
      </w:r>
      <w:r w:rsidRPr="002F5725">
        <w:rPr>
          <w:rFonts w:eastAsia="Calibri" w:cs="Calibri"/>
          <w:szCs w:val="22"/>
        </w:rPr>
        <w:t>with the last virus detected in 1999. WPV3 was declared eradicated in October 2019. It was last detected in November 2012. Only WPV1 remains.</w:t>
      </w:r>
    </w:p>
    <w:p w14:paraId="70FB6047" w14:textId="7645CBE7" w:rsidR="00386D81" w:rsidRPr="00B61255" w:rsidRDefault="00386D81" w:rsidP="0072733D">
      <w:pPr>
        <w:pStyle w:val="Bullet"/>
        <w:spacing w:before="120"/>
        <w:rPr>
          <w:lang w:eastAsia="en-NZ"/>
        </w:rPr>
      </w:pPr>
      <w:r w:rsidRPr="00B61255">
        <w:rPr>
          <w:lang w:eastAsia="en-NZ"/>
        </w:rPr>
        <w:t>Polio remains endemic in two countries</w:t>
      </w:r>
      <w:r>
        <w:rPr>
          <w:lang w:eastAsia="en-NZ"/>
        </w:rPr>
        <w:t>:</w:t>
      </w:r>
      <w:r w:rsidRPr="00B61255">
        <w:rPr>
          <w:lang w:eastAsia="en-NZ"/>
        </w:rPr>
        <w:t xml:space="preserve"> Afghanistan and Pakistan. </w:t>
      </w:r>
    </w:p>
    <w:p w14:paraId="76A9826B" w14:textId="598E0610" w:rsidR="00386D81" w:rsidRPr="00B61255" w:rsidRDefault="00386D81" w:rsidP="0072733D">
      <w:pPr>
        <w:pStyle w:val="Bullet"/>
        <w:spacing w:before="120"/>
        <w:rPr>
          <w:lang w:eastAsia="en-NZ"/>
        </w:rPr>
      </w:pPr>
      <w:r w:rsidRPr="00B61255">
        <w:rPr>
          <w:lang w:eastAsia="en-NZ"/>
        </w:rPr>
        <w:t xml:space="preserve">In 2022 there was an increase in polio activity in areas </w:t>
      </w:r>
      <w:r>
        <w:rPr>
          <w:lang w:eastAsia="en-NZ"/>
        </w:rPr>
        <w:t>that</w:t>
      </w:r>
      <w:r w:rsidRPr="00B61255">
        <w:rPr>
          <w:lang w:eastAsia="en-NZ"/>
        </w:rPr>
        <w:t xml:space="preserve"> have previously seen eradication. This includes cases of </w:t>
      </w:r>
      <w:r w:rsidRPr="00295E88">
        <w:rPr>
          <w:lang w:eastAsia="en-NZ"/>
        </w:rPr>
        <w:t xml:space="preserve">acute flaccid paralysis </w:t>
      </w:r>
      <w:r>
        <w:rPr>
          <w:lang w:eastAsia="en-NZ"/>
        </w:rPr>
        <w:t>(</w:t>
      </w:r>
      <w:r w:rsidRPr="00B61255">
        <w:rPr>
          <w:lang w:eastAsia="en-NZ"/>
        </w:rPr>
        <w:t>AFP</w:t>
      </w:r>
      <w:r>
        <w:rPr>
          <w:lang w:eastAsia="en-NZ"/>
        </w:rPr>
        <w:t>)</w:t>
      </w:r>
      <w:r w:rsidRPr="00B61255">
        <w:rPr>
          <w:lang w:eastAsia="en-NZ"/>
        </w:rPr>
        <w:t xml:space="preserve"> in the United States, Israel and Indonesia and</w:t>
      </w:r>
      <w:r w:rsidRPr="00B61255">
        <w:t xml:space="preserve"> wastewater detections of poliovirus in several countries, including the United Kingdom and Canada. </w:t>
      </w:r>
    </w:p>
    <w:p w14:paraId="5FFD422C" w14:textId="24D6F7D2" w:rsidR="00386D81" w:rsidRPr="002A1528" w:rsidRDefault="00386D81" w:rsidP="0072733D">
      <w:pPr>
        <w:pStyle w:val="Bullet"/>
        <w:spacing w:before="120"/>
      </w:pPr>
      <w:r w:rsidRPr="00B61255">
        <w:t xml:space="preserve">Up-to-date information on the current spread of different poliovirus strains around the world can be found on the </w:t>
      </w:r>
      <w:r w:rsidRPr="00936F1A">
        <w:t>Polio Global Eradication Initiative website.</w:t>
      </w:r>
      <w:r w:rsidRPr="00936F1A">
        <w:rPr>
          <w:rStyle w:val="FootnoteReference"/>
        </w:rPr>
        <w:footnoteReference w:id="5"/>
      </w:r>
    </w:p>
    <w:p w14:paraId="6D1626F9" w14:textId="77777777" w:rsidR="00386D81" w:rsidRPr="00B61255" w:rsidRDefault="00386D81" w:rsidP="000F2AF2">
      <w:pPr>
        <w:pStyle w:val="Heading2"/>
        <w:numPr>
          <w:ilvl w:val="0"/>
          <w:numId w:val="0"/>
        </w:numPr>
      </w:pPr>
      <w:bookmarkStart w:id="9" w:name="_Toc146541097"/>
      <w:bookmarkStart w:id="10" w:name="_Toc147242127"/>
      <w:r w:rsidRPr="00B61255">
        <w:t>Local context</w:t>
      </w:r>
      <w:bookmarkEnd w:id="9"/>
      <w:bookmarkEnd w:id="10"/>
    </w:p>
    <w:p w14:paraId="05E20A6F" w14:textId="46D42363" w:rsidR="00386D81" w:rsidRPr="00B61255" w:rsidRDefault="00386D81" w:rsidP="0072733D">
      <w:pPr>
        <w:pStyle w:val="Bullet"/>
        <w:spacing w:before="120"/>
        <w:rPr>
          <w:rFonts w:cs="Arial"/>
        </w:rPr>
      </w:pPr>
      <w:r w:rsidRPr="00B61255">
        <w:rPr>
          <w:rFonts w:cs="Arial"/>
        </w:rPr>
        <w:t xml:space="preserve">Aotearoa New Zealand (hereafter Aotearoa) has been declared polio free, with the last </w:t>
      </w:r>
      <w:r>
        <w:rPr>
          <w:rFonts w:cs="Arial"/>
        </w:rPr>
        <w:t xml:space="preserve">WPV </w:t>
      </w:r>
      <w:r w:rsidRPr="00B61255">
        <w:rPr>
          <w:rFonts w:cs="Arial"/>
        </w:rPr>
        <w:t>case occurring in 1977.</w:t>
      </w:r>
    </w:p>
    <w:p w14:paraId="4BB6EE0F" w14:textId="77777777" w:rsidR="00386D81" w:rsidRPr="00B61255" w:rsidRDefault="00386D81" w:rsidP="0072733D">
      <w:pPr>
        <w:pStyle w:val="Bullet"/>
        <w:spacing w:before="120"/>
        <w:rPr>
          <w:rFonts w:cs="Arial"/>
        </w:rPr>
      </w:pPr>
      <w:r w:rsidRPr="00B61255">
        <w:rPr>
          <w:rFonts w:cs="Arial"/>
        </w:rPr>
        <w:t>Currently some districts have immunisation rates &lt;80%, and in particular there are significant inequities for Māori populations, which means that there is an increased risk that if poliovirus was introduced into Aotearoa it could spread among pockets of under-immunised young children.</w:t>
      </w:r>
    </w:p>
    <w:p w14:paraId="43D795F5" w14:textId="65FD7648" w:rsidR="00386D81" w:rsidRPr="00B61255" w:rsidRDefault="00386D81" w:rsidP="0072733D">
      <w:pPr>
        <w:pStyle w:val="Bullet"/>
        <w:spacing w:before="120"/>
        <w:rPr>
          <w:rFonts w:cs="Arial"/>
        </w:rPr>
      </w:pPr>
      <w:r w:rsidRPr="00B61255">
        <w:rPr>
          <w:rFonts w:cs="Arial"/>
        </w:rPr>
        <w:t xml:space="preserve">As part of the WHO initiative to eradicate polio, Aotearoa has a programme of </w:t>
      </w:r>
      <w:r>
        <w:rPr>
          <w:rFonts w:cs="Arial"/>
        </w:rPr>
        <w:t>AFP</w:t>
      </w:r>
      <w:r w:rsidRPr="00B61255">
        <w:rPr>
          <w:rFonts w:cs="Arial"/>
        </w:rPr>
        <w:t xml:space="preserve"> surveillance and investigates all cases of AFP in children under the age of 15. Although the WHO target for capture of AFP (incidence rate of 1/100,000 in children under 14 years of age) has been reached from 2019</w:t>
      </w:r>
      <w:r w:rsidR="00DB1062">
        <w:rPr>
          <w:rFonts w:cs="Arial"/>
        </w:rPr>
        <w:t xml:space="preserve"> to </w:t>
      </w:r>
      <w:r w:rsidRPr="00B61255">
        <w:rPr>
          <w:rFonts w:cs="Arial"/>
        </w:rPr>
        <w:t>2022, the rate of the required stool testing was below the WHO target of 80% (around 50</w:t>
      </w:r>
      <w:r>
        <w:rPr>
          <w:rFonts w:cs="Arial"/>
        </w:rPr>
        <w:t>–</w:t>
      </w:r>
      <w:r w:rsidRPr="00B61255">
        <w:rPr>
          <w:rFonts w:cs="Arial"/>
        </w:rPr>
        <w:t>70%). Additionally, given that only a small minority of infections spread to the central nervous system and manifest as AFP, if poliovirus was circulating in the community</w:t>
      </w:r>
      <w:r>
        <w:rPr>
          <w:rFonts w:cs="Arial"/>
        </w:rPr>
        <w:t>,</w:t>
      </w:r>
      <w:r w:rsidRPr="00B61255">
        <w:rPr>
          <w:rFonts w:cs="Arial"/>
        </w:rPr>
        <w:t xml:space="preserve"> AFP surveillance may be slower to detect this. </w:t>
      </w:r>
    </w:p>
    <w:p w14:paraId="40A0B00C" w14:textId="77777777" w:rsidR="00386D81" w:rsidRPr="00B61255" w:rsidRDefault="00386D81" w:rsidP="0072733D">
      <w:pPr>
        <w:pStyle w:val="Bullet"/>
        <w:spacing w:before="120"/>
        <w:rPr>
          <w:rFonts w:cs="Arial"/>
        </w:rPr>
      </w:pPr>
      <w:r w:rsidRPr="00B61255">
        <w:rPr>
          <w:rFonts w:cs="Arial"/>
        </w:rPr>
        <w:t>Aotearoa initiated environmental (wastewater) surveillance in January 2023.</w:t>
      </w:r>
    </w:p>
    <w:p w14:paraId="6F8E803E" w14:textId="77777777" w:rsidR="00386D81" w:rsidRPr="00B61255" w:rsidRDefault="00386D81" w:rsidP="000F2AF2">
      <w:pPr>
        <w:pStyle w:val="Heading2"/>
        <w:numPr>
          <w:ilvl w:val="0"/>
          <w:numId w:val="0"/>
        </w:numPr>
      </w:pPr>
      <w:bookmarkStart w:id="11" w:name="_Toc146541098"/>
      <w:bookmarkStart w:id="12" w:name="_Toc147242128"/>
      <w:r w:rsidRPr="00B61255">
        <w:lastRenderedPageBreak/>
        <w:t>Likely polio scenarios and suggested responses</w:t>
      </w:r>
      <w:bookmarkEnd w:id="11"/>
      <w:bookmarkEnd w:id="12"/>
    </w:p>
    <w:p w14:paraId="48DABA17" w14:textId="134EC820" w:rsidR="00386D81" w:rsidRPr="00B61255" w:rsidRDefault="00386D81" w:rsidP="0072733D">
      <w:pPr>
        <w:pStyle w:val="Bullet"/>
        <w:spacing w:before="120"/>
        <w:rPr>
          <w:rFonts w:cs="Arial"/>
        </w:rPr>
      </w:pPr>
      <w:r w:rsidRPr="00B61255">
        <w:rPr>
          <w:rFonts w:cs="Arial"/>
        </w:rPr>
        <w:t>The most likely scenario that might occur in Aotearoa is detection of poliovirus in an environmental sample (</w:t>
      </w:r>
      <w:r>
        <w:rPr>
          <w:rFonts w:cs="Arial"/>
        </w:rPr>
        <w:t>ie,</w:t>
      </w:r>
      <w:r w:rsidRPr="00B61255">
        <w:rPr>
          <w:rFonts w:cs="Arial"/>
        </w:rPr>
        <w:t xml:space="preserve"> wastewater). Less likely, but important to plan for, is a case of polio caused by a </w:t>
      </w:r>
      <w:r>
        <w:rPr>
          <w:rFonts w:cs="Arial"/>
        </w:rPr>
        <w:t xml:space="preserve">WPV </w:t>
      </w:r>
      <w:r w:rsidRPr="00B61255">
        <w:rPr>
          <w:rFonts w:cs="Arial"/>
        </w:rPr>
        <w:t>or by a VDPV. We have also planned for a response following identification of a contact of a known case overseas, and facility-related exposure to live polioviruses.</w:t>
      </w:r>
    </w:p>
    <w:p w14:paraId="0A21F008" w14:textId="389DCF0A" w:rsidR="00386D81" w:rsidRPr="00B61255" w:rsidRDefault="00386D81" w:rsidP="0072733D">
      <w:pPr>
        <w:pStyle w:val="Bullet"/>
        <w:spacing w:before="120"/>
        <w:rPr>
          <w:rFonts w:cs="Arial"/>
        </w:rPr>
      </w:pPr>
      <w:r w:rsidRPr="00B61255">
        <w:rPr>
          <w:rFonts w:cs="Arial"/>
        </w:rPr>
        <w:t>Any of these scenarios will trigger a risk assessment, and national responses coordinated through established mechanisms. Subsequent actions would be determined through decision making with key stakeholders</w:t>
      </w:r>
      <w:r>
        <w:rPr>
          <w:rFonts w:cs="Arial"/>
        </w:rPr>
        <w:t>,</w:t>
      </w:r>
      <w:r w:rsidRPr="00B61255">
        <w:rPr>
          <w:rFonts w:cs="Arial"/>
        </w:rPr>
        <w:t xml:space="preserve"> including Te Aka Whai Ora</w:t>
      </w:r>
      <w:r>
        <w:rPr>
          <w:rFonts w:cs="Arial"/>
        </w:rPr>
        <w:t xml:space="preserve"> | the </w:t>
      </w:r>
      <w:r w:rsidRPr="001D2BB2">
        <w:rPr>
          <w:rFonts w:cs="Arial"/>
        </w:rPr>
        <w:t>Māori Health Authority</w:t>
      </w:r>
      <w:r w:rsidR="00DB1062">
        <w:rPr>
          <w:rFonts w:cs="Arial"/>
        </w:rPr>
        <w:t>;</w:t>
      </w:r>
      <w:r w:rsidRPr="00B61255">
        <w:rPr>
          <w:rFonts w:cs="Arial"/>
        </w:rPr>
        <w:t xml:space="preserve"> Te Whatu Ora</w:t>
      </w:r>
      <w:r>
        <w:rPr>
          <w:rFonts w:cs="Arial"/>
        </w:rPr>
        <w:t xml:space="preserve"> | </w:t>
      </w:r>
      <w:r w:rsidRPr="001D2BB2">
        <w:rPr>
          <w:rFonts w:cs="Arial"/>
        </w:rPr>
        <w:t>Health New Zealand</w:t>
      </w:r>
      <w:r w:rsidR="00DB1062">
        <w:rPr>
          <w:rFonts w:cs="Arial"/>
        </w:rPr>
        <w:t>;</w:t>
      </w:r>
      <w:r w:rsidRPr="00B61255">
        <w:rPr>
          <w:rFonts w:cs="Arial"/>
        </w:rPr>
        <w:t xml:space="preserve"> Whaikaha</w:t>
      </w:r>
      <w:r>
        <w:rPr>
          <w:rFonts w:cs="Arial"/>
        </w:rPr>
        <w:t xml:space="preserve"> |</w:t>
      </w:r>
      <w:r w:rsidRPr="00881D97">
        <w:t xml:space="preserve"> </w:t>
      </w:r>
      <w:r>
        <w:t xml:space="preserve">the </w:t>
      </w:r>
      <w:r w:rsidRPr="00881D97">
        <w:rPr>
          <w:rFonts w:cs="Arial"/>
        </w:rPr>
        <w:t>Ministry of Disabled People</w:t>
      </w:r>
      <w:r w:rsidR="00DB1062">
        <w:rPr>
          <w:rFonts w:cs="Arial"/>
        </w:rPr>
        <w:t>;</w:t>
      </w:r>
      <w:r w:rsidRPr="00B61255">
        <w:rPr>
          <w:rFonts w:cs="Arial"/>
        </w:rPr>
        <w:t xml:space="preserve"> and Pacific health teams from </w:t>
      </w:r>
      <w:r w:rsidRPr="00150C74">
        <w:rPr>
          <w:rFonts w:cs="Arial"/>
        </w:rPr>
        <w:t xml:space="preserve">Manatū Hauora </w:t>
      </w:r>
      <w:r>
        <w:rPr>
          <w:rFonts w:cs="Arial"/>
        </w:rPr>
        <w:t>| the Ministry of Health</w:t>
      </w:r>
      <w:r w:rsidRPr="00B61255">
        <w:rPr>
          <w:rFonts w:cs="Arial"/>
        </w:rPr>
        <w:t xml:space="preserve"> and/or Te Whatu Ora. The following table shows potential responses to each scenario, which should be considered based on specific contextual features.</w:t>
      </w:r>
    </w:p>
    <w:p w14:paraId="5302170E" w14:textId="77777777" w:rsidR="00386D81" w:rsidRPr="00B61255" w:rsidRDefault="00386D81" w:rsidP="00386D81">
      <w:pPr>
        <w:rPr>
          <w:rFonts w:cs="Arial"/>
        </w:rPr>
      </w:pPr>
    </w:p>
    <w:p w14:paraId="123B5E1D" w14:textId="77777777" w:rsidR="00386D81" w:rsidRPr="00B61255" w:rsidRDefault="00386D81" w:rsidP="00386D81">
      <w:pPr>
        <w:rPr>
          <w:rFonts w:cs="Arial"/>
        </w:rPr>
        <w:sectPr w:rsidR="00386D81" w:rsidRPr="00B61255" w:rsidSect="004E40EB">
          <w:pgSz w:w="11907" w:h="16834" w:code="9"/>
          <w:pgMar w:top="1418" w:right="1701" w:bottom="1134" w:left="1843" w:header="284" w:footer="425" w:gutter="284"/>
          <w:pgNumType w:fmt="lowerRoman"/>
          <w:cols w:space="720"/>
          <w:docGrid w:linePitch="286"/>
        </w:sectPr>
      </w:pPr>
    </w:p>
    <w:p w14:paraId="0A9632D7" w14:textId="42C57A5A" w:rsidR="00386D81" w:rsidRPr="00B61255" w:rsidRDefault="00386D81" w:rsidP="000F2AF2">
      <w:pPr>
        <w:pStyle w:val="Heading2"/>
        <w:numPr>
          <w:ilvl w:val="0"/>
          <w:numId w:val="0"/>
        </w:numPr>
        <w:spacing w:before="0"/>
      </w:pPr>
      <w:bookmarkStart w:id="13" w:name="_Toc146541099"/>
      <w:bookmarkStart w:id="14" w:name="_Toc147242129"/>
      <w:r w:rsidRPr="00B61255">
        <w:lastRenderedPageBreak/>
        <w:t xml:space="preserve">Potential </w:t>
      </w:r>
      <w:r>
        <w:t>p</w:t>
      </w:r>
      <w:r w:rsidRPr="00B61255">
        <w:t>olio scenarios and responses</w:t>
      </w:r>
      <w:bookmarkEnd w:id="13"/>
      <w:bookmarkEnd w:id="14"/>
    </w:p>
    <w:p w14:paraId="3F290D57" w14:textId="77777777" w:rsidR="00386D81" w:rsidRPr="00B61255" w:rsidRDefault="00386D81" w:rsidP="00386D81">
      <w:r w:rsidRPr="00B61255">
        <w:t xml:space="preserve">Actions to address a higher risk situation should be considered in any scenario initially, based on the precautionary principle, given the potential delays in genetic sequencing of </w:t>
      </w:r>
      <w:r>
        <w:t xml:space="preserve">the </w:t>
      </w:r>
      <w:r w:rsidRPr="00B61255">
        <w:t>virus. The response can be reassessed as further genetic and epidemiological characterisation becomes available.</w:t>
      </w:r>
    </w:p>
    <w:p w14:paraId="24F19507" w14:textId="77777777" w:rsidR="00386D81" w:rsidRDefault="00386D81" w:rsidP="00386D81"/>
    <w:tbl>
      <w:tblPr>
        <w:tblStyle w:val="TableGrid"/>
        <w:tblW w:w="5000" w:type="pct"/>
        <w:tblLook w:val="04A0" w:firstRow="1" w:lastRow="0" w:firstColumn="1" w:lastColumn="0" w:noHBand="0" w:noVBand="1"/>
      </w:tblPr>
      <w:tblGrid>
        <w:gridCol w:w="1185"/>
        <w:gridCol w:w="1185"/>
        <w:gridCol w:w="1499"/>
        <w:gridCol w:w="1368"/>
        <w:gridCol w:w="1936"/>
        <w:gridCol w:w="1302"/>
        <w:gridCol w:w="1645"/>
        <w:gridCol w:w="2059"/>
        <w:gridCol w:w="2099"/>
      </w:tblGrid>
      <w:tr w:rsidR="008C12C4" w:rsidRPr="00086392" w14:paraId="55F28A3D" w14:textId="77777777" w:rsidTr="002D0A37">
        <w:trPr>
          <w:cantSplit/>
          <w:trHeight w:val="396"/>
          <w:tblHeader/>
        </w:trPr>
        <w:tc>
          <w:tcPr>
            <w:tcW w:w="415" w:type="pct"/>
            <w:shd w:val="clear" w:color="auto" w:fill="B6DFE0"/>
          </w:tcPr>
          <w:p w14:paraId="1FB59F4D" w14:textId="77777777" w:rsidR="00473DAB" w:rsidRPr="00086392" w:rsidRDefault="00473DAB" w:rsidP="00AD201D">
            <w:pPr>
              <w:pStyle w:val="TableText"/>
              <w:spacing w:before="20" w:after="20" w:line="252" w:lineRule="auto"/>
              <w:rPr>
                <w:b/>
                <w:bCs/>
                <w:szCs w:val="18"/>
              </w:rPr>
            </w:pPr>
            <w:bookmarkStart w:id="15" w:name="_Hlk132616215"/>
            <w:r w:rsidRPr="00086392">
              <w:rPr>
                <w:b/>
                <w:bCs/>
                <w:szCs w:val="18"/>
              </w:rPr>
              <w:t>Response component</w:t>
            </w:r>
          </w:p>
        </w:tc>
        <w:tc>
          <w:tcPr>
            <w:tcW w:w="415" w:type="pct"/>
            <w:shd w:val="clear" w:color="auto" w:fill="B6DFE0"/>
          </w:tcPr>
          <w:p w14:paraId="15AD09D1" w14:textId="77777777" w:rsidR="00473DAB" w:rsidRPr="00086392" w:rsidRDefault="00473DAB" w:rsidP="00AD201D">
            <w:pPr>
              <w:pStyle w:val="TableText"/>
              <w:spacing w:before="20" w:after="20" w:line="252" w:lineRule="auto"/>
              <w:rPr>
                <w:b/>
                <w:bCs/>
                <w:szCs w:val="18"/>
              </w:rPr>
            </w:pPr>
          </w:p>
        </w:tc>
        <w:tc>
          <w:tcPr>
            <w:tcW w:w="1681" w:type="pct"/>
            <w:gridSpan w:val="3"/>
            <w:shd w:val="clear" w:color="auto" w:fill="B6DFE0"/>
          </w:tcPr>
          <w:p w14:paraId="2A5E5D49" w14:textId="47AF915B" w:rsidR="00473DAB" w:rsidRPr="00086392" w:rsidRDefault="00473DAB" w:rsidP="00AD201D">
            <w:pPr>
              <w:pStyle w:val="TableText"/>
              <w:spacing w:before="20" w:after="20" w:line="252" w:lineRule="auto"/>
              <w:rPr>
                <w:b/>
                <w:bCs/>
                <w:szCs w:val="18"/>
              </w:rPr>
            </w:pPr>
            <w:r w:rsidRPr="00086392">
              <w:rPr>
                <w:b/>
                <w:bCs/>
                <w:szCs w:val="18"/>
              </w:rPr>
              <w:t>Detection in wastewater</w:t>
            </w:r>
          </w:p>
        </w:tc>
        <w:tc>
          <w:tcPr>
            <w:tcW w:w="1032" w:type="pct"/>
            <w:gridSpan w:val="2"/>
            <w:shd w:val="clear" w:color="auto" w:fill="B6DFE0"/>
          </w:tcPr>
          <w:p w14:paraId="012D8281" w14:textId="77777777" w:rsidR="00473DAB" w:rsidRPr="00086392" w:rsidRDefault="00473DAB" w:rsidP="00AD201D">
            <w:pPr>
              <w:pStyle w:val="TableText"/>
              <w:spacing w:before="20" w:after="20" w:line="252" w:lineRule="auto"/>
              <w:rPr>
                <w:b/>
                <w:bCs/>
                <w:szCs w:val="18"/>
              </w:rPr>
            </w:pPr>
            <w:r w:rsidRPr="00086392">
              <w:rPr>
                <w:b/>
                <w:bCs/>
                <w:szCs w:val="18"/>
              </w:rPr>
              <w:t>Detection in a person with AFP</w:t>
            </w:r>
          </w:p>
        </w:tc>
        <w:tc>
          <w:tcPr>
            <w:tcW w:w="721" w:type="pct"/>
            <w:shd w:val="clear" w:color="auto" w:fill="B6DFE0"/>
          </w:tcPr>
          <w:p w14:paraId="49F43F31" w14:textId="77777777" w:rsidR="00473DAB" w:rsidRPr="00086392" w:rsidRDefault="00473DAB" w:rsidP="00AD201D">
            <w:pPr>
              <w:pStyle w:val="TableText"/>
              <w:spacing w:before="20" w:after="20" w:line="252" w:lineRule="auto"/>
              <w:rPr>
                <w:b/>
                <w:bCs/>
                <w:szCs w:val="18"/>
              </w:rPr>
            </w:pPr>
            <w:r w:rsidRPr="00086392">
              <w:rPr>
                <w:rFonts w:cs="Arial"/>
                <w:b/>
                <w:bCs/>
                <w:szCs w:val="18"/>
              </w:rPr>
              <w:t>Facility-related exposure to live polioviruses</w:t>
            </w:r>
          </w:p>
        </w:tc>
        <w:tc>
          <w:tcPr>
            <w:tcW w:w="736" w:type="pct"/>
            <w:shd w:val="clear" w:color="auto" w:fill="B6DFE0"/>
          </w:tcPr>
          <w:p w14:paraId="3A291AB6" w14:textId="77777777" w:rsidR="00473DAB" w:rsidRPr="00086392" w:rsidRDefault="00473DAB" w:rsidP="00AD201D">
            <w:pPr>
              <w:pStyle w:val="TableText"/>
              <w:spacing w:before="20" w:after="20" w:line="252" w:lineRule="auto"/>
              <w:rPr>
                <w:b/>
                <w:bCs/>
                <w:szCs w:val="18"/>
              </w:rPr>
            </w:pPr>
            <w:r w:rsidRPr="00086392">
              <w:rPr>
                <w:b/>
                <w:bCs/>
                <w:szCs w:val="18"/>
              </w:rPr>
              <w:t>Known contact of a case overseas</w:t>
            </w:r>
          </w:p>
        </w:tc>
      </w:tr>
      <w:tr w:rsidR="006F3136" w:rsidRPr="00086392" w14:paraId="647BE7B1" w14:textId="77777777" w:rsidTr="002D0A37">
        <w:trPr>
          <w:cantSplit/>
          <w:trHeight w:val="792"/>
          <w:tblHeader/>
        </w:trPr>
        <w:tc>
          <w:tcPr>
            <w:tcW w:w="415" w:type="pct"/>
          </w:tcPr>
          <w:p w14:paraId="54AE22FF" w14:textId="77777777" w:rsidR="00473DAB" w:rsidRPr="00086392" w:rsidRDefault="00473DAB" w:rsidP="00AD201D">
            <w:pPr>
              <w:pStyle w:val="TableText"/>
              <w:spacing w:before="20" w:after="20" w:line="252" w:lineRule="auto"/>
              <w:rPr>
                <w:szCs w:val="18"/>
              </w:rPr>
            </w:pPr>
          </w:p>
        </w:tc>
        <w:tc>
          <w:tcPr>
            <w:tcW w:w="415" w:type="pct"/>
            <w:shd w:val="clear" w:color="auto" w:fill="auto"/>
          </w:tcPr>
          <w:p w14:paraId="37816C80" w14:textId="71DE84AE" w:rsidR="00473DAB" w:rsidRPr="00086392" w:rsidRDefault="00473DAB" w:rsidP="00AD201D">
            <w:pPr>
              <w:pStyle w:val="TableText"/>
              <w:spacing w:before="20" w:after="20" w:line="252" w:lineRule="auto"/>
              <w:rPr>
                <w:szCs w:val="18"/>
              </w:rPr>
            </w:pPr>
            <w:r w:rsidRPr="00B85F31">
              <w:rPr>
                <w:b/>
                <w:bCs/>
                <w:szCs w:val="18"/>
              </w:rPr>
              <w:t>No risk or little risk:</w:t>
            </w:r>
            <w:r w:rsidRPr="00086392">
              <w:rPr>
                <w:szCs w:val="18"/>
              </w:rPr>
              <w:t xml:space="preserve"> Sabin or Sabin-like </w:t>
            </w:r>
            <w:r w:rsidR="007865F6" w:rsidRPr="00086392">
              <w:rPr>
                <w:szCs w:val="18"/>
              </w:rPr>
              <w:t xml:space="preserve">type </w:t>
            </w:r>
            <w:r w:rsidRPr="00086392">
              <w:rPr>
                <w:szCs w:val="18"/>
              </w:rPr>
              <w:t>1</w:t>
            </w:r>
            <w:r w:rsidR="007865F6" w:rsidRPr="00086392">
              <w:rPr>
                <w:szCs w:val="18"/>
              </w:rPr>
              <w:t xml:space="preserve"> or </w:t>
            </w:r>
            <w:r w:rsidRPr="00086392">
              <w:rPr>
                <w:szCs w:val="18"/>
              </w:rPr>
              <w:t>3 (likely shedding following OPV)</w:t>
            </w:r>
            <w:r w:rsidRPr="00086392">
              <w:rPr>
                <w:szCs w:val="18"/>
                <w:vertAlign w:val="superscript"/>
              </w:rPr>
              <w:t>a</w:t>
            </w:r>
          </w:p>
        </w:tc>
        <w:tc>
          <w:tcPr>
            <w:tcW w:w="525" w:type="pct"/>
            <w:shd w:val="clear" w:color="auto" w:fill="FFE48F"/>
          </w:tcPr>
          <w:p w14:paraId="7B2C387F" w14:textId="1110BAAC" w:rsidR="00473DAB" w:rsidRPr="00086392" w:rsidRDefault="00473DAB" w:rsidP="00AD201D">
            <w:pPr>
              <w:pStyle w:val="TableText"/>
              <w:spacing w:before="20" w:after="20" w:line="252" w:lineRule="auto"/>
              <w:rPr>
                <w:szCs w:val="18"/>
              </w:rPr>
            </w:pPr>
            <w:r w:rsidRPr="00B85F31">
              <w:rPr>
                <w:b/>
                <w:bCs/>
                <w:szCs w:val="18"/>
              </w:rPr>
              <w:t>Lower risk:</w:t>
            </w:r>
            <w:r w:rsidRPr="00086392">
              <w:rPr>
                <w:szCs w:val="18"/>
              </w:rPr>
              <w:t xml:space="preserve"> </w:t>
            </w:r>
            <w:r w:rsidR="001A43ED">
              <w:rPr>
                <w:szCs w:val="18"/>
              </w:rPr>
              <w:br/>
            </w:r>
            <w:r w:rsidRPr="00086392">
              <w:rPr>
                <w:szCs w:val="18"/>
              </w:rPr>
              <w:t>No evidence of community transmission or no confirmation of this (WPV, aVDPV, iVDPV)</w:t>
            </w:r>
          </w:p>
        </w:tc>
        <w:tc>
          <w:tcPr>
            <w:tcW w:w="479" w:type="pct"/>
            <w:shd w:val="clear" w:color="auto" w:fill="FADADC"/>
          </w:tcPr>
          <w:p w14:paraId="6A8063B5" w14:textId="3F24216C" w:rsidR="00473DAB" w:rsidRPr="00086392" w:rsidRDefault="00473DAB" w:rsidP="00AD201D">
            <w:pPr>
              <w:pStyle w:val="TableText"/>
              <w:spacing w:before="20" w:after="20" w:line="252" w:lineRule="auto"/>
              <w:rPr>
                <w:szCs w:val="18"/>
              </w:rPr>
            </w:pPr>
            <w:r w:rsidRPr="00B85F31">
              <w:rPr>
                <w:b/>
                <w:bCs/>
                <w:szCs w:val="18"/>
              </w:rPr>
              <w:t>Higher risk:</w:t>
            </w:r>
            <w:r w:rsidRPr="00086392">
              <w:rPr>
                <w:szCs w:val="18"/>
              </w:rPr>
              <w:t xml:space="preserve"> New VDPV, even without evidence of community transmission</w:t>
            </w:r>
          </w:p>
        </w:tc>
        <w:tc>
          <w:tcPr>
            <w:tcW w:w="678" w:type="pct"/>
            <w:shd w:val="clear" w:color="auto" w:fill="FADADC"/>
          </w:tcPr>
          <w:p w14:paraId="5A7E1575" w14:textId="13943B48" w:rsidR="00473DAB" w:rsidRPr="00086392" w:rsidRDefault="00473DAB" w:rsidP="00AD201D">
            <w:pPr>
              <w:pStyle w:val="TableText"/>
              <w:spacing w:before="20" w:after="20" w:line="252" w:lineRule="auto"/>
              <w:rPr>
                <w:szCs w:val="18"/>
              </w:rPr>
            </w:pPr>
            <w:r w:rsidRPr="00B85F31">
              <w:rPr>
                <w:b/>
                <w:bCs/>
                <w:szCs w:val="18"/>
              </w:rPr>
              <w:t xml:space="preserve">Higher risk: </w:t>
            </w:r>
            <w:r w:rsidR="001A43ED">
              <w:rPr>
                <w:b/>
                <w:bCs/>
                <w:szCs w:val="18"/>
              </w:rPr>
              <w:br/>
            </w:r>
            <w:r w:rsidRPr="00086392">
              <w:rPr>
                <w:szCs w:val="18"/>
              </w:rPr>
              <w:t>Evidence of community transmission (two or more detections of WPV or VDPV,</w:t>
            </w:r>
            <w:r w:rsidRPr="00086392">
              <w:rPr>
                <w:szCs w:val="18"/>
                <w:vertAlign w:val="superscript"/>
              </w:rPr>
              <w:t>b</w:t>
            </w:r>
            <w:r w:rsidRPr="00086392">
              <w:rPr>
                <w:szCs w:val="18"/>
              </w:rPr>
              <w:t xml:space="preserve"> cVDPV)</w:t>
            </w:r>
            <w:r w:rsidRPr="00086392">
              <w:rPr>
                <w:rStyle w:val="FootnoteReference"/>
                <w:rFonts w:cs="Segoe UI"/>
                <w:szCs w:val="18"/>
              </w:rPr>
              <w:t xml:space="preserve"> </w:t>
            </w:r>
          </w:p>
        </w:tc>
        <w:tc>
          <w:tcPr>
            <w:tcW w:w="456" w:type="pct"/>
            <w:shd w:val="clear" w:color="auto" w:fill="FFE48F"/>
          </w:tcPr>
          <w:p w14:paraId="320A0943" w14:textId="103F4480" w:rsidR="00473DAB" w:rsidRPr="00086392" w:rsidRDefault="00473DAB" w:rsidP="00AD201D">
            <w:pPr>
              <w:pStyle w:val="TableText"/>
              <w:spacing w:before="20" w:after="20" w:line="252" w:lineRule="auto"/>
              <w:rPr>
                <w:szCs w:val="18"/>
              </w:rPr>
            </w:pPr>
            <w:r w:rsidRPr="00B85F31">
              <w:rPr>
                <w:b/>
                <w:bCs/>
                <w:szCs w:val="18"/>
              </w:rPr>
              <w:t>Lower risk:</w:t>
            </w:r>
            <w:r w:rsidRPr="00086392">
              <w:rPr>
                <w:szCs w:val="18"/>
              </w:rPr>
              <w:t xml:space="preserve"> Imported case</w:t>
            </w:r>
            <w:r w:rsidRPr="00B85F31">
              <w:rPr>
                <w:szCs w:val="18"/>
                <w:vertAlign w:val="superscript"/>
              </w:rPr>
              <w:t>c</w:t>
            </w:r>
          </w:p>
        </w:tc>
        <w:tc>
          <w:tcPr>
            <w:tcW w:w="576" w:type="pct"/>
            <w:shd w:val="clear" w:color="auto" w:fill="FADADC"/>
          </w:tcPr>
          <w:p w14:paraId="46122E6C" w14:textId="6424BDAC" w:rsidR="00473DAB" w:rsidRPr="00086392" w:rsidRDefault="00473DAB" w:rsidP="00AD201D">
            <w:pPr>
              <w:pStyle w:val="TableText"/>
              <w:spacing w:before="20" w:after="20" w:line="252" w:lineRule="auto"/>
              <w:rPr>
                <w:szCs w:val="18"/>
              </w:rPr>
            </w:pPr>
            <w:r w:rsidRPr="00B85F31">
              <w:rPr>
                <w:b/>
                <w:bCs/>
                <w:szCs w:val="18"/>
              </w:rPr>
              <w:t>Higher risk:</w:t>
            </w:r>
            <w:r w:rsidRPr="00086392">
              <w:rPr>
                <w:szCs w:val="18"/>
              </w:rPr>
              <w:t xml:space="preserve"> Community transmission</w:t>
            </w:r>
          </w:p>
        </w:tc>
        <w:tc>
          <w:tcPr>
            <w:tcW w:w="721" w:type="pct"/>
            <w:shd w:val="clear" w:color="auto" w:fill="FFCC00"/>
          </w:tcPr>
          <w:p w14:paraId="428BD255" w14:textId="29251B51" w:rsidR="00473DAB" w:rsidRPr="00086392" w:rsidRDefault="00473DAB" w:rsidP="00AD201D">
            <w:pPr>
              <w:pStyle w:val="TableText"/>
              <w:spacing w:before="20" w:after="20" w:line="252" w:lineRule="auto"/>
              <w:rPr>
                <w:szCs w:val="18"/>
              </w:rPr>
            </w:pPr>
            <w:r w:rsidRPr="00086392">
              <w:rPr>
                <w:szCs w:val="18"/>
              </w:rPr>
              <w:t xml:space="preserve">Risk </w:t>
            </w:r>
            <w:r w:rsidR="007865F6" w:rsidRPr="00086392">
              <w:rPr>
                <w:szCs w:val="18"/>
              </w:rPr>
              <w:t xml:space="preserve">depends </w:t>
            </w:r>
            <w:r w:rsidRPr="00086392">
              <w:rPr>
                <w:szCs w:val="18"/>
              </w:rPr>
              <w:t>on type of poliovirus detected</w:t>
            </w:r>
          </w:p>
        </w:tc>
        <w:tc>
          <w:tcPr>
            <w:tcW w:w="736" w:type="pct"/>
            <w:shd w:val="clear" w:color="auto" w:fill="FFE48F"/>
          </w:tcPr>
          <w:p w14:paraId="0910CC57" w14:textId="77777777" w:rsidR="00473DAB" w:rsidRPr="00B85F31" w:rsidRDefault="00473DAB" w:rsidP="00AD201D">
            <w:pPr>
              <w:pStyle w:val="TableText"/>
              <w:spacing w:before="20" w:after="20" w:line="252" w:lineRule="auto"/>
              <w:rPr>
                <w:b/>
                <w:bCs/>
                <w:szCs w:val="18"/>
              </w:rPr>
            </w:pPr>
            <w:r w:rsidRPr="00B85F31">
              <w:rPr>
                <w:b/>
                <w:bCs/>
                <w:szCs w:val="18"/>
              </w:rPr>
              <w:t>Lower risk</w:t>
            </w:r>
          </w:p>
        </w:tc>
      </w:tr>
      <w:tr w:rsidR="002D0A37" w:rsidRPr="00086392" w14:paraId="79A0F88C" w14:textId="77777777" w:rsidTr="002D0A37">
        <w:trPr>
          <w:cantSplit/>
          <w:trHeight w:val="218"/>
        </w:trPr>
        <w:tc>
          <w:tcPr>
            <w:tcW w:w="5000" w:type="pct"/>
            <w:gridSpan w:val="9"/>
            <w:shd w:val="clear" w:color="auto" w:fill="DBE5F1"/>
          </w:tcPr>
          <w:p w14:paraId="09A4280C" w14:textId="41BDD212" w:rsidR="002D0A37" w:rsidRPr="00086392" w:rsidRDefault="002D0A37" w:rsidP="00AD201D">
            <w:pPr>
              <w:pStyle w:val="TableText"/>
              <w:spacing w:before="20" w:after="20" w:line="252" w:lineRule="auto"/>
              <w:rPr>
                <w:szCs w:val="18"/>
              </w:rPr>
            </w:pPr>
            <w:r w:rsidRPr="00086392">
              <w:rPr>
                <w:b/>
                <w:bCs/>
                <w:szCs w:val="18"/>
              </w:rPr>
              <w:t>Enhanced microbiological surveillance</w:t>
            </w:r>
            <w:r w:rsidRPr="00A86E31">
              <w:rPr>
                <w:b/>
                <w:bCs/>
                <w:szCs w:val="18"/>
                <w:vertAlign w:val="superscript"/>
              </w:rPr>
              <w:t>d</w:t>
            </w:r>
          </w:p>
        </w:tc>
      </w:tr>
      <w:tr w:rsidR="00473DAB" w:rsidRPr="00086392" w14:paraId="595F500E" w14:textId="77777777" w:rsidTr="002D0A37">
        <w:trPr>
          <w:cantSplit/>
          <w:trHeight w:val="587"/>
        </w:trPr>
        <w:tc>
          <w:tcPr>
            <w:tcW w:w="415" w:type="pct"/>
          </w:tcPr>
          <w:p w14:paraId="2F6C144D" w14:textId="77777777" w:rsidR="00473DAB" w:rsidRPr="00086392" w:rsidRDefault="00473DAB" w:rsidP="00AD201D">
            <w:pPr>
              <w:pStyle w:val="TableText"/>
              <w:spacing w:before="20" w:after="20" w:line="252" w:lineRule="auto"/>
              <w:rPr>
                <w:szCs w:val="18"/>
              </w:rPr>
            </w:pPr>
            <w:r w:rsidRPr="00086392">
              <w:rPr>
                <w:szCs w:val="18"/>
              </w:rPr>
              <w:t>Common actions</w:t>
            </w:r>
          </w:p>
        </w:tc>
        <w:tc>
          <w:tcPr>
            <w:tcW w:w="415" w:type="pct"/>
            <w:vMerge w:val="restart"/>
            <w:shd w:val="clear" w:color="auto" w:fill="D9D9D9"/>
          </w:tcPr>
          <w:p w14:paraId="60538C63" w14:textId="77777777" w:rsidR="00473DAB" w:rsidRPr="00086392" w:rsidRDefault="00473DAB" w:rsidP="00AD201D">
            <w:pPr>
              <w:pStyle w:val="TableText"/>
              <w:spacing w:before="20" w:after="20" w:line="252" w:lineRule="auto"/>
              <w:rPr>
                <w:szCs w:val="18"/>
              </w:rPr>
            </w:pPr>
            <w:r w:rsidRPr="00086392">
              <w:rPr>
                <w:szCs w:val="18"/>
              </w:rPr>
              <w:t>No action required</w:t>
            </w:r>
          </w:p>
        </w:tc>
        <w:tc>
          <w:tcPr>
            <w:tcW w:w="525" w:type="pct"/>
          </w:tcPr>
          <w:p w14:paraId="003D9792" w14:textId="77777777" w:rsidR="00473DAB" w:rsidRPr="00086392" w:rsidRDefault="00473DAB" w:rsidP="00AD201D">
            <w:pPr>
              <w:pStyle w:val="TableText"/>
              <w:spacing w:before="20" w:after="20" w:line="252" w:lineRule="auto"/>
              <w:rPr>
                <w:szCs w:val="18"/>
              </w:rPr>
            </w:pPr>
          </w:p>
        </w:tc>
        <w:tc>
          <w:tcPr>
            <w:tcW w:w="3645" w:type="pct"/>
            <w:gridSpan w:val="6"/>
          </w:tcPr>
          <w:p w14:paraId="55EC7B34" w14:textId="1C8CBA9C" w:rsidR="00473DAB" w:rsidRPr="00086392" w:rsidRDefault="00722547" w:rsidP="00473DAB">
            <w:pPr>
              <w:pStyle w:val="TableBullet"/>
              <w:tabs>
                <w:tab w:val="clear" w:pos="284"/>
                <w:tab w:val="num" w:pos="227"/>
              </w:tabs>
              <w:spacing w:before="20" w:after="20" w:line="252" w:lineRule="auto"/>
              <w:ind w:left="227" w:hanging="227"/>
              <w:rPr>
                <w:szCs w:val="18"/>
              </w:rPr>
            </w:pPr>
            <w:r w:rsidRPr="00086392">
              <w:rPr>
                <w:szCs w:val="18"/>
              </w:rPr>
              <w:t>Review and adjust s</w:t>
            </w:r>
            <w:r w:rsidR="00473DAB" w:rsidRPr="00086392">
              <w:rPr>
                <w:szCs w:val="18"/>
              </w:rPr>
              <w:t>ample sites and frequency of wastewater to evaluate presence in time and area.</w:t>
            </w:r>
          </w:p>
          <w:p w14:paraId="6C3F5873" w14:textId="0350BE05" w:rsidR="00473DAB" w:rsidRPr="00086392" w:rsidRDefault="00473DAB" w:rsidP="00473DAB">
            <w:pPr>
              <w:pStyle w:val="TableBullet"/>
              <w:tabs>
                <w:tab w:val="clear" w:pos="284"/>
                <w:tab w:val="num" w:pos="227"/>
              </w:tabs>
              <w:spacing w:before="20" w:after="20" w:line="252" w:lineRule="auto"/>
              <w:ind w:left="227" w:hanging="227"/>
              <w:rPr>
                <w:szCs w:val="18"/>
              </w:rPr>
            </w:pPr>
            <w:r w:rsidRPr="00086392">
              <w:rPr>
                <w:szCs w:val="18"/>
              </w:rPr>
              <w:t>Consider adding poliovirus to microbiological testing of all stool specimens in community of detection.</w:t>
            </w:r>
            <w:r w:rsidRPr="00A86E31">
              <w:rPr>
                <w:szCs w:val="18"/>
                <w:vertAlign w:val="superscript"/>
              </w:rPr>
              <w:t>e</w:t>
            </w:r>
            <w:r w:rsidRPr="00086392">
              <w:rPr>
                <w:szCs w:val="18"/>
              </w:rPr>
              <w:t xml:space="preserve"> </w:t>
            </w:r>
          </w:p>
          <w:p w14:paraId="553124D8" w14:textId="77777777" w:rsidR="00473DAB" w:rsidRPr="00086392" w:rsidRDefault="00473DAB" w:rsidP="00473DAB">
            <w:pPr>
              <w:pStyle w:val="TableBullet"/>
              <w:tabs>
                <w:tab w:val="clear" w:pos="284"/>
                <w:tab w:val="num" w:pos="227"/>
              </w:tabs>
              <w:spacing w:before="20" w:after="20" w:line="252" w:lineRule="auto"/>
              <w:ind w:left="227" w:hanging="227"/>
              <w:rPr>
                <w:szCs w:val="18"/>
              </w:rPr>
            </w:pPr>
            <w:r w:rsidRPr="00086392">
              <w:rPr>
                <w:szCs w:val="18"/>
              </w:rPr>
              <w:t>Consider enhanced surveillance of aseptic meningitis and other clinical syndromes.</w:t>
            </w:r>
          </w:p>
        </w:tc>
      </w:tr>
      <w:tr w:rsidR="006F3136" w:rsidRPr="00086392" w14:paraId="018E2EC4" w14:textId="77777777" w:rsidTr="002D0A37">
        <w:trPr>
          <w:cantSplit/>
          <w:trHeight w:val="1483"/>
        </w:trPr>
        <w:tc>
          <w:tcPr>
            <w:tcW w:w="415" w:type="pct"/>
          </w:tcPr>
          <w:p w14:paraId="388EFDE8" w14:textId="77777777" w:rsidR="00473DAB" w:rsidRPr="00086392" w:rsidRDefault="00473DAB" w:rsidP="00AD201D">
            <w:pPr>
              <w:pStyle w:val="TableText"/>
              <w:spacing w:before="20" w:after="20" w:line="252" w:lineRule="auto"/>
              <w:rPr>
                <w:szCs w:val="18"/>
              </w:rPr>
            </w:pPr>
            <w:r w:rsidRPr="00086392">
              <w:rPr>
                <w:szCs w:val="18"/>
              </w:rPr>
              <w:t>Key differences</w:t>
            </w:r>
          </w:p>
        </w:tc>
        <w:tc>
          <w:tcPr>
            <w:tcW w:w="415" w:type="pct"/>
            <w:vMerge/>
            <w:shd w:val="clear" w:color="auto" w:fill="D9D9D9"/>
          </w:tcPr>
          <w:p w14:paraId="60AF786F" w14:textId="77777777" w:rsidR="00473DAB" w:rsidRPr="00086392" w:rsidRDefault="00473DAB" w:rsidP="00AD201D">
            <w:pPr>
              <w:pStyle w:val="TableText"/>
              <w:spacing w:before="20" w:after="20" w:line="252" w:lineRule="auto"/>
              <w:rPr>
                <w:szCs w:val="18"/>
              </w:rPr>
            </w:pPr>
          </w:p>
        </w:tc>
        <w:tc>
          <w:tcPr>
            <w:tcW w:w="525" w:type="pct"/>
          </w:tcPr>
          <w:p w14:paraId="46AC1B48" w14:textId="77777777" w:rsidR="00473DAB" w:rsidRPr="00086392" w:rsidRDefault="00473DAB" w:rsidP="00473DAB">
            <w:pPr>
              <w:pStyle w:val="TableBullet"/>
              <w:numPr>
                <w:ilvl w:val="0"/>
                <w:numId w:val="50"/>
              </w:numPr>
              <w:tabs>
                <w:tab w:val="clear" w:pos="284"/>
                <w:tab w:val="num" w:pos="227"/>
              </w:tabs>
              <w:spacing w:before="20" w:after="20" w:line="252" w:lineRule="auto"/>
              <w:ind w:left="227" w:hanging="227"/>
              <w:rPr>
                <w:i/>
                <w:iCs/>
                <w:szCs w:val="18"/>
              </w:rPr>
            </w:pPr>
            <w:r w:rsidRPr="00086392">
              <w:rPr>
                <w:szCs w:val="18"/>
              </w:rPr>
              <w:t xml:space="preserve">Consider targeted healthy children stool sampling </w:t>
            </w:r>
          </w:p>
        </w:tc>
        <w:tc>
          <w:tcPr>
            <w:tcW w:w="1156" w:type="pct"/>
            <w:gridSpan w:val="2"/>
            <w:shd w:val="clear" w:color="auto" w:fill="D9D9D9"/>
          </w:tcPr>
          <w:p w14:paraId="539F74A5" w14:textId="77777777" w:rsidR="00473DAB" w:rsidRPr="00086392" w:rsidRDefault="00473DAB" w:rsidP="00AD201D">
            <w:pPr>
              <w:spacing w:before="20" w:after="20" w:line="252" w:lineRule="auto"/>
              <w:rPr>
                <w:sz w:val="18"/>
                <w:szCs w:val="18"/>
              </w:rPr>
            </w:pPr>
          </w:p>
        </w:tc>
        <w:tc>
          <w:tcPr>
            <w:tcW w:w="456" w:type="pct"/>
          </w:tcPr>
          <w:p w14:paraId="274AAF77" w14:textId="77777777" w:rsidR="00473DAB" w:rsidRPr="00086392" w:rsidRDefault="00473DAB" w:rsidP="00473DAB">
            <w:pPr>
              <w:pStyle w:val="TableBullet"/>
              <w:tabs>
                <w:tab w:val="clear" w:pos="284"/>
                <w:tab w:val="num" w:pos="227"/>
              </w:tabs>
              <w:spacing w:before="20" w:after="20" w:line="252" w:lineRule="auto"/>
              <w:ind w:left="227" w:hanging="227"/>
              <w:rPr>
                <w:i/>
                <w:iCs/>
                <w:szCs w:val="18"/>
              </w:rPr>
            </w:pPr>
            <w:r w:rsidRPr="00086392">
              <w:rPr>
                <w:szCs w:val="18"/>
              </w:rPr>
              <w:t xml:space="preserve">Consider targeted healthy children stool sampling </w:t>
            </w:r>
          </w:p>
        </w:tc>
        <w:tc>
          <w:tcPr>
            <w:tcW w:w="576" w:type="pct"/>
            <w:shd w:val="clear" w:color="auto" w:fill="D9D9D9"/>
          </w:tcPr>
          <w:p w14:paraId="773A33AE" w14:textId="77777777" w:rsidR="00473DAB" w:rsidRPr="00086392" w:rsidRDefault="00473DAB" w:rsidP="00AD201D">
            <w:pPr>
              <w:spacing w:before="20" w:after="20"/>
              <w:rPr>
                <w:sz w:val="18"/>
                <w:szCs w:val="18"/>
              </w:rPr>
            </w:pPr>
          </w:p>
        </w:tc>
        <w:tc>
          <w:tcPr>
            <w:tcW w:w="721" w:type="pct"/>
            <w:shd w:val="clear" w:color="auto" w:fill="auto"/>
          </w:tcPr>
          <w:p w14:paraId="0EDD970B" w14:textId="77777777" w:rsidR="00473DAB" w:rsidRPr="00086392" w:rsidRDefault="00473DAB" w:rsidP="00473DAB">
            <w:pPr>
              <w:pStyle w:val="TableBullet"/>
              <w:tabs>
                <w:tab w:val="clear" w:pos="284"/>
                <w:tab w:val="num" w:pos="227"/>
              </w:tabs>
              <w:spacing w:before="20" w:after="20" w:line="252" w:lineRule="auto"/>
              <w:ind w:left="227" w:hanging="227"/>
              <w:rPr>
                <w:szCs w:val="18"/>
              </w:rPr>
            </w:pPr>
            <w:r w:rsidRPr="00086392">
              <w:rPr>
                <w:szCs w:val="18"/>
              </w:rPr>
              <w:t xml:space="preserve">Consider limited duration environmental surveillance around facility or community of exposed person(s). </w:t>
            </w:r>
          </w:p>
        </w:tc>
        <w:tc>
          <w:tcPr>
            <w:tcW w:w="736" w:type="pct"/>
            <w:shd w:val="clear" w:color="auto" w:fill="D9D9D9"/>
          </w:tcPr>
          <w:p w14:paraId="65F84C26" w14:textId="77777777" w:rsidR="00473DAB" w:rsidRPr="00086392" w:rsidRDefault="00473DAB" w:rsidP="00AD201D">
            <w:pPr>
              <w:pStyle w:val="TableText"/>
              <w:spacing w:before="20" w:after="20" w:line="252" w:lineRule="auto"/>
              <w:rPr>
                <w:szCs w:val="18"/>
              </w:rPr>
            </w:pPr>
          </w:p>
        </w:tc>
      </w:tr>
      <w:tr w:rsidR="002D0A37" w:rsidRPr="00086392" w14:paraId="0F3DB88E" w14:textId="77777777" w:rsidTr="002D0A37">
        <w:trPr>
          <w:cantSplit/>
          <w:trHeight w:val="190"/>
        </w:trPr>
        <w:tc>
          <w:tcPr>
            <w:tcW w:w="5000" w:type="pct"/>
            <w:gridSpan w:val="9"/>
            <w:shd w:val="clear" w:color="auto" w:fill="DBE5F1"/>
          </w:tcPr>
          <w:p w14:paraId="3AF2CA0A" w14:textId="77777777" w:rsidR="002D0A37" w:rsidRPr="00086392" w:rsidRDefault="002D0A37" w:rsidP="00AD201D">
            <w:pPr>
              <w:pStyle w:val="TableText"/>
              <w:keepNext/>
              <w:spacing w:before="20" w:after="20" w:line="252" w:lineRule="auto"/>
              <w:rPr>
                <w:b/>
                <w:bCs/>
                <w:szCs w:val="18"/>
              </w:rPr>
            </w:pPr>
            <w:r w:rsidRPr="00086392">
              <w:rPr>
                <w:b/>
                <w:bCs/>
                <w:szCs w:val="18"/>
              </w:rPr>
              <w:lastRenderedPageBreak/>
              <w:t>Enhanced AFP surveillance</w:t>
            </w:r>
          </w:p>
        </w:tc>
      </w:tr>
      <w:tr w:rsidR="00473DAB" w:rsidRPr="00086392" w14:paraId="12871BA2" w14:textId="77777777" w:rsidTr="002D0A37">
        <w:trPr>
          <w:cantSplit/>
          <w:trHeight w:val="1204"/>
        </w:trPr>
        <w:tc>
          <w:tcPr>
            <w:tcW w:w="415" w:type="pct"/>
          </w:tcPr>
          <w:p w14:paraId="4DDDC7AC" w14:textId="77777777" w:rsidR="00473DAB" w:rsidRPr="00086392" w:rsidRDefault="00473DAB" w:rsidP="00AD201D">
            <w:pPr>
              <w:pStyle w:val="TableText"/>
              <w:spacing w:before="20" w:after="20" w:line="252" w:lineRule="auto"/>
              <w:rPr>
                <w:szCs w:val="18"/>
              </w:rPr>
            </w:pPr>
            <w:r w:rsidRPr="00086392">
              <w:rPr>
                <w:szCs w:val="18"/>
              </w:rPr>
              <w:t>Common actions</w:t>
            </w:r>
          </w:p>
        </w:tc>
        <w:tc>
          <w:tcPr>
            <w:tcW w:w="415" w:type="pct"/>
            <w:shd w:val="clear" w:color="auto" w:fill="D9D9D9"/>
          </w:tcPr>
          <w:p w14:paraId="5041F224" w14:textId="77777777" w:rsidR="00473DAB" w:rsidRPr="00086392" w:rsidRDefault="00473DAB" w:rsidP="00AD201D">
            <w:pPr>
              <w:pStyle w:val="TableText"/>
              <w:spacing w:before="20" w:after="20" w:line="252" w:lineRule="auto"/>
              <w:rPr>
                <w:szCs w:val="18"/>
              </w:rPr>
            </w:pPr>
            <w:r w:rsidRPr="00086392">
              <w:rPr>
                <w:szCs w:val="18"/>
              </w:rPr>
              <w:t>No action required</w:t>
            </w:r>
          </w:p>
        </w:tc>
        <w:tc>
          <w:tcPr>
            <w:tcW w:w="525" w:type="pct"/>
          </w:tcPr>
          <w:p w14:paraId="0CF3350F" w14:textId="77777777" w:rsidR="00473DAB" w:rsidRPr="00086392" w:rsidRDefault="00473DAB" w:rsidP="00AD201D">
            <w:pPr>
              <w:pStyle w:val="TableText"/>
              <w:spacing w:before="20" w:after="20" w:line="252" w:lineRule="auto"/>
              <w:rPr>
                <w:szCs w:val="18"/>
              </w:rPr>
            </w:pPr>
          </w:p>
        </w:tc>
        <w:tc>
          <w:tcPr>
            <w:tcW w:w="3645" w:type="pct"/>
            <w:gridSpan w:val="6"/>
          </w:tcPr>
          <w:p w14:paraId="69473C17" w14:textId="3F72E903" w:rsidR="00473DAB" w:rsidRPr="00086392" w:rsidRDefault="00473DAB" w:rsidP="00AD201D">
            <w:pPr>
              <w:pStyle w:val="TableText"/>
              <w:spacing w:before="20" w:after="20" w:line="252" w:lineRule="auto"/>
              <w:rPr>
                <w:szCs w:val="18"/>
              </w:rPr>
            </w:pPr>
            <w:r w:rsidRPr="00086392">
              <w:rPr>
                <w:szCs w:val="18"/>
              </w:rPr>
              <w:t>Actions to improve proportion of cases reported, proportion that have stool samples collected for testing</w:t>
            </w:r>
            <w:r w:rsidR="00443C1B" w:rsidRPr="00086392">
              <w:rPr>
                <w:szCs w:val="18"/>
              </w:rPr>
              <w:t>,</w:t>
            </w:r>
            <w:r w:rsidRPr="00086392">
              <w:rPr>
                <w:szCs w:val="18"/>
              </w:rPr>
              <w:t xml:space="preserve"> and timeliness of reporting and follow-up. This may include:</w:t>
            </w:r>
          </w:p>
          <w:p w14:paraId="6CD92EAC" w14:textId="0DD7F5BE" w:rsidR="00473DAB" w:rsidRPr="00086392" w:rsidRDefault="00473DAB" w:rsidP="00473DAB">
            <w:pPr>
              <w:pStyle w:val="TableBullet"/>
              <w:tabs>
                <w:tab w:val="clear" w:pos="284"/>
                <w:tab w:val="num" w:pos="227"/>
              </w:tabs>
              <w:spacing w:before="20" w:after="20" w:line="252" w:lineRule="auto"/>
              <w:ind w:left="227" w:hanging="227"/>
              <w:rPr>
                <w:szCs w:val="18"/>
              </w:rPr>
            </w:pPr>
            <w:r w:rsidRPr="00086392">
              <w:rPr>
                <w:szCs w:val="18"/>
              </w:rPr>
              <w:t>communications to clinicians</w:t>
            </w:r>
          </w:p>
          <w:p w14:paraId="62E06109" w14:textId="357A2C78" w:rsidR="00473DAB" w:rsidRPr="00086392" w:rsidRDefault="00473DAB" w:rsidP="00473DAB">
            <w:pPr>
              <w:pStyle w:val="TableBullet"/>
              <w:tabs>
                <w:tab w:val="clear" w:pos="284"/>
                <w:tab w:val="num" w:pos="227"/>
              </w:tabs>
              <w:spacing w:before="20" w:after="20" w:line="252" w:lineRule="auto"/>
              <w:ind w:left="227" w:hanging="227"/>
              <w:rPr>
                <w:szCs w:val="18"/>
              </w:rPr>
            </w:pPr>
            <w:r w:rsidRPr="00086392">
              <w:rPr>
                <w:szCs w:val="18"/>
              </w:rPr>
              <w:t>hospital admission surveillance</w:t>
            </w:r>
          </w:p>
          <w:p w14:paraId="54F78D7B" w14:textId="77777777" w:rsidR="00473DAB" w:rsidRPr="00086392" w:rsidRDefault="00473DAB" w:rsidP="00473DAB">
            <w:pPr>
              <w:pStyle w:val="TableBullet"/>
              <w:tabs>
                <w:tab w:val="clear" w:pos="284"/>
                <w:tab w:val="num" w:pos="227"/>
              </w:tabs>
              <w:spacing w:before="20" w:after="20" w:line="252" w:lineRule="auto"/>
              <w:ind w:left="227" w:hanging="227"/>
              <w:rPr>
                <w:szCs w:val="18"/>
              </w:rPr>
            </w:pPr>
            <w:r w:rsidRPr="00086392">
              <w:rPr>
                <w:szCs w:val="18"/>
              </w:rPr>
              <w:t>community outreach and sensitisation</w:t>
            </w:r>
          </w:p>
          <w:p w14:paraId="37FB8126" w14:textId="77777777" w:rsidR="00473DAB" w:rsidRPr="00086392" w:rsidRDefault="00473DAB" w:rsidP="00473DAB">
            <w:pPr>
              <w:pStyle w:val="TableBullet"/>
              <w:tabs>
                <w:tab w:val="clear" w:pos="284"/>
                <w:tab w:val="num" w:pos="227"/>
              </w:tabs>
              <w:spacing w:before="20" w:after="20" w:line="252" w:lineRule="auto"/>
              <w:ind w:left="227" w:hanging="227"/>
              <w:rPr>
                <w:szCs w:val="18"/>
              </w:rPr>
            </w:pPr>
            <w:r w:rsidRPr="00086392">
              <w:rPr>
                <w:szCs w:val="18"/>
              </w:rPr>
              <w:t>expanding AFP surveillance to include adults</w:t>
            </w:r>
          </w:p>
          <w:p w14:paraId="46966400" w14:textId="77777777" w:rsidR="00473DAB" w:rsidRPr="00086392" w:rsidRDefault="00473DAB" w:rsidP="00473DAB">
            <w:pPr>
              <w:pStyle w:val="TableBullet"/>
              <w:tabs>
                <w:tab w:val="clear" w:pos="284"/>
                <w:tab w:val="num" w:pos="227"/>
              </w:tabs>
              <w:spacing w:before="20" w:after="20" w:line="252" w:lineRule="auto"/>
              <w:ind w:left="227" w:hanging="227"/>
              <w:rPr>
                <w:szCs w:val="18"/>
              </w:rPr>
            </w:pPr>
            <w:r w:rsidRPr="00086392">
              <w:rPr>
                <w:szCs w:val="18"/>
              </w:rPr>
              <w:t>legal instruments to improve surveillance.</w:t>
            </w:r>
          </w:p>
        </w:tc>
      </w:tr>
      <w:tr w:rsidR="002D0A37" w:rsidRPr="00086392" w14:paraId="0965F788" w14:textId="77777777" w:rsidTr="002D0A37">
        <w:trPr>
          <w:cantSplit/>
          <w:trHeight w:val="190"/>
        </w:trPr>
        <w:tc>
          <w:tcPr>
            <w:tcW w:w="5000" w:type="pct"/>
            <w:gridSpan w:val="9"/>
            <w:shd w:val="clear" w:color="auto" w:fill="DBE5F1"/>
          </w:tcPr>
          <w:p w14:paraId="6861C240" w14:textId="77777777" w:rsidR="002D0A37" w:rsidRPr="00086392" w:rsidRDefault="002D0A37" w:rsidP="00AD201D">
            <w:pPr>
              <w:pStyle w:val="TableText"/>
              <w:keepNext/>
              <w:spacing w:before="20" w:after="20" w:line="252" w:lineRule="auto"/>
              <w:rPr>
                <w:b/>
                <w:bCs/>
                <w:szCs w:val="18"/>
              </w:rPr>
            </w:pPr>
            <w:r w:rsidRPr="00086392">
              <w:rPr>
                <w:b/>
                <w:bCs/>
                <w:szCs w:val="18"/>
              </w:rPr>
              <w:t xml:space="preserve">Communications </w:t>
            </w:r>
            <w:r w:rsidRPr="00B85F31">
              <w:rPr>
                <w:b/>
                <w:bCs/>
                <w:szCs w:val="18"/>
              </w:rPr>
              <w:t>(details contained within communications plan)</w:t>
            </w:r>
          </w:p>
        </w:tc>
      </w:tr>
      <w:tr w:rsidR="006F3136" w:rsidRPr="00086392" w14:paraId="0181C7DE" w14:textId="77777777" w:rsidTr="002D0A37">
        <w:trPr>
          <w:cantSplit/>
          <w:trHeight w:val="998"/>
        </w:trPr>
        <w:tc>
          <w:tcPr>
            <w:tcW w:w="415" w:type="pct"/>
          </w:tcPr>
          <w:p w14:paraId="27D5CD90" w14:textId="77777777" w:rsidR="00473DAB" w:rsidRPr="00086392" w:rsidRDefault="00473DAB" w:rsidP="00AD201D">
            <w:pPr>
              <w:pStyle w:val="TableText"/>
              <w:spacing w:before="20" w:after="20" w:line="252" w:lineRule="auto"/>
              <w:rPr>
                <w:szCs w:val="18"/>
              </w:rPr>
            </w:pPr>
            <w:r w:rsidRPr="00086392">
              <w:rPr>
                <w:szCs w:val="18"/>
              </w:rPr>
              <w:t>Common actions</w:t>
            </w:r>
          </w:p>
        </w:tc>
        <w:tc>
          <w:tcPr>
            <w:tcW w:w="415" w:type="pct"/>
            <w:shd w:val="clear" w:color="auto" w:fill="D9D9D9"/>
          </w:tcPr>
          <w:p w14:paraId="503BC6C8" w14:textId="77777777" w:rsidR="00473DAB" w:rsidRPr="00086392" w:rsidRDefault="00473DAB" w:rsidP="00AD201D">
            <w:pPr>
              <w:pStyle w:val="TableText"/>
              <w:spacing w:before="20" w:after="20" w:line="252" w:lineRule="auto"/>
              <w:rPr>
                <w:szCs w:val="18"/>
              </w:rPr>
            </w:pPr>
            <w:r w:rsidRPr="00086392">
              <w:rPr>
                <w:szCs w:val="18"/>
              </w:rPr>
              <w:t>No action required</w:t>
            </w:r>
          </w:p>
        </w:tc>
        <w:tc>
          <w:tcPr>
            <w:tcW w:w="525" w:type="pct"/>
          </w:tcPr>
          <w:p w14:paraId="2045CCB6" w14:textId="77777777" w:rsidR="00473DAB" w:rsidRPr="00086392" w:rsidRDefault="00473DAB" w:rsidP="00AD201D">
            <w:pPr>
              <w:pStyle w:val="TableText"/>
              <w:spacing w:before="20" w:after="20" w:line="252" w:lineRule="auto"/>
              <w:rPr>
                <w:szCs w:val="18"/>
              </w:rPr>
            </w:pPr>
          </w:p>
        </w:tc>
        <w:tc>
          <w:tcPr>
            <w:tcW w:w="2909" w:type="pct"/>
            <w:gridSpan w:val="5"/>
          </w:tcPr>
          <w:p w14:paraId="30CB24BB" w14:textId="3DAEA6DC" w:rsidR="00473DAB" w:rsidRPr="00086392" w:rsidRDefault="00473DAB" w:rsidP="00473DAB">
            <w:pPr>
              <w:pStyle w:val="TableBullet"/>
              <w:tabs>
                <w:tab w:val="clear" w:pos="284"/>
                <w:tab w:val="num" w:pos="227"/>
              </w:tabs>
              <w:spacing w:before="20" w:after="20" w:line="252" w:lineRule="auto"/>
              <w:ind w:left="227" w:hanging="227"/>
              <w:rPr>
                <w:szCs w:val="18"/>
              </w:rPr>
            </w:pPr>
            <w:r w:rsidRPr="00086392">
              <w:rPr>
                <w:szCs w:val="18"/>
              </w:rPr>
              <w:t>Provide key messaging around poliovirus and AFP to public and media.</w:t>
            </w:r>
          </w:p>
          <w:p w14:paraId="7C4CDFC3" w14:textId="15E122DC" w:rsidR="00473DAB" w:rsidRPr="00086392" w:rsidRDefault="00473DAB" w:rsidP="00473DAB">
            <w:pPr>
              <w:pStyle w:val="TableBullet"/>
              <w:tabs>
                <w:tab w:val="clear" w:pos="284"/>
                <w:tab w:val="num" w:pos="227"/>
              </w:tabs>
              <w:spacing w:before="20" w:after="20" w:line="252" w:lineRule="auto"/>
              <w:ind w:left="227" w:hanging="227"/>
              <w:rPr>
                <w:szCs w:val="18"/>
              </w:rPr>
            </w:pPr>
            <w:r w:rsidRPr="00086392">
              <w:rPr>
                <w:szCs w:val="18"/>
              </w:rPr>
              <w:t>Promote uptake in vaccinations, with targeted campaigns for communities who may be at greater risk of acquiring poliovirus and/or at greater risk of poorer outcomes.</w:t>
            </w:r>
          </w:p>
          <w:p w14:paraId="2C314722" w14:textId="73F007AD" w:rsidR="00473DAB" w:rsidRPr="00086392" w:rsidRDefault="00473DAB" w:rsidP="00473DAB">
            <w:pPr>
              <w:pStyle w:val="TableBullet"/>
              <w:tabs>
                <w:tab w:val="clear" w:pos="284"/>
                <w:tab w:val="num" w:pos="227"/>
              </w:tabs>
              <w:spacing w:before="20" w:after="20" w:line="252" w:lineRule="auto"/>
              <w:ind w:left="227" w:hanging="227"/>
              <w:rPr>
                <w:szCs w:val="18"/>
              </w:rPr>
            </w:pPr>
            <w:r w:rsidRPr="00086392">
              <w:rPr>
                <w:szCs w:val="18"/>
              </w:rPr>
              <w:t>Provide communications to the health sector, including public health services, clinicians and lab.</w:t>
            </w:r>
          </w:p>
          <w:p w14:paraId="7982B099" w14:textId="315B2694" w:rsidR="00473DAB" w:rsidRPr="00086392" w:rsidRDefault="00473DAB" w:rsidP="00473DAB">
            <w:pPr>
              <w:pStyle w:val="TableBullet"/>
              <w:tabs>
                <w:tab w:val="clear" w:pos="284"/>
                <w:tab w:val="num" w:pos="227"/>
              </w:tabs>
              <w:spacing w:before="20" w:after="20" w:line="252" w:lineRule="auto"/>
              <w:ind w:left="227" w:hanging="227"/>
              <w:rPr>
                <w:szCs w:val="18"/>
              </w:rPr>
            </w:pPr>
            <w:r w:rsidRPr="00086392">
              <w:rPr>
                <w:szCs w:val="18"/>
              </w:rPr>
              <w:t xml:space="preserve">Translate all communications into </w:t>
            </w:r>
            <w:r w:rsidR="00443C1B" w:rsidRPr="00086392">
              <w:rPr>
                <w:szCs w:val="18"/>
              </w:rPr>
              <w:t xml:space="preserve">alternative </w:t>
            </w:r>
            <w:r w:rsidRPr="00086392">
              <w:rPr>
                <w:szCs w:val="18"/>
              </w:rPr>
              <w:t>formats and other languages (where possible prepare prior).</w:t>
            </w:r>
          </w:p>
        </w:tc>
        <w:tc>
          <w:tcPr>
            <w:tcW w:w="736" w:type="pct"/>
            <w:shd w:val="clear" w:color="auto" w:fill="D9D9D9"/>
          </w:tcPr>
          <w:p w14:paraId="25BDE834" w14:textId="77777777" w:rsidR="00473DAB" w:rsidRPr="00086392" w:rsidRDefault="00473DAB" w:rsidP="00AD201D">
            <w:pPr>
              <w:pStyle w:val="TableText"/>
              <w:spacing w:before="20" w:after="20" w:line="252" w:lineRule="auto"/>
              <w:rPr>
                <w:szCs w:val="18"/>
              </w:rPr>
            </w:pPr>
            <w:r w:rsidRPr="00086392">
              <w:rPr>
                <w:szCs w:val="18"/>
              </w:rPr>
              <w:t>None specifically required</w:t>
            </w:r>
          </w:p>
        </w:tc>
      </w:tr>
      <w:tr w:rsidR="006F3136" w:rsidRPr="00086392" w14:paraId="75E24BFE" w14:textId="77777777" w:rsidTr="002D0A37">
        <w:trPr>
          <w:cantSplit/>
          <w:trHeight w:val="1394"/>
        </w:trPr>
        <w:tc>
          <w:tcPr>
            <w:tcW w:w="415" w:type="pct"/>
          </w:tcPr>
          <w:p w14:paraId="6ADD533B" w14:textId="77777777" w:rsidR="00473DAB" w:rsidRPr="00086392" w:rsidRDefault="00473DAB" w:rsidP="00AD201D">
            <w:pPr>
              <w:pStyle w:val="TableText"/>
              <w:spacing w:before="20" w:after="20" w:line="252" w:lineRule="auto"/>
              <w:rPr>
                <w:szCs w:val="18"/>
              </w:rPr>
            </w:pPr>
            <w:r w:rsidRPr="00086392">
              <w:rPr>
                <w:szCs w:val="18"/>
              </w:rPr>
              <w:lastRenderedPageBreak/>
              <w:t>Key differences</w:t>
            </w:r>
          </w:p>
        </w:tc>
        <w:tc>
          <w:tcPr>
            <w:tcW w:w="415" w:type="pct"/>
            <w:shd w:val="clear" w:color="auto" w:fill="D9D9D9"/>
          </w:tcPr>
          <w:p w14:paraId="47CEF87E" w14:textId="77777777" w:rsidR="00473DAB" w:rsidRPr="00086392" w:rsidRDefault="00473DAB" w:rsidP="00AD201D">
            <w:pPr>
              <w:pStyle w:val="TableText"/>
              <w:spacing w:before="20" w:after="20" w:line="252" w:lineRule="auto"/>
              <w:rPr>
                <w:szCs w:val="18"/>
              </w:rPr>
            </w:pPr>
          </w:p>
        </w:tc>
        <w:tc>
          <w:tcPr>
            <w:tcW w:w="525" w:type="pct"/>
          </w:tcPr>
          <w:p w14:paraId="6A1FDB1A" w14:textId="77777777" w:rsidR="00473DAB" w:rsidRPr="00086392" w:rsidRDefault="00473DAB" w:rsidP="00AD201D">
            <w:pPr>
              <w:pStyle w:val="TableText"/>
              <w:spacing w:before="20" w:after="20" w:line="252" w:lineRule="auto"/>
              <w:rPr>
                <w:szCs w:val="18"/>
              </w:rPr>
            </w:pPr>
          </w:p>
        </w:tc>
        <w:tc>
          <w:tcPr>
            <w:tcW w:w="1156" w:type="pct"/>
            <w:gridSpan w:val="2"/>
          </w:tcPr>
          <w:p w14:paraId="632572C6" w14:textId="77777777" w:rsidR="00473DAB" w:rsidRPr="00086392" w:rsidRDefault="00473DAB" w:rsidP="00473DAB">
            <w:pPr>
              <w:pStyle w:val="TableBullet"/>
              <w:tabs>
                <w:tab w:val="clear" w:pos="284"/>
                <w:tab w:val="num" w:pos="227"/>
              </w:tabs>
              <w:spacing w:before="20" w:after="20" w:line="252" w:lineRule="auto"/>
              <w:ind w:left="227" w:hanging="227"/>
              <w:rPr>
                <w:szCs w:val="18"/>
              </w:rPr>
            </w:pPr>
            <w:r w:rsidRPr="00086392">
              <w:rPr>
                <w:szCs w:val="18"/>
              </w:rPr>
              <w:t>Targeted communications in community associated with detection.</w:t>
            </w:r>
          </w:p>
        </w:tc>
        <w:tc>
          <w:tcPr>
            <w:tcW w:w="1032" w:type="pct"/>
            <w:gridSpan w:val="2"/>
          </w:tcPr>
          <w:p w14:paraId="2EB0F936" w14:textId="77777777" w:rsidR="00473DAB" w:rsidRPr="00086392" w:rsidRDefault="00473DAB" w:rsidP="00473DAB">
            <w:pPr>
              <w:pStyle w:val="TableBullet"/>
              <w:tabs>
                <w:tab w:val="clear" w:pos="284"/>
                <w:tab w:val="num" w:pos="227"/>
              </w:tabs>
              <w:spacing w:before="20" w:after="20" w:line="252" w:lineRule="auto"/>
              <w:ind w:left="227" w:hanging="227"/>
              <w:rPr>
                <w:szCs w:val="18"/>
              </w:rPr>
            </w:pPr>
            <w:r w:rsidRPr="00086392">
              <w:rPr>
                <w:szCs w:val="18"/>
              </w:rPr>
              <w:t>Targeted communications in community associated with case.</w:t>
            </w:r>
          </w:p>
        </w:tc>
        <w:tc>
          <w:tcPr>
            <w:tcW w:w="721" w:type="pct"/>
          </w:tcPr>
          <w:p w14:paraId="565559F1" w14:textId="77777777" w:rsidR="00473DAB" w:rsidRPr="00086392" w:rsidRDefault="00473DAB" w:rsidP="00473DAB">
            <w:pPr>
              <w:pStyle w:val="TableBullet"/>
              <w:tabs>
                <w:tab w:val="clear" w:pos="284"/>
                <w:tab w:val="num" w:pos="227"/>
              </w:tabs>
              <w:spacing w:before="20" w:after="20" w:line="252" w:lineRule="auto"/>
              <w:ind w:left="227" w:hanging="227"/>
              <w:rPr>
                <w:szCs w:val="18"/>
              </w:rPr>
            </w:pPr>
            <w:r w:rsidRPr="00086392">
              <w:rPr>
                <w:szCs w:val="18"/>
              </w:rPr>
              <w:t>May need to respond to media attention around this, but important to keep identity of exposed person(s) confidential as possible.</w:t>
            </w:r>
          </w:p>
        </w:tc>
        <w:tc>
          <w:tcPr>
            <w:tcW w:w="736" w:type="pct"/>
            <w:shd w:val="clear" w:color="auto" w:fill="auto"/>
          </w:tcPr>
          <w:p w14:paraId="23685DC6" w14:textId="10E3B95C" w:rsidR="00473DAB" w:rsidRPr="00086392" w:rsidRDefault="00473DAB" w:rsidP="00473DAB">
            <w:pPr>
              <w:pStyle w:val="TableBullet"/>
              <w:tabs>
                <w:tab w:val="clear" w:pos="284"/>
                <w:tab w:val="num" w:pos="227"/>
              </w:tabs>
              <w:spacing w:before="20" w:after="20" w:line="252" w:lineRule="auto"/>
              <w:ind w:left="227" w:hanging="227"/>
              <w:rPr>
                <w:szCs w:val="18"/>
              </w:rPr>
            </w:pPr>
            <w:r w:rsidRPr="00086392">
              <w:rPr>
                <w:szCs w:val="18"/>
              </w:rPr>
              <w:t xml:space="preserve">May require response to media attention (if arises) and/or proactive </w:t>
            </w:r>
            <w:r w:rsidR="00086392" w:rsidRPr="00086392">
              <w:rPr>
                <w:szCs w:val="18"/>
              </w:rPr>
              <w:t xml:space="preserve">communications </w:t>
            </w:r>
            <w:r w:rsidRPr="00086392">
              <w:rPr>
                <w:szCs w:val="18"/>
              </w:rPr>
              <w:t>to the health sector if enhancing AFP surveillance.</w:t>
            </w:r>
          </w:p>
        </w:tc>
      </w:tr>
      <w:tr w:rsidR="002D0A37" w:rsidRPr="00086392" w14:paraId="1F7CF5D2" w14:textId="77777777" w:rsidTr="002D0A37">
        <w:trPr>
          <w:cantSplit/>
          <w:trHeight w:val="264"/>
        </w:trPr>
        <w:tc>
          <w:tcPr>
            <w:tcW w:w="5000" w:type="pct"/>
            <w:gridSpan w:val="9"/>
            <w:shd w:val="clear" w:color="auto" w:fill="DBE5F1"/>
          </w:tcPr>
          <w:p w14:paraId="267988AC" w14:textId="77777777" w:rsidR="002D0A37" w:rsidRPr="00086392" w:rsidRDefault="002D0A37" w:rsidP="00AD201D">
            <w:pPr>
              <w:pStyle w:val="TableText"/>
              <w:keepNext/>
              <w:spacing w:before="20" w:after="20" w:line="252" w:lineRule="auto"/>
              <w:rPr>
                <w:b/>
                <w:bCs/>
                <w:szCs w:val="18"/>
              </w:rPr>
            </w:pPr>
            <w:r w:rsidRPr="00086392">
              <w:rPr>
                <w:b/>
                <w:bCs/>
                <w:szCs w:val="18"/>
              </w:rPr>
              <w:t>Immunisation</w:t>
            </w:r>
          </w:p>
        </w:tc>
      </w:tr>
      <w:tr w:rsidR="00473DAB" w:rsidRPr="00086392" w14:paraId="36F90FF4" w14:textId="77777777" w:rsidTr="002D0A37">
        <w:trPr>
          <w:cantSplit/>
          <w:trHeight w:val="190"/>
        </w:trPr>
        <w:tc>
          <w:tcPr>
            <w:tcW w:w="415" w:type="pct"/>
          </w:tcPr>
          <w:p w14:paraId="17EF29C5" w14:textId="77777777" w:rsidR="00473DAB" w:rsidRPr="00086392" w:rsidRDefault="00473DAB" w:rsidP="00AD201D">
            <w:pPr>
              <w:pStyle w:val="TableText"/>
              <w:spacing w:before="20" w:after="20" w:line="252" w:lineRule="auto"/>
              <w:rPr>
                <w:szCs w:val="18"/>
              </w:rPr>
            </w:pPr>
            <w:r w:rsidRPr="00086392">
              <w:rPr>
                <w:szCs w:val="18"/>
              </w:rPr>
              <w:t>Common actions</w:t>
            </w:r>
          </w:p>
        </w:tc>
        <w:tc>
          <w:tcPr>
            <w:tcW w:w="415" w:type="pct"/>
            <w:shd w:val="clear" w:color="auto" w:fill="D9D9D9"/>
          </w:tcPr>
          <w:p w14:paraId="4D22320C" w14:textId="77777777" w:rsidR="00473DAB" w:rsidRPr="00086392" w:rsidRDefault="00473DAB" w:rsidP="00AD201D">
            <w:pPr>
              <w:pStyle w:val="TableText"/>
              <w:spacing w:before="20" w:after="20" w:line="252" w:lineRule="auto"/>
              <w:rPr>
                <w:szCs w:val="18"/>
              </w:rPr>
            </w:pPr>
            <w:r w:rsidRPr="00086392">
              <w:rPr>
                <w:szCs w:val="18"/>
              </w:rPr>
              <w:t>No action required</w:t>
            </w:r>
            <w:r w:rsidRPr="00086392" w:rsidDel="006270CE">
              <w:rPr>
                <w:szCs w:val="18"/>
              </w:rPr>
              <w:t xml:space="preserve"> </w:t>
            </w:r>
          </w:p>
        </w:tc>
        <w:tc>
          <w:tcPr>
            <w:tcW w:w="525" w:type="pct"/>
          </w:tcPr>
          <w:p w14:paraId="33E6DB24" w14:textId="77777777" w:rsidR="00473DAB" w:rsidRPr="00086392" w:rsidRDefault="00473DAB" w:rsidP="00AD201D">
            <w:pPr>
              <w:pStyle w:val="TableText"/>
              <w:spacing w:before="20" w:after="20" w:line="252" w:lineRule="auto"/>
              <w:rPr>
                <w:szCs w:val="18"/>
              </w:rPr>
            </w:pPr>
          </w:p>
        </w:tc>
        <w:tc>
          <w:tcPr>
            <w:tcW w:w="3645" w:type="pct"/>
            <w:gridSpan w:val="6"/>
          </w:tcPr>
          <w:p w14:paraId="3A71B351" w14:textId="77777777" w:rsidR="00473DAB" w:rsidRPr="00086392" w:rsidRDefault="00473DAB" w:rsidP="00473DAB">
            <w:pPr>
              <w:pStyle w:val="TableBullet"/>
              <w:tabs>
                <w:tab w:val="clear" w:pos="284"/>
                <w:tab w:val="num" w:pos="227"/>
              </w:tabs>
              <w:spacing w:before="20" w:after="20" w:line="252" w:lineRule="auto"/>
              <w:ind w:left="227" w:hanging="227"/>
              <w:rPr>
                <w:szCs w:val="18"/>
              </w:rPr>
            </w:pPr>
            <w:r w:rsidRPr="00086392">
              <w:rPr>
                <w:szCs w:val="18"/>
              </w:rPr>
              <w:t>Increased national campaign plus locally targeted campaigns</w:t>
            </w:r>
          </w:p>
        </w:tc>
      </w:tr>
      <w:tr w:rsidR="008C12C4" w:rsidRPr="00086392" w14:paraId="4F7FB38E" w14:textId="77777777" w:rsidTr="002D0A37">
        <w:trPr>
          <w:cantSplit/>
          <w:trHeight w:val="587"/>
        </w:trPr>
        <w:tc>
          <w:tcPr>
            <w:tcW w:w="415" w:type="pct"/>
          </w:tcPr>
          <w:p w14:paraId="0BE5E234" w14:textId="77777777" w:rsidR="00473DAB" w:rsidRPr="00086392" w:rsidRDefault="00473DAB" w:rsidP="00AD201D">
            <w:pPr>
              <w:pStyle w:val="TableText"/>
              <w:spacing w:before="20" w:after="20" w:line="252" w:lineRule="auto"/>
              <w:rPr>
                <w:szCs w:val="18"/>
              </w:rPr>
            </w:pPr>
            <w:r w:rsidRPr="00086392">
              <w:rPr>
                <w:szCs w:val="18"/>
              </w:rPr>
              <w:t>Key differences</w:t>
            </w:r>
          </w:p>
        </w:tc>
        <w:tc>
          <w:tcPr>
            <w:tcW w:w="415" w:type="pct"/>
            <w:shd w:val="clear" w:color="auto" w:fill="D9D9D9"/>
          </w:tcPr>
          <w:p w14:paraId="0D23A136" w14:textId="77777777" w:rsidR="00473DAB" w:rsidRPr="00086392" w:rsidRDefault="00473DAB" w:rsidP="00AD201D">
            <w:pPr>
              <w:pStyle w:val="TableText"/>
              <w:spacing w:before="20" w:after="20" w:line="252" w:lineRule="auto"/>
              <w:rPr>
                <w:szCs w:val="18"/>
              </w:rPr>
            </w:pPr>
          </w:p>
        </w:tc>
        <w:tc>
          <w:tcPr>
            <w:tcW w:w="525" w:type="pct"/>
          </w:tcPr>
          <w:p w14:paraId="2AEC5090" w14:textId="77777777" w:rsidR="00473DAB" w:rsidRPr="00086392" w:rsidRDefault="00473DAB" w:rsidP="00AD201D">
            <w:pPr>
              <w:pStyle w:val="TableText"/>
              <w:spacing w:before="20" w:after="20" w:line="252" w:lineRule="auto"/>
              <w:rPr>
                <w:szCs w:val="18"/>
              </w:rPr>
            </w:pPr>
          </w:p>
        </w:tc>
        <w:tc>
          <w:tcPr>
            <w:tcW w:w="479" w:type="pct"/>
          </w:tcPr>
          <w:p w14:paraId="46DB63C7" w14:textId="77777777" w:rsidR="00473DAB" w:rsidRPr="00086392" w:rsidRDefault="00473DAB" w:rsidP="00AD201D">
            <w:pPr>
              <w:pStyle w:val="TableText"/>
              <w:spacing w:before="20" w:after="20" w:line="252" w:lineRule="auto"/>
              <w:rPr>
                <w:szCs w:val="18"/>
              </w:rPr>
            </w:pPr>
          </w:p>
        </w:tc>
        <w:tc>
          <w:tcPr>
            <w:tcW w:w="678" w:type="pct"/>
          </w:tcPr>
          <w:p w14:paraId="698F9D5C" w14:textId="77777777" w:rsidR="00473DAB" w:rsidRPr="00086392" w:rsidRDefault="00473DAB" w:rsidP="00473DAB">
            <w:pPr>
              <w:pStyle w:val="TableBullet"/>
              <w:tabs>
                <w:tab w:val="clear" w:pos="284"/>
                <w:tab w:val="num" w:pos="227"/>
              </w:tabs>
              <w:spacing w:before="20" w:after="20" w:line="252" w:lineRule="auto"/>
              <w:ind w:left="227" w:hanging="227"/>
              <w:rPr>
                <w:szCs w:val="18"/>
              </w:rPr>
            </w:pPr>
            <w:r w:rsidRPr="00086392">
              <w:rPr>
                <w:szCs w:val="18"/>
              </w:rPr>
              <w:t xml:space="preserve">Supplementary immunisation activities </w:t>
            </w:r>
          </w:p>
        </w:tc>
        <w:tc>
          <w:tcPr>
            <w:tcW w:w="456" w:type="pct"/>
          </w:tcPr>
          <w:p w14:paraId="4594CAFB" w14:textId="77777777" w:rsidR="00473DAB" w:rsidRPr="00086392" w:rsidRDefault="00473DAB" w:rsidP="00AD201D">
            <w:pPr>
              <w:pStyle w:val="TableText"/>
              <w:spacing w:before="20" w:after="20" w:line="252" w:lineRule="auto"/>
              <w:rPr>
                <w:szCs w:val="18"/>
              </w:rPr>
            </w:pPr>
          </w:p>
        </w:tc>
        <w:tc>
          <w:tcPr>
            <w:tcW w:w="576" w:type="pct"/>
          </w:tcPr>
          <w:p w14:paraId="783BE2FC" w14:textId="77777777" w:rsidR="00473DAB" w:rsidRPr="00086392" w:rsidRDefault="00473DAB" w:rsidP="00473DAB">
            <w:pPr>
              <w:pStyle w:val="TableBullet"/>
              <w:tabs>
                <w:tab w:val="clear" w:pos="284"/>
                <w:tab w:val="num" w:pos="227"/>
              </w:tabs>
              <w:spacing w:before="20" w:after="20" w:line="252" w:lineRule="auto"/>
              <w:ind w:left="227" w:hanging="227"/>
              <w:rPr>
                <w:szCs w:val="18"/>
              </w:rPr>
            </w:pPr>
            <w:r w:rsidRPr="00086392">
              <w:rPr>
                <w:szCs w:val="18"/>
              </w:rPr>
              <w:t xml:space="preserve">Supplementary immunisation activities </w:t>
            </w:r>
          </w:p>
        </w:tc>
        <w:tc>
          <w:tcPr>
            <w:tcW w:w="721" w:type="pct"/>
          </w:tcPr>
          <w:p w14:paraId="2C7FDBA7" w14:textId="50138823" w:rsidR="00473DAB" w:rsidRPr="00086392" w:rsidRDefault="00473DAB" w:rsidP="00473DAB">
            <w:pPr>
              <w:pStyle w:val="TableBullet"/>
              <w:tabs>
                <w:tab w:val="clear" w:pos="284"/>
                <w:tab w:val="num" w:pos="227"/>
              </w:tabs>
              <w:spacing w:before="20" w:after="20" w:line="252" w:lineRule="auto"/>
              <w:ind w:left="227" w:hanging="227"/>
              <w:rPr>
                <w:szCs w:val="18"/>
              </w:rPr>
            </w:pPr>
            <w:r w:rsidRPr="00086392">
              <w:rPr>
                <w:szCs w:val="18"/>
              </w:rPr>
              <w:t>Appropriate vaccination of contacts</w:t>
            </w:r>
            <w:r w:rsidRPr="00184D75">
              <w:rPr>
                <w:szCs w:val="18"/>
                <w:vertAlign w:val="superscript"/>
              </w:rPr>
              <w:t>f</w:t>
            </w:r>
          </w:p>
        </w:tc>
        <w:tc>
          <w:tcPr>
            <w:tcW w:w="736" w:type="pct"/>
          </w:tcPr>
          <w:p w14:paraId="401A641E" w14:textId="17733727" w:rsidR="00473DAB" w:rsidRPr="00086392" w:rsidRDefault="001179C2" w:rsidP="00473DAB">
            <w:pPr>
              <w:pStyle w:val="TableBullet"/>
              <w:tabs>
                <w:tab w:val="clear" w:pos="284"/>
                <w:tab w:val="num" w:pos="227"/>
              </w:tabs>
              <w:spacing w:before="20" w:after="20" w:line="252" w:lineRule="auto"/>
              <w:ind w:left="227" w:hanging="227"/>
              <w:rPr>
                <w:szCs w:val="18"/>
              </w:rPr>
            </w:pPr>
            <w:r w:rsidRPr="001179C2">
              <w:rPr>
                <w:szCs w:val="18"/>
              </w:rPr>
              <w:t>Appropriate vaccination of exposed person with or without vaccination of contacts</w:t>
            </w:r>
            <w:r>
              <w:rPr>
                <w:szCs w:val="18"/>
              </w:rPr>
              <w:t>.</w:t>
            </w:r>
          </w:p>
        </w:tc>
      </w:tr>
    </w:tbl>
    <w:bookmarkEnd w:id="15"/>
    <w:p w14:paraId="659003BD" w14:textId="7CF4F657" w:rsidR="00386D81" w:rsidRDefault="00386D81" w:rsidP="00B85F31">
      <w:pPr>
        <w:spacing w:before="60"/>
        <w:rPr>
          <w:sz w:val="18"/>
          <w:szCs w:val="18"/>
        </w:rPr>
      </w:pPr>
      <w:r w:rsidRPr="00B85F31">
        <w:rPr>
          <w:b/>
          <w:bCs/>
          <w:sz w:val="18"/>
          <w:szCs w:val="18"/>
        </w:rPr>
        <w:lastRenderedPageBreak/>
        <w:t>Key:</w:t>
      </w:r>
      <w:r w:rsidRPr="00B61255">
        <w:rPr>
          <w:sz w:val="18"/>
          <w:szCs w:val="18"/>
        </w:rPr>
        <w:t xml:space="preserve"> AFP</w:t>
      </w:r>
      <w:r>
        <w:rPr>
          <w:sz w:val="18"/>
          <w:szCs w:val="18"/>
        </w:rPr>
        <w:t xml:space="preserve"> =</w:t>
      </w:r>
      <w:r w:rsidRPr="00B61255">
        <w:rPr>
          <w:sz w:val="18"/>
          <w:szCs w:val="18"/>
        </w:rPr>
        <w:t xml:space="preserve"> </w:t>
      </w:r>
      <w:r>
        <w:rPr>
          <w:sz w:val="18"/>
          <w:szCs w:val="18"/>
        </w:rPr>
        <w:t>a</w:t>
      </w:r>
      <w:r w:rsidRPr="00B61255">
        <w:rPr>
          <w:sz w:val="18"/>
          <w:szCs w:val="18"/>
        </w:rPr>
        <w:t xml:space="preserve">cute </w:t>
      </w:r>
      <w:r>
        <w:rPr>
          <w:sz w:val="18"/>
          <w:szCs w:val="18"/>
        </w:rPr>
        <w:t>f</w:t>
      </w:r>
      <w:r w:rsidRPr="00B61255">
        <w:rPr>
          <w:sz w:val="18"/>
          <w:szCs w:val="18"/>
        </w:rPr>
        <w:t xml:space="preserve">laccid </w:t>
      </w:r>
      <w:r>
        <w:rPr>
          <w:sz w:val="18"/>
          <w:szCs w:val="18"/>
        </w:rPr>
        <w:t>p</w:t>
      </w:r>
      <w:r w:rsidRPr="00B61255">
        <w:rPr>
          <w:sz w:val="18"/>
          <w:szCs w:val="18"/>
        </w:rPr>
        <w:t>aralysis</w:t>
      </w:r>
      <w:r>
        <w:rPr>
          <w:sz w:val="18"/>
          <w:szCs w:val="18"/>
        </w:rPr>
        <w:t xml:space="preserve">; </w:t>
      </w:r>
      <w:r w:rsidRPr="00AC0451">
        <w:rPr>
          <w:sz w:val="18"/>
          <w:szCs w:val="18"/>
        </w:rPr>
        <w:t xml:space="preserve">aVDPV </w:t>
      </w:r>
      <w:r>
        <w:rPr>
          <w:sz w:val="18"/>
          <w:szCs w:val="18"/>
        </w:rPr>
        <w:t xml:space="preserve">= ambiguous </w:t>
      </w:r>
      <w:r w:rsidRPr="00AC0451">
        <w:rPr>
          <w:sz w:val="18"/>
          <w:szCs w:val="18"/>
        </w:rPr>
        <w:t>vaccine-derived poliovirus</w:t>
      </w:r>
      <w:r>
        <w:rPr>
          <w:sz w:val="18"/>
          <w:szCs w:val="18"/>
        </w:rPr>
        <w:t xml:space="preserve">; </w:t>
      </w:r>
      <w:r w:rsidRPr="00D50117">
        <w:rPr>
          <w:sz w:val="18"/>
          <w:szCs w:val="18"/>
        </w:rPr>
        <w:t xml:space="preserve">cVDPV </w:t>
      </w:r>
      <w:r>
        <w:rPr>
          <w:sz w:val="18"/>
          <w:szCs w:val="18"/>
        </w:rPr>
        <w:t xml:space="preserve">= circulating </w:t>
      </w:r>
      <w:r w:rsidRPr="00D50117">
        <w:rPr>
          <w:sz w:val="18"/>
          <w:szCs w:val="18"/>
        </w:rPr>
        <w:t>vaccine-derived poliovirus</w:t>
      </w:r>
      <w:r>
        <w:rPr>
          <w:sz w:val="18"/>
          <w:szCs w:val="18"/>
        </w:rPr>
        <w:t>;</w:t>
      </w:r>
      <w:r w:rsidRPr="00E66E64">
        <w:t xml:space="preserve"> </w:t>
      </w:r>
      <w:r w:rsidRPr="00E66E64">
        <w:rPr>
          <w:sz w:val="18"/>
          <w:szCs w:val="18"/>
        </w:rPr>
        <w:t>iVDPV</w:t>
      </w:r>
      <w:r w:rsidRPr="00D50117">
        <w:rPr>
          <w:sz w:val="18"/>
          <w:szCs w:val="18"/>
        </w:rPr>
        <w:t xml:space="preserve"> </w:t>
      </w:r>
      <w:r>
        <w:rPr>
          <w:sz w:val="18"/>
          <w:szCs w:val="18"/>
        </w:rPr>
        <w:t>=</w:t>
      </w:r>
      <w:r w:rsidRPr="00E66E64">
        <w:t xml:space="preserve"> </w:t>
      </w:r>
      <w:r w:rsidRPr="00E66E64">
        <w:rPr>
          <w:sz w:val="18"/>
          <w:szCs w:val="18"/>
        </w:rPr>
        <w:t>immune-deficiency associated</w:t>
      </w:r>
      <w:r>
        <w:rPr>
          <w:sz w:val="18"/>
          <w:szCs w:val="18"/>
        </w:rPr>
        <w:t xml:space="preserve"> </w:t>
      </w:r>
      <w:r w:rsidRPr="00E66E64">
        <w:rPr>
          <w:sz w:val="18"/>
          <w:szCs w:val="18"/>
        </w:rPr>
        <w:t>vaccine-derived poliovirus</w:t>
      </w:r>
      <w:r>
        <w:rPr>
          <w:sz w:val="18"/>
          <w:szCs w:val="18"/>
        </w:rPr>
        <w:t>;</w:t>
      </w:r>
      <w:r w:rsidRPr="00E66E64">
        <w:rPr>
          <w:sz w:val="18"/>
          <w:szCs w:val="18"/>
        </w:rPr>
        <w:t xml:space="preserve"> </w:t>
      </w:r>
      <w:r w:rsidRPr="00AC0451">
        <w:rPr>
          <w:sz w:val="18"/>
          <w:szCs w:val="18"/>
        </w:rPr>
        <w:t>OPV = oral poliovirus vaccine</w:t>
      </w:r>
      <w:r>
        <w:rPr>
          <w:sz w:val="18"/>
          <w:szCs w:val="18"/>
        </w:rPr>
        <w:t xml:space="preserve">; WPV = wild </w:t>
      </w:r>
      <w:r w:rsidRPr="00E66E64">
        <w:rPr>
          <w:sz w:val="18"/>
          <w:szCs w:val="18"/>
        </w:rPr>
        <w:t>poliovirus</w:t>
      </w:r>
      <w:r w:rsidRPr="00B61255">
        <w:rPr>
          <w:sz w:val="18"/>
          <w:szCs w:val="18"/>
        </w:rPr>
        <w:t>.</w:t>
      </w:r>
    </w:p>
    <w:p w14:paraId="60EC55C8" w14:textId="77777777" w:rsidR="00386D81" w:rsidRPr="00B85F31" w:rsidRDefault="00386D81" w:rsidP="00B85F31">
      <w:pPr>
        <w:spacing w:before="60"/>
        <w:rPr>
          <w:b/>
          <w:bCs/>
          <w:sz w:val="18"/>
          <w:szCs w:val="18"/>
        </w:rPr>
      </w:pPr>
      <w:r w:rsidRPr="00B85F31">
        <w:rPr>
          <w:b/>
          <w:bCs/>
          <w:sz w:val="18"/>
          <w:szCs w:val="18"/>
        </w:rPr>
        <w:t>Notes:</w:t>
      </w:r>
    </w:p>
    <w:p w14:paraId="65A3B79D" w14:textId="1BA63BE5" w:rsidR="00386D81" w:rsidRPr="00B61255" w:rsidRDefault="00386D81" w:rsidP="00B85F31">
      <w:pPr>
        <w:ind w:left="284" w:hanging="284"/>
        <w:rPr>
          <w:sz w:val="18"/>
          <w:szCs w:val="18"/>
        </w:rPr>
      </w:pPr>
      <w:r>
        <w:rPr>
          <w:sz w:val="18"/>
          <w:szCs w:val="18"/>
        </w:rPr>
        <w:t>a.</w:t>
      </w:r>
      <w:r>
        <w:rPr>
          <w:sz w:val="18"/>
          <w:szCs w:val="18"/>
        </w:rPr>
        <w:tab/>
      </w:r>
      <w:r w:rsidRPr="00B61255">
        <w:rPr>
          <w:sz w:val="18"/>
          <w:szCs w:val="18"/>
        </w:rPr>
        <w:t xml:space="preserve">The </w:t>
      </w:r>
      <w:r w:rsidRPr="00F76870">
        <w:rPr>
          <w:sz w:val="18"/>
          <w:szCs w:val="18"/>
        </w:rPr>
        <w:t xml:space="preserve">International Health Regulations </w:t>
      </w:r>
      <w:r>
        <w:rPr>
          <w:sz w:val="18"/>
          <w:szCs w:val="18"/>
        </w:rPr>
        <w:t>(</w:t>
      </w:r>
      <w:r w:rsidRPr="00B61255">
        <w:rPr>
          <w:sz w:val="18"/>
          <w:szCs w:val="18"/>
        </w:rPr>
        <w:t>IHR</w:t>
      </w:r>
      <w:r>
        <w:rPr>
          <w:sz w:val="18"/>
          <w:szCs w:val="18"/>
        </w:rPr>
        <w:t>)</w:t>
      </w:r>
      <w:r w:rsidRPr="00B61255">
        <w:rPr>
          <w:sz w:val="18"/>
          <w:szCs w:val="18"/>
        </w:rPr>
        <w:t xml:space="preserve"> </w:t>
      </w:r>
      <w:r>
        <w:rPr>
          <w:sz w:val="18"/>
          <w:szCs w:val="18"/>
        </w:rPr>
        <w:t xml:space="preserve">require countries to notify </w:t>
      </w:r>
      <w:r w:rsidRPr="00B61255">
        <w:rPr>
          <w:sz w:val="18"/>
          <w:szCs w:val="18"/>
        </w:rPr>
        <w:t>the WHO of all vaccine type 2 viruses (</w:t>
      </w:r>
      <w:r>
        <w:rPr>
          <w:sz w:val="18"/>
          <w:szCs w:val="18"/>
        </w:rPr>
        <w:t>S</w:t>
      </w:r>
      <w:r w:rsidRPr="00B61255">
        <w:rPr>
          <w:sz w:val="18"/>
          <w:szCs w:val="18"/>
        </w:rPr>
        <w:t xml:space="preserve">abin or </w:t>
      </w:r>
      <w:r>
        <w:rPr>
          <w:sz w:val="18"/>
          <w:szCs w:val="18"/>
        </w:rPr>
        <w:t>S</w:t>
      </w:r>
      <w:r w:rsidRPr="00B61255">
        <w:rPr>
          <w:sz w:val="18"/>
          <w:szCs w:val="18"/>
        </w:rPr>
        <w:t xml:space="preserve">abin-like). </w:t>
      </w:r>
    </w:p>
    <w:p w14:paraId="54C7F9B2" w14:textId="7D9C282B" w:rsidR="00386D81" w:rsidRPr="00B61255" w:rsidRDefault="00386D81" w:rsidP="00B85F31">
      <w:pPr>
        <w:ind w:left="284" w:hanging="284"/>
        <w:rPr>
          <w:sz w:val="18"/>
          <w:szCs w:val="18"/>
        </w:rPr>
      </w:pPr>
      <w:r>
        <w:rPr>
          <w:sz w:val="18"/>
          <w:szCs w:val="18"/>
        </w:rPr>
        <w:t>b.</w:t>
      </w:r>
      <w:r>
        <w:rPr>
          <w:sz w:val="18"/>
          <w:szCs w:val="18"/>
        </w:rPr>
        <w:tab/>
      </w:r>
      <w:r w:rsidRPr="00B61255">
        <w:rPr>
          <w:sz w:val="18"/>
          <w:szCs w:val="18"/>
        </w:rPr>
        <w:t>In strains resembling iVDPV, repeated isolation of the same or a genetically distinct but related virus from the same site does not necessarily indicate an emerging outbreak.</w:t>
      </w:r>
    </w:p>
    <w:p w14:paraId="16C2FE94" w14:textId="0300353E" w:rsidR="00386D81" w:rsidRPr="00B61255" w:rsidRDefault="00386D81" w:rsidP="00B85F31">
      <w:pPr>
        <w:ind w:left="284" w:hanging="284"/>
        <w:rPr>
          <w:sz w:val="18"/>
          <w:szCs w:val="18"/>
        </w:rPr>
      </w:pPr>
      <w:r>
        <w:rPr>
          <w:sz w:val="18"/>
          <w:szCs w:val="18"/>
        </w:rPr>
        <w:t>c.</w:t>
      </w:r>
      <w:r>
        <w:rPr>
          <w:sz w:val="18"/>
          <w:szCs w:val="18"/>
        </w:rPr>
        <w:tab/>
      </w:r>
      <w:r w:rsidRPr="00B61255">
        <w:rPr>
          <w:sz w:val="18"/>
          <w:szCs w:val="18"/>
        </w:rPr>
        <w:t>Risk factors for disease</w:t>
      </w:r>
      <w:r w:rsidR="00CF678F">
        <w:rPr>
          <w:sz w:val="18"/>
          <w:szCs w:val="18"/>
        </w:rPr>
        <w:t xml:space="preserve"> include</w:t>
      </w:r>
      <w:r w:rsidRPr="00B61255">
        <w:rPr>
          <w:sz w:val="18"/>
          <w:szCs w:val="18"/>
        </w:rPr>
        <w:t xml:space="preserve"> </w:t>
      </w:r>
      <w:r w:rsidR="00CF678F">
        <w:rPr>
          <w:sz w:val="18"/>
          <w:szCs w:val="18"/>
        </w:rPr>
        <w:t>t</w:t>
      </w:r>
      <w:r w:rsidRPr="00B61255">
        <w:rPr>
          <w:sz w:val="18"/>
          <w:szCs w:val="18"/>
        </w:rPr>
        <w:t>ravel to polio</w:t>
      </w:r>
      <w:r>
        <w:rPr>
          <w:sz w:val="18"/>
          <w:szCs w:val="18"/>
        </w:rPr>
        <w:t>-</w:t>
      </w:r>
      <w:r w:rsidRPr="00B61255">
        <w:rPr>
          <w:sz w:val="18"/>
          <w:szCs w:val="18"/>
        </w:rPr>
        <w:t>endemic regions or to regions where there are known outbreaks of VDPV.</w:t>
      </w:r>
    </w:p>
    <w:p w14:paraId="51AD303B" w14:textId="41B0BB64" w:rsidR="00386D81" w:rsidRPr="00B61255" w:rsidRDefault="00386D81" w:rsidP="00B85F31">
      <w:pPr>
        <w:ind w:left="284" w:hanging="284"/>
        <w:rPr>
          <w:sz w:val="18"/>
          <w:szCs w:val="18"/>
        </w:rPr>
      </w:pPr>
      <w:r>
        <w:rPr>
          <w:sz w:val="18"/>
          <w:szCs w:val="18"/>
        </w:rPr>
        <w:t>d.</w:t>
      </w:r>
      <w:r>
        <w:rPr>
          <w:sz w:val="18"/>
          <w:szCs w:val="18"/>
        </w:rPr>
        <w:tab/>
      </w:r>
      <w:r w:rsidRPr="00B61255">
        <w:rPr>
          <w:sz w:val="18"/>
          <w:szCs w:val="18"/>
        </w:rPr>
        <w:t>Enhanced surveillance to be considered in the context of laboratory capacity and capability to ensure feasibility, as well as prioritisation in terms of response.</w:t>
      </w:r>
    </w:p>
    <w:p w14:paraId="7C2037AC" w14:textId="5818BE9B" w:rsidR="00386D81" w:rsidRPr="00B61255" w:rsidRDefault="00386D81" w:rsidP="00B85F31">
      <w:pPr>
        <w:ind w:left="284" w:hanging="284"/>
        <w:rPr>
          <w:sz w:val="18"/>
          <w:szCs w:val="18"/>
        </w:rPr>
      </w:pPr>
      <w:r>
        <w:rPr>
          <w:sz w:val="18"/>
          <w:szCs w:val="18"/>
        </w:rPr>
        <w:t>e.</w:t>
      </w:r>
      <w:r>
        <w:rPr>
          <w:sz w:val="18"/>
          <w:szCs w:val="18"/>
        </w:rPr>
        <w:tab/>
      </w:r>
      <w:r w:rsidRPr="00B61255">
        <w:rPr>
          <w:sz w:val="18"/>
          <w:szCs w:val="18"/>
        </w:rPr>
        <w:t>This should include defining population for testing, with consideration of lab capacity.</w:t>
      </w:r>
    </w:p>
    <w:p w14:paraId="7B04C56E" w14:textId="419DFF3C" w:rsidR="00386D81" w:rsidRPr="00B61255" w:rsidRDefault="00386D81" w:rsidP="00B85F31">
      <w:pPr>
        <w:ind w:left="284" w:hanging="284"/>
      </w:pPr>
      <w:r>
        <w:rPr>
          <w:sz w:val="18"/>
          <w:szCs w:val="18"/>
        </w:rPr>
        <w:t>f.</w:t>
      </w:r>
      <w:r>
        <w:rPr>
          <w:sz w:val="18"/>
          <w:szCs w:val="18"/>
        </w:rPr>
        <w:tab/>
      </w:r>
      <w:r w:rsidRPr="00B61255">
        <w:rPr>
          <w:sz w:val="18"/>
          <w:szCs w:val="18"/>
        </w:rPr>
        <w:t xml:space="preserve">Part of case and contact management (see </w:t>
      </w:r>
      <w:r w:rsidRPr="00184D75">
        <w:rPr>
          <w:i/>
          <w:iCs/>
          <w:sz w:val="18"/>
          <w:szCs w:val="18"/>
        </w:rPr>
        <w:t>Communicable Disease Control Manual</w:t>
      </w:r>
      <w:r w:rsidRPr="00B61255">
        <w:rPr>
          <w:sz w:val="18"/>
          <w:szCs w:val="18"/>
        </w:rPr>
        <w:t xml:space="preserve"> for further details</w:t>
      </w:r>
      <w:r w:rsidR="004F087B" w:rsidRPr="00747C44">
        <w:rPr>
          <w:rStyle w:val="FootnoteReference"/>
          <w:sz w:val="18"/>
          <w:szCs w:val="18"/>
        </w:rPr>
        <w:footnoteReference w:id="6"/>
      </w:r>
      <w:r w:rsidRPr="00B61255">
        <w:rPr>
          <w:sz w:val="18"/>
          <w:szCs w:val="18"/>
        </w:rPr>
        <w:t>).</w:t>
      </w:r>
    </w:p>
    <w:p w14:paraId="01170839" w14:textId="77777777" w:rsidR="00386D81" w:rsidRPr="00B61255" w:rsidRDefault="00386D81" w:rsidP="00386D81">
      <w:pPr>
        <w:sectPr w:rsidR="00386D81" w:rsidRPr="00B61255" w:rsidSect="004E40EB">
          <w:footerReference w:type="even" r:id="rId20"/>
          <w:footerReference w:type="default" r:id="rId21"/>
          <w:pgSz w:w="16840" w:h="11907" w:orient="landscape" w:code="9"/>
          <w:pgMar w:top="1843" w:right="1418" w:bottom="1701" w:left="1134" w:header="283" w:footer="425" w:gutter="284"/>
          <w:pgNumType w:fmt="lowerRoman"/>
          <w:cols w:space="720"/>
          <w:docGrid w:linePitch="286"/>
        </w:sectPr>
      </w:pPr>
    </w:p>
    <w:p w14:paraId="6BA31E8A" w14:textId="77777777" w:rsidR="00386D81" w:rsidRPr="00B61255" w:rsidRDefault="00386D81" w:rsidP="00386D81">
      <w:pPr>
        <w:ind w:left="-2268" w:right="-1701"/>
      </w:pPr>
    </w:p>
    <w:p w14:paraId="6BD777F0" w14:textId="77777777" w:rsidR="00386D81" w:rsidRPr="00B61255" w:rsidRDefault="00386D81" w:rsidP="00C52482">
      <w:pPr>
        <w:pStyle w:val="Heading1"/>
        <w:pageBreakBefore w:val="0"/>
      </w:pPr>
      <w:bookmarkStart w:id="16" w:name="_Toc132616736"/>
      <w:bookmarkStart w:id="17" w:name="_Toc146541100"/>
      <w:bookmarkStart w:id="18" w:name="_Toc147242130"/>
      <w:r w:rsidRPr="00B61255">
        <w:t>Introduction</w:t>
      </w:r>
      <w:bookmarkEnd w:id="16"/>
      <w:bookmarkEnd w:id="17"/>
      <w:bookmarkEnd w:id="18"/>
    </w:p>
    <w:p w14:paraId="44211578" w14:textId="77777777" w:rsidR="00386D81" w:rsidRPr="00B61255" w:rsidRDefault="00386D81" w:rsidP="00AA2D6A">
      <w:pPr>
        <w:pStyle w:val="Heading2"/>
      </w:pPr>
      <w:bookmarkStart w:id="19" w:name="_Toc224977049"/>
      <w:bookmarkStart w:id="20" w:name="_Toc395880275"/>
      <w:bookmarkStart w:id="21" w:name="_Toc397364300"/>
      <w:bookmarkStart w:id="22" w:name="_Toc132616737"/>
      <w:bookmarkStart w:id="23" w:name="_Toc146541101"/>
      <w:bookmarkStart w:id="24" w:name="_Toc147242131"/>
      <w:r w:rsidRPr="00B61255">
        <w:t xml:space="preserve">Purpose of this preparedness </w:t>
      </w:r>
      <w:bookmarkEnd w:id="19"/>
      <w:bookmarkEnd w:id="20"/>
      <w:bookmarkEnd w:id="21"/>
      <w:bookmarkEnd w:id="22"/>
      <w:r w:rsidRPr="00B61255">
        <w:t>and response framework</w:t>
      </w:r>
      <w:bookmarkEnd w:id="23"/>
      <w:bookmarkEnd w:id="24"/>
    </w:p>
    <w:p w14:paraId="130D0753" w14:textId="34D22079" w:rsidR="001B7F72" w:rsidRDefault="005C4E6F" w:rsidP="00386D81">
      <w:r w:rsidRPr="00B61255">
        <w:t xml:space="preserve">This framework </w:t>
      </w:r>
      <w:r>
        <w:t xml:space="preserve">outlines </w:t>
      </w:r>
      <w:r w:rsidR="00386D81" w:rsidRPr="00B61255">
        <w:t>probable scenarios and potential strategic responses that could occur following poliovirus detection in Aotearoa. These scenarios include</w:t>
      </w:r>
      <w:r w:rsidR="001B7F72">
        <w:t>:</w:t>
      </w:r>
    </w:p>
    <w:p w14:paraId="210FBB55" w14:textId="15E242A0" w:rsidR="001B7F72" w:rsidRDefault="00386D81" w:rsidP="00936F1A">
      <w:pPr>
        <w:pStyle w:val="Bullet"/>
      </w:pPr>
      <w:r w:rsidRPr="00B61255">
        <w:t>a case of probable and/or confirmed poliomyelitis (polio) caused by a wild</w:t>
      </w:r>
      <w:r>
        <w:t xml:space="preserve"> </w:t>
      </w:r>
      <w:r w:rsidRPr="00B61255">
        <w:t>poliovirus</w:t>
      </w:r>
      <w:r>
        <w:t xml:space="preserve"> (WPV)</w:t>
      </w:r>
      <w:r w:rsidRPr="00B61255">
        <w:t xml:space="preserve"> or by a vaccine-derived poliovirus (</w:t>
      </w:r>
      <w:bookmarkStart w:id="25" w:name="_Hlk146614426"/>
      <w:r w:rsidRPr="00B61255">
        <w:t>VDPV</w:t>
      </w:r>
      <w:bookmarkEnd w:id="25"/>
      <w:r w:rsidRPr="00B61255">
        <w:t>)</w:t>
      </w:r>
    </w:p>
    <w:p w14:paraId="1AB59F49" w14:textId="063041FD" w:rsidR="001B7F72" w:rsidRDefault="00386D81" w:rsidP="00936F1A">
      <w:pPr>
        <w:pStyle w:val="Bullet"/>
      </w:pPr>
      <w:r w:rsidRPr="00B61255">
        <w:t>detection in environmental surveillance</w:t>
      </w:r>
    </w:p>
    <w:p w14:paraId="0E04E2F4" w14:textId="5A0DB359" w:rsidR="001B7F72" w:rsidRDefault="00386D81" w:rsidP="00936F1A">
      <w:pPr>
        <w:pStyle w:val="Bullet"/>
      </w:pPr>
      <w:r w:rsidRPr="00B61255">
        <w:t xml:space="preserve">identification of a contact of a known overseas case. </w:t>
      </w:r>
    </w:p>
    <w:p w14:paraId="5372AECD" w14:textId="77777777" w:rsidR="001B7F72" w:rsidRDefault="001B7F72" w:rsidP="00386D81"/>
    <w:p w14:paraId="444169FF" w14:textId="32EC58F9" w:rsidR="00386D81" w:rsidRPr="00B61255" w:rsidRDefault="00386D81" w:rsidP="00386D81">
      <w:r w:rsidRPr="00B61255">
        <w:t xml:space="preserve">This </w:t>
      </w:r>
      <w:r w:rsidR="005C4E6F">
        <w:t>framework</w:t>
      </w:r>
      <w:r w:rsidRPr="00B61255">
        <w:t xml:space="preserve"> is not intended to provide a definitive course of action for each scenario; rather</w:t>
      </w:r>
      <w:r>
        <w:t>,</w:t>
      </w:r>
      <w:r w:rsidRPr="00B61255">
        <w:t xml:space="preserve"> </w:t>
      </w:r>
      <w:r>
        <w:t xml:space="preserve">it </w:t>
      </w:r>
      <w:r w:rsidRPr="00B61255">
        <w:t xml:space="preserve">is a ‘toolkit’ identifying key components that will be required in a response and suggested approaches to these. </w:t>
      </w:r>
    </w:p>
    <w:p w14:paraId="1C8C2777" w14:textId="77777777" w:rsidR="00386D81" w:rsidRPr="00B61255" w:rsidRDefault="00386D81" w:rsidP="00386D81"/>
    <w:p w14:paraId="47D2D32D" w14:textId="301E18DB" w:rsidR="00386D81" w:rsidRPr="00B61255" w:rsidRDefault="00386D81" w:rsidP="00386D81">
      <w:r w:rsidRPr="00B61255">
        <w:t>In the case of any of these scenarios a risk assessment involving key relevant agencies and stakeholders would be triggered prior to any of these responses being undertaken, to allow for decision</w:t>
      </w:r>
      <w:r>
        <w:t xml:space="preserve"> </w:t>
      </w:r>
      <w:r w:rsidRPr="00B61255">
        <w:t>making tailored to the specific context at the time of this occurrence. National coordination will be established using existing mechanisms, with establishment of advisory groups and/or utilisation of existing expert clinical groups as required (</w:t>
      </w:r>
      <w:r>
        <w:t>eg,</w:t>
      </w:r>
      <w:r w:rsidRPr="00B61255">
        <w:t xml:space="preserve"> </w:t>
      </w:r>
      <w:r>
        <w:t xml:space="preserve">the </w:t>
      </w:r>
      <w:r w:rsidRPr="00843F3E">
        <w:t xml:space="preserve">National Certification Committee for the Eradication of Polio </w:t>
      </w:r>
      <w:r>
        <w:t>(</w:t>
      </w:r>
      <w:r w:rsidRPr="00B61255">
        <w:t>NCCEP</w:t>
      </w:r>
      <w:r>
        <w:t>)</w:t>
      </w:r>
      <w:r w:rsidRPr="00B61255">
        <w:t xml:space="preserve"> and the New Zealand Microbiology Network). </w:t>
      </w:r>
    </w:p>
    <w:p w14:paraId="7DFC421B" w14:textId="77777777" w:rsidR="00386D81" w:rsidRPr="00B61255" w:rsidRDefault="00386D81" w:rsidP="00386D81"/>
    <w:p w14:paraId="51810111" w14:textId="082CF66F" w:rsidR="00386D81" w:rsidRPr="00B61255" w:rsidRDefault="00386D81" w:rsidP="00386D81">
      <w:r w:rsidRPr="00B61255">
        <w:t xml:space="preserve">This high-level </w:t>
      </w:r>
      <w:r w:rsidR="005C4E6F">
        <w:t>framework</w:t>
      </w:r>
      <w:r w:rsidRPr="00B61255">
        <w:t xml:space="preserve"> allows for flexibility in regional and local level responses that will be led by operational agencies in partnership with Māori (including relevant health organisations such as Te Aka Whai Ora and Iwi Māori Partnership Boards (</w:t>
      </w:r>
      <w:bookmarkStart w:id="26" w:name="_Hlk146619036"/>
      <w:r w:rsidRPr="00B61255">
        <w:t>IMPBs</w:t>
      </w:r>
      <w:bookmarkEnd w:id="26"/>
      <w:r w:rsidRPr="00B61255">
        <w:t>)</w:t>
      </w:r>
      <w:r>
        <w:t>)</w:t>
      </w:r>
      <w:r w:rsidRPr="00B61255">
        <w:t xml:space="preserve">. It complements the </w:t>
      </w:r>
      <w:r>
        <w:t>‘</w:t>
      </w:r>
      <w:r w:rsidRPr="00892EBF">
        <w:t>Poliomyelitis</w:t>
      </w:r>
      <w:r>
        <w:t xml:space="preserve">’ </w:t>
      </w:r>
      <w:r w:rsidRPr="00B61255">
        <w:t xml:space="preserve">chapter </w:t>
      </w:r>
      <w:r>
        <w:t xml:space="preserve">of the </w:t>
      </w:r>
      <w:r w:rsidRPr="00B61255">
        <w:t xml:space="preserve">Te Whatu Ora </w:t>
      </w:r>
      <w:r w:rsidRPr="00235F7F">
        <w:rPr>
          <w:i/>
          <w:iCs/>
        </w:rPr>
        <w:t>Communicable Disease Control Manual</w:t>
      </w:r>
      <w:r>
        <w:t>,</w:t>
      </w:r>
      <w:r>
        <w:rPr>
          <w:rStyle w:val="FootnoteReference"/>
        </w:rPr>
        <w:footnoteReference w:id="7"/>
      </w:r>
      <w:r>
        <w:t xml:space="preserve"> which</w:t>
      </w:r>
      <w:r w:rsidRPr="00B61255">
        <w:t xml:space="preserve"> provides more detailed operational guidance for public health services. </w:t>
      </w:r>
    </w:p>
    <w:p w14:paraId="5D12BB5F" w14:textId="77777777" w:rsidR="00386D81" w:rsidRPr="00B61255" w:rsidRDefault="00386D81" w:rsidP="00386D81"/>
    <w:p w14:paraId="32AB0F51" w14:textId="0AC4FF37" w:rsidR="00386D81" w:rsidRPr="00B61255" w:rsidRDefault="00386D81" w:rsidP="00386D81">
      <w:r w:rsidRPr="00B61255">
        <w:t>An operational response to polio will need to have full regard for the geographic and local context</w:t>
      </w:r>
      <w:r>
        <w:t>,</w:t>
      </w:r>
      <w:r w:rsidRPr="00B61255">
        <w:t xml:space="preserve"> including sociodemographic and immunisation profile</w:t>
      </w:r>
      <w:r>
        <w:t>s</w:t>
      </w:r>
      <w:r w:rsidRPr="00B61255">
        <w:t xml:space="preserve"> of the population. Furthermore</w:t>
      </w:r>
      <w:r w:rsidR="001D1B9A">
        <w:t>,</w:t>
      </w:r>
      <w:r w:rsidRPr="00B61255">
        <w:t xml:space="preserve"> we need to ensure that the operational response is equity based, Te Tiriti o Waitangi compliant, and ensures that Māori, Pacific and disabled populations are protected, as well as other populations that may be at higher risk of acquiring polio and/or of poorer outcomes.</w:t>
      </w:r>
    </w:p>
    <w:p w14:paraId="67776E2A" w14:textId="77777777" w:rsidR="00386D81" w:rsidRPr="00B61255" w:rsidRDefault="00386D81" w:rsidP="00AA2D6A">
      <w:pPr>
        <w:pStyle w:val="Heading2"/>
      </w:pPr>
      <w:bookmarkStart w:id="27" w:name="_Toc132616738"/>
      <w:bookmarkStart w:id="28" w:name="_Toc146541102"/>
      <w:bookmarkStart w:id="29" w:name="_Toc147242132"/>
      <w:r w:rsidRPr="00B61255">
        <w:lastRenderedPageBreak/>
        <w:t>Aims and aspirations</w:t>
      </w:r>
      <w:bookmarkEnd w:id="27"/>
      <w:bookmarkEnd w:id="28"/>
      <w:bookmarkEnd w:id="29"/>
    </w:p>
    <w:p w14:paraId="6BCA35FE" w14:textId="77777777" w:rsidR="00386D81" w:rsidRPr="00376683" w:rsidRDefault="00386D81" w:rsidP="00386D81">
      <w:pPr>
        <w:pStyle w:val="ListNumber"/>
        <w:keepNext/>
        <w:spacing w:after="120"/>
        <w:rPr>
          <w:i/>
          <w:iCs/>
        </w:rPr>
      </w:pPr>
      <w:r w:rsidRPr="00376683">
        <w:rPr>
          <w:i/>
          <w:iCs/>
        </w:rPr>
        <w:t xml:space="preserve">To fulfil our global commitment to polio eradication </w:t>
      </w:r>
    </w:p>
    <w:p w14:paraId="47865153" w14:textId="5E7CE28E" w:rsidR="00386D81" w:rsidRPr="00B61255" w:rsidRDefault="00386D81" w:rsidP="00386D81">
      <w:r w:rsidRPr="00B61255">
        <w:t xml:space="preserve">Aotearoa is committed to remaining free of circulating polio, as well as supporting ongoing efforts in the global eradication of polio. This commitment remains despite the impacts of the COVID-19 pandemic on these efforts, </w:t>
      </w:r>
      <w:r>
        <w:t xml:space="preserve">which </w:t>
      </w:r>
      <w:r w:rsidRPr="00B61255">
        <w:t>may be reflected through recent VDPV outbreaks in high-income countries as well as countries within the Asia-Pacific region. Aotearoa also has experienced disruptions to essential health services</w:t>
      </w:r>
      <w:r>
        <w:t>,</w:t>
      </w:r>
      <w:r w:rsidRPr="00B61255">
        <w:t xml:space="preserve"> including childhood immunisations</w:t>
      </w:r>
      <w:r>
        <w:t>,</w:t>
      </w:r>
      <w:r w:rsidRPr="00B61255">
        <w:t xml:space="preserve"> during the COVID-19 pandemic. Since areas with sub-optimal immunisation levels exist, there is the possibility of transmission should a poliovirus be introduced, which demonstrates the importance of preparedness work, as well as ongoing work improving routine vaccination coverage.</w:t>
      </w:r>
    </w:p>
    <w:p w14:paraId="06EAC754" w14:textId="77777777" w:rsidR="00386D81" w:rsidRPr="00B61255" w:rsidRDefault="00386D81" w:rsidP="00386D81"/>
    <w:p w14:paraId="77EDA3C0" w14:textId="40C3E1A4" w:rsidR="00386D81" w:rsidRPr="00B61255" w:rsidRDefault="00386D81" w:rsidP="00386D81">
      <w:pPr>
        <w:pStyle w:val="ListNumber"/>
        <w:keepNext/>
        <w:spacing w:after="120"/>
        <w:rPr>
          <w:i/>
          <w:iCs/>
        </w:rPr>
      </w:pPr>
      <w:r w:rsidRPr="00B61255">
        <w:rPr>
          <w:i/>
          <w:iCs/>
        </w:rPr>
        <w:t>To strengthen integrated surveillance and response systems for poliovirus and other vaccine-preventable diseases</w:t>
      </w:r>
    </w:p>
    <w:p w14:paraId="72AFEC77" w14:textId="29CA7550" w:rsidR="00386D81" w:rsidRPr="00B61255" w:rsidRDefault="00386D81" w:rsidP="00386D81">
      <w:r w:rsidRPr="00B61255">
        <w:t>Aotearoa supports international strategic aims to integrate systems for surveillance and other preparedness and response actions across vaccine</w:t>
      </w:r>
      <w:r>
        <w:t>-</w:t>
      </w:r>
      <w:r w:rsidRPr="00B61255">
        <w:t>preventable diseases</w:t>
      </w:r>
      <w:r>
        <w:t>,</w:t>
      </w:r>
      <w:r w:rsidRPr="00B61255">
        <w:t xml:space="preserve"> including our aims to strengthen surveillance systems for polio, such as through environmental testing and improving the sensitivity of </w:t>
      </w:r>
      <w:r>
        <w:t>a</w:t>
      </w:r>
      <w:r w:rsidRPr="00B61255">
        <w:t xml:space="preserve">cute </w:t>
      </w:r>
      <w:r>
        <w:t>f</w:t>
      </w:r>
      <w:r w:rsidRPr="00B61255">
        <w:t xml:space="preserve">laccid </w:t>
      </w:r>
      <w:r>
        <w:t>p</w:t>
      </w:r>
      <w:r w:rsidRPr="00B61255">
        <w:t>aralysis (</w:t>
      </w:r>
      <w:bookmarkStart w:id="30" w:name="_Hlk146615937"/>
      <w:r w:rsidRPr="00B61255">
        <w:t>AFP</w:t>
      </w:r>
      <w:bookmarkEnd w:id="30"/>
      <w:r w:rsidRPr="00B61255">
        <w:t>) surveillance. We also aim to boost coverage of all childhood vaccinations, rather than focusing on vaccinating for individual diseases</w:t>
      </w:r>
      <w:r>
        <w:t>,</w:t>
      </w:r>
      <w:r w:rsidRPr="00B61255">
        <w:t xml:space="preserve"> to better utilise our health</w:t>
      </w:r>
      <w:r>
        <w:t xml:space="preserve"> </w:t>
      </w:r>
      <w:r w:rsidRPr="00B61255">
        <w:t xml:space="preserve">care workers as well as being better for whānau. </w:t>
      </w:r>
    </w:p>
    <w:p w14:paraId="620F8AD6" w14:textId="77777777" w:rsidR="00386D81" w:rsidRPr="00B61255" w:rsidRDefault="00386D81" w:rsidP="00386D81"/>
    <w:p w14:paraId="094E2C75" w14:textId="47FC5B88" w:rsidR="00386D81" w:rsidRPr="00B61255" w:rsidRDefault="00386D81" w:rsidP="00386D81">
      <w:pPr>
        <w:pStyle w:val="ListNumber"/>
        <w:keepNext/>
        <w:spacing w:after="120"/>
        <w:rPr>
          <w:i/>
          <w:iCs/>
        </w:rPr>
      </w:pPr>
      <w:r w:rsidRPr="00B61255">
        <w:rPr>
          <w:i/>
          <w:iCs/>
        </w:rPr>
        <w:t xml:space="preserve">To support poliovirus preparedness and response work in our neighbouring Pacific countries, and protect the Pacific from incursions of poliovirus from </w:t>
      </w:r>
      <w:r>
        <w:rPr>
          <w:i/>
          <w:iCs/>
        </w:rPr>
        <w:t>Aotearoa</w:t>
      </w:r>
    </w:p>
    <w:p w14:paraId="170C2985" w14:textId="51F230E5" w:rsidR="00386D81" w:rsidRPr="00B61255" w:rsidRDefault="00386D81" w:rsidP="00386D81">
      <w:r w:rsidRPr="00B61255">
        <w:t>Aotearoa has been declared polio free</w:t>
      </w:r>
      <w:r>
        <w:t>,</w:t>
      </w:r>
      <w:r w:rsidRPr="00B61255">
        <w:t xml:space="preserve"> with the last case occurring in 1977. If</w:t>
      </w:r>
      <w:r>
        <w:t>,</w:t>
      </w:r>
      <w:r w:rsidRPr="00B61255">
        <w:t xml:space="preserve"> however, there was an outbreak in Aotearoa, health agencies are committed to mitigating the risk of spread to our Pacific neighbours. We also are committed to capacity building across the Asia</w:t>
      </w:r>
      <w:r>
        <w:t>-</w:t>
      </w:r>
      <w:r w:rsidRPr="00B61255">
        <w:t xml:space="preserve">Pacific region and continue our participation in </w:t>
      </w:r>
      <w:r w:rsidR="001D1B9A">
        <w:t xml:space="preserve">the </w:t>
      </w:r>
      <w:r w:rsidRPr="00E27AD0">
        <w:t>World Health Organization</w:t>
      </w:r>
      <w:r>
        <w:t>’s</w:t>
      </w:r>
      <w:r w:rsidRPr="00E27AD0">
        <w:t xml:space="preserve"> </w:t>
      </w:r>
      <w:r>
        <w:t>(</w:t>
      </w:r>
      <w:r w:rsidRPr="00B61255">
        <w:t>WHO</w:t>
      </w:r>
      <w:r>
        <w:t>)</w:t>
      </w:r>
      <w:r w:rsidRPr="00B61255">
        <w:t xml:space="preserve"> regional forums to share information and knowledge.</w:t>
      </w:r>
    </w:p>
    <w:p w14:paraId="48A1A2D1" w14:textId="77777777" w:rsidR="00386D81" w:rsidRPr="00B61255" w:rsidRDefault="00386D81" w:rsidP="00AA2D6A">
      <w:pPr>
        <w:pStyle w:val="Heading2"/>
      </w:pPr>
      <w:bookmarkStart w:id="31" w:name="_Toc146541103"/>
      <w:bookmarkStart w:id="32" w:name="_Toc147242133"/>
      <w:r w:rsidRPr="00B61255">
        <w:t>Global and local situation</w:t>
      </w:r>
      <w:bookmarkEnd w:id="31"/>
      <w:bookmarkEnd w:id="32"/>
      <w:r w:rsidRPr="00B61255">
        <w:t xml:space="preserve"> </w:t>
      </w:r>
    </w:p>
    <w:p w14:paraId="7BEFFB0C" w14:textId="77777777" w:rsidR="00386D81" w:rsidRPr="00B61255" w:rsidRDefault="00386D81" w:rsidP="000F2AF2">
      <w:pPr>
        <w:pStyle w:val="Heading3"/>
      </w:pPr>
      <w:r w:rsidRPr="00B61255">
        <w:t>International situation</w:t>
      </w:r>
    </w:p>
    <w:p w14:paraId="407EF45E" w14:textId="29D0A902" w:rsidR="00386D81" w:rsidRPr="0072733D" w:rsidRDefault="00386D81" w:rsidP="0072733D">
      <w:bookmarkStart w:id="33" w:name="_Hlk121911230"/>
      <w:r w:rsidRPr="0072733D">
        <w:t>WPV is endemic in two countries: Afghanistan and Pakistan. However, there are ongoing outbreaks in countries that have experienced re-infection either through importation of WPV or VDPV from another country, or the emergence and circulation of VDPV.</w:t>
      </w:r>
      <w:bookmarkEnd w:id="33"/>
      <w:r w:rsidRPr="0072733D">
        <w:t xml:space="preserve"> </w:t>
      </w:r>
    </w:p>
    <w:p w14:paraId="6171A179" w14:textId="77777777" w:rsidR="00386D81" w:rsidRPr="00B61255" w:rsidRDefault="00386D81" w:rsidP="00386D81"/>
    <w:p w14:paraId="5F4C8B4D" w14:textId="7E1AA5FB" w:rsidR="00386D81" w:rsidRPr="00B61255" w:rsidRDefault="00386D81" w:rsidP="00386D81">
      <w:r w:rsidRPr="00B61255">
        <w:t xml:space="preserve">In 2022, the WHO advised of an increase in polio activity in areas </w:t>
      </w:r>
      <w:r>
        <w:t xml:space="preserve">that </w:t>
      </w:r>
      <w:r w:rsidRPr="00B61255">
        <w:t>have previously seen eradication. This includes detection of circulating vaccine</w:t>
      </w:r>
      <w:r>
        <w:t>-</w:t>
      </w:r>
      <w:r w:rsidRPr="00B61255">
        <w:t xml:space="preserve">derived polio in New York (a confirmed case of paralytic polio and widespread wastewater detection), Israel (multiple confirmed cases </w:t>
      </w:r>
      <w:r>
        <w:t>of</w:t>
      </w:r>
      <w:r w:rsidRPr="00B61255">
        <w:t xml:space="preserve"> paralytic and non-paralytic polio and ongoing wastewater detections), London (wastewater detections), and Canada (wastewater detection). </w:t>
      </w:r>
      <w:r w:rsidRPr="00B61255">
        <w:lastRenderedPageBreak/>
        <w:t xml:space="preserve">Affected countries have responded by launching appropriate vaccination campaigns and responses. </w:t>
      </w:r>
    </w:p>
    <w:p w14:paraId="1688FBD7" w14:textId="77777777" w:rsidR="00386D81" w:rsidRPr="00B61255" w:rsidRDefault="00386D81" w:rsidP="00386D81"/>
    <w:p w14:paraId="20322C0B" w14:textId="2317C167" w:rsidR="00386D81" w:rsidRPr="003C4C32" w:rsidRDefault="00386D81" w:rsidP="00386D81">
      <w:r w:rsidRPr="00B61255">
        <w:rPr>
          <w:lang w:eastAsia="en-NZ"/>
        </w:rPr>
        <w:t>For the most up-to-date information</w:t>
      </w:r>
      <w:r>
        <w:rPr>
          <w:lang w:eastAsia="en-NZ"/>
        </w:rPr>
        <w:t>,</w:t>
      </w:r>
      <w:r w:rsidRPr="00B61255">
        <w:rPr>
          <w:lang w:eastAsia="en-NZ"/>
        </w:rPr>
        <w:t xml:space="preserve"> please see</w:t>
      </w:r>
      <w:r>
        <w:rPr>
          <w:lang w:eastAsia="en-NZ"/>
        </w:rPr>
        <w:t xml:space="preserve"> the</w:t>
      </w:r>
      <w:r w:rsidRPr="00B61255">
        <w:rPr>
          <w:lang w:eastAsia="en-NZ"/>
        </w:rPr>
        <w:t xml:space="preserve"> </w:t>
      </w:r>
      <w:r>
        <w:rPr>
          <w:lang w:eastAsia="en-NZ"/>
        </w:rPr>
        <w:t>‘</w:t>
      </w:r>
      <w:r w:rsidRPr="00235F7F">
        <w:t>Outbreak Countries</w:t>
      </w:r>
      <w:r>
        <w:t xml:space="preserve">’ webpage on the </w:t>
      </w:r>
      <w:r w:rsidRPr="00E50D63">
        <w:t>Global Polio Eradication Initiative</w:t>
      </w:r>
      <w:r>
        <w:t xml:space="preserve"> website (</w:t>
      </w:r>
      <w:hyperlink r:id="rId22" w:history="1">
        <w:r>
          <w:rPr>
            <w:rStyle w:val="Hyperlink"/>
          </w:rPr>
          <w:t>polioeradication.org/where-we-work/polio-outbreak-countries</w:t>
        </w:r>
      </w:hyperlink>
      <w:r w:rsidRPr="00235F7F">
        <w:t>)</w:t>
      </w:r>
      <w:r>
        <w:t>.</w:t>
      </w:r>
    </w:p>
    <w:p w14:paraId="3FD059AB" w14:textId="3248E589" w:rsidR="00386D81" w:rsidRPr="00B61255" w:rsidRDefault="00386D81" w:rsidP="000F2AF2">
      <w:pPr>
        <w:pStyle w:val="Heading3"/>
      </w:pPr>
      <w:r w:rsidRPr="00B61255">
        <w:t xml:space="preserve">Aotearoa and Western Pacific </w:t>
      </w:r>
      <w:r>
        <w:t>R</w:t>
      </w:r>
      <w:r w:rsidRPr="00B61255">
        <w:t>egion</w:t>
      </w:r>
    </w:p>
    <w:p w14:paraId="370CCD63" w14:textId="77777777" w:rsidR="00386D81" w:rsidRPr="00B61255" w:rsidRDefault="00386D81" w:rsidP="000F2AF2">
      <w:pPr>
        <w:pStyle w:val="Heading4"/>
      </w:pPr>
      <w:r w:rsidRPr="00B61255">
        <w:t>Historical context</w:t>
      </w:r>
    </w:p>
    <w:p w14:paraId="013027C2" w14:textId="26855854" w:rsidR="00386D81" w:rsidRPr="002F5725" w:rsidRDefault="00386D81" w:rsidP="00386D81">
      <w:pPr>
        <w:spacing w:line="257" w:lineRule="auto"/>
        <w:rPr>
          <w:rFonts w:eastAsia="Calibri" w:cs="Calibri"/>
          <w:szCs w:val="22"/>
        </w:rPr>
      </w:pPr>
      <w:r w:rsidRPr="00B61255">
        <w:t xml:space="preserve">The last case of </w:t>
      </w:r>
      <w:r>
        <w:t>WPV</w:t>
      </w:r>
      <w:r w:rsidRPr="00B61255">
        <w:t xml:space="preserve"> in Aotearoa was in 1977, and the WHO Western Pacific Region has been declared polio free since 2000. Although vaccine-associated paralytic polio (VAPP) has been documented in Aotearoa after 1977, </w:t>
      </w:r>
      <w:r>
        <w:t xml:space="preserve">no cases </w:t>
      </w:r>
      <w:r w:rsidRPr="00B61255">
        <w:t xml:space="preserve">have occurred since the inactivated polio vaccine (IPV) was introduced in 2002. </w:t>
      </w:r>
      <w:r w:rsidRPr="002F5725">
        <w:rPr>
          <w:rFonts w:eastAsia="Calibri" w:cs="Calibri"/>
          <w:szCs w:val="22"/>
        </w:rPr>
        <w:t>The last case of imported WPV was in 1976 in a child from Tonga.</w:t>
      </w:r>
    </w:p>
    <w:p w14:paraId="2F71FA52" w14:textId="77777777" w:rsidR="00386D81" w:rsidRPr="00B61255" w:rsidRDefault="00386D81" w:rsidP="00386D81"/>
    <w:p w14:paraId="429CE226" w14:textId="229E2602" w:rsidR="00386D81" w:rsidRPr="00B61255" w:rsidRDefault="00386D81" w:rsidP="00386D81">
      <w:r w:rsidRPr="00B61255">
        <w:t>In Aotearoa vaccine coverage at age 12 months had been over 85</w:t>
      </w:r>
      <w:r>
        <w:t xml:space="preserve">% </w:t>
      </w:r>
      <w:r w:rsidRPr="00B61255">
        <w:t>since 2009, and in the 12-month period to the end of June 2018, 93</w:t>
      </w:r>
      <w:r>
        <w:t>%</w:t>
      </w:r>
      <w:r w:rsidRPr="00B61255">
        <w:t xml:space="preserve"> of children were fully immunised (including three doses of IPV) by 12 months of age. However, both internationally and in Aotearoa rates have declined in the context of COVID-19.</w:t>
      </w:r>
    </w:p>
    <w:p w14:paraId="179CA04A" w14:textId="5729ABCC" w:rsidR="00386D81" w:rsidRPr="00C37C92" w:rsidRDefault="00386D81" w:rsidP="000F2AF2">
      <w:pPr>
        <w:pStyle w:val="Heading4"/>
      </w:pPr>
      <w:bookmarkStart w:id="34" w:name="_Ref147138407"/>
      <w:r w:rsidRPr="00C37C92">
        <w:t xml:space="preserve">Current </w:t>
      </w:r>
      <w:r>
        <w:t>i</w:t>
      </w:r>
      <w:r w:rsidRPr="00C37C92">
        <w:t>mmunisation coverage</w:t>
      </w:r>
      <w:bookmarkEnd w:id="34"/>
    </w:p>
    <w:p w14:paraId="6EBDF5D2" w14:textId="3CEF73A0" w:rsidR="00386D81" w:rsidRPr="00B61255" w:rsidRDefault="00386D81" w:rsidP="00386D81">
      <w:r w:rsidRPr="00B61255">
        <w:t>Most countries consider &gt;90% to be acceptable to achieve herd immunity for poliovirus infection</w:t>
      </w:r>
      <w:r>
        <w:t>,</w:t>
      </w:r>
      <w:r w:rsidRPr="00B61255">
        <w:t xml:space="preserve"> although it is likely that herd immunity could be achieved at lower rates (</w:t>
      </w:r>
      <w:r>
        <w:t>eg,</w:t>
      </w:r>
      <w:r w:rsidRPr="00B61255">
        <w:t xml:space="preserve"> approximately 80%). However, it is important to note that transmission in people immunised with IPV is possible, and that herd immunity depends on other factors</w:t>
      </w:r>
      <w:r>
        <w:t>,</w:t>
      </w:r>
      <w:r w:rsidRPr="00B61255">
        <w:t xml:space="preserve"> such as the level of sanitation and crowding</w:t>
      </w:r>
      <w:r>
        <w:t>,</w:t>
      </w:r>
      <w:r w:rsidRPr="00B61255">
        <w:t xml:space="preserve"> which affect R</w:t>
      </w:r>
      <w:r w:rsidRPr="00B61255">
        <w:rPr>
          <w:vertAlign w:val="subscript"/>
        </w:rPr>
        <w:t>v</w:t>
      </w:r>
      <w:r w:rsidRPr="00B61255">
        <w:t xml:space="preserve"> (reproduction number in vaccinated people). As an example, transmission occurred in Israel despite very high vaccination rates (approximately 98</w:t>
      </w:r>
      <w:r>
        <w:t>–</w:t>
      </w:r>
      <w:r w:rsidRPr="00B61255">
        <w:t xml:space="preserve">99% in 2021). Due to this, and because poliovirus vaccination is delivered alongside other childhood vaccines that need higher coverage for herd immunity, we continue to promote 95% coverage for </w:t>
      </w:r>
      <w:r>
        <w:t xml:space="preserve">polio </w:t>
      </w:r>
      <w:r w:rsidRPr="00B61255">
        <w:t>vaccination.</w:t>
      </w:r>
    </w:p>
    <w:p w14:paraId="088C6950" w14:textId="77777777" w:rsidR="00386D81" w:rsidRPr="00B61255" w:rsidRDefault="00386D81" w:rsidP="00386D81"/>
    <w:p w14:paraId="0DB0C475" w14:textId="77777777" w:rsidR="00386D81" w:rsidRPr="00B61255" w:rsidRDefault="00386D81" w:rsidP="00386D81">
      <w:r w:rsidRPr="00B61255">
        <w:t>Currently some districts have immunisation rates &lt;80%, and there are significant inequities for Māori populations, as well as a lack of data for disabled tamariki, which means that there is an increased risk that if poliovirus was introduced into Aotearoa it could spread amongst pockets of under-immunised people, particularly of tamariki Māori. This has significant implications for priorities of equity and partnership with Māori under the reformed health system, and under our obligations to Te Tiriti.</w:t>
      </w:r>
    </w:p>
    <w:p w14:paraId="516D7E4A" w14:textId="77777777" w:rsidR="00386D81" w:rsidRPr="00B61255" w:rsidRDefault="00386D81" w:rsidP="000F2AF2">
      <w:pPr>
        <w:pStyle w:val="Heading4"/>
      </w:pPr>
      <w:r w:rsidRPr="00B61255">
        <w:t>Te Tiriti o Waitangi</w:t>
      </w:r>
    </w:p>
    <w:p w14:paraId="7092C927" w14:textId="5B9EE695" w:rsidR="00386D81" w:rsidRPr="00B61255" w:rsidRDefault="00386D81" w:rsidP="00386D81">
      <w:r w:rsidRPr="00B61255">
        <w:t xml:space="preserve">Aotearoa has </w:t>
      </w:r>
      <w:r w:rsidR="00EF68B5">
        <w:t xml:space="preserve">the following </w:t>
      </w:r>
      <w:r w:rsidRPr="00B61255">
        <w:t>specific responsibilities under Te Tiriti o Waitangi that we must apply in our polio preparedness and response</w:t>
      </w:r>
      <w:r w:rsidR="00EF68B5">
        <w:t>.</w:t>
      </w:r>
    </w:p>
    <w:p w14:paraId="4A3BC910" w14:textId="77777777" w:rsidR="00386D81" w:rsidRPr="00B61255" w:rsidRDefault="00386D81" w:rsidP="00386D81"/>
    <w:tbl>
      <w:tblPr>
        <w:tblStyle w:val="MoH"/>
        <w:tblW w:w="0" w:type="auto"/>
        <w:tblLook w:val="0480" w:firstRow="0" w:lastRow="0" w:firstColumn="1" w:lastColumn="0" w:noHBand="0" w:noVBand="1"/>
      </w:tblPr>
      <w:tblGrid>
        <w:gridCol w:w="1505"/>
        <w:gridCol w:w="3134"/>
        <w:gridCol w:w="3440"/>
      </w:tblGrid>
      <w:tr w:rsidR="00386D81" w:rsidRPr="00B61255" w14:paraId="018ACCD1" w14:textId="77777777" w:rsidTr="00235F7F">
        <w:trPr>
          <w:cantSplit/>
        </w:trPr>
        <w:tc>
          <w:tcPr>
            <w:tcW w:w="0" w:type="auto"/>
          </w:tcPr>
          <w:p w14:paraId="729D5A3A" w14:textId="77777777" w:rsidR="00386D81" w:rsidRPr="00B61255" w:rsidRDefault="00386D81" w:rsidP="00AD201D">
            <w:pPr>
              <w:pStyle w:val="TableText"/>
              <w:rPr>
                <w:rFonts w:eastAsiaTheme="majorEastAsia"/>
                <w:b/>
                <w:bCs/>
                <w:lang w:eastAsia="en-NZ"/>
              </w:rPr>
            </w:pPr>
            <w:r w:rsidRPr="00B61255">
              <w:rPr>
                <w:b/>
                <w:bCs/>
                <w:lang w:eastAsia="en-NZ"/>
              </w:rPr>
              <w:lastRenderedPageBreak/>
              <w:t>Tino rangatiratanga</w:t>
            </w:r>
          </w:p>
        </w:tc>
        <w:tc>
          <w:tcPr>
            <w:tcW w:w="0" w:type="auto"/>
          </w:tcPr>
          <w:p w14:paraId="199B6719" w14:textId="77777777" w:rsidR="00386D81" w:rsidRPr="00B61255" w:rsidRDefault="00386D81" w:rsidP="00AD201D">
            <w:pPr>
              <w:pStyle w:val="TableText"/>
              <w:rPr>
                <w:rFonts w:eastAsiaTheme="majorEastAsia"/>
                <w:lang w:eastAsia="en-NZ"/>
              </w:rPr>
            </w:pPr>
            <w:r w:rsidRPr="00B61255">
              <w:rPr>
                <w:lang w:eastAsia="en-NZ"/>
              </w:rPr>
              <w:t>The guarantee of tino rangatiratanga, which provides for Māori self-determination and mana motuhake in the design, delivery, and monitoring of health and disability services.</w:t>
            </w:r>
          </w:p>
        </w:tc>
        <w:tc>
          <w:tcPr>
            <w:tcW w:w="0" w:type="auto"/>
          </w:tcPr>
          <w:p w14:paraId="79CEDFA7" w14:textId="0925BE2E" w:rsidR="00386D81" w:rsidRPr="00B61255" w:rsidRDefault="00386D81" w:rsidP="00AD201D">
            <w:pPr>
              <w:pStyle w:val="TableBullet"/>
            </w:pPr>
            <w:r w:rsidRPr="00B61255">
              <w:t xml:space="preserve">Providing for Māori self-determination and mana motuhake in the design, delivery, and monitoring of Aotearoa New Zealand’s polio response. </w:t>
            </w:r>
          </w:p>
          <w:p w14:paraId="10670501" w14:textId="77777777" w:rsidR="00386D81" w:rsidRPr="00B61255" w:rsidRDefault="00386D81" w:rsidP="00AD201D">
            <w:pPr>
              <w:pStyle w:val="TableBullet"/>
            </w:pPr>
            <w:r w:rsidRPr="00B61255">
              <w:t>Consumer and whānau rights are to be respected and should be enabled to be exercised throughout any response to an outbreak or health emergency.</w:t>
            </w:r>
            <w:r w:rsidRPr="00B61255">
              <w:rPr>
                <w:vertAlign w:val="superscript"/>
              </w:rPr>
              <w:footnoteReference w:id="8"/>
            </w:r>
            <w:r w:rsidRPr="00B61255">
              <w:rPr>
                <w:vertAlign w:val="superscript"/>
              </w:rPr>
              <w:t xml:space="preserve"> </w:t>
            </w:r>
          </w:p>
          <w:p w14:paraId="5B37AA3D" w14:textId="07FDAAC7" w:rsidR="00386D81" w:rsidRPr="00B61255" w:rsidRDefault="00386D81" w:rsidP="00AD201D">
            <w:pPr>
              <w:pStyle w:val="TableBullet"/>
            </w:pPr>
            <w:r w:rsidRPr="00B61255">
              <w:t>Iwi Māori have a role in decision</w:t>
            </w:r>
            <w:r>
              <w:t xml:space="preserve"> </w:t>
            </w:r>
            <w:r w:rsidRPr="00B61255">
              <w:t>making in the design, delivery, prioritisation, and monitoring of the response.</w:t>
            </w:r>
          </w:p>
        </w:tc>
      </w:tr>
      <w:tr w:rsidR="00386D81" w:rsidRPr="00B61255" w14:paraId="652B26C9" w14:textId="77777777" w:rsidTr="00235F7F">
        <w:trPr>
          <w:cantSplit/>
        </w:trPr>
        <w:tc>
          <w:tcPr>
            <w:tcW w:w="0" w:type="auto"/>
          </w:tcPr>
          <w:p w14:paraId="44E01B8F" w14:textId="77777777" w:rsidR="00386D81" w:rsidRPr="00B61255" w:rsidRDefault="00386D81" w:rsidP="00AD201D">
            <w:pPr>
              <w:pStyle w:val="TableText"/>
              <w:rPr>
                <w:rFonts w:eastAsiaTheme="majorEastAsia"/>
                <w:b/>
                <w:bCs/>
                <w:lang w:eastAsia="en-NZ"/>
              </w:rPr>
            </w:pPr>
            <w:r w:rsidRPr="00B61255">
              <w:rPr>
                <w:b/>
                <w:bCs/>
                <w:lang w:eastAsia="en-NZ"/>
              </w:rPr>
              <w:t>Equity</w:t>
            </w:r>
          </w:p>
        </w:tc>
        <w:tc>
          <w:tcPr>
            <w:tcW w:w="0" w:type="auto"/>
          </w:tcPr>
          <w:p w14:paraId="648E082D" w14:textId="77777777" w:rsidR="00386D81" w:rsidRPr="00B61255" w:rsidRDefault="00386D81" w:rsidP="00AD201D">
            <w:pPr>
              <w:pStyle w:val="TableText"/>
              <w:rPr>
                <w:rFonts w:eastAsiaTheme="majorEastAsia"/>
                <w:lang w:eastAsia="en-NZ"/>
              </w:rPr>
            </w:pPr>
            <w:r w:rsidRPr="00B61255">
              <w:rPr>
                <w:lang w:eastAsia="en-NZ"/>
              </w:rPr>
              <w:t>The principle of equity, which requires the Crown to commit to achieving equitable health outcomes for Māori</w:t>
            </w:r>
            <w:r>
              <w:rPr>
                <w:lang w:eastAsia="en-NZ"/>
              </w:rPr>
              <w:t>.</w:t>
            </w:r>
          </w:p>
        </w:tc>
        <w:tc>
          <w:tcPr>
            <w:tcW w:w="0" w:type="auto"/>
          </w:tcPr>
          <w:p w14:paraId="37DC99BD" w14:textId="308E2E87" w:rsidR="00386D81" w:rsidRPr="00B61255" w:rsidRDefault="00386D81" w:rsidP="00AD201D">
            <w:pPr>
              <w:pStyle w:val="TableBullet"/>
            </w:pPr>
            <w:r w:rsidRPr="00B61255">
              <w:t>Achieving equitable outcomes in terms of polio for Māori, relating to both acquisition and prevention of severe disease/outcomes from polio. All efforts must be made to ensure equity is at the forefront of decision</w:t>
            </w:r>
            <w:r>
              <w:t xml:space="preserve"> </w:t>
            </w:r>
            <w:r w:rsidRPr="00B61255">
              <w:t xml:space="preserve">making. </w:t>
            </w:r>
          </w:p>
          <w:p w14:paraId="2502B703" w14:textId="77777777" w:rsidR="00386D81" w:rsidRPr="00B61255" w:rsidRDefault="00386D81" w:rsidP="00AD201D">
            <w:pPr>
              <w:pStyle w:val="TableBullet"/>
            </w:pPr>
            <w:r w:rsidRPr="00B61255">
              <w:t xml:space="preserve">Equity requires a focus on differentiated access, treatment, and resources to achieve equitable health outcomes related to polio and other communicable disease outbreaks for Māori. </w:t>
            </w:r>
          </w:p>
          <w:p w14:paraId="7433AF46" w14:textId="77777777" w:rsidR="00386D81" w:rsidRPr="00B61255" w:rsidRDefault="00386D81" w:rsidP="00AD201D">
            <w:pPr>
              <w:pStyle w:val="TableBullet"/>
            </w:pPr>
            <w:r w:rsidRPr="00B61255">
              <w:t xml:space="preserve">An equity approach would consider how resources can be allocated to mitigate the adverse consequences of a polio outbreak and avoid or minimise growth in inequity deriving from the measures implemented. </w:t>
            </w:r>
          </w:p>
          <w:p w14:paraId="7DD811AD" w14:textId="4A0DD874" w:rsidR="00386D81" w:rsidRPr="00B61255" w:rsidRDefault="00386D81" w:rsidP="00AD201D">
            <w:pPr>
              <w:pStyle w:val="TableBullet"/>
            </w:pPr>
            <w:r w:rsidRPr="00B61255">
              <w:t>The response should not cause long</w:t>
            </w:r>
            <w:r>
              <w:t>-</w:t>
            </w:r>
            <w:r w:rsidRPr="00B61255">
              <w:t>lasting negative impacts for Māori, including inter-generational impacts, that exacerbate inequities.</w:t>
            </w:r>
          </w:p>
        </w:tc>
      </w:tr>
      <w:tr w:rsidR="00386D81" w:rsidRPr="00B61255" w14:paraId="49C3FB82" w14:textId="77777777" w:rsidTr="00235F7F">
        <w:trPr>
          <w:cantSplit/>
        </w:trPr>
        <w:tc>
          <w:tcPr>
            <w:tcW w:w="0" w:type="auto"/>
          </w:tcPr>
          <w:p w14:paraId="437BE07C" w14:textId="77777777" w:rsidR="00386D81" w:rsidRPr="00B61255" w:rsidRDefault="00386D81" w:rsidP="00AD201D">
            <w:pPr>
              <w:pStyle w:val="TableText"/>
              <w:rPr>
                <w:rFonts w:eastAsiaTheme="majorEastAsia"/>
                <w:b/>
                <w:bCs/>
                <w:lang w:eastAsia="en-NZ"/>
              </w:rPr>
            </w:pPr>
            <w:r w:rsidRPr="00B61255">
              <w:rPr>
                <w:rFonts w:eastAsiaTheme="majorEastAsia"/>
                <w:b/>
                <w:bCs/>
                <w:lang w:eastAsia="en-NZ"/>
              </w:rPr>
              <w:t>Options</w:t>
            </w:r>
          </w:p>
        </w:tc>
        <w:tc>
          <w:tcPr>
            <w:tcW w:w="0" w:type="auto"/>
          </w:tcPr>
          <w:p w14:paraId="025FCB5E" w14:textId="77777777" w:rsidR="00386D81" w:rsidRPr="00B61255" w:rsidRDefault="00386D81" w:rsidP="00AD201D">
            <w:pPr>
              <w:pStyle w:val="TableText"/>
              <w:rPr>
                <w:rFonts w:eastAsiaTheme="majorEastAsia"/>
                <w:lang w:eastAsia="en-NZ"/>
              </w:rPr>
            </w:pPr>
            <w:r w:rsidRPr="00B61255">
              <w:rPr>
                <w:lang w:eastAsia="en-NZ"/>
              </w:rPr>
              <w:t>The principle of options, which requires the Crown to provide for and properly resource kaupapa Māori health and disability services. Furthermore, the Crown is obliged to ensure that all health and disability services are provided in a culturally appropriate way that recognises and supports the expression of hauora Māori models of care.</w:t>
            </w:r>
          </w:p>
        </w:tc>
        <w:tc>
          <w:tcPr>
            <w:tcW w:w="0" w:type="auto"/>
          </w:tcPr>
          <w:p w14:paraId="30099237" w14:textId="675B60EE" w:rsidR="00386D81" w:rsidRPr="00B61255" w:rsidRDefault="00386D81" w:rsidP="00AD201D">
            <w:pPr>
              <w:pStyle w:val="TableBullet"/>
              <w:rPr>
                <w:rFonts w:eastAsia="Segoe UI"/>
              </w:rPr>
            </w:pPr>
            <w:r w:rsidRPr="00B61255">
              <w:t xml:space="preserve">Prioritise </w:t>
            </w:r>
            <w:r>
              <w:t>providing</w:t>
            </w:r>
            <w:r w:rsidRPr="00B61255">
              <w:t xml:space="preserve"> kaupapa Māori </w:t>
            </w:r>
            <w:r>
              <w:t>h</w:t>
            </w:r>
            <w:r w:rsidRPr="00B61255">
              <w:t xml:space="preserve">ealth and disability services in respect to polio preparedness and </w:t>
            </w:r>
            <w:r>
              <w:t>r</w:t>
            </w:r>
            <w:r w:rsidRPr="00B61255">
              <w:t>esponse, which may include kaupapa Māori providers and groups in case and contact management, and vaccination.</w:t>
            </w:r>
          </w:p>
          <w:p w14:paraId="7A3B233E" w14:textId="77777777" w:rsidR="00386D81" w:rsidRPr="00B61255" w:rsidRDefault="00386D81" w:rsidP="00AD201D">
            <w:pPr>
              <w:pStyle w:val="TableBullet"/>
              <w:rPr>
                <w:rFonts w:eastAsia="Segoe UI"/>
              </w:rPr>
            </w:pPr>
            <w:r w:rsidRPr="00B61255">
              <w:rPr>
                <w:rFonts w:eastAsia="Segoe UI"/>
              </w:rPr>
              <w:t>Supporting these providers requires a shift to high trust funding arrangements and the devolution of power, decision making, and resources</w:t>
            </w:r>
            <w:r>
              <w:rPr>
                <w:rFonts w:eastAsia="Segoe UI"/>
              </w:rPr>
              <w:t>,</w:t>
            </w:r>
            <w:r w:rsidRPr="00B61255">
              <w:rPr>
                <w:rFonts w:eastAsia="Segoe UI"/>
              </w:rPr>
              <w:t xml:space="preserve"> including funding to meet community needs in a more efficient and timely way.</w:t>
            </w:r>
          </w:p>
        </w:tc>
      </w:tr>
      <w:tr w:rsidR="00386D81" w:rsidRPr="00B61255" w14:paraId="1E462991" w14:textId="77777777" w:rsidTr="00235F7F">
        <w:trPr>
          <w:cantSplit/>
        </w:trPr>
        <w:tc>
          <w:tcPr>
            <w:tcW w:w="0" w:type="auto"/>
          </w:tcPr>
          <w:p w14:paraId="7E9478F9" w14:textId="77777777" w:rsidR="00386D81" w:rsidRPr="00B61255" w:rsidRDefault="00386D81" w:rsidP="00AD201D">
            <w:pPr>
              <w:pStyle w:val="TableText"/>
              <w:rPr>
                <w:rFonts w:eastAsiaTheme="majorEastAsia"/>
                <w:b/>
                <w:bCs/>
                <w:lang w:eastAsia="en-NZ"/>
              </w:rPr>
            </w:pPr>
            <w:r w:rsidRPr="00B61255">
              <w:rPr>
                <w:b/>
                <w:bCs/>
                <w:lang w:eastAsia="en-NZ"/>
              </w:rPr>
              <w:lastRenderedPageBreak/>
              <w:t>Partnership</w:t>
            </w:r>
          </w:p>
        </w:tc>
        <w:tc>
          <w:tcPr>
            <w:tcW w:w="0" w:type="auto"/>
          </w:tcPr>
          <w:p w14:paraId="20F1E4FD" w14:textId="0EFB3541" w:rsidR="00386D81" w:rsidRPr="00B61255" w:rsidRDefault="00386D81" w:rsidP="00AD201D">
            <w:pPr>
              <w:pStyle w:val="TableText"/>
              <w:rPr>
                <w:rFonts w:eastAsiaTheme="majorEastAsia"/>
                <w:lang w:eastAsia="en-NZ"/>
              </w:rPr>
            </w:pPr>
            <w:r w:rsidRPr="00B61255">
              <w:rPr>
                <w:lang w:eastAsia="en-NZ"/>
              </w:rPr>
              <w:t>The principle of partnership, which requires the Crown and Māori to work in partnership in the governance, design, delivery and monitoring of health and disability services. Māori must be co-designers, with the Crown, of the primary health system for Māori.</w:t>
            </w:r>
          </w:p>
        </w:tc>
        <w:tc>
          <w:tcPr>
            <w:tcW w:w="0" w:type="auto"/>
          </w:tcPr>
          <w:p w14:paraId="7AEA938D" w14:textId="6BE0CDC6" w:rsidR="00386D81" w:rsidRPr="00B61255" w:rsidRDefault="00386D81" w:rsidP="00AD201D">
            <w:pPr>
              <w:pStyle w:val="TableBullet"/>
              <w:rPr>
                <w:rFonts w:eastAsia="Segoe UI"/>
              </w:rPr>
            </w:pPr>
            <w:r w:rsidRPr="00B61255">
              <w:t>The Crown and</w:t>
            </w:r>
            <w:r w:rsidRPr="00B61255">
              <w:rPr>
                <w:rFonts w:eastAsia="Segoe UI"/>
              </w:rPr>
              <w:t xml:space="preserve"> its agencies work alongside Māori to enable a coordinated and united response to </w:t>
            </w:r>
            <w:r>
              <w:rPr>
                <w:rFonts w:eastAsia="Segoe UI"/>
              </w:rPr>
              <w:t xml:space="preserve">a </w:t>
            </w:r>
            <w:r w:rsidRPr="00B61255">
              <w:rPr>
                <w:rFonts w:eastAsia="Segoe UI"/>
              </w:rPr>
              <w:t>polio outbreak.</w:t>
            </w:r>
          </w:p>
          <w:p w14:paraId="142B79AB" w14:textId="77777777" w:rsidR="00386D81" w:rsidRPr="00B61255" w:rsidRDefault="00386D81" w:rsidP="00AD201D">
            <w:pPr>
              <w:pStyle w:val="TableBullet"/>
            </w:pPr>
            <w:r w:rsidRPr="00B61255">
              <w:t xml:space="preserve">Māori to work in partnership in the governance, funding, design, delivery, and monitoring of this polio readiness work. </w:t>
            </w:r>
          </w:p>
          <w:p w14:paraId="62E748E5" w14:textId="7BC7DFB7" w:rsidR="00386D81" w:rsidRPr="00B61255" w:rsidRDefault="00386D81" w:rsidP="00AD201D">
            <w:pPr>
              <w:pStyle w:val="TableBullet"/>
            </w:pPr>
            <w:r w:rsidRPr="00B61255">
              <w:rPr>
                <w:rFonts w:eastAsia="Segoe UI"/>
              </w:rPr>
              <w:t>Māori leadership and decision</w:t>
            </w:r>
            <w:r>
              <w:rPr>
                <w:rFonts w:eastAsia="Segoe UI"/>
              </w:rPr>
              <w:t xml:space="preserve"> </w:t>
            </w:r>
            <w:r w:rsidRPr="00B61255">
              <w:rPr>
                <w:rFonts w:eastAsia="Segoe UI"/>
              </w:rPr>
              <w:t>making is enabled by continuing to resource Māori communities to lead aspects of the polio response.</w:t>
            </w:r>
          </w:p>
          <w:p w14:paraId="5DE466BC" w14:textId="708AA7AB" w:rsidR="00386D81" w:rsidRPr="00B61255" w:rsidRDefault="00386D81" w:rsidP="00AD201D">
            <w:pPr>
              <w:pStyle w:val="TableBullet"/>
            </w:pPr>
            <w:r w:rsidRPr="00B61255">
              <w:rPr>
                <w:rFonts w:eastAsia="Segoe UI"/>
              </w:rPr>
              <w:t>Partnership is enabled by coordinated Crown cross-agency response and good information</w:t>
            </w:r>
            <w:r>
              <w:rPr>
                <w:rFonts w:eastAsia="Segoe UI"/>
              </w:rPr>
              <w:t>-</w:t>
            </w:r>
            <w:r w:rsidRPr="00B61255">
              <w:rPr>
                <w:rFonts w:eastAsia="Segoe UI"/>
              </w:rPr>
              <w:t>sharing practices across all groups involved in the response.</w:t>
            </w:r>
          </w:p>
        </w:tc>
      </w:tr>
      <w:tr w:rsidR="00386D81" w:rsidRPr="00B61255" w14:paraId="7DE9D148" w14:textId="77777777" w:rsidTr="00235F7F">
        <w:trPr>
          <w:cantSplit/>
        </w:trPr>
        <w:tc>
          <w:tcPr>
            <w:tcW w:w="0" w:type="auto"/>
          </w:tcPr>
          <w:p w14:paraId="04B56F67" w14:textId="213FB3CA" w:rsidR="00386D81" w:rsidRPr="00B61255" w:rsidRDefault="00386D81" w:rsidP="00AD201D">
            <w:pPr>
              <w:pStyle w:val="TableText"/>
              <w:rPr>
                <w:b/>
                <w:bCs/>
                <w:lang w:eastAsia="en-NZ"/>
              </w:rPr>
            </w:pPr>
            <w:r w:rsidRPr="00B61255">
              <w:rPr>
                <w:b/>
                <w:bCs/>
                <w:lang w:eastAsia="en-NZ"/>
              </w:rPr>
              <w:t xml:space="preserve">Active </w:t>
            </w:r>
            <w:r>
              <w:rPr>
                <w:b/>
                <w:bCs/>
                <w:lang w:eastAsia="en-NZ"/>
              </w:rPr>
              <w:t>p</w:t>
            </w:r>
            <w:r w:rsidRPr="00B61255">
              <w:rPr>
                <w:b/>
                <w:bCs/>
                <w:lang w:eastAsia="en-NZ"/>
              </w:rPr>
              <w:t>rotection</w:t>
            </w:r>
          </w:p>
        </w:tc>
        <w:tc>
          <w:tcPr>
            <w:tcW w:w="0" w:type="auto"/>
          </w:tcPr>
          <w:p w14:paraId="3F7F8016" w14:textId="77777777" w:rsidR="00386D81" w:rsidRPr="00B61255" w:rsidRDefault="00386D81" w:rsidP="00AD201D">
            <w:pPr>
              <w:pStyle w:val="TableText"/>
              <w:rPr>
                <w:lang w:eastAsia="en-NZ"/>
              </w:rPr>
            </w:pPr>
            <w:r w:rsidRPr="00B61255">
              <w:rPr>
                <w:lang w:eastAsia="en-NZ"/>
              </w:rPr>
              <w:t>The principle of active protection, which requires the Crown to act, to the fullest extent practicable, to achieve equitable health outcomes for Māori. This includes ensuring that it, its agents, and its Treaty partner are well informed on the extent, and nature, of both Māori health outcomes and efforts to achieve Māori health equity.</w:t>
            </w:r>
          </w:p>
        </w:tc>
        <w:tc>
          <w:tcPr>
            <w:tcW w:w="0" w:type="auto"/>
          </w:tcPr>
          <w:p w14:paraId="19619247" w14:textId="77777777" w:rsidR="00386D81" w:rsidRPr="00B61255" w:rsidRDefault="00386D81" w:rsidP="00AD201D">
            <w:pPr>
              <w:pStyle w:val="TableBullet"/>
            </w:pPr>
            <w:r w:rsidRPr="00B61255">
              <w:t xml:space="preserve">Ensuring that we act to the fullest extent to address risks to achieve equitable health outcomes in the event of a polio outbreak, including addressing current low childhood immunisation rates for tamariki Māori. </w:t>
            </w:r>
          </w:p>
          <w:p w14:paraId="4F356FCE" w14:textId="77777777" w:rsidR="00386D81" w:rsidRPr="00B61255" w:rsidRDefault="00386D81" w:rsidP="00AD201D">
            <w:pPr>
              <w:pStyle w:val="TableBullet"/>
            </w:pPr>
            <w:r w:rsidRPr="00B61255">
              <w:t>Decisions and resources should actively protect the health of the Māori population and equip whānau, hapū, iwi and Māori communities to undertake and respond to public health measures to prevent and/or manage the spread and transmission of disease among their people.</w:t>
            </w:r>
          </w:p>
          <w:p w14:paraId="500F0CA6" w14:textId="6347F900" w:rsidR="00386D81" w:rsidRPr="00B61255" w:rsidRDefault="00386D81" w:rsidP="00AD201D">
            <w:pPr>
              <w:pStyle w:val="TableBullet"/>
            </w:pPr>
            <w:r w:rsidRPr="00B61255">
              <w:t>The health and disability system should collect high</w:t>
            </w:r>
            <w:r w:rsidR="00356234">
              <w:t>-</w:t>
            </w:r>
            <w:r w:rsidRPr="00B61255">
              <w:t xml:space="preserve">quality ethnicity data to monitor existing inequities and specific risks posed by polio, including ensuring visibility of groups of Māori such as </w:t>
            </w:r>
            <w:r w:rsidRPr="00563A26">
              <w:t xml:space="preserve">tāngata </w:t>
            </w:r>
            <w:r w:rsidRPr="00B61255">
              <w:t xml:space="preserve">whaikaha Māori in our data collection related to polio preparedness (including immunisation data). </w:t>
            </w:r>
          </w:p>
          <w:p w14:paraId="6C651BD6" w14:textId="77777777" w:rsidR="00386D81" w:rsidRPr="00B61255" w:rsidRDefault="00386D81" w:rsidP="00AD201D">
            <w:pPr>
              <w:pStyle w:val="TableBullet"/>
            </w:pPr>
            <w:r w:rsidRPr="00B61255">
              <w:t>Timely and comprehensive intelligence and data should be shared openly with Māori to inform Māori responses and considering Māori data sovereignty applications and implications.</w:t>
            </w:r>
          </w:p>
        </w:tc>
      </w:tr>
    </w:tbl>
    <w:p w14:paraId="0E0EB0C5" w14:textId="77777777" w:rsidR="00386D81" w:rsidRPr="00B61255" w:rsidRDefault="00386D81" w:rsidP="00235F7F">
      <w:pPr>
        <w:pStyle w:val="Heading4"/>
      </w:pPr>
      <w:r w:rsidRPr="00B61255">
        <w:t>Equity</w:t>
      </w:r>
    </w:p>
    <w:p w14:paraId="64A0218C" w14:textId="6E30CEA0" w:rsidR="00386D81" w:rsidRPr="00B61255" w:rsidRDefault="00386D81" w:rsidP="00386D81">
      <w:pPr>
        <w:spacing w:line="259" w:lineRule="auto"/>
      </w:pPr>
      <w:r w:rsidRPr="00B61255">
        <w:t xml:space="preserve">Under the </w:t>
      </w:r>
      <w:r w:rsidRPr="00563A26">
        <w:t xml:space="preserve">Pae Ora (Healthy Futures) Act 2022 </w:t>
      </w:r>
      <w:r w:rsidRPr="00B61255">
        <w:t>we are committed to achieve equity in health outcomes for all, and the Pae Ora strategies set the direction for an equitable, accessible, cohesive and people-centred system</w:t>
      </w:r>
      <w:r>
        <w:t>,</w:t>
      </w:r>
      <w:r w:rsidRPr="00B61255">
        <w:t xml:space="preserve"> including for specific populations </w:t>
      </w:r>
      <w:r>
        <w:t>who</w:t>
      </w:r>
      <w:r w:rsidRPr="00B61255">
        <w:t xml:space="preserve"> may experience inequities in health and wellbeing outcomes</w:t>
      </w:r>
      <w:r>
        <w:t>,</w:t>
      </w:r>
      <w:r w:rsidRPr="00B61255">
        <w:t xml:space="preserve"> including: </w:t>
      </w:r>
    </w:p>
    <w:p w14:paraId="6E33E999" w14:textId="77777777" w:rsidR="00386D81" w:rsidRPr="00B61255" w:rsidRDefault="00386D81" w:rsidP="00386D81">
      <w:pPr>
        <w:pStyle w:val="Bullet"/>
        <w:keepNext/>
      </w:pPr>
      <w:r w:rsidRPr="00B61255">
        <w:lastRenderedPageBreak/>
        <w:t xml:space="preserve">Māori </w:t>
      </w:r>
    </w:p>
    <w:p w14:paraId="58958871" w14:textId="77777777" w:rsidR="00386D81" w:rsidRPr="00B61255" w:rsidRDefault="00386D81" w:rsidP="00386D81">
      <w:pPr>
        <w:pStyle w:val="Bullet"/>
      </w:pPr>
      <w:r w:rsidRPr="00B61255">
        <w:t xml:space="preserve">Pacific peoples </w:t>
      </w:r>
    </w:p>
    <w:p w14:paraId="7BA04C9C" w14:textId="36E356F6" w:rsidR="00386D81" w:rsidRPr="00B61255" w:rsidRDefault="00386D81" w:rsidP="00386D81">
      <w:pPr>
        <w:pStyle w:val="Bullet"/>
      </w:pPr>
      <w:r>
        <w:t>d</w:t>
      </w:r>
      <w:r w:rsidRPr="00B61255">
        <w:t xml:space="preserve">isabled people </w:t>
      </w:r>
    </w:p>
    <w:p w14:paraId="4FA7FCA6" w14:textId="3FB8E177" w:rsidR="00386D81" w:rsidRPr="00B61255" w:rsidRDefault="00386D81" w:rsidP="00386D81">
      <w:pPr>
        <w:pStyle w:val="Bullet"/>
      </w:pPr>
      <w:r>
        <w:t>r</w:t>
      </w:r>
      <w:r w:rsidRPr="00B61255">
        <w:t>ural populations</w:t>
      </w:r>
    </w:p>
    <w:p w14:paraId="7A944F6E" w14:textId="20C1E62F" w:rsidR="00386D81" w:rsidRPr="00B61255" w:rsidRDefault="00386D81" w:rsidP="00386D81">
      <w:pPr>
        <w:pStyle w:val="Bullet"/>
      </w:pPr>
      <w:r>
        <w:t>w</w:t>
      </w:r>
      <w:r w:rsidRPr="00B61255">
        <w:t>omen</w:t>
      </w:r>
      <w:r>
        <w:t>.</w:t>
      </w:r>
    </w:p>
    <w:p w14:paraId="26B83B14" w14:textId="77777777" w:rsidR="00386D81" w:rsidRPr="00B61255" w:rsidRDefault="00386D81" w:rsidP="00386D81"/>
    <w:p w14:paraId="04BF3B85" w14:textId="57F88734" w:rsidR="00386D81" w:rsidRDefault="00386D81" w:rsidP="00386D81">
      <w:pPr>
        <w:widowControl w:val="0"/>
        <w:autoSpaceDE w:val="0"/>
        <w:autoSpaceDN w:val="0"/>
        <w:adjustRightInd w:val="0"/>
        <w:rPr>
          <w:rFonts w:cs="Segoe UI"/>
          <w:szCs w:val="21"/>
        </w:rPr>
      </w:pPr>
      <w:r w:rsidRPr="00B61255">
        <w:rPr>
          <w:rFonts w:cs="Segoe UI"/>
          <w:szCs w:val="21"/>
        </w:rPr>
        <w:t xml:space="preserve">We also have </w:t>
      </w:r>
      <w:r>
        <w:rPr>
          <w:rFonts w:cs="Segoe UI"/>
          <w:szCs w:val="21"/>
        </w:rPr>
        <w:t xml:space="preserve">commitments to </w:t>
      </w:r>
      <w:r w:rsidRPr="00B61255">
        <w:rPr>
          <w:rFonts w:cs="Segoe UI"/>
          <w:szCs w:val="21"/>
        </w:rPr>
        <w:t xml:space="preserve">relevant </w:t>
      </w:r>
      <w:r>
        <w:rPr>
          <w:rFonts w:cs="Segoe UI"/>
          <w:szCs w:val="21"/>
        </w:rPr>
        <w:t>United Nations resolutions and treaties, including:</w:t>
      </w:r>
      <w:r w:rsidRPr="00B61255">
        <w:rPr>
          <w:rFonts w:cs="Segoe UI"/>
          <w:szCs w:val="21"/>
        </w:rPr>
        <w:t xml:space="preserve"> </w:t>
      </w:r>
    </w:p>
    <w:p w14:paraId="375B1B35" w14:textId="219F2E2D" w:rsidR="00386D81" w:rsidRDefault="00386D81" w:rsidP="00235F7F">
      <w:pPr>
        <w:pStyle w:val="Bullet"/>
      </w:pPr>
      <w:r w:rsidRPr="00B61255">
        <w:t xml:space="preserve">Declaration on the Rights of Indigenous Peoples </w:t>
      </w:r>
    </w:p>
    <w:p w14:paraId="3D2F9B71" w14:textId="72BB493D" w:rsidR="00386D81" w:rsidRDefault="00386D81" w:rsidP="00235F7F">
      <w:pPr>
        <w:pStyle w:val="Bullet"/>
      </w:pPr>
      <w:r w:rsidRPr="00B61255">
        <w:t>Convention on the Rights of Persons with Disabilities</w:t>
      </w:r>
      <w:r w:rsidRPr="00B61255">
        <w:rPr>
          <w:rStyle w:val="FootnoteReference"/>
          <w:rFonts w:cs="Segoe UI"/>
          <w:szCs w:val="21"/>
        </w:rPr>
        <w:footnoteReference w:id="9"/>
      </w:r>
    </w:p>
    <w:p w14:paraId="666B1A10" w14:textId="0B4713C8" w:rsidR="00386D81" w:rsidRDefault="00386D81" w:rsidP="00235F7F">
      <w:pPr>
        <w:pStyle w:val="Bullet"/>
      </w:pPr>
      <w:r w:rsidRPr="00B61255">
        <w:t>Convention on the Rights of the Child</w:t>
      </w:r>
    </w:p>
    <w:p w14:paraId="35D3B3C0" w14:textId="503CED88" w:rsidR="00386D81" w:rsidRPr="00B61255" w:rsidRDefault="00386D81" w:rsidP="00235F7F">
      <w:pPr>
        <w:pStyle w:val="Bullet"/>
      </w:pPr>
      <w:r w:rsidRPr="00B61255">
        <w:t xml:space="preserve">Convention on the Elimination of All Forms of Discrimination Against Women. </w:t>
      </w:r>
    </w:p>
    <w:p w14:paraId="15A3A1B9" w14:textId="77777777" w:rsidR="00386D81" w:rsidRPr="00B61255" w:rsidRDefault="00386D81" w:rsidP="00386D81">
      <w:pPr>
        <w:widowControl w:val="0"/>
        <w:autoSpaceDE w:val="0"/>
        <w:autoSpaceDN w:val="0"/>
        <w:adjustRightInd w:val="0"/>
        <w:rPr>
          <w:rFonts w:cs="Segoe UI"/>
          <w:szCs w:val="21"/>
        </w:rPr>
      </w:pPr>
    </w:p>
    <w:p w14:paraId="417FE8EF" w14:textId="4C71579E" w:rsidR="00386D81" w:rsidRPr="00B61255" w:rsidRDefault="00386D81" w:rsidP="00386D81">
      <w:pPr>
        <w:rPr>
          <w:rFonts w:cs="Segoe UI"/>
          <w:szCs w:val="21"/>
        </w:rPr>
      </w:pPr>
      <w:r w:rsidRPr="00B61255">
        <w:rPr>
          <w:rFonts w:cs="Segoe UI"/>
          <w:szCs w:val="21"/>
        </w:rPr>
        <w:t xml:space="preserve">Inequitable health and wellbeing outcomes may be associated with </w:t>
      </w:r>
      <w:r w:rsidRPr="00B61255">
        <w:rPr>
          <w:rFonts w:cs="Segoe UI"/>
          <w:b/>
          <w:bCs/>
          <w:szCs w:val="21"/>
        </w:rPr>
        <w:t>poorer access to health services and/or the increased impact of public health measures</w:t>
      </w:r>
      <w:r w:rsidRPr="00B61255">
        <w:rPr>
          <w:rFonts w:cs="Segoe UI"/>
          <w:szCs w:val="21"/>
        </w:rPr>
        <w:t xml:space="preserve"> (</w:t>
      </w:r>
      <w:r>
        <w:rPr>
          <w:rFonts w:cs="Segoe UI"/>
          <w:szCs w:val="21"/>
        </w:rPr>
        <w:t>eg,</w:t>
      </w:r>
      <w:r w:rsidRPr="00B61255">
        <w:rPr>
          <w:rFonts w:cs="Segoe UI"/>
          <w:szCs w:val="21"/>
        </w:rPr>
        <w:t xml:space="preserve"> economic impact of quarantine). Therefore other groups to be considered at risk of poorer outcomes include socio</w:t>
      </w:r>
      <w:r w:rsidR="00356234">
        <w:rPr>
          <w:rFonts w:cs="Segoe UI"/>
          <w:szCs w:val="21"/>
        </w:rPr>
        <w:t>-</w:t>
      </w:r>
      <w:r w:rsidRPr="00B61255">
        <w:rPr>
          <w:rFonts w:cs="Segoe UI"/>
          <w:szCs w:val="21"/>
        </w:rPr>
        <w:t>economically disadvantaged populations, ethnic minority groups, those who are unenrolled with primary care, and Recognised Seasonal Employer (RSE) workers.</w:t>
      </w:r>
    </w:p>
    <w:p w14:paraId="6317F18A" w14:textId="77777777" w:rsidR="00386D81" w:rsidRPr="00B61255" w:rsidRDefault="00386D81" w:rsidP="00386D81">
      <w:pPr>
        <w:spacing w:line="259" w:lineRule="auto"/>
        <w:rPr>
          <w:szCs w:val="21"/>
        </w:rPr>
      </w:pPr>
    </w:p>
    <w:p w14:paraId="289A175F" w14:textId="77777777" w:rsidR="00386D81" w:rsidRPr="00B61255" w:rsidRDefault="00386D81" w:rsidP="00386D81">
      <w:pPr>
        <w:pStyle w:val="CommentText"/>
        <w:rPr>
          <w:sz w:val="21"/>
          <w:szCs w:val="21"/>
        </w:rPr>
      </w:pPr>
      <w:r w:rsidRPr="00B61255">
        <w:rPr>
          <w:sz w:val="21"/>
          <w:szCs w:val="21"/>
        </w:rPr>
        <w:t xml:space="preserve">We can address inequities with a Te Tiriti and equity-first approach that needs to involve anticipating and responding to the specific needs of different populations. It also requires the ability to accurately identify and monitor equity through better data collection and disaggregation. </w:t>
      </w:r>
    </w:p>
    <w:p w14:paraId="3A7F61FE" w14:textId="77777777" w:rsidR="00386D81" w:rsidRPr="00B61255" w:rsidRDefault="00386D81" w:rsidP="00386D81">
      <w:pPr>
        <w:pStyle w:val="CommentText"/>
        <w:rPr>
          <w:sz w:val="21"/>
          <w:szCs w:val="21"/>
        </w:rPr>
      </w:pPr>
    </w:p>
    <w:tbl>
      <w:tblPr>
        <w:tblStyle w:val="TableGrid2"/>
        <w:tblW w:w="0" w:type="auto"/>
        <w:shd w:val="clear" w:color="auto" w:fill="B6DFE0"/>
        <w:tblLook w:val="04A0" w:firstRow="1" w:lastRow="0" w:firstColumn="1" w:lastColumn="0" w:noHBand="0" w:noVBand="1"/>
      </w:tblPr>
      <w:tblGrid>
        <w:gridCol w:w="8069"/>
      </w:tblGrid>
      <w:tr w:rsidR="00386D81" w:rsidRPr="00B61255" w14:paraId="07DE6982" w14:textId="77777777" w:rsidTr="00C0527A">
        <w:tc>
          <w:tcPr>
            <w:tcW w:w="10173" w:type="dxa"/>
            <w:shd w:val="clear" w:color="auto" w:fill="B6DFE0"/>
          </w:tcPr>
          <w:p w14:paraId="43DF15E1" w14:textId="77777777" w:rsidR="00386D81" w:rsidRPr="00B61255" w:rsidRDefault="00386D81" w:rsidP="00AD201D">
            <w:pPr>
              <w:spacing w:before="120"/>
              <w:rPr>
                <w:b/>
                <w:bCs/>
              </w:rPr>
            </w:pPr>
            <w:r w:rsidRPr="00B61255">
              <w:rPr>
                <w:b/>
                <w:bCs/>
              </w:rPr>
              <w:t xml:space="preserve">Example: </w:t>
            </w:r>
          </w:p>
          <w:p w14:paraId="605732F3" w14:textId="333B20BD" w:rsidR="00386D81" w:rsidRPr="00B61255" w:rsidRDefault="00386D81" w:rsidP="00AD201D">
            <w:r w:rsidRPr="00B61255">
              <w:t>For disabled people</w:t>
            </w:r>
            <w:r>
              <w:t>,</w:t>
            </w:r>
            <w:r w:rsidRPr="00B61255">
              <w:t xml:space="preserve"> identifying additional health needs early in the response should include engagement with disabled people</w:t>
            </w:r>
            <w:r>
              <w:t>’</w:t>
            </w:r>
            <w:r w:rsidRPr="00B61255">
              <w:t>s organisations (such as Whaikaha | Ministry of Disabled People) and non-government</w:t>
            </w:r>
            <w:r>
              <w:t>al</w:t>
            </w:r>
            <w:r w:rsidRPr="00B61255">
              <w:t xml:space="preserve"> organisations to support distribution of accessible health-related information out to their members and communities. We also need to improve recording of disability status in our data collection to better monitor outcomes for this group.</w:t>
            </w:r>
          </w:p>
          <w:p w14:paraId="0C4A88CB" w14:textId="77777777" w:rsidR="00386D81" w:rsidRPr="00B61255" w:rsidRDefault="00386D81" w:rsidP="00AD201D"/>
          <w:p w14:paraId="226E9888" w14:textId="7E63D26A" w:rsidR="00386D81" w:rsidRPr="00B61255" w:rsidRDefault="00386D81" w:rsidP="00AD201D">
            <w:pPr>
              <w:spacing w:after="120"/>
              <w:rPr>
                <w:i/>
                <w:iCs/>
              </w:rPr>
            </w:pPr>
            <w:r w:rsidRPr="00B61255">
              <w:rPr>
                <w:i/>
                <w:iCs/>
              </w:rPr>
              <w:t xml:space="preserve">We acknowledge those living with disability as a result of previous </w:t>
            </w:r>
            <w:r>
              <w:rPr>
                <w:i/>
                <w:iCs/>
              </w:rPr>
              <w:t>p</w:t>
            </w:r>
            <w:r w:rsidRPr="00B61255">
              <w:rPr>
                <w:i/>
                <w:iCs/>
              </w:rPr>
              <w:t xml:space="preserve">olio, which highlights the importance of good communication with disabled people throughout the preparedness cycle. </w:t>
            </w:r>
          </w:p>
        </w:tc>
      </w:tr>
    </w:tbl>
    <w:p w14:paraId="7A825A5E" w14:textId="77777777" w:rsidR="00386D81" w:rsidRPr="00B61255" w:rsidRDefault="00386D81" w:rsidP="00386D81">
      <w:pPr>
        <w:spacing w:line="259" w:lineRule="auto"/>
      </w:pPr>
    </w:p>
    <w:p w14:paraId="75D1C68D" w14:textId="03C93D52" w:rsidR="00386D81" w:rsidRPr="00B61255" w:rsidRDefault="00386D81" w:rsidP="00386D81">
      <w:pPr>
        <w:spacing w:line="259" w:lineRule="auto"/>
      </w:pPr>
      <w:r w:rsidRPr="00B61255">
        <w:t xml:space="preserve">There are also groups that may have a </w:t>
      </w:r>
      <w:r w:rsidRPr="00B61255">
        <w:rPr>
          <w:b/>
          <w:bCs/>
        </w:rPr>
        <w:t>higher risk of acquisition/exposure</w:t>
      </w:r>
      <w:r w:rsidRPr="00B61255">
        <w:t xml:space="preserve">, </w:t>
      </w:r>
      <w:r w:rsidRPr="00B61255">
        <w:rPr>
          <w:b/>
          <w:bCs/>
        </w:rPr>
        <w:t>transmission</w:t>
      </w:r>
      <w:r w:rsidRPr="00B61255">
        <w:t xml:space="preserve"> and/or </w:t>
      </w:r>
      <w:r w:rsidRPr="00B61255">
        <w:rPr>
          <w:b/>
          <w:bCs/>
        </w:rPr>
        <w:t>severe clinical disease</w:t>
      </w:r>
      <w:r w:rsidRPr="00B61255">
        <w:t xml:space="preserve">. Migrant/refugee communities may have countries of origin where polio is endemic or there is circulating VDPV, and therefore may theoretically have a </w:t>
      </w:r>
      <w:r w:rsidRPr="00B61255">
        <w:rPr>
          <w:b/>
          <w:bCs/>
        </w:rPr>
        <w:t>higher risk of exposure</w:t>
      </w:r>
      <w:r w:rsidRPr="00B61255">
        <w:t xml:space="preserve"> to polio</w:t>
      </w:r>
      <w:r>
        <w:t>.</w:t>
      </w:r>
      <w:r w:rsidRPr="00B61255">
        <w:t xml:space="preserve"> </w:t>
      </w:r>
      <w:r>
        <w:t>H</w:t>
      </w:r>
      <w:r w:rsidRPr="00B61255">
        <w:t>owever</w:t>
      </w:r>
      <w:r>
        <w:t>,</w:t>
      </w:r>
      <w:r w:rsidRPr="00B61255">
        <w:t xml:space="preserve"> despite this risk </w:t>
      </w:r>
      <w:r w:rsidRPr="00B61255">
        <w:lastRenderedPageBreak/>
        <w:t>many of these communities may be well-vaccinated</w:t>
      </w:r>
      <w:r>
        <w:t>,</w:t>
      </w:r>
      <w:r w:rsidRPr="00B61255">
        <w:t xml:space="preserve"> particularly due to resettlement processes coming to Aotearoa.</w:t>
      </w:r>
    </w:p>
    <w:p w14:paraId="0BBAF98D" w14:textId="77777777" w:rsidR="00386D81" w:rsidRPr="00B61255" w:rsidRDefault="00386D81" w:rsidP="00386D81">
      <w:pPr>
        <w:spacing w:line="259" w:lineRule="auto"/>
      </w:pPr>
    </w:p>
    <w:p w14:paraId="1F04401C" w14:textId="77777777" w:rsidR="00386D81" w:rsidRPr="00B61255" w:rsidRDefault="00386D81" w:rsidP="00386D81">
      <w:pPr>
        <w:keepNext/>
        <w:rPr>
          <w:rFonts w:cs="Segoe UI"/>
          <w:szCs w:val="24"/>
          <w:lang w:eastAsia="en-NZ"/>
        </w:rPr>
      </w:pPr>
      <w:r w:rsidRPr="00B61255">
        <w:rPr>
          <w:rFonts w:cs="Segoe UI"/>
          <w:b/>
          <w:bCs/>
          <w:szCs w:val="24"/>
          <w:lang w:eastAsia="en-NZ"/>
        </w:rPr>
        <w:t>Groups at higher risk of transmission</w:t>
      </w:r>
      <w:r w:rsidRPr="00B61255">
        <w:rPr>
          <w:rFonts w:cs="Segoe UI"/>
          <w:szCs w:val="24"/>
          <w:lang w:eastAsia="en-NZ"/>
        </w:rPr>
        <w:t xml:space="preserve"> include those who: </w:t>
      </w:r>
    </w:p>
    <w:p w14:paraId="011C3A42" w14:textId="77777777" w:rsidR="00386D81" w:rsidRPr="00B61255" w:rsidRDefault="00386D81" w:rsidP="00386D81">
      <w:pPr>
        <w:pStyle w:val="Bullet"/>
        <w:rPr>
          <w:lang w:eastAsia="en-NZ"/>
        </w:rPr>
      </w:pPr>
      <w:r w:rsidRPr="00B61255">
        <w:rPr>
          <w:lang w:eastAsia="en-NZ"/>
        </w:rPr>
        <w:t xml:space="preserve">have attended a high-risk setting </w:t>
      </w:r>
    </w:p>
    <w:p w14:paraId="32F39F6A" w14:textId="77777777" w:rsidR="00386D81" w:rsidRPr="00B61255" w:rsidRDefault="00386D81" w:rsidP="00386D81">
      <w:pPr>
        <w:pStyle w:val="Bullet"/>
        <w:rPr>
          <w:lang w:eastAsia="en-NZ"/>
        </w:rPr>
      </w:pPr>
      <w:r w:rsidRPr="00B61255">
        <w:rPr>
          <w:lang w:eastAsia="en-NZ"/>
        </w:rPr>
        <w:t xml:space="preserve">are immunocompromised </w:t>
      </w:r>
    </w:p>
    <w:p w14:paraId="47376A25" w14:textId="5A422451" w:rsidR="00386D81" w:rsidRPr="00B61255" w:rsidRDefault="00386D81" w:rsidP="00386D81">
      <w:pPr>
        <w:pStyle w:val="Bullet"/>
        <w:rPr>
          <w:lang w:eastAsia="en-NZ"/>
        </w:rPr>
      </w:pPr>
      <w:r w:rsidRPr="00B61255">
        <w:rPr>
          <w:lang w:eastAsia="en-NZ"/>
        </w:rPr>
        <w:t>are in high-risk occupations</w:t>
      </w:r>
      <w:r>
        <w:rPr>
          <w:lang w:eastAsia="en-NZ"/>
        </w:rPr>
        <w:t>,</w:t>
      </w:r>
      <w:r w:rsidRPr="00B61255">
        <w:rPr>
          <w:lang w:eastAsia="en-NZ"/>
        </w:rPr>
        <w:t xml:space="preserve"> such as food handlers, health</w:t>
      </w:r>
      <w:r>
        <w:rPr>
          <w:lang w:eastAsia="en-NZ"/>
        </w:rPr>
        <w:t xml:space="preserve"> </w:t>
      </w:r>
      <w:r w:rsidRPr="00B61255">
        <w:rPr>
          <w:lang w:eastAsia="en-NZ"/>
        </w:rPr>
        <w:t xml:space="preserve">care workers, </w:t>
      </w:r>
      <w:r w:rsidRPr="00E26B24">
        <w:rPr>
          <w:lang w:eastAsia="en-NZ"/>
        </w:rPr>
        <w:t>early childhood education</w:t>
      </w:r>
      <w:r w:rsidRPr="00B61255">
        <w:rPr>
          <w:lang w:eastAsia="en-NZ"/>
        </w:rPr>
        <w:t xml:space="preserve"> teachers, </w:t>
      </w:r>
      <w:r>
        <w:rPr>
          <w:lang w:eastAsia="en-NZ"/>
        </w:rPr>
        <w:t xml:space="preserve">and </w:t>
      </w:r>
      <w:r w:rsidRPr="00B61255">
        <w:rPr>
          <w:lang w:eastAsia="en-NZ"/>
        </w:rPr>
        <w:t>carers.</w:t>
      </w:r>
    </w:p>
    <w:p w14:paraId="33EFDB1B" w14:textId="77777777" w:rsidR="00386D81" w:rsidRPr="00B61255" w:rsidRDefault="00386D81" w:rsidP="00386D81">
      <w:pPr>
        <w:spacing w:line="259" w:lineRule="auto"/>
      </w:pPr>
    </w:p>
    <w:p w14:paraId="13B56BE2" w14:textId="1194BD10" w:rsidR="00386D81" w:rsidRPr="00B61255" w:rsidRDefault="00386D81" w:rsidP="00386D81">
      <w:r>
        <w:t xml:space="preserve">We should pay </w:t>
      </w:r>
      <w:r w:rsidRPr="00B61255">
        <w:t xml:space="preserve">specific attention to our response in high-risk settings such as emergency </w:t>
      </w:r>
      <w:r>
        <w:t>and</w:t>
      </w:r>
      <w:r w:rsidRPr="00B61255">
        <w:t xml:space="preserve"> shared accommodation/residential facilities, and specialist schools or facilities. </w:t>
      </w:r>
      <w:r>
        <w:t xml:space="preserve">We should also consider </w:t>
      </w:r>
      <w:r w:rsidRPr="00B61255">
        <w:t>specific characteristics of other settings that increase risk of transmission</w:t>
      </w:r>
      <w:r>
        <w:t>,</w:t>
      </w:r>
      <w:r w:rsidRPr="00B61255">
        <w:t xml:space="preserve"> including poor sanitation or overcrowding</w:t>
      </w:r>
      <w:r>
        <w:t xml:space="preserve"> —</w:t>
      </w:r>
      <w:r w:rsidRPr="00B61255">
        <w:t xml:space="preserve"> </w:t>
      </w:r>
      <w:r>
        <w:t>for example,</w:t>
      </w:r>
      <w:r w:rsidRPr="00B61255">
        <w:t xml:space="preserve"> the impact of Cyclone Gabrielle in 2023 on isolated communities in Tairāwhiti</w:t>
      </w:r>
      <w:r>
        <w:t>,</w:t>
      </w:r>
      <w:r w:rsidRPr="00B61255">
        <w:t xml:space="preserve"> where there has been disruption of essential infrastructure and health services, damage to housing and displacement of whānau.</w:t>
      </w:r>
    </w:p>
    <w:p w14:paraId="31F8851C" w14:textId="77777777" w:rsidR="00386D81" w:rsidRPr="00B61255" w:rsidRDefault="00386D81" w:rsidP="00386D81">
      <w:pPr>
        <w:spacing w:line="259" w:lineRule="auto"/>
      </w:pPr>
    </w:p>
    <w:p w14:paraId="26174C01" w14:textId="77777777" w:rsidR="00386D81" w:rsidRPr="00B61255" w:rsidRDefault="00386D81" w:rsidP="00386D81">
      <w:pPr>
        <w:rPr>
          <w:rFonts w:cs="Segoe UI"/>
        </w:rPr>
      </w:pPr>
      <w:r w:rsidRPr="00B61255">
        <w:rPr>
          <w:rFonts w:cs="Segoe UI"/>
          <w:bCs/>
        </w:rPr>
        <w:t xml:space="preserve">Those at higher risk of </w:t>
      </w:r>
      <w:r w:rsidRPr="00B61255">
        <w:rPr>
          <w:rFonts w:cs="Segoe UI"/>
          <w:b/>
        </w:rPr>
        <w:t>severe clinical disease</w:t>
      </w:r>
      <w:r w:rsidRPr="00B61255">
        <w:rPr>
          <w:rFonts w:cs="Segoe UI"/>
          <w:bCs/>
        </w:rPr>
        <w:t xml:space="preserve"> (paralysis and increased mortality) include</w:t>
      </w:r>
      <w:r w:rsidRPr="00B61255">
        <w:rPr>
          <w:rFonts w:cs="Segoe UI"/>
          <w:b/>
          <w:bCs/>
        </w:rPr>
        <w:t xml:space="preserve"> </w:t>
      </w:r>
      <w:r w:rsidRPr="00B61255">
        <w:rPr>
          <w:rFonts w:cs="Segoe UI"/>
        </w:rPr>
        <w:t xml:space="preserve">anyone who is not fully vaccinated either with </w:t>
      </w:r>
      <w:r w:rsidRPr="002639CE">
        <w:rPr>
          <w:rFonts w:cs="Segoe UI"/>
        </w:rPr>
        <w:t xml:space="preserve">oral polio vaccine </w:t>
      </w:r>
      <w:r>
        <w:rPr>
          <w:rFonts w:cs="Segoe UI"/>
        </w:rPr>
        <w:t>(</w:t>
      </w:r>
      <w:r w:rsidRPr="00B61255">
        <w:rPr>
          <w:rFonts w:cs="Segoe UI"/>
        </w:rPr>
        <w:t>OPV</w:t>
      </w:r>
      <w:r>
        <w:rPr>
          <w:rFonts w:cs="Segoe UI"/>
        </w:rPr>
        <w:t>)</w:t>
      </w:r>
      <w:r w:rsidRPr="00B61255">
        <w:rPr>
          <w:rFonts w:cs="Segoe UI"/>
        </w:rPr>
        <w:t xml:space="preserve"> or IPV, particularly those who are unvaccinated and are a</w:t>
      </w:r>
      <w:r w:rsidRPr="00B61255">
        <w:rPr>
          <w:rFonts w:cs="Segoe UI"/>
          <w:szCs w:val="24"/>
          <w:lang w:eastAsia="en-NZ"/>
        </w:rPr>
        <w:t xml:space="preserve">dolescents or adults and/or immunocompromised. </w:t>
      </w:r>
      <w:r w:rsidRPr="00B61255">
        <w:rPr>
          <w:rFonts w:cs="Segoe UI"/>
        </w:rPr>
        <w:t>Pregnant women may also experience severe disease and have a higher risk of miscarriage.</w:t>
      </w:r>
    </w:p>
    <w:p w14:paraId="66CB8B1E" w14:textId="77777777" w:rsidR="00386D81" w:rsidRPr="00B61255" w:rsidRDefault="00386D81" w:rsidP="00386D81">
      <w:pPr>
        <w:rPr>
          <w:rFonts w:cs="Segoe UI"/>
        </w:rPr>
      </w:pPr>
    </w:p>
    <w:p w14:paraId="29A4E60D" w14:textId="0DAC5F94" w:rsidR="00386D81" w:rsidRPr="00B61255" w:rsidRDefault="00386D81" w:rsidP="00386D81">
      <w:pPr>
        <w:rPr>
          <w:rFonts w:cs="Segoe UI"/>
          <w:b/>
        </w:rPr>
      </w:pPr>
      <w:r w:rsidRPr="00B61255">
        <w:t xml:space="preserve">Please note that further detail and guidance for </w:t>
      </w:r>
      <w:r>
        <w:t>p</w:t>
      </w:r>
      <w:r w:rsidRPr="00B61255">
        <w:t xml:space="preserve">ublic </w:t>
      </w:r>
      <w:r>
        <w:t>h</w:t>
      </w:r>
      <w:r w:rsidRPr="00B61255">
        <w:t xml:space="preserve">ealth </w:t>
      </w:r>
      <w:r>
        <w:t>s</w:t>
      </w:r>
      <w:r w:rsidRPr="00B61255">
        <w:t xml:space="preserve">ervices managing cases and contacts at higher risk of transmission or higher risk of clinical severe disease is provided in the </w:t>
      </w:r>
      <w:r w:rsidRPr="006F3136">
        <w:rPr>
          <w:i/>
          <w:iCs/>
        </w:rPr>
        <w:t>C</w:t>
      </w:r>
      <w:r w:rsidR="00235F7F" w:rsidRPr="006F3136">
        <w:rPr>
          <w:i/>
          <w:iCs/>
        </w:rPr>
        <w:t>ommunicable Disease Control Manual</w:t>
      </w:r>
      <w:r w:rsidRPr="00B61255">
        <w:t xml:space="preserve"> Chapter.</w:t>
      </w:r>
    </w:p>
    <w:p w14:paraId="361A46A2" w14:textId="77777777" w:rsidR="00386D81" w:rsidRPr="00B61255" w:rsidRDefault="00386D81" w:rsidP="00386D81">
      <w:pPr>
        <w:widowControl w:val="0"/>
        <w:autoSpaceDE w:val="0"/>
        <w:autoSpaceDN w:val="0"/>
        <w:adjustRightInd w:val="0"/>
        <w:rPr>
          <w:rFonts w:cs="Segoe UI"/>
          <w:szCs w:val="24"/>
          <w:lang w:eastAsia="en-NZ"/>
        </w:rPr>
      </w:pPr>
    </w:p>
    <w:p w14:paraId="29147A63" w14:textId="77777777" w:rsidR="00386D81" w:rsidRPr="00B61255" w:rsidRDefault="00386D81" w:rsidP="00386D81">
      <w:r w:rsidRPr="00B61255">
        <w:t xml:space="preserve">We also are committed to reduce risk of importation of disease to our neighbouring Pacific countries should there be evidence of transmission, or a case be detected in Aotearoa. Additionally, we will support our Pacific neighbours and especially our Realm countries to achieve and maintain high vaccination coverage to try and prevent spread of this disease. </w:t>
      </w:r>
    </w:p>
    <w:p w14:paraId="11A7F106" w14:textId="77777777" w:rsidR="00386D81" w:rsidRPr="00B61255" w:rsidRDefault="00386D81" w:rsidP="00AA2D6A">
      <w:pPr>
        <w:pStyle w:val="Heading2"/>
      </w:pPr>
      <w:bookmarkStart w:id="35" w:name="_Toc146541104"/>
      <w:bookmarkStart w:id="36" w:name="_Toc147242134"/>
      <w:r w:rsidRPr="00B61255">
        <w:t>Existing surveillance</w:t>
      </w:r>
      <w:bookmarkEnd w:id="35"/>
      <w:bookmarkEnd w:id="36"/>
    </w:p>
    <w:p w14:paraId="72D62A79" w14:textId="28DB7853" w:rsidR="00386D81" w:rsidRPr="00B61255" w:rsidRDefault="00386D81" w:rsidP="00386D81">
      <w:r w:rsidRPr="00B61255">
        <w:t>Currently in Aotearoa we have AFP surveillance as well as environmental (wastewater</w:t>
      </w:r>
      <w:r>
        <w:t>)</w:t>
      </w:r>
      <w:r w:rsidRPr="00B61255">
        <w:t xml:space="preserve"> surveillance. </w:t>
      </w:r>
    </w:p>
    <w:p w14:paraId="1D28661C" w14:textId="248CBA80" w:rsidR="00386D81" w:rsidRPr="00B61255" w:rsidRDefault="00386D81" w:rsidP="000F2AF2">
      <w:pPr>
        <w:pStyle w:val="Heading3"/>
      </w:pPr>
      <w:bookmarkStart w:id="37" w:name="_Ref147138098"/>
      <w:r w:rsidRPr="00B61255">
        <w:t xml:space="preserve">Acute </w:t>
      </w:r>
      <w:r>
        <w:t>f</w:t>
      </w:r>
      <w:r w:rsidRPr="00B61255">
        <w:t xml:space="preserve">laccid </w:t>
      </w:r>
      <w:r>
        <w:t>p</w:t>
      </w:r>
      <w:r w:rsidRPr="00B61255">
        <w:t>aralysis surveillance</w:t>
      </w:r>
      <w:bookmarkEnd w:id="37"/>
    </w:p>
    <w:p w14:paraId="31E20748" w14:textId="7DB8766E" w:rsidR="00386D81" w:rsidRPr="00B61255" w:rsidRDefault="00386D81" w:rsidP="00386D81">
      <w:pPr>
        <w:spacing w:after="160" w:line="259" w:lineRule="auto"/>
        <w:rPr>
          <w:rFonts w:eastAsia="Calibri" w:cs="Segoe UI"/>
          <w:lang w:eastAsia="en-US"/>
        </w:rPr>
      </w:pPr>
      <w:r w:rsidRPr="00B61255">
        <w:rPr>
          <w:rFonts w:eastAsia="Calibri" w:cs="Segoe UI"/>
          <w:lang w:eastAsia="en-US"/>
        </w:rPr>
        <w:t xml:space="preserve">AFP surveillance is undertaken by the </w:t>
      </w:r>
      <w:r w:rsidRPr="003E01E5">
        <w:rPr>
          <w:rFonts w:eastAsia="Calibri" w:cs="Segoe UI"/>
          <w:lang w:eastAsia="en-US"/>
        </w:rPr>
        <w:t>New Zealand</w:t>
      </w:r>
      <w:r w:rsidRPr="003E01E5" w:rsidDel="003E01E5">
        <w:rPr>
          <w:rFonts w:eastAsia="Calibri" w:cs="Segoe UI"/>
          <w:lang w:eastAsia="en-US"/>
        </w:rPr>
        <w:t xml:space="preserve"> </w:t>
      </w:r>
      <w:r w:rsidRPr="00B61255">
        <w:rPr>
          <w:rFonts w:eastAsia="Calibri" w:cs="Segoe UI"/>
          <w:lang w:eastAsia="en-US"/>
        </w:rPr>
        <w:t>Paediatric Surveillance Unit (</w:t>
      </w:r>
      <w:r>
        <w:rPr>
          <w:rFonts w:eastAsia="Calibri" w:cs="Segoe UI"/>
          <w:lang w:eastAsia="en-US"/>
        </w:rPr>
        <w:t>NZ</w:t>
      </w:r>
      <w:r w:rsidRPr="00B61255">
        <w:rPr>
          <w:rFonts w:eastAsia="Calibri" w:cs="Segoe UI"/>
          <w:lang w:eastAsia="en-US"/>
        </w:rPr>
        <w:t xml:space="preserve">PSU). The purpose of it is to demonstrate that we have a surveillance system that would be able to detect polio cases, and it is part of the polio eradication strategy. AFP surveillance is also critical for documenting the absence of poliovirus circulation for certification of eradication. Certification of polio-free status requires the absence of WPV transmission from any source (AFP, sewage samples, community samples) for at </w:t>
      </w:r>
      <w:r w:rsidRPr="00B61255">
        <w:rPr>
          <w:rFonts w:eastAsia="Calibri" w:cs="Segoe UI"/>
          <w:lang w:eastAsia="en-US"/>
        </w:rPr>
        <w:lastRenderedPageBreak/>
        <w:t>least three successive years together with timely and sensitive AFP surveillance that meets Global Certification Commission certification standards</w:t>
      </w:r>
      <w:r>
        <w:rPr>
          <w:rFonts w:eastAsia="Calibri" w:cs="Segoe UI"/>
          <w:lang w:eastAsia="en-US"/>
        </w:rPr>
        <w:t>.</w:t>
      </w:r>
      <w:r w:rsidRPr="00B61255">
        <w:rPr>
          <w:rStyle w:val="FootnoteReference"/>
          <w:rFonts w:eastAsia="Calibri" w:cs="Segoe UI"/>
          <w:lang w:eastAsia="en-US"/>
        </w:rPr>
        <w:footnoteReference w:id="10"/>
      </w:r>
      <w:r w:rsidRPr="00B61255">
        <w:rPr>
          <w:rFonts w:eastAsia="Calibri" w:cs="Segoe UI"/>
          <w:lang w:eastAsia="en-US"/>
        </w:rPr>
        <w:t xml:space="preserve"> The </w:t>
      </w:r>
      <w:r>
        <w:rPr>
          <w:rFonts w:eastAsia="Calibri" w:cs="Segoe UI"/>
          <w:lang w:eastAsia="en-US"/>
        </w:rPr>
        <w:t>NZ</w:t>
      </w:r>
      <w:r w:rsidRPr="00B61255">
        <w:rPr>
          <w:rFonts w:eastAsia="Calibri" w:cs="Segoe UI"/>
          <w:lang w:eastAsia="en-US"/>
        </w:rPr>
        <w:t xml:space="preserve">PSU notifies all paediatric AFP cases nationally for awareness. </w:t>
      </w:r>
    </w:p>
    <w:p w14:paraId="473E1718" w14:textId="4D698C7B" w:rsidR="00386D81" w:rsidRPr="00B61255" w:rsidRDefault="00386D81" w:rsidP="00386D81">
      <w:pPr>
        <w:spacing w:after="160" w:line="259" w:lineRule="auto"/>
        <w:rPr>
          <w:rFonts w:eastAsia="Calibri" w:cs="Segoe UI"/>
          <w:szCs w:val="21"/>
          <w:lang w:eastAsia="en-US"/>
        </w:rPr>
      </w:pPr>
      <w:r w:rsidRPr="00B61255">
        <w:rPr>
          <w:rFonts w:eastAsia="Calibri" w:cs="Segoe UI"/>
          <w:szCs w:val="21"/>
          <w:lang w:eastAsia="en-US"/>
        </w:rPr>
        <w:t xml:space="preserve">AFP surveillance currently sits outside of the notifiable disease system. </w:t>
      </w:r>
      <w:r>
        <w:rPr>
          <w:rFonts w:eastAsia="Calibri" w:cs="Segoe UI"/>
          <w:szCs w:val="21"/>
          <w:lang w:eastAsia="en-US"/>
        </w:rPr>
        <w:t>Polio,</w:t>
      </w:r>
      <w:r w:rsidRPr="00B61255">
        <w:rPr>
          <w:rFonts w:eastAsia="Calibri" w:cs="Segoe UI"/>
          <w:szCs w:val="21"/>
          <w:lang w:eastAsia="en-US"/>
        </w:rPr>
        <w:t xml:space="preserve"> however, </w:t>
      </w:r>
      <w:r>
        <w:rPr>
          <w:rFonts w:eastAsia="Calibri" w:cs="Segoe UI"/>
          <w:szCs w:val="21"/>
          <w:lang w:eastAsia="en-US"/>
        </w:rPr>
        <w:t xml:space="preserve">is </w:t>
      </w:r>
      <w:r w:rsidRPr="00B61255">
        <w:rPr>
          <w:rFonts w:eastAsia="Calibri" w:cs="Segoe UI"/>
          <w:szCs w:val="21"/>
          <w:lang w:eastAsia="en-US"/>
        </w:rPr>
        <w:t>a notifiable disease and therefore under the Health Act 1956</w:t>
      </w:r>
      <w:r>
        <w:rPr>
          <w:rFonts w:eastAsia="Calibri" w:cs="Segoe UI"/>
          <w:szCs w:val="21"/>
          <w:lang w:eastAsia="en-US"/>
        </w:rPr>
        <w:t>.</w:t>
      </w:r>
      <w:r w:rsidRPr="00B61255">
        <w:rPr>
          <w:rFonts w:eastAsia="Calibri" w:cs="Segoe UI"/>
          <w:szCs w:val="21"/>
          <w:lang w:eastAsia="en-US"/>
        </w:rPr>
        <w:t xml:space="preserve"> </w:t>
      </w:r>
      <w:r>
        <w:rPr>
          <w:rFonts w:eastAsia="Calibri" w:cs="Segoe UI"/>
          <w:szCs w:val="21"/>
          <w:lang w:eastAsia="en-US"/>
        </w:rPr>
        <w:t>A</w:t>
      </w:r>
      <w:r w:rsidRPr="00B61255">
        <w:rPr>
          <w:rFonts w:eastAsia="Calibri" w:cs="Segoe UI"/>
          <w:szCs w:val="21"/>
          <w:lang w:eastAsia="en-US"/>
        </w:rPr>
        <w:t>ttending health practitioners are required to notify their local medical officer of health of any suspected or diagnosed cases of this.</w:t>
      </w:r>
    </w:p>
    <w:p w14:paraId="3408C791" w14:textId="45151B92" w:rsidR="00386D81" w:rsidRPr="00B61255" w:rsidRDefault="00386D81" w:rsidP="00386D81">
      <w:pPr>
        <w:spacing w:after="160" w:line="259" w:lineRule="auto"/>
        <w:rPr>
          <w:rFonts w:eastAsia="Calibri" w:cs="Segoe UI"/>
          <w:szCs w:val="21"/>
          <w:lang w:eastAsia="en-US"/>
        </w:rPr>
      </w:pPr>
      <w:r w:rsidRPr="00B61255">
        <w:rPr>
          <w:rFonts w:eastAsia="Calibri" w:cs="Segoe UI"/>
          <w:szCs w:val="21"/>
          <w:lang w:eastAsia="en-US"/>
        </w:rPr>
        <w:t xml:space="preserve">AFP is a clinical description of sudden onset of muscle weakness without any spasticity or rigidity. The most common medical conditions resulting in AFP are Guillain-Barré syndrome and </w:t>
      </w:r>
      <w:r>
        <w:rPr>
          <w:rFonts w:eastAsia="Calibri" w:cs="Segoe UI"/>
          <w:szCs w:val="21"/>
          <w:lang w:eastAsia="en-US"/>
        </w:rPr>
        <w:t>t</w:t>
      </w:r>
      <w:r w:rsidRPr="00B61255">
        <w:rPr>
          <w:rFonts w:eastAsia="Calibri" w:cs="Segoe UI"/>
          <w:szCs w:val="21"/>
          <w:lang w:eastAsia="en-US"/>
        </w:rPr>
        <w:t xml:space="preserve">ransverse </w:t>
      </w:r>
      <w:r>
        <w:rPr>
          <w:rFonts w:eastAsia="Calibri" w:cs="Segoe UI"/>
          <w:szCs w:val="21"/>
          <w:lang w:eastAsia="en-US"/>
        </w:rPr>
        <w:t>m</w:t>
      </w:r>
      <w:r w:rsidRPr="00B61255">
        <w:rPr>
          <w:rFonts w:eastAsia="Calibri" w:cs="Segoe UI"/>
          <w:szCs w:val="21"/>
          <w:lang w:eastAsia="en-US"/>
        </w:rPr>
        <w:t xml:space="preserve">yelitis. </w:t>
      </w:r>
    </w:p>
    <w:p w14:paraId="4FDCC2F7" w14:textId="77777777" w:rsidR="00386D81" w:rsidRPr="00B61255" w:rsidRDefault="00386D81" w:rsidP="00386D81">
      <w:pPr>
        <w:spacing w:after="160" w:line="259" w:lineRule="auto"/>
        <w:rPr>
          <w:rFonts w:eastAsia="Calibri" w:cs="Segoe UI"/>
          <w:lang w:eastAsia="en-US"/>
        </w:rPr>
      </w:pPr>
      <w:r w:rsidRPr="00B61255">
        <w:rPr>
          <w:rFonts w:eastAsia="Calibri" w:cs="Segoe UI"/>
          <w:lang w:eastAsia="en-US"/>
        </w:rPr>
        <w:t xml:space="preserve">AFP surveillance only includes children under 15 years </w:t>
      </w:r>
      <w:r>
        <w:rPr>
          <w:rFonts w:eastAsia="Calibri" w:cs="Segoe UI"/>
          <w:lang w:eastAsia="en-US"/>
        </w:rPr>
        <w:t>of age</w:t>
      </w:r>
      <w:r w:rsidRPr="00B61255">
        <w:rPr>
          <w:rFonts w:eastAsia="Calibri" w:cs="Segoe UI"/>
          <w:lang w:eastAsia="en-US"/>
        </w:rPr>
        <w:t>, as polio cases in older people are extremely rare, although individuals of any age (especially those who are immunocompromised) may develop the disease. The most recent US case earlier in 2022 was an unvaccinated young adult in his twenties.</w:t>
      </w:r>
    </w:p>
    <w:p w14:paraId="63306DE5" w14:textId="3111F0C9" w:rsidR="00386D81" w:rsidRPr="00B61255" w:rsidRDefault="00386D81" w:rsidP="00386D81">
      <w:pPr>
        <w:spacing w:after="160" w:line="259" w:lineRule="auto"/>
        <w:rPr>
          <w:rFonts w:eastAsia="Calibri" w:cs="Segoe UI"/>
          <w:szCs w:val="21"/>
          <w:lang w:eastAsia="en-US"/>
        </w:rPr>
      </w:pPr>
      <w:r w:rsidRPr="00B61255">
        <w:rPr>
          <w:rFonts w:eastAsia="Calibri" w:cs="Segoe UI"/>
          <w:szCs w:val="21"/>
          <w:lang w:eastAsia="en-US"/>
        </w:rPr>
        <w:t xml:space="preserve">To confirm the absence of </w:t>
      </w:r>
      <w:r>
        <w:rPr>
          <w:rFonts w:eastAsia="Calibri" w:cs="Segoe UI"/>
          <w:szCs w:val="21"/>
          <w:lang w:eastAsia="en-US"/>
        </w:rPr>
        <w:t>polio, the</w:t>
      </w:r>
      <w:r w:rsidRPr="00B61255">
        <w:rPr>
          <w:rFonts w:eastAsia="Calibri" w:cs="Segoe UI"/>
          <w:szCs w:val="21"/>
          <w:lang w:eastAsia="en-US"/>
        </w:rPr>
        <w:t xml:space="preserve"> WHO requires a surveillance system to be in place: </w:t>
      </w:r>
    </w:p>
    <w:p w14:paraId="53F4E72C" w14:textId="2252D890" w:rsidR="00386D81" w:rsidRPr="00376683" w:rsidRDefault="00386D81" w:rsidP="00235F7F">
      <w:pPr>
        <w:pStyle w:val="Bullet"/>
        <w:rPr>
          <w:rFonts w:eastAsia="Calibri"/>
          <w:lang w:eastAsia="en-US"/>
        </w:rPr>
      </w:pPr>
      <w:r>
        <w:rPr>
          <w:rFonts w:eastAsia="Calibri"/>
          <w:lang w:eastAsia="en-US"/>
        </w:rPr>
        <w:t>t</w:t>
      </w:r>
      <w:r w:rsidRPr="00376683">
        <w:rPr>
          <w:rFonts w:eastAsia="Calibri"/>
          <w:lang w:eastAsia="en-US"/>
        </w:rPr>
        <w:t xml:space="preserve">hat captures an annual incidence of AFP, not due to </w:t>
      </w:r>
      <w:r>
        <w:rPr>
          <w:rFonts w:eastAsia="Calibri"/>
          <w:lang w:eastAsia="en-US"/>
        </w:rPr>
        <w:t>polio</w:t>
      </w:r>
      <w:r w:rsidRPr="00376683">
        <w:rPr>
          <w:rFonts w:eastAsia="Calibri"/>
          <w:lang w:eastAsia="en-US"/>
        </w:rPr>
        <w:t>, of at least one per 100,000 children aged under 15 years</w:t>
      </w:r>
    </w:p>
    <w:p w14:paraId="75555BEC" w14:textId="0C26C592" w:rsidR="00386D81" w:rsidRPr="00B61255" w:rsidRDefault="00386D81" w:rsidP="00235F7F">
      <w:pPr>
        <w:pStyle w:val="Bullet"/>
        <w:rPr>
          <w:rFonts w:eastAsia="Calibri"/>
          <w:lang w:eastAsia="en-US"/>
        </w:rPr>
      </w:pPr>
      <w:r>
        <w:rPr>
          <w:rFonts w:eastAsia="Calibri"/>
          <w:lang w:eastAsia="en-US"/>
        </w:rPr>
        <w:t>i</w:t>
      </w:r>
      <w:r w:rsidRPr="00B61255">
        <w:rPr>
          <w:rFonts w:eastAsia="Calibri"/>
          <w:lang w:eastAsia="en-US"/>
        </w:rPr>
        <w:t xml:space="preserve">n which 80% of cases of AFP have two stool samples taken at least 24 hours apart within 14 days of onset, tested negative for </w:t>
      </w:r>
      <w:r w:rsidRPr="006D45CB">
        <w:rPr>
          <w:rFonts w:eastAsia="Calibri"/>
          <w:lang w:eastAsia="en-US"/>
        </w:rPr>
        <w:t>WPV</w:t>
      </w:r>
      <w:r>
        <w:rPr>
          <w:rFonts w:eastAsia="Calibri"/>
          <w:lang w:eastAsia="en-US"/>
        </w:rPr>
        <w:t xml:space="preserve"> </w:t>
      </w:r>
      <w:r w:rsidRPr="00B61255">
        <w:rPr>
          <w:rFonts w:eastAsia="Calibri"/>
          <w:lang w:eastAsia="en-US"/>
        </w:rPr>
        <w:t>in a WHO-accredited laboratory.</w:t>
      </w:r>
    </w:p>
    <w:p w14:paraId="66B45DE0" w14:textId="28CCEE6B" w:rsidR="00386D81" w:rsidRPr="00B61255" w:rsidRDefault="00386D81" w:rsidP="000F2AF2">
      <w:pPr>
        <w:pStyle w:val="Heading4"/>
        <w:rPr>
          <w:rFonts w:eastAsia="Calibri"/>
          <w:lang w:eastAsia="en-US"/>
        </w:rPr>
      </w:pPr>
      <w:r w:rsidRPr="00B61255">
        <w:rPr>
          <w:lang w:eastAsia="en-US"/>
        </w:rPr>
        <w:t xml:space="preserve">AFP indicators in </w:t>
      </w:r>
      <w:r>
        <w:rPr>
          <w:lang w:eastAsia="en-US"/>
        </w:rPr>
        <w:t>Aotearoa</w:t>
      </w:r>
    </w:p>
    <w:p w14:paraId="30823F01" w14:textId="15607696" w:rsidR="00386D81" w:rsidRPr="00B61255" w:rsidRDefault="00386D81" w:rsidP="00386D81">
      <w:pPr>
        <w:spacing w:after="160" w:line="259" w:lineRule="auto"/>
        <w:rPr>
          <w:rFonts w:eastAsia="Calibri" w:cs="Segoe UI"/>
          <w:lang w:eastAsia="en-US"/>
        </w:rPr>
      </w:pPr>
      <w:r w:rsidRPr="00B61255">
        <w:rPr>
          <w:rFonts w:eastAsia="Calibri" w:cs="Segoe UI"/>
          <w:lang w:eastAsia="en-US"/>
        </w:rPr>
        <w:t>Although the WHO target for capture of AFP (incidence rate of 1/100,000 in children under 15 years of age) was reached from 2019</w:t>
      </w:r>
      <w:r w:rsidR="00DB1062">
        <w:rPr>
          <w:rFonts w:eastAsia="Calibri" w:cs="Segoe UI"/>
          <w:lang w:eastAsia="en-US"/>
        </w:rPr>
        <w:t xml:space="preserve"> to </w:t>
      </w:r>
      <w:r w:rsidRPr="00B61255">
        <w:rPr>
          <w:rFonts w:eastAsia="Calibri" w:cs="Segoe UI"/>
          <w:lang w:eastAsia="en-US"/>
        </w:rPr>
        <w:t>2022,</w:t>
      </w:r>
      <w:r>
        <w:rPr>
          <w:rStyle w:val="FootnoteReference"/>
          <w:rFonts w:eastAsia="Calibri" w:cs="Segoe UI"/>
          <w:lang w:eastAsia="en-US"/>
        </w:rPr>
        <w:footnoteReference w:id="11"/>
      </w:r>
      <w:r w:rsidRPr="00B61255">
        <w:rPr>
          <w:rFonts w:eastAsia="Calibri" w:cs="Segoe UI"/>
          <w:lang w:eastAsia="en-US"/>
        </w:rPr>
        <w:t xml:space="preserve"> the rate of the required stool testing was below the WHO target of 80% (around 50</w:t>
      </w:r>
      <w:r>
        <w:rPr>
          <w:rFonts w:eastAsia="Calibri" w:cs="Segoe UI"/>
          <w:lang w:eastAsia="en-US"/>
        </w:rPr>
        <w:t>–</w:t>
      </w:r>
      <w:r w:rsidRPr="00B61255">
        <w:rPr>
          <w:rFonts w:eastAsia="Calibri" w:cs="Segoe UI"/>
          <w:lang w:eastAsia="en-US"/>
        </w:rPr>
        <w:t xml:space="preserve">70%). </w:t>
      </w:r>
    </w:p>
    <w:p w14:paraId="0FB7E108" w14:textId="2E813AAE" w:rsidR="00386D81" w:rsidRPr="00B61255" w:rsidRDefault="00386D81" w:rsidP="00386D81">
      <w:pPr>
        <w:spacing w:after="160" w:line="259" w:lineRule="auto"/>
        <w:rPr>
          <w:rFonts w:eastAsia="Calibri" w:cs="Segoe UI"/>
          <w:lang w:eastAsia="en-US"/>
        </w:rPr>
      </w:pPr>
      <w:r w:rsidRPr="00B61255">
        <w:rPr>
          <w:rFonts w:eastAsia="Calibri" w:cs="Segoe UI"/>
          <w:lang w:eastAsia="en-US"/>
        </w:rPr>
        <w:t xml:space="preserve">About 80% of paediatricians are participating in NZPSU surveillance. Their average monthly response rate remains at around 70%. As this would indicate an overall coverage rate of about 56%, it would be appropriate to make sure that AFP surveillance covers paediatric hubs where most cases of </w:t>
      </w:r>
      <w:r>
        <w:rPr>
          <w:rFonts w:eastAsia="Calibri" w:cs="Segoe UI"/>
          <w:lang w:eastAsia="en-US"/>
        </w:rPr>
        <w:t xml:space="preserve">AFP </w:t>
      </w:r>
      <w:r w:rsidRPr="00B61255">
        <w:rPr>
          <w:rFonts w:eastAsia="Calibri" w:cs="Segoe UI"/>
          <w:lang w:eastAsia="en-US"/>
        </w:rPr>
        <w:t>in Aotearoa will be treated (Starship Children’s Hospital in particular) and/or to improve the coverage.</w:t>
      </w:r>
    </w:p>
    <w:p w14:paraId="1C40B751" w14:textId="77777777" w:rsidR="00386D81" w:rsidRPr="00B61255" w:rsidRDefault="00386D81" w:rsidP="000F2AF2">
      <w:pPr>
        <w:pStyle w:val="Heading3"/>
      </w:pPr>
      <w:r w:rsidRPr="00B61255">
        <w:t>Environmental (wastewater) surveillance</w:t>
      </w:r>
    </w:p>
    <w:p w14:paraId="79C555DF" w14:textId="77777777" w:rsidR="00386D81" w:rsidRPr="00B61255" w:rsidRDefault="00386D81" w:rsidP="00386D81">
      <w:r w:rsidRPr="00B61255">
        <w:t>As an infected person is much more likely to be asymptomatic than symptomatic, and because AFP is an uncommon (but severe) outcome of poliovirus infection, poliovirus circulation may be more effectively detected by environmental surveillance compared to AFP surveillance.</w:t>
      </w:r>
    </w:p>
    <w:p w14:paraId="227C35BD" w14:textId="77777777" w:rsidR="00386D81" w:rsidRPr="00B61255" w:rsidRDefault="00386D81" w:rsidP="00386D81"/>
    <w:p w14:paraId="12265287" w14:textId="77777777" w:rsidR="00386D81" w:rsidRPr="00B61255" w:rsidRDefault="00386D81" w:rsidP="00386D81">
      <w:r w:rsidRPr="00B61255">
        <w:t xml:space="preserve">Environmental (wastewater) surveillance for poliovirus re-commenced in Aotearoa in January 2023. </w:t>
      </w:r>
    </w:p>
    <w:p w14:paraId="6338C7BA" w14:textId="77777777" w:rsidR="00386D81" w:rsidRPr="00B61255" w:rsidRDefault="00386D81" w:rsidP="00386D81"/>
    <w:p w14:paraId="14531DBD" w14:textId="77777777" w:rsidR="00386D81" w:rsidRPr="00B61255" w:rsidRDefault="00386D81" w:rsidP="00386D81">
      <w:pPr>
        <w:rPr>
          <w:rFonts w:cs="Segoe UI"/>
        </w:rPr>
      </w:pPr>
      <w:r w:rsidRPr="00B61255">
        <w:t xml:space="preserve">Samples for poliovirus testing, using both cell culture and direct </w:t>
      </w:r>
      <w:r w:rsidRPr="00F02131">
        <w:t xml:space="preserve">polymerase chain reaction </w:t>
      </w:r>
      <w:r>
        <w:t>(</w:t>
      </w:r>
      <w:r w:rsidRPr="00B61255">
        <w:t>PCR</w:t>
      </w:r>
      <w:r>
        <w:t>)</w:t>
      </w:r>
      <w:r w:rsidRPr="00B61255">
        <w:t>, will be</w:t>
      </w:r>
      <w:r w:rsidRPr="00B61255">
        <w:rPr>
          <w:rFonts w:cs="Segoe UI"/>
        </w:rPr>
        <w:t xml:space="preserve"> collected from selected sites at least once a month. The sites and frequency of testing will be reviewed every six months and can be increased if necessary during a response to a detection. </w:t>
      </w:r>
    </w:p>
    <w:p w14:paraId="53A8961A" w14:textId="77777777" w:rsidR="00386D81" w:rsidRPr="00B61255" w:rsidRDefault="00386D81" w:rsidP="00386D81">
      <w:pPr>
        <w:rPr>
          <w:rFonts w:cs="Segoe UI"/>
        </w:rPr>
      </w:pPr>
    </w:p>
    <w:p w14:paraId="0593575D" w14:textId="7CFFF2AA" w:rsidR="00386D81" w:rsidRPr="00B61255" w:rsidRDefault="00386D81" w:rsidP="00386D81">
      <w:pPr>
        <w:rPr>
          <w:rFonts w:cs="Segoe UI"/>
        </w:rPr>
      </w:pPr>
      <w:r w:rsidRPr="00B61255">
        <w:rPr>
          <w:rFonts w:cs="Segoe UI"/>
        </w:rPr>
        <w:t xml:space="preserve">Any detection of poliovirus </w:t>
      </w:r>
      <w:r>
        <w:rPr>
          <w:rFonts w:cs="Segoe UI"/>
        </w:rPr>
        <w:t>—</w:t>
      </w:r>
      <w:r w:rsidRPr="00B61255">
        <w:rPr>
          <w:rFonts w:cs="Segoe UI"/>
        </w:rPr>
        <w:t xml:space="preserve"> including </w:t>
      </w:r>
      <w:r>
        <w:rPr>
          <w:rFonts w:cs="Segoe UI"/>
        </w:rPr>
        <w:t>S</w:t>
      </w:r>
      <w:r w:rsidRPr="00B61255">
        <w:rPr>
          <w:rFonts w:cs="Segoe UI"/>
        </w:rPr>
        <w:t>abin/</w:t>
      </w:r>
      <w:r>
        <w:rPr>
          <w:rFonts w:cs="Segoe UI"/>
        </w:rPr>
        <w:t>S</w:t>
      </w:r>
      <w:r w:rsidRPr="00B61255">
        <w:rPr>
          <w:rFonts w:cs="Segoe UI"/>
        </w:rPr>
        <w:t>abin-like polio</w:t>
      </w:r>
      <w:r w:rsidR="00235F7F">
        <w:rPr>
          <w:rFonts w:cs="Segoe UI"/>
        </w:rPr>
        <w:t>virus</w:t>
      </w:r>
      <w:r w:rsidRPr="00B61255">
        <w:rPr>
          <w:rFonts w:cs="Segoe UI"/>
        </w:rPr>
        <w:t xml:space="preserve">, WPV, VDPV or indeterminate </w:t>
      </w:r>
      <w:r>
        <w:rPr>
          <w:rFonts w:cs="Segoe UI"/>
        </w:rPr>
        <w:t xml:space="preserve">— </w:t>
      </w:r>
      <w:r w:rsidRPr="00B61255">
        <w:rPr>
          <w:rFonts w:cs="Segoe UI"/>
        </w:rPr>
        <w:t>will be reported nationally.</w:t>
      </w:r>
    </w:p>
    <w:p w14:paraId="008B3E31" w14:textId="77777777" w:rsidR="00386D81" w:rsidRPr="00B61255" w:rsidRDefault="00386D81" w:rsidP="00386D81"/>
    <w:p w14:paraId="78DD8223" w14:textId="2A6A5DD6" w:rsidR="00386D81" w:rsidRPr="00B61255" w:rsidRDefault="00386D81" w:rsidP="00386D81">
      <w:pPr>
        <w:rPr>
          <w:rFonts w:cs="Segoe UI"/>
        </w:rPr>
      </w:pPr>
      <w:r w:rsidRPr="00B61255">
        <w:rPr>
          <w:rFonts w:cs="Segoe UI"/>
        </w:rPr>
        <w:t xml:space="preserve">All detections </w:t>
      </w:r>
      <w:r w:rsidRPr="00B61255">
        <w:rPr>
          <w:rFonts w:cs="Segoe UI"/>
          <w:b/>
          <w:bCs/>
        </w:rPr>
        <w:t>other</w:t>
      </w:r>
      <w:r w:rsidRPr="00B61255">
        <w:rPr>
          <w:rFonts w:cs="Segoe UI"/>
        </w:rPr>
        <w:t xml:space="preserve"> than </w:t>
      </w:r>
      <w:r>
        <w:rPr>
          <w:rFonts w:cs="Segoe UI"/>
        </w:rPr>
        <w:t>S</w:t>
      </w:r>
      <w:r w:rsidRPr="00B61255">
        <w:rPr>
          <w:rFonts w:cs="Segoe UI"/>
        </w:rPr>
        <w:t>abin/</w:t>
      </w:r>
      <w:r>
        <w:rPr>
          <w:rFonts w:cs="Segoe UI"/>
        </w:rPr>
        <w:t>S</w:t>
      </w:r>
      <w:r w:rsidRPr="00B61255">
        <w:rPr>
          <w:rFonts w:cs="Segoe UI"/>
        </w:rPr>
        <w:t xml:space="preserve">abin-like type 1 or 3 viruses will trigger a national response and risk assessment. National coordination and response activities are described in more detail in section </w:t>
      </w:r>
      <w:r>
        <w:rPr>
          <w:rFonts w:cs="Segoe UI"/>
        </w:rPr>
        <w:fldChar w:fldCharType="begin"/>
      </w:r>
      <w:r>
        <w:rPr>
          <w:rFonts w:cs="Segoe UI"/>
        </w:rPr>
        <w:instrText xml:space="preserve"> REF _Ref146624534 \r \h </w:instrText>
      </w:r>
      <w:r>
        <w:rPr>
          <w:rFonts w:cs="Segoe UI"/>
        </w:rPr>
      </w:r>
      <w:r>
        <w:rPr>
          <w:rFonts w:cs="Segoe UI"/>
        </w:rPr>
        <w:fldChar w:fldCharType="separate"/>
      </w:r>
      <w:r w:rsidR="009B1F81">
        <w:rPr>
          <w:rFonts w:cs="Segoe UI"/>
        </w:rPr>
        <w:t>3.2</w:t>
      </w:r>
      <w:r>
        <w:rPr>
          <w:rFonts w:cs="Segoe UI"/>
        </w:rPr>
        <w:fldChar w:fldCharType="end"/>
      </w:r>
      <w:r w:rsidRPr="00B61255">
        <w:rPr>
          <w:rFonts w:cs="Segoe UI"/>
        </w:rPr>
        <w:t>).</w:t>
      </w:r>
    </w:p>
    <w:p w14:paraId="64D67C96" w14:textId="77777777" w:rsidR="00386D81" w:rsidRPr="00B61255" w:rsidRDefault="00386D81" w:rsidP="00AA2D6A">
      <w:pPr>
        <w:pStyle w:val="Heading2"/>
      </w:pPr>
      <w:bookmarkStart w:id="38" w:name="_Toc146541105"/>
      <w:bookmarkStart w:id="39" w:name="_Toc147242135"/>
      <w:r w:rsidRPr="00B61255">
        <w:t>Other surveillance mechanisms</w:t>
      </w:r>
      <w:bookmarkEnd w:id="38"/>
      <w:bookmarkEnd w:id="39"/>
    </w:p>
    <w:p w14:paraId="1376863F" w14:textId="76510607" w:rsidR="00386D81" w:rsidRPr="00B61255" w:rsidRDefault="00386D81" w:rsidP="00386D81">
      <w:r w:rsidRPr="00B61255">
        <w:t xml:space="preserve">The following list shows additional surveillance mechanisms/strategies that could be implemented in response to WPV or VDPV importation, or if there was concern of transmission in Aotearoa, in addition to existing surveillance. Any decisions </w:t>
      </w:r>
      <w:r>
        <w:t xml:space="preserve">about </w:t>
      </w:r>
      <w:r w:rsidRPr="00B61255">
        <w:t xml:space="preserve">additional surveillance will require discussion and assessment by key decision-makers in the response, alongside other advisory groups and relevant parties such as ESR, </w:t>
      </w:r>
      <w:r>
        <w:t xml:space="preserve">the </w:t>
      </w:r>
      <w:r w:rsidRPr="00BD2F91">
        <w:t>New Zealand</w:t>
      </w:r>
      <w:r w:rsidRPr="00B61255">
        <w:t xml:space="preserve"> Microbiology Network, laboratories and clinicians around the </w:t>
      </w:r>
      <w:r w:rsidRPr="00B61255">
        <w:rPr>
          <w:i/>
          <w:iCs/>
        </w:rPr>
        <w:t>need</w:t>
      </w:r>
      <w:r w:rsidRPr="00B61255">
        <w:t xml:space="preserve"> for further surveillance. Any additional surveillance should have a clear purpose and have been considered from a cost</w:t>
      </w:r>
      <w:r>
        <w:t>–</w:t>
      </w:r>
      <w:r w:rsidRPr="00B61255">
        <w:t xml:space="preserve">benefit perspective (including use of existing capability and capacity) and </w:t>
      </w:r>
      <w:r>
        <w:t xml:space="preserve">in terms of </w:t>
      </w:r>
      <w:r w:rsidRPr="00B61255">
        <w:t xml:space="preserve">feasibility </w:t>
      </w:r>
      <w:r>
        <w:t>(ie,</w:t>
      </w:r>
      <w:r w:rsidRPr="00B61255">
        <w:t xml:space="preserve"> </w:t>
      </w:r>
      <w:r>
        <w:t xml:space="preserve">whether </w:t>
      </w:r>
      <w:r w:rsidRPr="00B61255">
        <w:t xml:space="preserve">there </w:t>
      </w:r>
      <w:r>
        <w:t xml:space="preserve">is </w:t>
      </w:r>
      <w:r w:rsidRPr="00B61255">
        <w:t>adequate capacity to perform additional testing</w:t>
      </w:r>
      <w:r>
        <w:t>)</w:t>
      </w:r>
      <w:r w:rsidRPr="00B61255">
        <w:t xml:space="preserve">. </w:t>
      </w:r>
    </w:p>
    <w:p w14:paraId="4508ED1D" w14:textId="77777777" w:rsidR="00386D81" w:rsidRPr="00B61255" w:rsidRDefault="00386D81" w:rsidP="000F2AF2">
      <w:pPr>
        <w:pStyle w:val="Heading3"/>
      </w:pPr>
      <w:bookmarkStart w:id="40" w:name="_Ref147143549"/>
      <w:r w:rsidRPr="00B61255">
        <w:t>Enhanced microbiological surveillance</w:t>
      </w:r>
      <w:bookmarkEnd w:id="40"/>
    </w:p>
    <w:p w14:paraId="027D3D4B" w14:textId="61A9A51D" w:rsidR="00386D81" w:rsidRDefault="00386D81" w:rsidP="004059A5">
      <w:r w:rsidRPr="00B61255">
        <w:t xml:space="preserve">In response to a change in </w:t>
      </w:r>
      <w:r>
        <w:t>the p</w:t>
      </w:r>
      <w:r w:rsidRPr="00B61255">
        <w:t>olio risk</w:t>
      </w:r>
      <w:r>
        <w:t xml:space="preserve"> in Aotearoa,</w:t>
      </w:r>
      <w:r w:rsidRPr="00B61255">
        <w:t xml:space="preserve"> the following enhancements in </w:t>
      </w:r>
      <w:r w:rsidRPr="00C37DF7">
        <w:t>microbiological</w:t>
      </w:r>
      <w:r w:rsidRPr="00B61255">
        <w:t xml:space="preserve"> surveillance will be considered.</w:t>
      </w:r>
    </w:p>
    <w:p w14:paraId="47572D00" w14:textId="77777777" w:rsidR="004059A5" w:rsidRPr="00B61255" w:rsidRDefault="004059A5" w:rsidP="004059A5"/>
    <w:p w14:paraId="58CB615E" w14:textId="77777777" w:rsidR="00B301B4" w:rsidRPr="00B301B4" w:rsidRDefault="00386D81" w:rsidP="00100017">
      <w:pPr>
        <w:pStyle w:val="Bullet"/>
        <w:keepNext/>
        <w:spacing w:before="0" w:after="120"/>
      </w:pPr>
      <w:r w:rsidRPr="00B7572D">
        <w:rPr>
          <w:b/>
          <w:bCs/>
        </w:rPr>
        <w:t>Targeted/enhanced environmental surveillance</w:t>
      </w:r>
    </w:p>
    <w:p w14:paraId="0BB20879" w14:textId="7028FB02" w:rsidR="00B301B4" w:rsidRDefault="00386D81" w:rsidP="004059A5">
      <w:pPr>
        <w:ind w:left="283"/>
      </w:pPr>
      <w:r w:rsidRPr="00B61255">
        <w:t xml:space="preserve">Environmental surveillance may be enhanced to increase sensitivity and specificity of detection </w:t>
      </w:r>
      <w:r w:rsidRPr="00B301B4">
        <w:rPr>
          <w:rFonts w:eastAsia="Calibri" w:cs="Segoe UI"/>
          <w:lang w:eastAsia="en-US"/>
        </w:rPr>
        <w:t>of</w:t>
      </w:r>
      <w:r w:rsidRPr="00B61255">
        <w:t xml:space="preserve"> community transmission. This enhanced environmental surveillance may focus on a particular area or a particular period (including retrospective testing) or both.</w:t>
      </w:r>
    </w:p>
    <w:p w14:paraId="6BC4D7CE" w14:textId="19FFF6F6" w:rsidR="00386D81" w:rsidRPr="00B61255" w:rsidRDefault="00386D81" w:rsidP="004059A5">
      <w:pPr>
        <w:ind w:left="283"/>
      </w:pPr>
      <w:r w:rsidRPr="00B61255">
        <w:t xml:space="preserve"> </w:t>
      </w:r>
    </w:p>
    <w:p w14:paraId="4949E45F" w14:textId="77777777" w:rsidR="00B301B4" w:rsidRPr="00B301B4" w:rsidRDefault="00386D81" w:rsidP="00100017">
      <w:pPr>
        <w:pStyle w:val="Bullet"/>
        <w:keepNext/>
        <w:spacing w:before="0" w:after="120"/>
        <w:rPr>
          <w:rFonts w:eastAsia="Calibri" w:cs="Segoe UI"/>
          <w:lang w:eastAsia="en-US"/>
        </w:rPr>
      </w:pPr>
      <w:r w:rsidRPr="00B7572D">
        <w:rPr>
          <w:b/>
          <w:bCs/>
        </w:rPr>
        <w:t>Enhanced surveillance of enterovirus meningitis and other neurological syndromes</w:t>
      </w:r>
    </w:p>
    <w:p w14:paraId="55F460DE" w14:textId="06A1F668" w:rsidR="00C37DF7" w:rsidRPr="00C37DF7" w:rsidRDefault="00386D81" w:rsidP="004059A5">
      <w:pPr>
        <w:ind w:left="283"/>
        <w:rPr>
          <w:rFonts w:eastAsia="Calibri" w:cs="Segoe UI"/>
          <w:lang w:eastAsia="en-US"/>
        </w:rPr>
      </w:pPr>
      <w:r w:rsidRPr="00B7572D">
        <w:rPr>
          <w:rFonts w:cs="Segoe UI"/>
          <w:szCs w:val="21"/>
        </w:rPr>
        <w:t>To supplement AFP surveillance, enhanced surveillance of aseptic meningitis and other clinical syndromes could be considered, which may include submission of enterovirus positive cerebrospinal fluid (CSF) samples and positive nucleic acid extracts. However, noting that poliovirus detection in CSF is poor, and although enteroviruses are picked up by routine PCR tests during the workup of encephalomyelitis cases, it may be more useful to focus on stool testing for these cases.</w:t>
      </w:r>
    </w:p>
    <w:p w14:paraId="410B6791" w14:textId="77777777" w:rsidR="00573FF2" w:rsidRDefault="00573FF2" w:rsidP="004059A5">
      <w:pPr>
        <w:ind w:left="283"/>
        <w:rPr>
          <w:rFonts w:eastAsia="Calibri" w:cs="Segoe UI"/>
          <w:lang w:eastAsia="en-US"/>
        </w:rPr>
      </w:pPr>
    </w:p>
    <w:p w14:paraId="5FBDBF97" w14:textId="3D8561F2" w:rsidR="00386D81" w:rsidRDefault="00386D81" w:rsidP="004059A5">
      <w:pPr>
        <w:ind w:left="283"/>
        <w:rPr>
          <w:rFonts w:eastAsia="Calibri" w:cs="Segoe UI"/>
          <w:lang w:eastAsia="en-US"/>
        </w:rPr>
      </w:pPr>
      <w:r w:rsidRPr="00B7572D">
        <w:rPr>
          <w:rFonts w:eastAsia="Calibri" w:cs="Segoe UI"/>
          <w:lang w:eastAsia="en-US"/>
        </w:rPr>
        <w:lastRenderedPageBreak/>
        <w:t>There could also be consideration of systematic stool sampling of all acute neurological illnesses (including meningitis).</w:t>
      </w:r>
    </w:p>
    <w:p w14:paraId="55DB64CB" w14:textId="77777777" w:rsidR="00100017" w:rsidRPr="00B7572D" w:rsidRDefault="00100017" w:rsidP="004059A5">
      <w:pPr>
        <w:ind w:left="283"/>
        <w:rPr>
          <w:rFonts w:eastAsia="Calibri" w:cs="Segoe UI"/>
          <w:lang w:eastAsia="en-US"/>
        </w:rPr>
      </w:pPr>
    </w:p>
    <w:p w14:paraId="6A59AB2B" w14:textId="77777777" w:rsidR="00B301B4" w:rsidRPr="00B301B4" w:rsidRDefault="00386D81" w:rsidP="00100017">
      <w:pPr>
        <w:pStyle w:val="Bullet"/>
        <w:keepNext/>
        <w:spacing w:before="0" w:after="120"/>
      </w:pPr>
      <w:r w:rsidRPr="00B7572D">
        <w:rPr>
          <w:b/>
          <w:bCs/>
        </w:rPr>
        <w:t>Adding poliovirus testing to microbiological testing of all stool specimens in community of detection</w:t>
      </w:r>
    </w:p>
    <w:p w14:paraId="0326CDA9" w14:textId="2DC2D0E7" w:rsidR="00386D81" w:rsidRPr="00B61255" w:rsidRDefault="00386D81" w:rsidP="004059A5">
      <w:pPr>
        <w:ind w:left="283"/>
      </w:pPr>
      <w:r w:rsidRPr="00B61255">
        <w:t>In a situation where there is concern around community transmission (</w:t>
      </w:r>
      <w:r>
        <w:t>eg,</w:t>
      </w:r>
      <w:r w:rsidRPr="00B61255">
        <w:t xml:space="preserve"> sustained detection in wastewater or detection of poliovirus in an AFP case without risk factors for disease </w:t>
      </w:r>
      <w:r w:rsidR="00BE0E10">
        <w:t>such as</w:t>
      </w:r>
      <w:r w:rsidRPr="00B61255">
        <w:t xml:space="preserve"> travel), addition of poliovirus testing to </w:t>
      </w:r>
      <w:r w:rsidRPr="007E098A">
        <w:t>enterovirus</w:t>
      </w:r>
      <w:r w:rsidRPr="00B61255">
        <w:t xml:space="preserve"> PCR positive stool specimens in a specified area will be considered. </w:t>
      </w:r>
    </w:p>
    <w:p w14:paraId="02AC82DF" w14:textId="77777777" w:rsidR="00386D81" w:rsidRPr="00132B94" w:rsidRDefault="00386D81" w:rsidP="004059A5">
      <w:pPr>
        <w:ind w:left="283"/>
      </w:pPr>
    </w:p>
    <w:p w14:paraId="2F255A84" w14:textId="77777777" w:rsidR="00386D81" w:rsidRDefault="00386D81" w:rsidP="004059A5">
      <w:pPr>
        <w:ind w:left="283"/>
      </w:pPr>
      <w:r w:rsidRPr="00132B94">
        <w:t>Any decision would take</w:t>
      </w:r>
      <w:r w:rsidRPr="00B61255">
        <w:t xml:space="preserve"> into account lab and clinical capability and capacity, and there will need to be prioritisation of enhanced surveillance methods depending on available resources.</w:t>
      </w:r>
    </w:p>
    <w:p w14:paraId="7D6C1330" w14:textId="77777777" w:rsidR="00100017" w:rsidRPr="00B61255" w:rsidRDefault="00100017" w:rsidP="004059A5">
      <w:pPr>
        <w:ind w:left="283"/>
      </w:pPr>
    </w:p>
    <w:p w14:paraId="17854E79" w14:textId="2F65E85A" w:rsidR="00B301B4" w:rsidRDefault="00386D81" w:rsidP="00100017">
      <w:pPr>
        <w:pStyle w:val="Bullet"/>
        <w:keepNext/>
        <w:spacing w:before="0" w:after="120"/>
      </w:pPr>
      <w:r w:rsidRPr="003B5DA6">
        <w:rPr>
          <w:b/>
          <w:bCs/>
        </w:rPr>
        <w:t>Targeted healthy children stool sampling</w:t>
      </w:r>
      <w:r w:rsidRPr="00573FF2">
        <w:t xml:space="preserve"> </w:t>
      </w:r>
      <w:r w:rsidRPr="00B301B4">
        <w:t>(also known as healthy children sampling, community contact sampling, community stool sampling, or asymptomatic children stool sampling)</w:t>
      </w:r>
      <w:r w:rsidRPr="00573FF2">
        <w:t xml:space="preserve"> </w:t>
      </w:r>
    </w:p>
    <w:p w14:paraId="079DC55C" w14:textId="561B63F4" w:rsidR="00386D81" w:rsidRPr="00B61255" w:rsidRDefault="00386D81" w:rsidP="004059A5">
      <w:pPr>
        <w:ind w:left="283"/>
      </w:pPr>
      <w:r w:rsidRPr="00B61255">
        <w:t xml:space="preserve">Stool sampling in healthy children would be considered following a new VDPV isolation when community transmission </w:t>
      </w:r>
      <w:r w:rsidRPr="003B5DA6">
        <w:rPr>
          <w:b/>
          <w:bCs/>
        </w:rPr>
        <w:t>has not</w:t>
      </w:r>
      <w:r w:rsidRPr="00B61255">
        <w:t xml:space="preserve"> been confirmed but where transmission in this community is possible and community </w:t>
      </w:r>
      <w:r w:rsidRPr="00046C16">
        <w:t>poliovirus</w:t>
      </w:r>
      <w:r w:rsidRPr="00B61255">
        <w:t xml:space="preserve"> transmission status is unclear. The community for this sampling should be well defined. </w:t>
      </w:r>
    </w:p>
    <w:p w14:paraId="712845AB" w14:textId="77777777" w:rsidR="00573FF2" w:rsidRDefault="00573FF2" w:rsidP="004059A5">
      <w:pPr>
        <w:ind w:left="283"/>
      </w:pPr>
    </w:p>
    <w:p w14:paraId="5524C418" w14:textId="705E5E7B" w:rsidR="00386D81" w:rsidRPr="00B61255" w:rsidRDefault="00386D81" w:rsidP="004059A5">
      <w:pPr>
        <w:ind w:left="283"/>
      </w:pPr>
      <w:r w:rsidRPr="00B61255">
        <w:t>The decision to conduct targeted healthy children stool sampling must be made in close coordination with national surveillance and laboratory teams. It is recommended by the WHO/Polio Global Eradication Initiative to collect one stool specimen from each of 20 asymptomatic children (</w:t>
      </w:r>
      <w:r>
        <w:t>ie,</w:t>
      </w:r>
      <w:r w:rsidRPr="00B61255">
        <w:t xml:space="preserve"> children without AFP) to determine if poliovirus is present and hence transmission in the community. This should only be conducted after confirmation that a VDPV is not genetically linked to another VDPV (</w:t>
      </w:r>
      <w:r>
        <w:t>s</w:t>
      </w:r>
      <w:r w:rsidRPr="00B61255">
        <w:t xml:space="preserve">ee </w:t>
      </w:r>
      <w:r>
        <w:fldChar w:fldCharType="begin"/>
      </w:r>
      <w:r>
        <w:instrText xml:space="preserve"> REF _Ref146628861 \h </w:instrText>
      </w:r>
      <w:r>
        <w:fldChar w:fldCharType="separate"/>
      </w:r>
      <w:r w:rsidR="009B1F81" w:rsidRPr="00B61255">
        <w:t xml:space="preserve">Figure </w:t>
      </w:r>
      <w:r w:rsidR="009B1F81">
        <w:rPr>
          <w:noProof/>
        </w:rPr>
        <w:t>1</w:t>
      </w:r>
      <w:r>
        <w:fldChar w:fldCharType="end"/>
      </w:r>
      <w:r w:rsidRPr="00B61255">
        <w:t xml:space="preserve">). Cultural safety considerations must be applied to stool sampling (see </w:t>
      </w:r>
      <w:r w:rsidRPr="00477179">
        <w:rPr>
          <w:i/>
          <w:iCs/>
        </w:rPr>
        <w:t>Communicable Disease Control Manual</w:t>
      </w:r>
      <w:r w:rsidRPr="00B61255">
        <w:t xml:space="preserve"> for further details).</w:t>
      </w:r>
    </w:p>
    <w:p w14:paraId="7E83A4FB" w14:textId="77777777" w:rsidR="00386D81" w:rsidRPr="00B61255" w:rsidRDefault="00386D81" w:rsidP="00386D81">
      <w:pPr>
        <w:sectPr w:rsidR="00386D81" w:rsidRPr="00B61255" w:rsidSect="007B53E0">
          <w:headerReference w:type="default" r:id="rId23"/>
          <w:footerReference w:type="even" r:id="rId24"/>
          <w:footerReference w:type="default" r:id="rId25"/>
          <w:pgSz w:w="11907" w:h="16834" w:code="9"/>
          <w:pgMar w:top="1418" w:right="1701" w:bottom="1134" w:left="1843" w:header="284" w:footer="425" w:gutter="284"/>
          <w:pgNumType w:start="1"/>
          <w:cols w:space="720"/>
        </w:sectPr>
      </w:pPr>
    </w:p>
    <w:p w14:paraId="1B5D3057" w14:textId="2F825B1A" w:rsidR="00386D81" w:rsidRPr="00B61255" w:rsidRDefault="00386D81" w:rsidP="00F10F76">
      <w:pPr>
        <w:pStyle w:val="Figure"/>
        <w:spacing w:before="0"/>
      </w:pPr>
      <w:bookmarkStart w:id="41" w:name="_Ref146628861"/>
      <w:bookmarkStart w:id="42" w:name="_Toc146541448"/>
      <w:bookmarkStart w:id="43" w:name="_Toc147153731"/>
      <w:r w:rsidRPr="00B61255">
        <w:lastRenderedPageBreak/>
        <w:t xml:space="preserve">Figure </w:t>
      </w:r>
      <w:r w:rsidRPr="00B61255">
        <w:fldChar w:fldCharType="begin"/>
      </w:r>
      <w:r w:rsidRPr="00B61255">
        <w:instrText>SEQ Figure \* ARABIC</w:instrText>
      </w:r>
      <w:r w:rsidRPr="00B61255">
        <w:fldChar w:fldCharType="separate"/>
      </w:r>
      <w:r w:rsidR="009B1F81">
        <w:rPr>
          <w:noProof/>
        </w:rPr>
        <w:t>1</w:t>
      </w:r>
      <w:r w:rsidRPr="00B61255">
        <w:fldChar w:fldCharType="end"/>
      </w:r>
      <w:bookmarkEnd w:id="41"/>
      <w:r>
        <w:t xml:space="preserve">: </w:t>
      </w:r>
      <w:r w:rsidRPr="00B61255">
        <w:t>Flow chart for assessing situations for targeted healthy children stool sampling</w:t>
      </w:r>
      <w:r w:rsidRPr="00B61255">
        <w:rPr>
          <w:rStyle w:val="FootnoteReference"/>
        </w:rPr>
        <w:footnoteReference w:id="12"/>
      </w:r>
      <w:bookmarkEnd w:id="42"/>
      <w:bookmarkEnd w:id="43"/>
    </w:p>
    <w:p w14:paraId="61143685" w14:textId="77777777" w:rsidR="00386D81" w:rsidRPr="00B61255" w:rsidRDefault="00386D81" w:rsidP="00386D81">
      <w:pPr>
        <w:spacing w:before="240"/>
      </w:pPr>
      <w:r w:rsidRPr="00B61255">
        <w:rPr>
          <w:noProof/>
        </w:rPr>
        <w:drawing>
          <wp:inline distT="0" distB="0" distL="0" distR="0" wp14:anchorId="05D6BA8F" wp14:editId="33389631">
            <wp:extent cx="9054374" cy="3766457"/>
            <wp:effectExtent l="0" t="0" r="0" b="5715"/>
            <wp:docPr id="7" name="Picture 7" descr="Flow chart with steps to confirm a polio outbrea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low chart with steps to confirm a polio outbreak "/>
                    <pic:cNvPicPr/>
                  </pic:nvPicPr>
                  <pic:blipFill>
                    <a:blip r:embed="rId26"/>
                    <a:stretch>
                      <a:fillRect/>
                    </a:stretch>
                  </pic:blipFill>
                  <pic:spPr>
                    <a:xfrm>
                      <a:off x="0" y="0"/>
                      <a:ext cx="9073720" cy="3774505"/>
                    </a:xfrm>
                    <a:prstGeom prst="rect">
                      <a:avLst/>
                    </a:prstGeom>
                  </pic:spPr>
                </pic:pic>
              </a:graphicData>
            </a:graphic>
          </wp:inline>
        </w:drawing>
      </w:r>
    </w:p>
    <w:p w14:paraId="5F7C8001" w14:textId="77777777" w:rsidR="00386D81" w:rsidRPr="00B61255" w:rsidRDefault="00386D81" w:rsidP="00386D81"/>
    <w:p w14:paraId="46479196" w14:textId="77777777" w:rsidR="00386D81" w:rsidRPr="00B61255" w:rsidRDefault="00386D81" w:rsidP="00386D81">
      <w:r w:rsidRPr="00B61255">
        <w:t>If there is already evidence of community-wide transmission, targeted healthy children stool samplings should not be conducted.</w:t>
      </w:r>
    </w:p>
    <w:p w14:paraId="42A8FE8F" w14:textId="77777777" w:rsidR="00386D81" w:rsidRPr="00B61255" w:rsidRDefault="00386D81" w:rsidP="00386D81">
      <w:pPr>
        <w:sectPr w:rsidR="00386D81" w:rsidRPr="00B61255" w:rsidSect="003651B8">
          <w:footerReference w:type="even" r:id="rId27"/>
          <w:footerReference w:type="default" r:id="rId28"/>
          <w:pgSz w:w="16834" w:h="11907" w:orient="landscape" w:code="9"/>
          <w:pgMar w:top="1843" w:right="1418" w:bottom="1701" w:left="1134" w:header="284" w:footer="425" w:gutter="284"/>
          <w:cols w:space="720"/>
          <w:docGrid w:linePitch="286"/>
        </w:sectPr>
      </w:pPr>
    </w:p>
    <w:p w14:paraId="683A9055" w14:textId="77777777" w:rsidR="00386D81" w:rsidRPr="00B61255" w:rsidRDefault="00386D81" w:rsidP="00A20037">
      <w:pPr>
        <w:pStyle w:val="Heading3"/>
      </w:pPr>
      <w:bookmarkStart w:id="44" w:name="_Ref147146718"/>
      <w:r w:rsidRPr="00B61255">
        <w:lastRenderedPageBreak/>
        <w:t>Enhanced clinical surveillance</w:t>
      </w:r>
      <w:bookmarkEnd w:id="44"/>
    </w:p>
    <w:p w14:paraId="29C00BA9" w14:textId="7C35407C" w:rsidR="00386D81" w:rsidRPr="00B61255" w:rsidRDefault="00E9260B" w:rsidP="00386D81">
      <w:pPr>
        <w:pStyle w:val="CommentText"/>
        <w:rPr>
          <w:sz w:val="21"/>
          <w:szCs w:val="21"/>
        </w:rPr>
      </w:pPr>
      <w:r w:rsidRPr="00E9260B">
        <w:rPr>
          <w:sz w:val="21"/>
          <w:szCs w:val="21"/>
        </w:rPr>
        <w:t xml:space="preserve">In response to </w:t>
      </w:r>
      <w:r w:rsidR="00A80FD0">
        <w:rPr>
          <w:sz w:val="21"/>
          <w:szCs w:val="21"/>
        </w:rPr>
        <w:t>increased polio risk</w:t>
      </w:r>
      <w:r w:rsidRPr="00E9260B">
        <w:rPr>
          <w:sz w:val="21"/>
          <w:szCs w:val="21"/>
        </w:rPr>
        <w:t xml:space="preserve"> in Aotearoa</w:t>
      </w:r>
      <w:r w:rsidR="00A80FD0">
        <w:rPr>
          <w:sz w:val="21"/>
          <w:szCs w:val="21"/>
        </w:rPr>
        <w:t xml:space="preserve"> there would be enhanced active case finding</w:t>
      </w:r>
      <w:r w:rsidR="0053642A">
        <w:rPr>
          <w:sz w:val="21"/>
          <w:szCs w:val="21"/>
        </w:rPr>
        <w:t xml:space="preserve"> to</w:t>
      </w:r>
      <w:r w:rsidR="00A80FD0">
        <w:rPr>
          <w:sz w:val="21"/>
          <w:szCs w:val="21"/>
        </w:rPr>
        <w:t xml:space="preserve"> </w:t>
      </w:r>
      <w:r w:rsidR="00386D81" w:rsidRPr="00B61255">
        <w:rPr>
          <w:sz w:val="21"/>
          <w:szCs w:val="21"/>
        </w:rPr>
        <w:t>improve proportion of cases reported, proportion that have stool samples collected for testing and timeliness of reporting and follow-up. Th</w:t>
      </w:r>
      <w:r w:rsidR="004B06DB">
        <w:rPr>
          <w:sz w:val="21"/>
          <w:szCs w:val="21"/>
        </w:rPr>
        <w:t xml:space="preserve">ese actions </w:t>
      </w:r>
      <w:r w:rsidR="00386D81" w:rsidRPr="00B61255">
        <w:rPr>
          <w:sz w:val="21"/>
          <w:szCs w:val="21"/>
        </w:rPr>
        <w:t>may include:</w:t>
      </w:r>
    </w:p>
    <w:p w14:paraId="478C12C2" w14:textId="55721EF5" w:rsidR="00386D81" w:rsidRPr="00B61255" w:rsidRDefault="00386D81" w:rsidP="00386D81">
      <w:pPr>
        <w:pStyle w:val="Bullet"/>
      </w:pPr>
      <w:r w:rsidRPr="00B61255">
        <w:t>communications to the health sector and clinicians regarding polio and/or potential for AFP diagnoses, particularly hospitals and paediatricians</w:t>
      </w:r>
    </w:p>
    <w:p w14:paraId="63B87770" w14:textId="67E6A8BE" w:rsidR="00386D81" w:rsidRPr="00B61255" w:rsidRDefault="00386D81" w:rsidP="00386D81">
      <w:pPr>
        <w:pStyle w:val="Bullet"/>
      </w:pPr>
      <w:r w:rsidRPr="00B61255">
        <w:t xml:space="preserve">hospital admission surveillance </w:t>
      </w:r>
      <w:r>
        <w:t>(</w:t>
      </w:r>
      <w:r w:rsidRPr="00B61255">
        <w:t xml:space="preserve">retrospective case searches/6-month record reviews for undetected/unreported AFP cases, and </w:t>
      </w:r>
      <w:r>
        <w:t>investigating</w:t>
      </w:r>
      <w:r w:rsidRPr="00B61255">
        <w:t xml:space="preserve"> unreported AFP cases</w:t>
      </w:r>
      <w:r>
        <w:t>)</w:t>
      </w:r>
    </w:p>
    <w:p w14:paraId="36CAF129" w14:textId="73A060CE" w:rsidR="00386D81" w:rsidRPr="00B61255" w:rsidRDefault="00386D81" w:rsidP="00386D81">
      <w:pPr>
        <w:pStyle w:val="Bullet"/>
      </w:pPr>
      <w:r w:rsidRPr="00B61255">
        <w:t>community outreach and sensitisation</w:t>
      </w:r>
      <w:r>
        <w:t>,</w:t>
      </w:r>
      <w:r w:rsidRPr="00B61255">
        <w:t xml:space="preserve"> including awareness around polio and/or AFP symptoms</w:t>
      </w:r>
    </w:p>
    <w:p w14:paraId="229273D5" w14:textId="6AAEBAC4" w:rsidR="00386D81" w:rsidRPr="00B61255" w:rsidRDefault="00386D81" w:rsidP="00386D81">
      <w:pPr>
        <w:pStyle w:val="Bullet"/>
      </w:pPr>
      <w:r w:rsidRPr="00B61255">
        <w:t>expanding AFP surveillance to include adults</w:t>
      </w:r>
    </w:p>
    <w:p w14:paraId="67728639" w14:textId="0203B37E" w:rsidR="00386D81" w:rsidRPr="00B61255" w:rsidRDefault="00386D81" w:rsidP="00386D81">
      <w:pPr>
        <w:pStyle w:val="Bullet"/>
      </w:pPr>
      <w:r w:rsidRPr="00B61255">
        <w:t xml:space="preserve">legal instruments to improve surveillance </w:t>
      </w:r>
      <w:r>
        <w:t>(ie,</w:t>
      </w:r>
      <w:r w:rsidRPr="00B61255">
        <w:t xml:space="preserve"> making AFP notifiable</w:t>
      </w:r>
      <w:r>
        <w:t>)</w:t>
      </w:r>
      <w:r w:rsidRPr="00B61255">
        <w:t>.</w:t>
      </w:r>
    </w:p>
    <w:p w14:paraId="2F941C5D" w14:textId="77777777" w:rsidR="00386D81" w:rsidRPr="00B61255" w:rsidRDefault="00386D81" w:rsidP="00AA2D6A">
      <w:pPr>
        <w:pStyle w:val="Heading2"/>
      </w:pPr>
      <w:bookmarkStart w:id="45" w:name="_Toc132616739"/>
      <w:bookmarkStart w:id="46" w:name="_Toc146541106"/>
      <w:bookmarkStart w:id="47" w:name="_Toc147242136"/>
      <w:bookmarkStart w:id="48" w:name="_Hlk121489234"/>
      <w:bookmarkStart w:id="49" w:name="_Toc224977051"/>
      <w:bookmarkStart w:id="50" w:name="_Toc395880277"/>
      <w:bookmarkStart w:id="51" w:name="_Toc397364302"/>
      <w:r w:rsidRPr="00B61255">
        <w:t>Potential scenarios for poliovirus importation or circulation in Aotearoa</w:t>
      </w:r>
      <w:bookmarkEnd w:id="45"/>
      <w:bookmarkEnd w:id="46"/>
      <w:bookmarkEnd w:id="47"/>
    </w:p>
    <w:bookmarkEnd w:id="48"/>
    <w:p w14:paraId="6010E597" w14:textId="54A52D71" w:rsidR="00386D81" w:rsidRPr="00B61255" w:rsidRDefault="00386D81" w:rsidP="00386D81">
      <w:r w:rsidRPr="00B61255">
        <w:t xml:space="preserve">This </w:t>
      </w:r>
      <w:r w:rsidR="005C4E6F">
        <w:t>framework</w:t>
      </w:r>
      <w:r w:rsidRPr="00B61255">
        <w:t xml:space="preserve"> describes </w:t>
      </w:r>
      <w:r w:rsidR="009B1F86">
        <w:t>four</w:t>
      </w:r>
      <w:r w:rsidR="009B1F86" w:rsidRPr="00B61255">
        <w:t xml:space="preserve"> </w:t>
      </w:r>
      <w:r w:rsidRPr="00B61255">
        <w:t>key scenarios and corresponding potential approaches, noting that these have been identified as likely or important scenarios to prepare for, but are not an exhaustive list. These scenarios would trigger a risk assessment that would feed into subsequent decision</w:t>
      </w:r>
      <w:r>
        <w:t xml:space="preserve"> </w:t>
      </w:r>
      <w:r w:rsidRPr="00B61255">
        <w:t xml:space="preserve">making about definitive actions. </w:t>
      </w:r>
    </w:p>
    <w:p w14:paraId="0344A87A" w14:textId="77777777" w:rsidR="00386D81" w:rsidRPr="00B61255" w:rsidRDefault="00386D81" w:rsidP="00386D81"/>
    <w:p w14:paraId="7C0002E5" w14:textId="347FE602" w:rsidR="00386D81" w:rsidRPr="00B61255" w:rsidRDefault="00386D81" w:rsidP="00386D81">
      <w:r w:rsidRPr="00B61255">
        <w:t>The</w:t>
      </w:r>
      <w:r w:rsidR="001B1EF5">
        <w:t xml:space="preserve"> four</w:t>
      </w:r>
      <w:r w:rsidRPr="00B61255">
        <w:t xml:space="preserve"> scenarios </w:t>
      </w:r>
      <w:r w:rsidR="001B1EF5">
        <w:t>are</w:t>
      </w:r>
      <w:r w:rsidRPr="00B61255">
        <w:t>:</w:t>
      </w:r>
    </w:p>
    <w:p w14:paraId="277BFC56" w14:textId="77777777" w:rsidR="00386D81" w:rsidRPr="00B61255" w:rsidRDefault="00386D81" w:rsidP="00386D81">
      <w:pPr>
        <w:pStyle w:val="Bullet"/>
      </w:pPr>
      <w:r w:rsidRPr="00B61255">
        <w:t>detection of poliovirus through environmental surveillance</w:t>
      </w:r>
    </w:p>
    <w:p w14:paraId="5A8C446F" w14:textId="77777777" w:rsidR="00386D81" w:rsidRPr="00B61255" w:rsidRDefault="00386D81" w:rsidP="00386D81">
      <w:pPr>
        <w:pStyle w:val="Bullet"/>
      </w:pPr>
      <w:r w:rsidRPr="00B61255">
        <w:t>detection of poliovirus in a person with AFP</w:t>
      </w:r>
    </w:p>
    <w:p w14:paraId="3A6AE5C7" w14:textId="77777777" w:rsidR="001B1EF5" w:rsidRDefault="00386D81" w:rsidP="00386D81">
      <w:pPr>
        <w:pStyle w:val="Bullet"/>
      </w:pPr>
      <w:r w:rsidRPr="00B61255">
        <w:t>facility-related exposure to live polioviruses</w:t>
      </w:r>
    </w:p>
    <w:p w14:paraId="3A8BCA24" w14:textId="1FBB62AC" w:rsidR="00386D81" w:rsidRPr="00B61255" w:rsidRDefault="001B1EF5" w:rsidP="00386D81">
      <w:pPr>
        <w:pStyle w:val="Bullet"/>
      </w:pPr>
      <w:r w:rsidRPr="00B61255">
        <w:t>known contact of an overseas polio case</w:t>
      </w:r>
      <w:r w:rsidR="00386D81" w:rsidRPr="00B61255">
        <w:t>.</w:t>
      </w:r>
    </w:p>
    <w:p w14:paraId="1FD6A471" w14:textId="77777777" w:rsidR="00386D81" w:rsidRPr="00B61255" w:rsidRDefault="00386D81" w:rsidP="00386D81"/>
    <w:p w14:paraId="086F42F8" w14:textId="3D141279" w:rsidR="00386D81" w:rsidRPr="00B61255" w:rsidRDefault="00386D81" w:rsidP="00386D81">
      <w:r w:rsidRPr="00B61255">
        <w:t xml:space="preserve">Responses to these scenarios are described later in this </w:t>
      </w:r>
      <w:r w:rsidR="005C4E6F">
        <w:t>framework</w:t>
      </w:r>
      <w:r w:rsidRPr="00B61255">
        <w:t xml:space="preserve"> (</w:t>
      </w:r>
      <w:r w:rsidRPr="00364744">
        <w:t xml:space="preserve">see </w:t>
      </w:r>
      <w:r>
        <w:t xml:space="preserve">chapter </w:t>
      </w:r>
      <w:r>
        <w:fldChar w:fldCharType="begin"/>
      </w:r>
      <w:r>
        <w:instrText xml:space="preserve"> REF _Ref146629493 \r \h </w:instrText>
      </w:r>
      <w:r>
        <w:fldChar w:fldCharType="separate"/>
      </w:r>
      <w:r w:rsidR="009B1F81">
        <w:t>3</w:t>
      </w:r>
      <w:r>
        <w:fldChar w:fldCharType="end"/>
      </w:r>
      <w:r w:rsidRPr="00364744">
        <w:t>)</w:t>
      </w:r>
      <w:r>
        <w:t>.</w:t>
      </w:r>
      <w:r w:rsidRPr="00364744">
        <w:t xml:space="preserve"> </w:t>
      </w:r>
      <w:r w:rsidR="006F6494">
        <w:t>C</w:t>
      </w:r>
      <w:r w:rsidRPr="00B61255">
        <w:t>ritically</w:t>
      </w:r>
      <w:r w:rsidR="00C93EB3">
        <w:t xml:space="preserve">, </w:t>
      </w:r>
      <w:r w:rsidRPr="00B61255">
        <w:t xml:space="preserve">detection </w:t>
      </w:r>
      <w:r w:rsidRPr="00B61255">
        <w:t xml:space="preserve">of either </w:t>
      </w:r>
      <w:r>
        <w:t>WPV</w:t>
      </w:r>
      <w:r w:rsidRPr="00B61255">
        <w:t xml:space="preserve"> or VDPV from an environmental specimen and/or detection in a case of AFP requires determination of whether the results represent recent importation of circulating </w:t>
      </w:r>
      <w:r w:rsidRPr="00046C16">
        <w:t>poliovirus</w:t>
      </w:r>
      <w:r w:rsidRPr="00B61255">
        <w:t xml:space="preserve"> in the community (community transmission).</w:t>
      </w:r>
    </w:p>
    <w:p w14:paraId="2F68D540" w14:textId="77777777" w:rsidR="00386D81" w:rsidRPr="00B61255" w:rsidRDefault="00386D81" w:rsidP="00386D81"/>
    <w:bookmarkEnd w:id="49"/>
    <w:bookmarkEnd w:id="50"/>
    <w:bookmarkEnd w:id="51"/>
    <w:p w14:paraId="63C9B1B8" w14:textId="37113F9B" w:rsidR="00386D81" w:rsidRPr="00B61255" w:rsidRDefault="00386D81" w:rsidP="00386D81">
      <w:r w:rsidRPr="00B61255">
        <w:t>We note that there are a variety of mechanisms for how poliovirus could be imported to Aotearoa</w:t>
      </w:r>
      <w:r>
        <w:t>,</w:t>
      </w:r>
      <w:r w:rsidRPr="00B61255">
        <w:t xml:space="preserve"> including</w:t>
      </w:r>
      <w:r w:rsidR="00DC7B28">
        <w:t xml:space="preserve"> the importation of</w:t>
      </w:r>
      <w:r w:rsidRPr="00B61255">
        <w:t>:</w:t>
      </w:r>
    </w:p>
    <w:p w14:paraId="4BB3C5E5" w14:textId="390B3BB1" w:rsidR="00386D81" w:rsidRPr="00B61255" w:rsidRDefault="00386D81" w:rsidP="00386D81">
      <w:pPr>
        <w:pStyle w:val="Bullet"/>
      </w:pPr>
      <w:r w:rsidRPr="00B61255">
        <w:t>VDPV following travel to an area where the virus is known to be circulating</w:t>
      </w:r>
    </w:p>
    <w:p w14:paraId="4ABBCB2A" w14:textId="52C9B40A" w:rsidR="00386D81" w:rsidRPr="00B61255" w:rsidRDefault="00386D81" w:rsidP="00386D81">
      <w:pPr>
        <w:pStyle w:val="Bullet"/>
      </w:pPr>
      <w:r w:rsidRPr="00B61255">
        <w:t>a case of VAPP from a country using OPV</w:t>
      </w:r>
    </w:p>
    <w:p w14:paraId="216DF675" w14:textId="35FEADE0" w:rsidR="00386D81" w:rsidRPr="00B61255" w:rsidRDefault="00386D81" w:rsidP="00386D81">
      <w:pPr>
        <w:pStyle w:val="Bullet"/>
      </w:pPr>
      <w:r w:rsidRPr="006D45CB">
        <w:t>WPV</w:t>
      </w:r>
      <w:r>
        <w:t xml:space="preserve"> </w:t>
      </w:r>
      <w:r w:rsidRPr="00B61255">
        <w:t>from a country with recent cases of non-endemic polio.</w:t>
      </w:r>
    </w:p>
    <w:p w14:paraId="1294A512" w14:textId="77777777" w:rsidR="00386D81" w:rsidRPr="00B61255" w:rsidRDefault="00386D81" w:rsidP="005E3B50">
      <w:pPr>
        <w:pStyle w:val="Heading1"/>
      </w:pPr>
      <w:bookmarkStart w:id="52" w:name="_Toc224977052"/>
      <w:bookmarkStart w:id="53" w:name="_Toc395880278"/>
      <w:bookmarkStart w:id="54" w:name="_Toc397364303"/>
      <w:bookmarkStart w:id="55" w:name="_Toc132616740"/>
      <w:bookmarkStart w:id="56" w:name="_Toc146541107"/>
      <w:bookmarkStart w:id="57" w:name="_Toc147242137"/>
      <w:r w:rsidRPr="00B61255">
        <w:lastRenderedPageBreak/>
        <w:t>Background</w:t>
      </w:r>
      <w:bookmarkEnd w:id="52"/>
      <w:bookmarkEnd w:id="53"/>
      <w:bookmarkEnd w:id="54"/>
      <w:bookmarkEnd w:id="55"/>
      <w:bookmarkEnd w:id="56"/>
      <w:bookmarkEnd w:id="57"/>
    </w:p>
    <w:p w14:paraId="6B8D70B6" w14:textId="7BE747F0" w:rsidR="00386D81" w:rsidRPr="00B61255" w:rsidRDefault="00386D81" w:rsidP="00AA2D6A">
      <w:pPr>
        <w:pStyle w:val="Heading2"/>
        <w:rPr>
          <w:lang w:eastAsia="en-US"/>
        </w:rPr>
      </w:pPr>
      <w:bookmarkStart w:id="58" w:name="_Toc132616741"/>
      <w:bookmarkStart w:id="59" w:name="_Toc146541108"/>
      <w:bookmarkStart w:id="60" w:name="_Toc147242138"/>
      <w:r w:rsidRPr="00B61255">
        <w:rPr>
          <w:lang w:eastAsia="en-US"/>
        </w:rPr>
        <w:t xml:space="preserve">Clinical description of </w:t>
      </w:r>
      <w:r>
        <w:rPr>
          <w:lang w:eastAsia="en-US"/>
        </w:rPr>
        <w:t>p</w:t>
      </w:r>
      <w:r w:rsidRPr="00B61255">
        <w:rPr>
          <w:lang w:eastAsia="en-US"/>
        </w:rPr>
        <w:t>olio</w:t>
      </w:r>
      <w:bookmarkEnd w:id="58"/>
      <w:bookmarkEnd w:id="59"/>
      <w:bookmarkEnd w:id="60"/>
    </w:p>
    <w:p w14:paraId="2C29F9C5" w14:textId="527133EC" w:rsidR="00386D81" w:rsidRPr="00B61255" w:rsidRDefault="00386D81" w:rsidP="00386D81">
      <w:bookmarkStart w:id="61" w:name="_Hlk143082650"/>
      <w:r w:rsidRPr="00B61255">
        <w:t>Poliomyelitis (polio) is currently caused by wild poliovirus type 1</w:t>
      </w:r>
      <w:r>
        <w:t xml:space="preserve"> (WPV1)</w:t>
      </w:r>
      <w:r w:rsidRPr="00B61255">
        <w:t xml:space="preserve"> or by live vaccine-derived polioviruses</w:t>
      </w:r>
      <w:r>
        <w:t xml:space="preserve"> (VDPVs)</w:t>
      </w:r>
      <w:r w:rsidRPr="00B61255">
        <w:t xml:space="preserve">. </w:t>
      </w:r>
      <w:r>
        <w:t xml:space="preserve">The </w:t>
      </w:r>
      <w:r w:rsidRPr="00B61255">
        <w:t xml:space="preserve">WHO declared </w:t>
      </w:r>
      <w:r w:rsidRPr="004557CA">
        <w:t xml:space="preserve">wild poliovirus type </w:t>
      </w:r>
      <w:r>
        <w:t>2</w:t>
      </w:r>
      <w:r w:rsidRPr="004557CA">
        <w:t xml:space="preserve"> (WPV</w:t>
      </w:r>
      <w:r>
        <w:t>2</w:t>
      </w:r>
      <w:r w:rsidRPr="004557CA">
        <w:t>)</w:t>
      </w:r>
      <w:r>
        <w:t xml:space="preserve"> </w:t>
      </w:r>
      <w:r w:rsidRPr="00B61255">
        <w:t xml:space="preserve">eradicated in 2015, and </w:t>
      </w:r>
      <w:r w:rsidRPr="00CB4FA8">
        <w:t xml:space="preserve">wild poliovirus </w:t>
      </w:r>
      <w:r w:rsidRPr="00340445">
        <w:t xml:space="preserve">type </w:t>
      </w:r>
      <w:r>
        <w:t>3</w:t>
      </w:r>
      <w:r w:rsidRPr="00340445">
        <w:t xml:space="preserve"> (WPV</w:t>
      </w:r>
      <w:r>
        <w:t>3</w:t>
      </w:r>
      <w:r w:rsidRPr="00340445">
        <w:t>)</w:t>
      </w:r>
      <w:r>
        <w:t xml:space="preserve"> </w:t>
      </w:r>
      <w:r w:rsidRPr="00CB4FA8">
        <w:t xml:space="preserve">eradicated </w:t>
      </w:r>
      <w:r w:rsidRPr="00B61255">
        <w:t>in 2019.</w:t>
      </w:r>
    </w:p>
    <w:p w14:paraId="615FB396" w14:textId="77777777" w:rsidR="00386D81" w:rsidRPr="00B61255" w:rsidRDefault="00386D81" w:rsidP="00386D81"/>
    <w:p w14:paraId="2F796419" w14:textId="5A7FC41A" w:rsidR="00386D81" w:rsidRPr="00B61255" w:rsidRDefault="00386D81" w:rsidP="00386D81">
      <w:bookmarkStart w:id="62" w:name="_Hlk143082612"/>
      <w:r w:rsidRPr="00B61255">
        <w:t>Infection is established in the gastrointestinal tract. A minor illness occurs in about 10</w:t>
      </w:r>
      <w:r>
        <w:t>–</w:t>
      </w:r>
      <w:r w:rsidRPr="00B61255">
        <w:t xml:space="preserve">25% of infections, and symptoms may include </w:t>
      </w:r>
      <w:r w:rsidRPr="00B61255">
        <w:rPr>
          <w:rFonts w:cs="Segoe UI"/>
        </w:rPr>
        <w:t>fever, headache, sore throat, gastrointestinal disturbances, malaise, neck and back stiffness, and pain in the limbs, back and neck</w:t>
      </w:r>
      <w:r w:rsidRPr="00B61255">
        <w:t xml:space="preserve">. </w:t>
      </w:r>
    </w:p>
    <w:bookmarkEnd w:id="62"/>
    <w:p w14:paraId="5F01EE6B" w14:textId="77777777" w:rsidR="00386D81" w:rsidRPr="00B61255" w:rsidRDefault="00386D81" w:rsidP="00386D81"/>
    <w:p w14:paraId="682468D1" w14:textId="79816471" w:rsidR="00386D81" w:rsidRPr="00B61255" w:rsidRDefault="00386D81" w:rsidP="00386D81">
      <w:pPr>
        <w:rPr>
          <w:rFonts w:cs="Segoe UI"/>
        </w:rPr>
      </w:pPr>
      <w:r w:rsidRPr="00B61255">
        <w:rPr>
          <w:rFonts w:cs="Segoe UI"/>
        </w:rPr>
        <w:t>Severe symptoms occur in 1</w:t>
      </w:r>
      <w:r>
        <w:rPr>
          <w:rFonts w:cs="Segoe UI"/>
        </w:rPr>
        <w:t>–</w:t>
      </w:r>
      <w:r w:rsidRPr="00B61255">
        <w:rPr>
          <w:rFonts w:cs="Segoe UI"/>
        </w:rPr>
        <w:t>2</w:t>
      </w:r>
      <w:r>
        <w:rPr>
          <w:rFonts w:cs="Segoe UI"/>
        </w:rPr>
        <w:t>%</w:t>
      </w:r>
      <w:r w:rsidRPr="00B61255">
        <w:rPr>
          <w:rFonts w:cs="Segoe UI"/>
        </w:rPr>
        <w:t xml:space="preserve"> of infected unvaccinated individuals. </w:t>
      </w:r>
      <w:r>
        <w:rPr>
          <w:rFonts w:cs="Segoe UI"/>
        </w:rPr>
        <w:t xml:space="preserve">AFP </w:t>
      </w:r>
      <w:r w:rsidRPr="00B61255">
        <w:rPr>
          <w:rFonts w:cs="Segoe UI"/>
        </w:rPr>
        <w:t>occurs in 0.5</w:t>
      </w:r>
      <w:r>
        <w:rPr>
          <w:rFonts w:cs="Segoe UI"/>
        </w:rPr>
        <w:t>–</w:t>
      </w:r>
      <w:r w:rsidRPr="00B61255">
        <w:rPr>
          <w:rFonts w:cs="Segoe UI"/>
        </w:rPr>
        <w:t>0.05</w:t>
      </w:r>
      <w:r>
        <w:rPr>
          <w:rFonts w:cs="Segoe UI"/>
        </w:rPr>
        <w:t>%</w:t>
      </w:r>
      <w:r w:rsidRPr="00B61255">
        <w:rPr>
          <w:rFonts w:cs="Segoe UI"/>
        </w:rPr>
        <w:t xml:space="preserve"> of infected individuals, and is more common in adults, where the incidence may be as high as 1 in every 75 infections</w:t>
      </w:r>
      <w:r>
        <w:rPr>
          <w:rFonts w:cs="Segoe UI"/>
        </w:rPr>
        <w:t>.</w:t>
      </w:r>
      <w:r>
        <w:rPr>
          <w:rStyle w:val="FootnoteReference"/>
          <w:rFonts w:cs="Segoe UI"/>
        </w:rPr>
        <w:footnoteReference w:id="13"/>
      </w:r>
      <w:r w:rsidRPr="00B61255">
        <w:rPr>
          <w:rFonts w:cs="Segoe UI"/>
        </w:rPr>
        <w:t xml:space="preserve"> Severe illness often includes aseptic meningitis, which can precede development of paralysis</w:t>
      </w:r>
      <w:r>
        <w:rPr>
          <w:rFonts w:cs="Segoe UI"/>
        </w:rPr>
        <w:t>.</w:t>
      </w:r>
      <w:r w:rsidRPr="00B61255">
        <w:rPr>
          <w:rStyle w:val="FootnoteReference"/>
          <w:rFonts w:cs="Segoe UI"/>
        </w:rPr>
        <w:footnoteReference w:id="14"/>
      </w:r>
    </w:p>
    <w:p w14:paraId="57D613FC" w14:textId="77777777" w:rsidR="00386D81" w:rsidRPr="00B61255" w:rsidRDefault="00386D81" w:rsidP="00386D81">
      <w:pPr>
        <w:rPr>
          <w:rFonts w:cs="Segoe UI"/>
        </w:rPr>
      </w:pPr>
    </w:p>
    <w:tbl>
      <w:tblPr>
        <w:tblStyle w:val="TableGrid2"/>
        <w:tblW w:w="0" w:type="auto"/>
        <w:shd w:val="clear" w:color="auto" w:fill="B6DFE0"/>
        <w:tblLook w:val="04A0" w:firstRow="1" w:lastRow="0" w:firstColumn="1" w:lastColumn="0" w:noHBand="0" w:noVBand="1"/>
      </w:tblPr>
      <w:tblGrid>
        <w:gridCol w:w="8069"/>
      </w:tblGrid>
      <w:tr w:rsidR="00386D81" w:rsidRPr="00B61255" w14:paraId="5C6EF33A" w14:textId="77777777" w:rsidTr="00C0527A">
        <w:tc>
          <w:tcPr>
            <w:tcW w:w="9016" w:type="dxa"/>
            <w:shd w:val="clear" w:color="auto" w:fill="B6DFE0"/>
          </w:tcPr>
          <w:p w14:paraId="2725B7FF" w14:textId="4FFAAD60" w:rsidR="00ED1B9D" w:rsidRPr="00184D75" w:rsidRDefault="00ED1B9D">
            <w:pPr>
              <w:spacing w:before="120"/>
              <w:rPr>
                <w:b/>
                <w:bCs/>
              </w:rPr>
            </w:pPr>
            <w:r w:rsidRPr="00184D75">
              <w:rPr>
                <w:b/>
                <w:bCs/>
              </w:rPr>
              <w:t xml:space="preserve">What is </w:t>
            </w:r>
            <w:r>
              <w:rPr>
                <w:b/>
                <w:bCs/>
              </w:rPr>
              <w:t>A</w:t>
            </w:r>
            <w:r w:rsidRPr="00184D75">
              <w:rPr>
                <w:b/>
                <w:bCs/>
              </w:rPr>
              <w:t xml:space="preserve">cute </w:t>
            </w:r>
            <w:r>
              <w:rPr>
                <w:b/>
                <w:bCs/>
              </w:rPr>
              <w:t>F</w:t>
            </w:r>
            <w:r w:rsidRPr="00184D75">
              <w:rPr>
                <w:b/>
                <w:bCs/>
              </w:rPr>
              <w:t xml:space="preserve">laccid </w:t>
            </w:r>
            <w:r>
              <w:rPr>
                <w:b/>
                <w:bCs/>
              </w:rPr>
              <w:t>P</w:t>
            </w:r>
            <w:r w:rsidRPr="00184D75">
              <w:rPr>
                <w:b/>
                <w:bCs/>
              </w:rPr>
              <w:t>aralysis</w:t>
            </w:r>
            <w:r>
              <w:rPr>
                <w:b/>
                <w:bCs/>
              </w:rPr>
              <w:t xml:space="preserve"> (AFP)</w:t>
            </w:r>
            <w:r w:rsidRPr="00184D75">
              <w:rPr>
                <w:b/>
                <w:bCs/>
              </w:rPr>
              <w:t>?</w:t>
            </w:r>
          </w:p>
          <w:p w14:paraId="2F4A82C0" w14:textId="55BBF7FE" w:rsidR="00386D81" w:rsidRPr="00B61255" w:rsidRDefault="00386D81" w:rsidP="00184D75">
            <w:pPr>
              <w:spacing w:before="120"/>
              <w:rPr>
                <w:lang w:eastAsia="en-NZ"/>
              </w:rPr>
            </w:pPr>
            <w:r>
              <w:t>AFP</w:t>
            </w:r>
            <w:r w:rsidRPr="00B61255">
              <w:t xml:space="preserve"> is characterised by</w:t>
            </w:r>
            <w:r>
              <w:t xml:space="preserve"> </w:t>
            </w:r>
            <w:r w:rsidRPr="00222B50">
              <w:t>rapid onset of weakness of an individual’s extremities, often including weakness of the muscles of respiration and swallowing, progressing to maximum severity within 1–10 days</w:t>
            </w:r>
            <w:r>
              <w:t>.</w:t>
            </w:r>
            <w:r w:rsidRPr="00B61255">
              <w:rPr>
                <w:rStyle w:val="FootnoteReference"/>
                <w:rFonts w:cs="Segoe UI"/>
              </w:rPr>
              <w:footnoteReference w:id="15"/>
            </w:r>
            <w:r w:rsidRPr="00B61255">
              <w:rPr>
                <w:lang w:eastAsia="en-NZ"/>
              </w:rPr>
              <w:t xml:space="preserve"> </w:t>
            </w:r>
          </w:p>
          <w:p w14:paraId="5886D59E" w14:textId="77777777" w:rsidR="00386D81" w:rsidRDefault="00386D81" w:rsidP="00AD201D">
            <w:pPr>
              <w:rPr>
                <w:lang w:eastAsia="en-NZ"/>
              </w:rPr>
            </w:pPr>
          </w:p>
          <w:p w14:paraId="47BDEE62" w14:textId="6875051B" w:rsidR="00386D81" w:rsidRPr="00B61255" w:rsidRDefault="00386D81" w:rsidP="00B76DFB">
            <w:pPr>
              <w:spacing w:after="120"/>
              <w:rPr>
                <w:lang w:eastAsia="en-NZ"/>
              </w:rPr>
            </w:pPr>
            <w:r w:rsidRPr="00B61255">
              <w:rPr>
                <w:lang w:eastAsia="en-NZ"/>
              </w:rPr>
              <w:t xml:space="preserve">The term </w:t>
            </w:r>
            <w:r>
              <w:rPr>
                <w:lang w:eastAsia="en-NZ"/>
              </w:rPr>
              <w:t>‘</w:t>
            </w:r>
            <w:r w:rsidRPr="00B61255">
              <w:rPr>
                <w:lang w:eastAsia="en-NZ"/>
              </w:rPr>
              <w:t>flaccid</w:t>
            </w:r>
            <w:r>
              <w:rPr>
                <w:lang w:eastAsia="en-NZ"/>
              </w:rPr>
              <w:t>’</w:t>
            </w:r>
            <w:r w:rsidRPr="00B61255">
              <w:rPr>
                <w:lang w:eastAsia="en-NZ"/>
              </w:rPr>
              <w:t xml:space="preserve"> indicates the absence of spasticity or other signs of disordered central nervous system motor tracts such as hyperreflexia, clonus, or extensor plantar responses. </w:t>
            </w:r>
          </w:p>
        </w:tc>
      </w:tr>
      <w:bookmarkEnd w:id="61"/>
    </w:tbl>
    <w:p w14:paraId="2775D8CE" w14:textId="77777777" w:rsidR="00386D81" w:rsidRPr="00B61255" w:rsidRDefault="00386D81" w:rsidP="00386D81"/>
    <w:p w14:paraId="6F0B1D6A" w14:textId="450C5BD6" w:rsidR="00386D81" w:rsidRPr="00B61255" w:rsidRDefault="00386D81" w:rsidP="00386D81">
      <w:r w:rsidRPr="00B61255">
        <w:t>For details on laboratory testing and case classification</w:t>
      </w:r>
      <w:r>
        <w:t>,</w:t>
      </w:r>
      <w:r w:rsidRPr="00B61255">
        <w:t xml:space="preserve"> please see </w:t>
      </w:r>
      <w:r>
        <w:t xml:space="preserve">the Te Whatu Ora </w:t>
      </w:r>
      <w:r w:rsidRPr="00184D75">
        <w:rPr>
          <w:i/>
          <w:iCs/>
        </w:rPr>
        <w:t>Communicable Disease Control Manual</w:t>
      </w:r>
      <w:r w:rsidRPr="00184D75">
        <w:t>.</w:t>
      </w:r>
      <w:r>
        <w:rPr>
          <w:rStyle w:val="FootnoteReference"/>
        </w:rPr>
        <w:footnoteReference w:id="16"/>
      </w:r>
      <w:r w:rsidRPr="00B61255">
        <w:t xml:space="preserve"> </w:t>
      </w:r>
    </w:p>
    <w:p w14:paraId="18746FC2" w14:textId="77777777" w:rsidR="00386D81" w:rsidRPr="00B61255" w:rsidRDefault="00386D81" w:rsidP="00386D81"/>
    <w:p w14:paraId="45F02FE1" w14:textId="6A746F7A" w:rsidR="00386D81" w:rsidRPr="00B61255" w:rsidRDefault="00386D81" w:rsidP="00386D81">
      <w:r w:rsidRPr="00B61255">
        <w:t>As per</w:t>
      </w:r>
      <w:r w:rsidR="00212D56">
        <w:t xml:space="preserve"> section</w:t>
      </w:r>
      <w:r w:rsidRPr="00B61255">
        <w:t xml:space="preserve"> </w:t>
      </w:r>
      <w:r w:rsidR="00212D56">
        <w:fldChar w:fldCharType="begin"/>
      </w:r>
      <w:r w:rsidR="00212D56">
        <w:instrText xml:space="preserve"> REF _Ref147138098 \r \h </w:instrText>
      </w:r>
      <w:r w:rsidR="00212D56">
        <w:fldChar w:fldCharType="separate"/>
      </w:r>
      <w:r w:rsidR="009B1F81">
        <w:t>1.4.1</w:t>
      </w:r>
      <w:r w:rsidR="00212D56">
        <w:fldChar w:fldCharType="end"/>
      </w:r>
      <w:r>
        <w:t>,</w:t>
      </w:r>
      <w:r w:rsidRPr="00B61255">
        <w:t xml:space="preserve"> </w:t>
      </w:r>
      <w:r>
        <w:t xml:space="preserve">polio </w:t>
      </w:r>
      <w:r w:rsidRPr="00B61255">
        <w:t>is a notifiable disease, and the attending health practitioner must notify Medical Officers of Health on suspicion (prior to confirmation via testing).</w:t>
      </w:r>
    </w:p>
    <w:p w14:paraId="2A69B2BE" w14:textId="77777777" w:rsidR="00386D81" w:rsidRPr="00B61255" w:rsidRDefault="00386D81" w:rsidP="00AA2D6A">
      <w:pPr>
        <w:pStyle w:val="Heading2"/>
      </w:pPr>
      <w:bookmarkStart w:id="64" w:name="_Toc395880280"/>
      <w:bookmarkStart w:id="65" w:name="_Toc397364305"/>
      <w:bookmarkStart w:id="66" w:name="_Toc132616742"/>
      <w:bookmarkStart w:id="67" w:name="_Toc146541109"/>
      <w:bookmarkStart w:id="68" w:name="_Toc147242139"/>
      <w:bookmarkStart w:id="69" w:name="_Toc224526077"/>
      <w:bookmarkStart w:id="70" w:name="_Toc224977054"/>
      <w:r w:rsidRPr="00B61255">
        <w:lastRenderedPageBreak/>
        <w:t>The spread of poliovirus</w:t>
      </w:r>
      <w:bookmarkEnd w:id="64"/>
      <w:bookmarkEnd w:id="65"/>
      <w:bookmarkEnd w:id="66"/>
      <w:bookmarkEnd w:id="67"/>
      <w:bookmarkEnd w:id="68"/>
    </w:p>
    <w:p w14:paraId="33FADAFF" w14:textId="02A068CD" w:rsidR="00386D81" w:rsidRPr="00184D75" w:rsidRDefault="00386D81" w:rsidP="00386D81">
      <w:r w:rsidRPr="00B61255">
        <w:t>For the most recent information regarding the spread of poliovirus based on emerging evidence, please see</w:t>
      </w:r>
      <w:r>
        <w:t xml:space="preserve"> the</w:t>
      </w:r>
      <w:r w:rsidRPr="00B61255">
        <w:t xml:space="preserve"> </w:t>
      </w:r>
      <w:r w:rsidRPr="00184D75">
        <w:rPr>
          <w:i/>
          <w:iCs/>
        </w:rPr>
        <w:t>Communicable Disease Control Manual</w:t>
      </w:r>
      <w:r w:rsidRPr="00C31682">
        <w:t>.</w:t>
      </w:r>
      <w:bookmarkEnd w:id="69"/>
      <w:bookmarkEnd w:id="70"/>
    </w:p>
    <w:p w14:paraId="39B0366A" w14:textId="4F3A6604" w:rsidR="00386D81" w:rsidRPr="00B61255" w:rsidRDefault="00386D81" w:rsidP="00AA2D6A">
      <w:pPr>
        <w:pStyle w:val="Heading2"/>
      </w:pPr>
      <w:bookmarkStart w:id="71" w:name="_Toc129816263"/>
      <w:bookmarkStart w:id="72" w:name="_Toc129816264"/>
      <w:bookmarkStart w:id="73" w:name="_Toc132616743"/>
      <w:bookmarkStart w:id="74" w:name="_Toc146541110"/>
      <w:bookmarkStart w:id="75" w:name="_Ref146639271"/>
      <w:bookmarkStart w:id="76" w:name="_Ref146701741"/>
      <w:bookmarkStart w:id="77" w:name="_Toc147242140"/>
      <w:bookmarkEnd w:id="71"/>
      <w:bookmarkEnd w:id="72"/>
      <w:r w:rsidRPr="00B61255">
        <w:t xml:space="preserve">WHO definitions of </w:t>
      </w:r>
      <w:r>
        <w:t>p</w:t>
      </w:r>
      <w:r w:rsidRPr="00B61255">
        <w:t>olio events and outbreaks</w:t>
      </w:r>
      <w:bookmarkEnd w:id="73"/>
      <w:bookmarkEnd w:id="74"/>
      <w:bookmarkEnd w:id="75"/>
      <w:bookmarkEnd w:id="76"/>
      <w:bookmarkEnd w:id="77"/>
    </w:p>
    <w:p w14:paraId="382448D0" w14:textId="55104763" w:rsidR="00386D81" w:rsidRPr="00B61255" w:rsidRDefault="00386D81" w:rsidP="00386D81">
      <w:r w:rsidRPr="00B61255">
        <w:rPr>
          <w:b/>
          <w:bCs/>
        </w:rPr>
        <w:t>Outbreak</w:t>
      </w:r>
      <w:bookmarkStart w:id="78" w:name="_Ref146633014"/>
      <w:r w:rsidRPr="00184D75">
        <w:rPr>
          <w:rStyle w:val="FootnoteReference"/>
        </w:rPr>
        <w:footnoteReference w:id="17"/>
      </w:r>
      <w:bookmarkEnd w:id="78"/>
      <w:r w:rsidRPr="00BC6730">
        <w:t xml:space="preserve"> </w:t>
      </w:r>
      <w:r>
        <w:t>means d</w:t>
      </w:r>
      <w:r w:rsidRPr="00B61255">
        <w:t xml:space="preserve">etection of WPV or </w:t>
      </w:r>
      <w:r w:rsidRPr="00AC3084">
        <w:t xml:space="preserve">circulating vaccine-derived poliovirus </w:t>
      </w:r>
      <w:r>
        <w:t>(</w:t>
      </w:r>
      <w:r w:rsidRPr="00B61255">
        <w:t>cVDPV</w:t>
      </w:r>
      <w:r>
        <w:t>)</w:t>
      </w:r>
      <w:r w:rsidRPr="00B61255">
        <w:t xml:space="preserve"> with community</w:t>
      </w:r>
      <w:r>
        <w:t>-</w:t>
      </w:r>
      <w:r w:rsidRPr="00B61255">
        <w:t>level transmission as demonstrated by:</w:t>
      </w:r>
    </w:p>
    <w:p w14:paraId="630A3844" w14:textId="1283A877" w:rsidR="00386D81" w:rsidRPr="00B61255" w:rsidRDefault="00386D81" w:rsidP="00386D81">
      <w:pPr>
        <w:pStyle w:val="Bullet"/>
      </w:pPr>
      <w:r>
        <w:t>d</w:t>
      </w:r>
      <w:r w:rsidRPr="00B61255">
        <w:t xml:space="preserve">etection in a human, </w:t>
      </w:r>
      <w:r w:rsidR="00BC6730">
        <w:t>unless</w:t>
      </w:r>
      <w:r w:rsidR="00BC6730" w:rsidRPr="00B61255">
        <w:t xml:space="preserve"> </w:t>
      </w:r>
      <w:r w:rsidRPr="00B61255">
        <w:t xml:space="preserve">there is a travel history to an infected area with 35 days before onset of paralysis </w:t>
      </w:r>
      <w:r w:rsidR="00BC6730">
        <w:t>or</w:t>
      </w:r>
      <w:r w:rsidRPr="00B61255">
        <w:t xml:space="preserve"> a confirmed type</w:t>
      </w:r>
      <w:r>
        <w:t>-</w:t>
      </w:r>
      <w:r w:rsidRPr="00B61255">
        <w:t>specific virus exposure in a laboratory or vaccine production facility</w:t>
      </w:r>
    </w:p>
    <w:p w14:paraId="1A1D6757" w14:textId="3DC24747" w:rsidR="00386D81" w:rsidRPr="00B61255" w:rsidRDefault="00386D81" w:rsidP="00386D81">
      <w:pPr>
        <w:pStyle w:val="Bullet"/>
      </w:pPr>
      <w:r>
        <w:t>t</w:t>
      </w:r>
      <w:r w:rsidRPr="00B61255">
        <w:t xml:space="preserve">wo separate detections from the environment, where separate means the samples were collected from two different sites with no overlapping catchment areas </w:t>
      </w:r>
      <w:r w:rsidR="00BC6730">
        <w:t>or</w:t>
      </w:r>
      <w:r w:rsidRPr="00B61255">
        <w:t xml:space="preserve"> from the same site but at least two months apart</w:t>
      </w:r>
    </w:p>
    <w:p w14:paraId="751237E3" w14:textId="53A366DC" w:rsidR="00386D81" w:rsidRPr="00B61255" w:rsidRDefault="00386D81" w:rsidP="00386D81">
      <w:pPr>
        <w:pStyle w:val="Bullet"/>
      </w:pPr>
      <w:r>
        <w:t>a</w:t>
      </w:r>
      <w:r w:rsidRPr="00B61255">
        <w:t xml:space="preserve">ny newly detected cVDPV, whether in a human or environmental sample; </w:t>
      </w:r>
      <w:r>
        <w:t>that is,</w:t>
      </w:r>
      <w:r w:rsidRPr="00B61255">
        <w:t xml:space="preserve"> when a VDPV isolated either in human stool or the environment can immediately be genetically linked to another VDPV thereby confirming circulation in the areas of detection.</w:t>
      </w:r>
    </w:p>
    <w:p w14:paraId="56F70403" w14:textId="77777777" w:rsidR="00386D81" w:rsidRPr="00B61255" w:rsidRDefault="00386D81" w:rsidP="00386D81"/>
    <w:p w14:paraId="5D61CD5E" w14:textId="744D4F37" w:rsidR="00386D81" w:rsidRPr="00B61255" w:rsidRDefault="00386D81" w:rsidP="00386D81">
      <w:r w:rsidRPr="00B61255">
        <w:rPr>
          <w:b/>
          <w:bCs/>
        </w:rPr>
        <w:t xml:space="preserve">Importation </w:t>
      </w:r>
      <w:r>
        <w:rPr>
          <w:b/>
          <w:bCs/>
        </w:rPr>
        <w:t>e</w:t>
      </w:r>
      <w:r w:rsidRPr="00B61255">
        <w:rPr>
          <w:b/>
          <w:bCs/>
        </w:rPr>
        <w:t>vent</w:t>
      </w:r>
      <w:r w:rsidRPr="00184D75">
        <w:rPr>
          <w:vertAlign w:val="superscript"/>
        </w:rPr>
        <w:fldChar w:fldCharType="begin"/>
      </w:r>
      <w:r w:rsidRPr="00184D75">
        <w:rPr>
          <w:vertAlign w:val="superscript"/>
        </w:rPr>
        <w:instrText xml:space="preserve"> NOTEREF _Ref146633014 \h  \* MERGEFORMAT </w:instrText>
      </w:r>
      <w:r w:rsidRPr="00184D75">
        <w:rPr>
          <w:vertAlign w:val="superscript"/>
        </w:rPr>
      </w:r>
      <w:r w:rsidRPr="00184D75">
        <w:rPr>
          <w:vertAlign w:val="superscript"/>
        </w:rPr>
        <w:fldChar w:fldCharType="separate"/>
      </w:r>
      <w:r w:rsidR="009B1F81">
        <w:rPr>
          <w:vertAlign w:val="superscript"/>
        </w:rPr>
        <w:t>17</w:t>
      </w:r>
      <w:r w:rsidRPr="00184D75">
        <w:rPr>
          <w:vertAlign w:val="superscript"/>
        </w:rPr>
        <w:fldChar w:fldCharType="end"/>
      </w:r>
      <w:r w:rsidRPr="00BC6730">
        <w:t xml:space="preserve"> </w:t>
      </w:r>
      <w:r>
        <w:t xml:space="preserve">means </w:t>
      </w:r>
      <w:r w:rsidRPr="00B61255">
        <w:t>detection of WPV or cVDPV importation but no evidence of community transmission</w:t>
      </w:r>
      <w:r>
        <w:t xml:space="preserve"> — for example</w:t>
      </w:r>
      <w:r w:rsidRPr="00B61255">
        <w:t xml:space="preserve">: </w:t>
      </w:r>
    </w:p>
    <w:p w14:paraId="0C1066AB" w14:textId="21905C91" w:rsidR="00386D81" w:rsidRPr="00B61255" w:rsidRDefault="00386D81" w:rsidP="00386D81">
      <w:pPr>
        <w:pStyle w:val="Bullet"/>
      </w:pPr>
      <w:r>
        <w:t>d</w:t>
      </w:r>
      <w:r w:rsidRPr="00B61255">
        <w:t>etection of WPV or known cVDPV in an AFP case or asymptomatic person with a travel history to an infected area within the 351 days before onset of illness</w:t>
      </w:r>
    </w:p>
    <w:p w14:paraId="6C3F6797" w14:textId="3A602637" w:rsidR="00386D81" w:rsidRPr="00B61255" w:rsidRDefault="00386D81" w:rsidP="00386D81">
      <w:pPr>
        <w:pStyle w:val="Bullet"/>
      </w:pPr>
      <w:r>
        <w:t>o</w:t>
      </w:r>
      <w:r w:rsidRPr="00B61255">
        <w:t>ne single environmental detection of WPV or a known cVDPV in a new infected territory (or country)</w:t>
      </w:r>
      <w:r>
        <w:t>,</w:t>
      </w:r>
      <w:r w:rsidRPr="00B61255">
        <w:t xml:space="preserve"> with no evidence of local community transmission found</w:t>
      </w:r>
    </w:p>
    <w:p w14:paraId="5775F1E8" w14:textId="15A6D87C" w:rsidR="00386D81" w:rsidRPr="00B61255" w:rsidRDefault="00386D81" w:rsidP="00386D81">
      <w:pPr>
        <w:pStyle w:val="Bullet"/>
      </w:pPr>
      <w:r>
        <w:t>m</w:t>
      </w:r>
      <w:r w:rsidRPr="00B61255">
        <w:t>ultiple environmental detections of WPV or a known cVDPV from one site over less than two months but no evidence of ongoing viral replication (isolates are genetically identical or nearly identical)</w:t>
      </w:r>
      <w:r>
        <w:t>.</w:t>
      </w:r>
    </w:p>
    <w:p w14:paraId="62CE3A67" w14:textId="77777777" w:rsidR="00386D81" w:rsidRPr="00B61255" w:rsidRDefault="00386D81" w:rsidP="00386D81"/>
    <w:p w14:paraId="1CA37B8E" w14:textId="1F02049D" w:rsidR="00386D81" w:rsidRPr="00B61255" w:rsidRDefault="00386D81" w:rsidP="00386D81">
      <w:r w:rsidRPr="00B61255">
        <w:rPr>
          <w:b/>
          <w:bCs/>
        </w:rPr>
        <w:t xml:space="preserve">A </w:t>
      </w:r>
      <w:r>
        <w:rPr>
          <w:b/>
          <w:bCs/>
        </w:rPr>
        <w:t>n</w:t>
      </w:r>
      <w:r w:rsidRPr="00B61255">
        <w:rPr>
          <w:b/>
          <w:bCs/>
        </w:rPr>
        <w:t xml:space="preserve">ew </w:t>
      </w:r>
      <w:r>
        <w:rPr>
          <w:b/>
          <w:bCs/>
        </w:rPr>
        <w:t>e</w:t>
      </w:r>
      <w:r w:rsidRPr="00B61255">
        <w:rPr>
          <w:b/>
          <w:bCs/>
        </w:rPr>
        <w:t xml:space="preserve">mergence </w:t>
      </w:r>
      <w:r>
        <w:rPr>
          <w:b/>
          <w:bCs/>
        </w:rPr>
        <w:t>e</w:t>
      </w:r>
      <w:r w:rsidRPr="00B61255">
        <w:rPr>
          <w:b/>
          <w:bCs/>
        </w:rPr>
        <w:t xml:space="preserve">vent: New VDPV emergence </w:t>
      </w:r>
      <w:r w:rsidRPr="00184D75">
        <w:t>means:</w:t>
      </w:r>
    </w:p>
    <w:p w14:paraId="46C7ACE9" w14:textId="2B77AD9D" w:rsidR="00386D81" w:rsidRPr="00B61255" w:rsidRDefault="00386D81" w:rsidP="00386D81">
      <w:pPr>
        <w:pStyle w:val="Bullet"/>
      </w:pPr>
      <w:r>
        <w:t>d</w:t>
      </w:r>
      <w:r w:rsidRPr="00B61255">
        <w:t xml:space="preserve">etection of a newly identified VDPV in a single AFP case or asymptomatic person (such as a household contact) with no evidence of community transmission found, including from genetic sequencing (not genetically linked to another known VDPV) </w:t>
      </w:r>
    </w:p>
    <w:p w14:paraId="75413491" w14:textId="6A13520A" w:rsidR="00386D81" w:rsidRPr="00B61255" w:rsidRDefault="00386D81" w:rsidP="00386D81">
      <w:pPr>
        <w:pStyle w:val="Bullet"/>
      </w:pPr>
      <w:r>
        <w:t>m</w:t>
      </w:r>
      <w:r w:rsidRPr="00B61255">
        <w:t>ultiple detections of a newly identified VDPVs from a single environmental sampling site within a two-month period but no virological evidence of multiple excreters (</w:t>
      </w:r>
      <w:r>
        <w:t>ie,</w:t>
      </w:r>
      <w:r w:rsidRPr="00B61255">
        <w:t xml:space="preserve"> the genetic sequences are identical or nearly identical</w:t>
      </w:r>
      <w:r>
        <w:t>).</w:t>
      </w:r>
      <w:r w:rsidRPr="00B61255">
        <w:t xml:space="preserve"> </w:t>
      </w:r>
    </w:p>
    <w:p w14:paraId="618A9B48" w14:textId="77777777" w:rsidR="00386D81" w:rsidRPr="00B61255" w:rsidRDefault="00386D81" w:rsidP="00386D81"/>
    <w:p w14:paraId="1D73F5B2" w14:textId="7A8F9567" w:rsidR="00386D81" w:rsidRPr="00B61255" w:rsidRDefault="00386D81" w:rsidP="00386D81">
      <w:r w:rsidRPr="00B61255">
        <w:rPr>
          <w:b/>
          <w:bCs/>
        </w:rPr>
        <w:lastRenderedPageBreak/>
        <w:t>Facility associated WPV or VDPV event</w:t>
      </w:r>
      <w:r>
        <w:t xml:space="preserve"> means</w:t>
      </w:r>
      <w:r w:rsidRPr="00B61255">
        <w:t xml:space="preserve"> </w:t>
      </w:r>
      <w:r>
        <w:t>d</w:t>
      </w:r>
      <w:r w:rsidRPr="00B61255">
        <w:t>etection of WPV or VDPV in a person with suspected or documented type</w:t>
      </w:r>
      <w:r>
        <w:t>-</w:t>
      </w:r>
      <w:r w:rsidRPr="00B61255">
        <w:t>specific virus exposure in a laboratory or vaccine production facility, or in the environment samples collected in the vicinity of such a facility</w:t>
      </w:r>
      <w:r>
        <w:t>.</w:t>
      </w:r>
    </w:p>
    <w:p w14:paraId="04A56DA8" w14:textId="77777777" w:rsidR="00386D81" w:rsidRPr="00B61255" w:rsidRDefault="00386D81" w:rsidP="00AA2D6A">
      <w:pPr>
        <w:pStyle w:val="Heading2"/>
      </w:pPr>
      <w:bookmarkStart w:id="79" w:name="_Hlk124434589"/>
      <w:bookmarkStart w:id="80" w:name="_Toc132616744"/>
      <w:bookmarkStart w:id="81" w:name="_Toc146541111"/>
      <w:bookmarkStart w:id="82" w:name="_Toc147242141"/>
      <w:bookmarkStart w:id="83" w:name="_Toc395880281"/>
      <w:bookmarkStart w:id="84" w:name="_Toc397364306"/>
      <w:bookmarkStart w:id="85" w:name="_Hlk121482993"/>
      <w:r w:rsidRPr="00B61255">
        <w:t xml:space="preserve">Polio vaccines </w:t>
      </w:r>
      <w:bookmarkEnd w:id="79"/>
      <w:r w:rsidRPr="00B61255">
        <w:t>in Aotearoa and internationally</w:t>
      </w:r>
      <w:bookmarkEnd w:id="80"/>
      <w:bookmarkEnd w:id="81"/>
      <w:bookmarkEnd w:id="82"/>
      <w:r w:rsidRPr="00B61255">
        <w:t xml:space="preserve"> </w:t>
      </w:r>
      <w:bookmarkEnd w:id="83"/>
      <w:bookmarkEnd w:id="84"/>
    </w:p>
    <w:p w14:paraId="596C7E27" w14:textId="77777777" w:rsidR="00386D81" w:rsidRPr="00B61255" w:rsidRDefault="00386D81" w:rsidP="000F2AF2">
      <w:pPr>
        <w:pStyle w:val="Heading3"/>
      </w:pPr>
      <w:bookmarkStart w:id="86" w:name="_Ref146547704"/>
      <w:r w:rsidRPr="00B61255">
        <w:t>Introduction to polio vaccines</w:t>
      </w:r>
      <w:bookmarkEnd w:id="86"/>
      <w:r w:rsidRPr="00B61255">
        <w:t xml:space="preserve"> </w:t>
      </w:r>
    </w:p>
    <w:p w14:paraId="323079E2" w14:textId="77777777" w:rsidR="00386D81" w:rsidRPr="00A25003" w:rsidRDefault="00386D81" w:rsidP="000F2AF2">
      <w:pPr>
        <w:pStyle w:val="Heading4"/>
      </w:pPr>
      <w:r w:rsidRPr="00A25003">
        <w:t>Inactivated poliovirus vaccine</w:t>
      </w:r>
    </w:p>
    <w:p w14:paraId="08C0932B" w14:textId="7163982F" w:rsidR="00386D81" w:rsidRPr="00B61255" w:rsidRDefault="00386D81" w:rsidP="00386D81">
      <w:r w:rsidRPr="00B61255">
        <w:t>Inactivated poliovirus vaccine (IPV) protects people against all three types of polioviruses. IPV does not contain live virus, so people who receive this vaccine do not shed the virus and cannot infect others, and the vaccine cannot cause disease. Therefore, an increasing number of industrial</w:t>
      </w:r>
      <w:r>
        <w:t>is</w:t>
      </w:r>
      <w:r w:rsidRPr="00B61255">
        <w:t xml:space="preserve">ed, polio-free countries are using IPV as the vaccine of choice. </w:t>
      </w:r>
    </w:p>
    <w:p w14:paraId="5EDA97B6" w14:textId="77777777" w:rsidR="00386D81" w:rsidRPr="00B61255" w:rsidRDefault="00386D81" w:rsidP="00386D81"/>
    <w:p w14:paraId="02FAF8B6" w14:textId="77777777" w:rsidR="00386D81" w:rsidRPr="00184D75" w:rsidRDefault="00386D81" w:rsidP="00386D81">
      <w:r w:rsidRPr="00184D75">
        <w:t>Aotearoa uses IPV in combination vaccines for routine childhood vaccination.</w:t>
      </w:r>
    </w:p>
    <w:p w14:paraId="71241E8E" w14:textId="77777777" w:rsidR="00386D81" w:rsidRPr="00B61255" w:rsidRDefault="00386D81" w:rsidP="000F2AF2">
      <w:pPr>
        <w:pStyle w:val="Heading4"/>
        <w:rPr>
          <w:lang w:eastAsia="en-NZ"/>
        </w:rPr>
      </w:pPr>
      <w:r w:rsidRPr="00B61255">
        <w:rPr>
          <w:lang w:eastAsia="en-NZ"/>
        </w:rPr>
        <w:t xml:space="preserve">Oral polio vaccine </w:t>
      </w:r>
    </w:p>
    <w:p w14:paraId="11B50F86" w14:textId="4A46CB0E" w:rsidR="00386D81" w:rsidRDefault="00386D81" w:rsidP="00386D81">
      <w:r w:rsidRPr="00B61255">
        <w:t xml:space="preserve">OPV is used in many countries to protect against polio disease and has been essential to the eradication effort as </w:t>
      </w:r>
      <w:r>
        <w:t xml:space="preserve">it is </w:t>
      </w:r>
      <w:r w:rsidRPr="00B61255">
        <w:t xml:space="preserve">inexpensive, safe and effective, and easy to administer. There are different types of </w:t>
      </w:r>
      <w:r>
        <w:t>OPV,</w:t>
      </w:r>
      <w:r w:rsidRPr="00B61255">
        <w:t xml:space="preserve"> which may contain one, a combination of two, or all three different types of attenuated, or weakened, vaccine. Each has their own advantages and disadvantages over the others.</w:t>
      </w:r>
    </w:p>
    <w:p w14:paraId="6A213B4E" w14:textId="77777777" w:rsidR="00386D81" w:rsidRPr="00B61255" w:rsidRDefault="00386D81" w:rsidP="00386D81"/>
    <w:p w14:paraId="17ECFEF2" w14:textId="2718BD42" w:rsidR="00386D81" w:rsidRPr="00B61255" w:rsidRDefault="00386D81" w:rsidP="00386D81">
      <w:r w:rsidRPr="00B61255">
        <w:t xml:space="preserve">After </w:t>
      </w:r>
      <w:r w:rsidRPr="00C64679">
        <w:t>WPV</w:t>
      </w:r>
      <w:r w:rsidRPr="00B61255">
        <w:t>2 was declared eradicated in 2015, the world switched from trivalent OPV (tOPV)</w:t>
      </w:r>
      <w:r>
        <w:t xml:space="preserve">, which </w:t>
      </w:r>
      <w:r w:rsidRPr="005D5E7E">
        <w:t>contains all three types of polioviruses</w:t>
      </w:r>
      <w:r>
        <w:t>,</w:t>
      </w:r>
      <w:r w:rsidRPr="00B61255">
        <w:t xml:space="preserve"> to bivalent OPV (bOPV)</w:t>
      </w:r>
      <w:r>
        <w:t xml:space="preserve">, which </w:t>
      </w:r>
      <w:r w:rsidRPr="00B61255">
        <w:t>only contains poliovirus type</w:t>
      </w:r>
      <w:r>
        <w:t>s</w:t>
      </w:r>
      <w:r w:rsidRPr="00B61255">
        <w:t xml:space="preserve"> 1 and 3. As a result, tOPV has not been used since 2016. This means that individuals in countries where OPV is the only vaccine used will not be protected against cVDPV type 2</w:t>
      </w:r>
      <w:r>
        <w:t xml:space="preserve"> (</w:t>
      </w:r>
      <w:r w:rsidRPr="005D5E7E">
        <w:t>cVDPV</w:t>
      </w:r>
      <w:r>
        <w:t>2)</w:t>
      </w:r>
      <w:r w:rsidRPr="00B61255">
        <w:t xml:space="preserve">. </w:t>
      </w:r>
    </w:p>
    <w:p w14:paraId="79FD5B0F" w14:textId="77777777" w:rsidR="00386D81" w:rsidRPr="005D5E7E" w:rsidRDefault="00386D81" w:rsidP="00386D81"/>
    <w:p w14:paraId="079B43CA" w14:textId="47506130" w:rsidR="00386D81" w:rsidRDefault="00386D81" w:rsidP="00386D81">
      <w:r w:rsidRPr="00B61255">
        <w:t xml:space="preserve">Though </w:t>
      </w:r>
      <w:r w:rsidRPr="005D5E7E">
        <w:t>rare</w:t>
      </w:r>
      <w:r w:rsidRPr="00B61255">
        <w:t>, when there is insufficient coverage in a community, the vaccine</w:t>
      </w:r>
      <w:r>
        <w:t xml:space="preserve"> </w:t>
      </w:r>
      <w:r w:rsidRPr="00B61255">
        <w:t>virus may be able to circulate</w:t>
      </w:r>
      <w:r>
        <w:t xml:space="preserve"> and</w:t>
      </w:r>
      <w:r w:rsidRPr="00B61255">
        <w:t xml:space="preserve"> over the course of 12 to 18 months mutate into a VDPV capable of causing paralysis.</w:t>
      </w:r>
    </w:p>
    <w:p w14:paraId="6A84613D" w14:textId="77777777" w:rsidR="00386D81" w:rsidRPr="00B61255" w:rsidRDefault="00386D81" w:rsidP="00184D75"/>
    <w:p w14:paraId="73935E96" w14:textId="482F2C56" w:rsidR="00386D81" w:rsidRPr="00B61255" w:rsidRDefault="00386D81" w:rsidP="00386D81">
      <w:r w:rsidRPr="00B61255">
        <w:t>OPV stimulates good mucosal immunity, and therefore is effective at interrupting transmission of the virus</w:t>
      </w:r>
      <w:r>
        <w:t>.</w:t>
      </w:r>
      <w:r w:rsidRPr="00B61255">
        <w:t xml:space="preserve"> OPV is</w:t>
      </w:r>
      <w:r>
        <w:t xml:space="preserve"> therefore</w:t>
      </w:r>
      <w:r w:rsidRPr="00B61255">
        <w:t xml:space="preserve"> used wherever a polio outbreak needs to be contained, even in countries </w:t>
      </w:r>
      <w:r>
        <w:t>that</w:t>
      </w:r>
      <w:r w:rsidRPr="00B61255">
        <w:t xml:space="preserve"> rely exclusively on IPV for their routine immun</w:t>
      </w:r>
      <w:r>
        <w:t>is</w:t>
      </w:r>
      <w:r w:rsidRPr="00B61255">
        <w:t>ation program</w:t>
      </w:r>
      <w:r>
        <w:t>me,</w:t>
      </w:r>
      <w:r w:rsidRPr="00B61255">
        <w:t xml:space="preserve"> such as Aotearoa. For several weeks after vaccination with OPV the vaccine virus replicates in the intestine and is excreted. This may result in ‘passive’ immunisation of people who have not been vaccinated</w:t>
      </w:r>
      <w:r>
        <w:t>,</w:t>
      </w:r>
      <w:r w:rsidRPr="00B61255">
        <w:t xml:space="preserve"> but </w:t>
      </w:r>
      <w:r>
        <w:t xml:space="preserve">it </w:t>
      </w:r>
      <w:r w:rsidRPr="00B61255">
        <w:t>may also create potential for positive detection in wastewater without signifying community transmission.</w:t>
      </w:r>
    </w:p>
    <w:p w14:paraId="77A0A33D" w14:textId="77777777" w:rsidR="00386D81" w:rsidRPr="00B61255" w:rsidRDefault="00386D81" w:rsidP="00386D81"/>
    <w:p w14:paraId="68A35A03" w14:textId="18569F50" w:rsidR="00386D81" w:rsidRPr="00B61255" w:rsidRDefault="00386D81" w:rsidP="00386D81">
      <w:r w:rsidRPr="00B61255">
        <w:t xml:space="preserve">After </w:t>
      </w:r>
      <w:r w:rsidRPr="00C64679">
        <w:t>WPV</w:t>
      </w:r>
      <w:r w:rsidRPr="00B61255">
        <w:t xml:space="preserve">2 was declared eradicated in 2015, the world switched from tOPV to bOPV. </w:t>
      </w:r>
    </w:p>
    <w:p w14:paraId="5DC112DC" w14:textId="77777777" w:rsidR="00386D81" w:rsidRPr="00B61255" w:rsidRDefault="00386D81" w:rsidP="000F2AF2">
      <w:pPr>
        <w:pStyle w:val="Heading4"/>
        <w:rPr>
          <w:lang w:eastAsia="en-NZ"/>
        </w:rPr>
      </w:pPr>
      <w:r w:rsidRPr="00B61255">
        <w:rPr>
          <w:lang w:eastAsia="en-NZ"/>
        </w:rPr>
        <w:lastRenderedPageBreak/>
        <w:t>nOPV2</w:t>
      </w:r>
    </w:p>
    <w:p w14:paraId="52FD5FBB" w14:textId="0068D498" w:rsidR="00386D81" w:rsidRPr="00B61255" w:rsidRDefault="00386D81" w:rsidP="00386D81">
      <w:pPr>
        <w:rPr>
          <w:rFonts w:eastAsiaTheme="minorHAnsi"/>
        </w:rPr>
      </w:pPr>
      <w:r w:rsidRPr="00B61255">
        <w:rPr>
          <w:rFonts w:eastAsiaTheme="minorHAnsi"/>
        </w:rPr>
        <w:t xml:space="preserve">The novel oral polio vaccine type 2 (nOPV2) is a modified version of the existing monovalent OPV </w:t>
      </w:r>
      <w:r w:rsidR="00BC6730" w:rsidRPr="00B61255">
        <w:rPr>
          <w:rFonts w:eastAsiaTheme="minorHAnsi"/>
        </w:rPr>
        <w:t xml:space="preserve">type 2 </w:t>
      </w:r>
      <w:r w:rsidRPr="00B61255">
        <w:rPr>
          <w:rFonts w:eastAsiaTheme="minorHAnsi"/>
        </w:rPr>
        <w:t>(mOPV2)</w:t>
      </w:r>
      <w:r>
        <w:rPr>
          <w:rFonts w:eastAsiaTheme="minorHAnsi"/>
        </w:rPr>
        <w:t>.</w:t>
      </w:r>
      <w:r w:rsidRPr="00B61255">
        <w:rPr>
          <w:rFonts w:eastAsiaTheme="minorHAnsi"/>
        </w:rPr>
        <w:t xml:space="preserve"> </w:t>
      </w:r>
      <w:r>
        <w:rPr>
          <w:rFonts w:eastAsiaTheme="minorHAnsi"/>
        </w:rPr>
        <w:t>C</w:t>
      </w:r>
      <w:r w:rsidRPr="00B61255">
        <w:rPr>
          <w:rFonts w:eastAsiaTheme="minorHAnsi"/>
        </w:rPr>
        <w:t xml:space="preserve">linical trials have shown </w:t>
      </w:r>
      <w:r w:rsidRPr="009D2739">
        <w:rPr>
          <w:rFonts w:eastAsiaTheme="minorHAnsi"/>
        </w:rPr>
        <w:t>nOPV2</w:t>
      </w:r>
      <w:r>
        <w:rPr>
          <w:rFonts w:eastAsiaTheme="minorHAnsi"/>
        </w:rPr>
        <w:t xml:space="preserve"> </w:t>
      </w:r>
      <w:r w:rsidRPr="00B61255">
        <w:rPr>
          <w:rFonts w:eastAsiaTheme="minorHAnsi"/>
        </w:rPr>
        <w:t xml:space="preserve">provides comparable protection against poliovirus while being more genetically stable and less likely to revert into a form </w:t>
      </w:r>
      <w:r>
        <w:rPr>
          <w:rFonts w:eastAsiaTheme="minorHAnsi"/>
        </w:rPr>
        <w:t xml:space="preserve">that </w:t>
      </w:r>
      <w:r w:rsidRPr="00B61255">
        <w:rPr>
          <w:rFonts w:eastAsiaTheme="minorHAnsi"/>
        </w:rPr>
        <w:t xml:space="preserve">can cause paralysis. The vaccine’s increased genetic stability means there is a reduced risk of seeding new cVDPV2 emergences compared to mOPV2. </w:t>
      </w:r>
    </w:p>
    <w:p w14:paraId="5D4E72A8" w14:textId="77777777" w:rsidR="00386D81" w:rsidRPr="00B61255" w:rsidRDefault="00386D81" w:rsidP="00386D81"/>
    <w:p w14:paraId="25917C30" w14:textId="50B08B6E" w:rsidR="00386D81" w:rsidRPr="00B61255" w:rsidRDefault="00386D81" w:rsidP="00386D81">
      <w:pPr>
        <w:rPr>
          <w:rFonts w:cs="Segoe UI"/>
        </w:rPr>
      </w:pPr>
      <w:r w:rsidRPr="00B61255">
        <w:rPr>
          <w:rFonts w:cs="Segoe UI"/>
        </w:rPr>
        <w:t xml:space="preserve">Please see the </w:t>
      </w:r>
      <w:r>
        <w:rPr>
          <w:rFonts w:cs="Segoe UI"/>
        </w:rPr>
        <w:t xml:space="preserve">Manatū Hauora </w:t>
      </w:r>
      <w:r w:rsidRPr="00184D75">
        <w:rPr>
          <w:i/>
          <w:iCs/>
        </w:rPr>
        <w:t>Immunisation Handbook 2020</w:t>
      </w:r>
      <w:r>
        <w:rPr>
          <w:rStyle w:val="FootnoteReference"/>
        </w:rPr>
        <w:footnoteReference w:id="18"/>
      </w:r>
      <w:r w:rsidRPr="00B61255">
        <w:rPr>
          <w:rFonts w:cs="Segoe UI"/>
        </w:rPr>
        <w:t xml:space="preserve"> for the latest information regarding polio vaccines. </w:t>
      </w:r>
    </w:p>
    <w:bookmarkEnd w:id="85"/>
    <w:p w14:paraId="5955F927" w14:textId="77777777" w:rsidR="00386D81" w:rsidRPr="00B61255" w:rsidRDefault="00386D81" w:rsidP="000F2AF2">
      <w:pPr>
        <w:pStyle w:val="Heading3"/>
      </w:pPr>
      <w:r w:rsidRPr="00B61255">
        <w:t>Available vaccines in Aotearoa</w:t>
      </w:r>
    </w:p>
    <w:p w14:paraId="52444474" w14:textId="77777777" w:rsidR="00386D81" w:rsidRDefault="00386D81" w:rsidP="000F2AF2">
      <w:pPr>
        <w:pStyle w:val="Heading4"/>
      </w:pPr>
      <w:r w:rsidRPr="00B61255">
        <w:t>Funded polio vaccines</w:t>
      </w:r>
    </w:p>
    <w:p w14:paraId="2002F693" w14:textId="1A261893" w:rsidR="00386D81" w:rsidRPr="00263050" w:rsidRDefault="00386D81" w:rsidP="00184D75">
      <w:r>
        <w:t xml:space="preserve">The following </w:t>
      </w:r>
      <w:r w:rsidR="008003C8">
        <w:t xml:space="preserve">polio-containing </w:t>
      </w:r>
      <w:r>
        <w:t xml:space="preserve">vaccines </w:t>
      </w:r>
      <w:r w:rsidR="008003C8">
        <w:t>are funded as part of the Schedule</w:t>
      </w:r>
      <w:r>
        <w:t xml:space="preserve"> in Aotearoa:</w:t>
      </w:r>
    </w:p>
    <w:p w14:paraId="2CBA367A" w14:textId="4289835D" w:rsidR="00386D81" w:rsidRPr="00B61255" w:rsidRDefault="00386D81" w:rsidP="00386D81">
      <w:pPr>
        <w:pStyle w:val="Bullet"/>
        <w:rPr>
          <w:lang w:eastAsia="en-NZ"/>
        </w:rPr>
      </w:pPr>
      <w:r w:rsidRPr="00184D75">
        <w:rPr>
          <w:b/>
          <w:bCs/>
          <w:lang w:eastAsia="en-NZ"/>
        </w:rPr>
        <w:t>DTaP-IPV-HepB/Hib (Infanrix-hexa, GSK):</w:t>
      </w:r>
      <w:r w:rsidRPr="00B61255">
        <w:rPr>
          <w:lang w:eastAsia="en-NZ"/>
        </w:rPr>
        <w:t xml:space="preserve"> diphtheria, tetanus, acellular pertussis, inactivated polio, hepatitis B and </w:t>
      </w:r>
      <w:r w:rsidRPr="00B61255">
        <w:rPr>
          <w:i/>
          <w:iCs/>
          <w:lang w:eastAsia="en-NZ"/>
        </w:rPr>
        <w:t>Haemophilus influenzae</w:t>
      </w:r>
      <w:r w:rsidRPr="00B61255">
        <w:rPr>
          <w:lang w:eastAsia="en-NZ"/>
        </w:rPr>
        <w:t> type b vaccine (</w:t>
      </w:r>
      <w:r w:rsidRPr="00184D75">
        <w:t>see section 6.4.1</w:t>
      </w:r>
      <w:r w:rsidRPr="00B61255">
        <w:rPr>
          <w:lang w:eastAsia="en-NZ"/>
        </w:rPr>
        <w:t> </w:t>
      </w:r>
      <w:r>
        <w:rPr>
          <w:lang w:eastAsia="en-NZ"/>
        </w:rPr>
        <w:t xml:space="preserve">of the </w:t>
      </w:r>
      <w:r w:rsidRPr="00184D75">
        <w:rPr>
          <w:i/>
          <w:iCs/>
          <w:lang w:eastAsia="en-NZ"/>
        </w:rPr>
        <w:t>Immunisation Handbook 2020</w:t>
      </w:r>
      <w:r>
        <w:rPr>
          <w:lang w:eastAsia="en-NZ"/>
        </w:rPr>
        <w:t xml:space="preserve"> </w:t>
      </w:r>
      <w:r w:rsidRPr="00B61255">
        <w:rPr>
          <w:lang w:eastAsia="en-NZ"/>
        </w:rPr>
        <w:t>for more information)</w:t>
      </w:r>
    </w:p>
    <w:p w14:paraId="7EC8AE53" w14:textId="6CF1DC7A" w:rsidR="00386D81" w:rsidRPr="00B61255" w:rsidRDefault="00386D81" w:rsidP="00386D81">
      <w:pPr>
        <w:pStyle w:val="Bullet"/>
        <w:rPr>
          <w:lang w:eastAsia="en-NZ"/>
        </w:rPr>
      </w:pPr>
      <w:r w:rsidRPr="00184D75">
        <w:rPr>
          <w:b/>
          <w:bCs/>
          <w:lang w:eastAsia="en-NZ"/>
        </w:rPr>
        <w:t>DTaP-IPV (Infanrix-IPV, GSK):</w:t>
      </w:r>
      <w:r w:rsidRPr="00B61255">
        <w:rPr>
          <w:lang w:eastAsia="en-NZ"/>
        </w:rPr>
        <w:t xml:space="preserve"> diphtheria, tetanus, acellular pertussis and </w:t>
      </w:r>
      <w:r>
        <w:rPr>
          <w:lang w:eastAsia="en-NZ"/>
        </w:rPr>
        <w:t xml:space="preserve">IPV </w:t>
      </w:r>
      <w:r w:rsidRPr="00B61255">
        <w:rPr>
          <w:lang w:eastAsia="en-NZ"/>
        </w:rPr>
        <w:t>(see </w:t>
      </w:r>
      <w:r w:rsidRPr="00184D75">
        <w:t>section 6.4.1 </w:t>
      </w:r>
      <w:r>
        <w:t xml:space="preserve">of the </w:t>
      </w:r>
      <w:r w:rsidRPr="00D55BD8">
        <w:rPr>
          <w:i/>
          <w:iCs/>
          <w:lang w:eastAsia="en-NZ"/>
        </w:rPr>
        <w:t>Immunisation Handbook 2020</w:t>
      </w:r>
      <w:r>
        <w:rPr>
          <w:lang w:eastAsia="en-NZ"/>
        </w:rPr>
        <w:t xml:space="preserve"> </w:t>
      </w:r>
      <w:r w:rsidRPr="00B61255">
        <w:rPr>
          <w:lang w:eastAsia="en-NZ"/>
        </w:rPr>
        <w:t>for more information)</w:t>
      </w:r>
    </w:p>
    <w:p w14:paraId="73D49558" w14:textId="77777777" w:rsidR="00386D81" w:rsidRPr="00B61255" w:rsidRDefault="00386D81" w:rsidP="00386D81">
      <w:pPr>
        <w:pStyle w:val="Bullet"/>
        <w:rPr>
          <w:lang w:eastAsia="en-NZ"/>
        </w:rPr>
      </w:pPr>
      <w:r w:rsidRPr="00184D75">
        <w:rPr>
          <w:b/>
          <w:bCs/>
          <w:lang w:eastAsia="en-NZ"/>
        </w:rPr>
        <w:t>IPV (IPOL, Sanofi):</w:t>
      </w:r>
      <w:r w:rsidRPr="00B61255">
        <w:rPr>
          <w:lang w:eastAsia="en-NZ"/>
        </w:rPr>
        <w:t xml:space="preserve"> contains three strains of poliovirus (40D antigen units of the Mahoney, 8D antigen units of the MEF-1 and 32D antigen units of the Saukett strains), inactivated by formaldehyde and containing phenoxyethanol as a preservative; trace amounts of neomycin, streptomycin, polymyxin B, polysorbate 80 and bovine serum albumin may be present.</w:t>
      </w:r>
    </w:p>
    <w:p w14:paraId="3D724017" w14:textId="6751F33E" w:rsidR="00386D81" w:rsidRPr="00B61255" w:rsidRDefault="00386D81" w:rsidP="000F2AF2">
      <w:pPr>
        <w:pStyle w:val="Heading4"/>
        <w:rPr>
          <w:lang w:eastAsia="en-NZ"/>
        </w:rPr>
      </w:pPr>
      <w:r w:rsidRPr="00B61255">
        <w:rPr>
          <w:lang w:eastAsia="en-NZ"/>
        </w:rPr>
        <w:t>Other vaccine</w:t>
      </w:r>
    </w:p>
    <w:p w14:paraId="63117437" w14:textId="71AEB5C5" w:rsidR="00386D81" w:rsidRPr="00B61255" w:rsidRDefault="00386D81" w:rsidP="00184D75">
      <w:pPr>
        <w:rPr>
          <w:lang w:eastAsia="en-NZ"/>
        </w:rPr>
      </w:pPr>
      <w:r w:rsidRPr="00184D75">
        <w:rPr>
          <w:b/>
          <w:bCs/>
          <w:lang w:eastAsia="en-NZ"/>
        </w:rPr>
        <w:t>Adacel Polio (Sanofi)</w:t>
      </w:r>
      <w:r w:rsidRPr="00B61255">
        <w:rPr>
          <w:lang w:eastAsia="en-NZ"/>
        </w:rPr>
        <w:t xml:space="preserve"> is a Tdap-IPV </w:t>
      </w:r>
      <w:r>
        <w:rPr>
          <w:lang w:eastAsia="en-NZ"/>
        </w:rPr>
        <w:t>vaccine</w:t>
      </w:r>
      <w:r w:rsidRPr="00B61255">
        <w:rPr>
          <w:lang w:eastAsia="en-NZ"/>
        </w:rPr>
        <w:t xml:space="preserve"> registered (approved for use) and available (marketed) in Aotearoa</w:t>
      </w:r>
      <w:r>
        <w:rPr>
          <w:lang w:eastAsia="en-NZ"/>
        </w:rPr>
        <w:t>.</w:t>
      </w:r>
    </w:p>
    <w:p w14:paraId="2FA45539" w14:textId="77777777" w:rsidR="00386D81" w:rsidRPr="00B61255" w:rsidRDefault="00386D81" w:rsidP="000F2AF2">
      <w:pPr>
        <w:pStyle w:val="Heading3"/>
      </w:pPr>
      <w:r w:rsidRPr="00B61255">
        <w:t>Aotearoa’s childhood immunisation schedule</w:t>
      </w:r>
    </w:p>
    <w:p w14:paraId="4E662D1E" w14:textId="3D5CDA93" w:rsidR="00386D81" w:rsidRPr="00B61255" w:rsidRDefault="00386D81" w:rsidP="00386D81">
      <w:r w:rsidRPr="00B61255">
        <w:t xml:space="preserve">The Aotearoa immunisation schedule involves a course of four doses of </w:t>
      </w:r>
      <w:r>
        <w:t xml:space="preserve">IPV </w:t>
      </w:r>
      <w:r w:rsidRPr="00B61255">
        <w:t xml:space="preserve">given at six weeks, three months, five months and four years using </w:t>
      </w:r>
      <w:r w:rsidRPr="00184D75">
        <w:rPr>
          <w:b/>
          <w:bCs/>
        </w:rPr>
        <w:t>INFANRIX®-hexa</w:t>
      </w:r>
      <w:r w:rsidRPr="00B61255">
        <w:t xml:space="preserve"> (a hexavalent vaccine containing DTaP-IPV-HepB/Hib) for the first three doses, and </w:t>
      </w:r>
      <w:r w:rsidRPr="00184D75">
        <w:rPr>
          <w:b/>
          <w:bCs/>
        </w:rPr>
        <w:t>INFANRIX™-IPV</w:t>
      </w:r>
      <w:r w:rsidRPr="00B61255" w:rsidDel="00702A05">
        <w:t xml:space="preserve"> </w:t>
      </w:r>
      <w:r w:rsidRPr="00B61255">
        <w:t xml:space="preserve">(a tetravalent vaccine containing DTaP-IPV) for the fourth dose. Further information is available in the </w:t>
      </w:r>
      <w:r w:rsidRPr="00184D75">
        <w:rPr>
          <w:i/>
          <w:iCs/>
        </w:rPr>
        <w:t xml:space="preserve">Immunisation Handbook </w:t>
      </w:r>
      <w:r w:rsidRPr="00184D75">
        <w:t>2020</w:t>
      </w:r>
      <w:r w:rsidRPr="00060613">
        <w:t>. This</w:t>
      </w:r>
      <w:r w:rsidRPr="00B61255">
        <w:t xml:space="preserve"> is recommended as part of routine childhood vaccination, not in the case of response to a polio outbreak.</w:t>
      </w:r>
    </w:p>
    <w:p w14:paraId="40DDC7B1" w14:textId="77777777" w:rsidR="00386D81" w:rsidRPr="00B61255" w:rsidRDefault="00386D81" w:rsidP="00AA2D6A">
      <w:pPr>
        <w:pStyle w:val="Heading2"/>
      </w:pPr>
      <w:bookmarkStart w:id="87" w:name="_Toc132616745"/>
      <w:bookmarkStart w:id="88" w:name="_Toc146541112"/>
      <w:bookmarkStart w:id="89" w:name="_Toc147242142"/>
      <w:r w:rsidRPr="00B61255">
        <w:lastRenderedPageBreak/>
        <w:t>Principles for current vaccination preparedness in Aotearoa</w:t>
      </w:r>
      <w:bookmarkEnd w:id="87"/>
      <w:bookmarkEnd w:id="88"/>
      <w:bookmarkEnd w:id="89"/>
    </w:p>
    <w:p w14:paraId="1742AB71" w14:textId="05FDF7D2" w:rsidR="00386D81" w:rsidRPr="00B61255" w:rsidRDefault="00386D81" w:rsidP="00386D81">
      <w:pPr>
        <w:rPr>
          <w:rFonts w:cs="Segoe UI"/>
          <w:lang w:eastAsia="en-NZ"/>
        </w:rPr>
      </w:pPr>
      <w:r w:rsidRPr="00B61255">
        <w:rPr>
          <w:rFonts w:cs="Segoe UI"/>
          <w:lang w:eastAsia="en-NZ"/>
        </w:rPr>
        <w:t>In Aotearoa polio vaccines are promoted alongside other childhood immunisations, which is facilitated by IPV being administered in a combination vaccine as per the Aotearoa immunisation schedule. There are currently increased efforts in Aotearoa to boost childhood immunisations for the general population as well as more targeted efforts for specific groups that have lower vaccination coverage (particularly due to disruptions associated with COVID-19) and/or where populations are at higher risk of severe outcomes from vaccine-preventable diseases. Within this context the principles for current polio vaccination preparedness are</w:t>
      </w:r>
      <w:r>
        <w:rPr>
          <w:rFonts w:cs="Segoe UI"/>
          <w:lang w:eastAsia="en-NZ"/>
        </w:rPr>
        <w:t xml:space="preserve"> as follows</w:t>
      </w:r>
      <w:r w:rsidRPr="00B61255">
        <w:rPr>
          <w:rFonts w:cs="Segoe UI"/>
          <w:lang w:eastAsia="en-NZ"/>
        </w:rPr>
        <w:t>:</w:t>
      </w:r>
    </w:p>
    <w:p w14:paraId="6E7C27B3" w14:textId="6AFD4CBD" w:rsidR="00386D81" w:rsidRPr="00B61255" w:rsidRDefault="00386D81" w:rsidP="00386D81">
      <w:pPr>
        <w:pStyle w:val="Bullet"/>
        <w:rPr>
          <w:lang w:eastAsia="en-NZ"/>
        </w:rPr>
      </w:pPr>
      <w:r w:rsidRPr="00B61255">
        <w:rPr>
          <w:rFonts w:eastAsia="+mn-ea"/>
          <w:lang w:eastAsia="en-NZ"/>
        </w:rPr>
        <w:t>Currently</w:t>
      </w:r>
      <w:r>
        <w:rPr>
          <w:rFonts w:eastAsia="+mn-ea"/>
          <w:lang w:eastAsia="en-NZ"/>
        </w:rPr>
        <w:t>,</w:t>
      </w:r>
      <w:r w:rsidRPr="00B61255">
        <w:rPr>
          <w:rFonts w:eastAsia="+mn-ea"/>
          <w:lang w:eastAsia="en-NZ"/>
        </w:rPr>
        <w:t xml:space="preserve"> vaccine coverage is on average 82.9% at 2 years</w:t>
      </w:r>
      <w:r>
        <w:rPr>
          <w:rFonts w:eastAsia="+mn-ea"/>
          <w:lang w:eastAsia="en-NZ"/>
        </w:rPr>
        <w:t xml:space="preserve"> of age</w:t>
      </w:r>
      <w:r w:rsidRPr="00B61255">
        <w:rPr>
          <w:rFonts w:eastAsia="+mn-ea"/>
          <w:lang w:eastAsia="en-NZ"/>
        </w:rPr>
        <w:t xml:space="preserve"> in 2022, but in some areas it is as low as 38% in Māori tamariki living in low socio</w:t>
      </w:r>
      <w:r>
        <w:rPr>
          <w:rFonts w:eastAsia="+mn-ea"/>
          <w:lang w:eastAsia="en-NZ"/>
        </w:rPr>
        <w:t>-</w:t>
      </w:r>
      <w:r w:rsidRPr="00B61255">
        <w:rPr>
          <w:rFonts w:eastAsia="+mn-ea"/>
          <w:lang w:eastAsia="en-NZ"/>
        </w:rPr>
        <w:t xml:space="preserve">economic areas. Preferably we should aim for 95% coverage for polio vaccination given that there have been examples where outbreaks have occurred despite high coverage (see section </w:t>
      </w:r>
      <w:r w:rsidR="00696F63">
        <w:rPr>
          <w:rFonts w:eastAsia="+mn-ea"/>
          <w:lang w:eastAsia="en-NZ"/>
        </w:rPr>
        <w:fldChar w:fldCharType="begin"/>
      </w:r>
      <w:r w:rsidR="00696F63">
        <w:rPr>
          <w:rFonts w:eastAsia="+mn-ea"/>
          <w:lang w:eastAsia="en-NZ"/>
        </w:rPr>
        <w:instrText xml:space="preserve"> REF _Ref147138407 \r \h </w:instrText>
      </w:r>
      <w:r w:rsidR="00696F63">
        <w:rPr>
          <w:rFonts w:eastAsia="+mn-ea"/>
          <w:lang w:eastAsia="en-NZ"/>
        </w:rPr>
      </w:r>
      <w:r w:rsidR="00696F63">
        <w:rPr>
          <w:rFonts w:eastAsia="+mn-ea"/>
          <w:lang w:eastAsia="en-NZ"/>
        </w:rPr>
        <w:fldChar w:fldCharType="separate"/>
      </w:r>
      <w:r w:rsidR="009B1F81">
        <w:rPr>
          <w:rFonts w:eastAsia="+mn-ea"/>
          <w:lang w:eastAsia="en-NZ"/>
        </w:rPr>
        <w:t>1.3.2.2</w:t>
      </w:r>
      <w:r w:rsidR="00696F63">
        <w:rPr>
          <w:rFonts w:eastAsia="+mn-ea"/>
          <w:lang w:eastAsia="en-NZ"/>
        </w:rPr>
        <w:fldChar w:fldCharType="end"/>
      </w:r>
      <w:r w:rsidRPr="00B61255">
        <w:rPr>
          <w:rFonts w:eastAsia="+mn-ea"/>
          <w:lang w:eastAsia="en-NZ"/>
        </w:rPr>
        <w:t>).</w:t>
      </w:r>
    </w:p>
    <w:p w14:paraId="2C0BF431" w14:textId="51BB290F" w:rsidR="00386D81" w:rsidRPr="00B61255" w:rsidRDefault="00386D81" w:rsidP="00386D81">
      <w:pPr>
        <w:pStyle w:val="Bullet"/>
        <w:rPr>
          <w:szCs w:val="21"/>
          <w:lang w:eastAsia="en-NZ"/>
        </w:rPr>
      </w:pPr>
      <w:r>
        <w:rPr>
          <w:rFonts w:eastAsia="+mn-ea"/>
          <w:szCs w:val="21"/>
          <w:lang w:eastAsia="en-NZ"/>
        </w:rPr>
        <w:t>We must i</w:t>
      </w:r>
      <w:r w:rsidRPr="00B61255">
        <w:rPr>
          <w:rFonts w:eastAsia="+mn-ea"/>
          <w:szCs w:val="21"/>
          <w:lang w:eastAsia="en-NZ"/>
        </w:rPr>
        <w:t>dentify populations at higher risk of exposure and ensure optimal vaccine uptake. This is likely to include migrants and refugees</w:t>
      </w:r>
      <w:r>
        <w:rPr>
          <w:rFonts w:eastAsia="+mn-ea"/>
          <w:szCs w:val="21"/>
          <w:lang w:eastAsia="en-NZ"/>
        </w:rPr>
        <w:t>;</w:t>
      </w:r>
      <w:r w:rsidRPr="00B61255">
        <w:rPr>
          <w:rFonts w:eastAsia="+mn-ea"/>
          <w:szCs w:val="21"/>
          <w:lang w:eastAsia="en-NZ"/>
        </w:rPr>
        <w:t xml:space="preserve"> noting</w:t>
      </w:r>
      <w:r>
        <w:rPr>
          <w:rFonts w:eastAsia="+mn-ea"/>
          <w:szCs w:val="21"/>
          <w:lang w:eastAsia="en-NZ"/>
        </w:rPr>
        <w:t>, however,</w:t>
      </w:r>
      <w:r w:rsidRPr="00B61255">
        <w:rPr>
          <w:rFonts w:eastAsia="+mn-ea"/>
          <w:szCs w:val="21"/>
          <w:lang w:eastAsia="en-NZ"/>
        </w:rPr>
        <w:t xml:space="preserve"> that this group is often well-vaccinated.</w:t>
      </w:r>
    </w:p>
    <w:p w14:paraId="61A3C082" w14:textId="0C8E594B" w:rsidR="00386D81" w:rsidRPr="00B61255" w:rsidRDefault="00386D81" w:rsidP="00386D81">
      <w:pPr>
        <w:pStyle w:val="Bullet"/>
        <w:rPr>
          <w:lang w:eastAsia="en-NZ"/>
        </w:rPr>
      </w:pPr>
      <w:r>
        <w:rPr>
          <w:rFonts w:eastAsia="+mn-ea"/>
          <w:lang w:eastAsia="en-NZ"/>
        </w:rPr>
        <w:t>We must i</w:t>
      </w:r>
      <w:r w:rsidRPr="00B61255">
        <w:rPr>
          <w:rFonts w:eastAsia="+mn-ea"/>
          <w:lang w:eastAsia="en-NZ"/>
        </w:rPr>
        <w:t xml:space="preserve">dentify pockets of low coverage. There may be groups </w:t>
      </w:r>
      <w:r>
        <w:rPr>
          <w:rFonts w:eastAsia="+mn-ea"/>
          <w:lang w:eastAsia="en-NZ"/>
        </w:rPr>
        <w:t>who</w:t>
      </w:r>
      <w:r w:rsidRPr="00B61255">
        <w:rPr>
          <w:rFonts w:eastAsia="+mn-ea"/>
          <w:lang w:eastAsia="en-NZ"/>
        </w:rPr>
        <w:t xml:space="preserve"> are at greater risk of being under-immunised</w:t>
      </w:r>
      <w:r>
        <w:rPr>
          <w:rFonts w:eastAsia="+mn-ea"/>
          <w:lang w:eastAsia="en-NZ"/>
        </w:rPr>
        <w:t>,</w:t>
      </w:r>
      <w:r w:rsidRPr="00B61255">
        <w:rPr>
          <w:rFonts w:eastAsia="+mn-ea"/>
          <w:lang w:eastAsia="en-NZ"/>
        </w:rPr>
        <w:t xml:space="preserve"> including</w:t>
      </w:r>
      <w:r>
        <w:rPr>
          <w:rFonts w:eastAsia="+mn-ea"/>
          <w:lang w:eastAsia="en-NZ"/>
        </w:rPr>
        <w:t>:</w:t>
      </w:r>
      <w:r w:rsidRPr="00B61255">
        <w:rPr>
          <w:rStyle w:val="FootnoteReference"/>
          <w:rFonts w:eastAsia="+mn-ea" w:cs="Segoe UI"/>
          <w:color w:val="181F1B"/>
          <w:lang w:eastAsia="en-NZ"/>
        </w:rPr>
        <w:footnoteReference w:id="19"/>
      </w:r>
    </w:p>
    <w:p w14:paraId="621D2AB8" w14:textId="5C216E4C" w:rsidR="00386D81" w:rsidRPr="00B61255" w:rsidRDefault="00386D81" w:rsidP="00386D81">
      <w:pPr>
        <w:pStyle w:val="Dash"/>
        <w:rPr>
          <w:lang w:eastAsia="en-NZ"/>
        </w:rPr>
      </w:pPr>
      <w:r w:rsidRPr="00B61255">
        <w:rPr>
          <w:rFonts w:eastAsia="+mn-ea"/>
          <w:lang w:eastAsia="en-NZ"/>
        </w:rPr>
        <w:t>Māori</w:t>
      </w:r>
    </w:p>
    <w:p w14:paraId="13FCB97A" w14:textId="09914EA7" w:rsidR="00386D81" w:rsidRPr="00B61255" w:rsidRDefault="00386D81" w:rsidP="00386D81">
      <w:pPr>
        <w:pStyle w:val="Dash"/>
        <w:rPr>
          <w:lang w:eastAsia="en-NZ"/>
        </w:rPr>
      </w:pPr>
      <w:r>
        <w:rPr>
          <w:rFonts w:eastAsia="+mn-ea"/>
          <w:lang w:eastAsia="en-NZ"/>
        </w:rPr>
        <w:t>people living in a</w:t>
      </w:r>
      <w:r w:rsidRPr="00B61255">
        <w:rPr>
          <w:rFonts w:eastAsia="+mn-ea"/>
          <w:lang w:eastAsia="en-NZ"/>
        </w:rPr>
        <w:t>reas of deprivation</w:t>
      </w:r>
    </w:p>
    <w:p w14:paraId="61642E9F" w14:textId="6F33CE73" w:rsidR="00386D81" w:rsidRPr="00B61255" w:rsidRDefault="00386D81" w:rsidP="00386D81">
      <w:pPr>
        <w:pStyle w:val="Dash"/>
        <w:rPr>
          <w:lang w:eastAsia="en-NZ"/>
        </w:rPr>
      </w:pPr>
      <w:r>
        <w:rPr>
          <w:rFonts w:eastAsia="+mn-ea"/>
          <w:lang w:eastAsia="en-NZ"/>
        </w:rPr>
        <w:t xml:space="preserve">people who are </w:t>
      </w:r>
      <w:r w:rsidRPr="00B61255">
        <w:rPr>
          <w:rFonts w:eastAsia="+mn-ea"/>
          <w:lang w:eastAsia="en-NZ"/>
        </w:rPr>
        <w:t>historically under-immunised</w:t>
      </w:r>
      <w:r>
        <w:rPr>
          <w:rFonts w:eastAsia="+mn-ea"/>
          <w:lang w:eastAsia="en-NZ"/>
        </w:rPr>
        <w:t>,</w:t>
      </w:r>
      <w:r w:rsidRPr="00B61255">
        <w:rPr>
          <w:rFonts w:eastAsia="+mn-ea"/>
          <w:lang w:eastAsia="en-NZ"/>
        </w:rPr>
        <w:t xml:space="preserve"> including </w:t>
      </w:r>
      <w:r>
        <w:rPr>
          <w:rFonts w:eastAsia="+mn-ea"/>
          <w:lang w:eastAsia="en-NZ"/>
        </w:rPr>
        <w:t xml:space="preserve">the </w:t>
      </w:r>
      <w:r w:rsidRPr="00B61255">
        <w:rPr>
          <w:rFonts w:eastAsia="+mn-ea"/>
          <w:lang w:eastAsia="en-NZ"/>
        </w:rPr>
        <w:t>vaccine hesitant</w:t>
      </w:r>
      <w:r>
        <w:rPr>
          <w:rFonts w:eastAsia="+mn-ea"/>
          <w:lang w:eastAsia="en-NZ"/>
        </w:rPr>
        <w:t>.</w:t>
      </w:r>
    </w:p>
    <w:p w14:paraId="5B5D7788" w14:textId="77777777" w:rsidR="00386D81" w:rsidRPr="00B61255" w:rsidRDefault="00386D81" w:rsidP="00386D81">
      <w:pPr>
        <w:rPr>
          <w:rFonts w:cs="Segoe UI"/>
          <w:szCs w:val="21"/>
          <w:lang w:eastAsia="en-NZ"/>
        </w:rPr>
      </w:pPr>
    </w:p>
    <w:p w14:paraId="5209D38B" w14:textId="1011091D" w:rsidR="00386D81" w:rsidRPr="00B61255" w:rsidRDefault="00386D81" w:rsidP="00184D75">
      <w:pPr>
        <w:rPr>
          <w:lang w:eastAsia="en-NZ"/>
        </w:rPr>
      </w:pPr>
      <w:r w:rsidRPr="00B61255">
        <w:rPr>
          <w:rFonts w:cs="Segoe UI"/>
          <w:szCs w:val="21"/>
          <w:lang w:eastAsia="en-NZ"/>
        </w:rPr>
        <w:t xml:space="preserve">Overlaying areas of low coverage with areas of high risk for either exposure or acquisition, or for poor outcomes, can </w:t>
      </w:r>
      <w:r>
        <w:rPr>
          <w:rFonts w:cs="Segoe UI"/>
          <w:szCs w:val="21"/>
          <w:lang w:eastAsia="en-NZ"/>
        </w:rPr>
        <w:t xml:space="preserve">help </w:t>
      </w:r>
      <w:r w:rsidRPr="00B61255">
        <w:rPr>
          <w:rFonts w:cs="Segoe UI"/>
          <w:szCs w:val="21"/>
          <w:lang w:eastAsia="en-NZ"/>
        </w:rPr>
        <w:t xml:space="preserve">with prioritisation for targeted vaccination both as part of general preparedness </w:t>
      </w:r>
      <w:r>
        <w:rPr>
          <w:rFonts w:cs="Segoe UI"/>
          <w:szCs w:val="21"/>
          <w:lang w:eastAsia="en-NZ"/>
        </w:rPr>
        <w:t xml:space="preserve">and </w:t>
      </w:r>
      <w:r w:rsidRPr="00B61255">
        <w:rPr>
          <w:rFonts w:cs="Segoe UI"/>
          <w:szCs w:val="21"/>
          <w:lang w:eastAsia="en-NZ"/>
        </w:rPr>
        <w:t xml:space="preserve">in response to scenarios where there are concerns or evidence that there may be circulating poliovirus. </w:t>
      </w:r>
      <w:r w:rsidR="00567D19">
        <w:rPr>
          <w:lang w:eastAsia="en-NZ"/>
        </w:rPr>
        <w:t>Geographical and sociodemographic analysis of vaccination coverage is</w:t>
      </w:r>
      <w:r w:rsidRPr="00B61255">
        <w:rPr>
          <w:lang w:eastAsia="en-NZ"/>
        </w:rPr>
        <w:t xml:space="preserve"> ongoing.</w:t>
      </w:r>
    </w:p>
    <w:p w14:paraId="5E055DBA" w14:textId="77777777" w:rsidR="00386D81" w:rsidRPr="00B61255" w:rsidRDefault="00386D81" w:rsidP="00386D81">
      <w:pPr>
        <w:rPr>
          <w:rFonts w:cs="Segoe UI"/>
          <w:szCs w:val="21"/>
          <w:lang w:eastAsia="en-NZ"/>
        </w:rPr>
      </w:pPr>
    </w:p>
    <w:p w14:paraId="0EE9876F" w14:textId="4C997CA9" w:rsidR="00386D81" w:rsidRPr="00B61255" w:rsidRDefault="00386D81" w:rsidP="00386D81">
      <w:pPr>
        <w:rPr>
          <w:rFonts w:cs="Segoe UI"/>
          <w:szCs w:val="21"/>
          <w:lang w:eastAsia="en-NZ"/>
        </w:rPr>
      </w:pPr>
      <w:r w:rsidRPr="00B61255">
        <w:rPr>
          <w:rFonts w:cs="Segoe UI"/>
          <w:szCs w:val="21"/>
          <w:lang w:eastAsia="en-NZ"/>
        </w:rPr>
        <w:t xml:space="preserve">More detail around vaccination strategies for these situations are described in </w:t>
      </w:r>
      <w:r>
        <w:rPr>
          <w:rFonts w:cs="Segoe UI"/>
          <w:szCs w:val="21"/>
          <w:lang w:eastAsia="en-NZ"/>
        </w:rPr>
        <w:t xml:space="preserve">chapter </w:t>
      </w:r>
      <w:r>
        <w:rPr>
          <w:rFonts w:cs="Segoe UI"/>
          <w:szCs w:val="21"/>
          <w:lang w:eastAsia="en-NZ"/>
        </w:rPr>
        <w:fldChar w:fldCharType="begin"/>
      </w:r>
      <w:r>
        <w:rPr>
          <w:rFonts w:cs="Segoe UI"/>
          <w:szCs w:val="21"/>
          <w:lang w:eastAsia="en-NZ"/>
        </w:rPr>
        <w:instrText xml:space="preserve"> REF _Ref146634978 \r \h </w:instrText>
      </w:r>
      <w:r>
        <w:rPr>
          <w:rFonts w:cs="Segoe UI"/>
          <w:szCs w:val="21"/>
          <w:lang w:eastAsia="en-NZ"/>
        </w:rPr>
      </w:r>
      <w:r>
        <w:rPr>
          <w:rFonts w:cs="Segoe UI"/>
          <w:szCs w:val="21"/>
          <w:lang w:eastAsia="en-NZ"/>
        </w:rPr>
        <w:fldChar w:fldCharType="separate"/>
      </w:r>
      <w:r w:rsidR="009B1F81">
        <w:rPr>
          <w:rFonts w:cs="Segoe UI"/>
          <w:szCs w:val="21"/>
          <w:lang w:eastAsia="en-NZ"/>
        </w:rPr>
        <w:t>3</w:t>
      </w:r>
      <w:r>
        <w:rPr>
          <w:rFonts w:cs="Segoe UI"/>
          <w:szCs w:val="21"/>
          <w:lang w:eastAsia="en-NZ"/>
        </w:rPr>
        <w:fldChar w:fldCharType="end"/>
      </w:r>
      <w:r w:rsidRPr="00B61255">
        <w:rPr>
          <w:rFonts w:cs="Segoe UI"/>
          <w:szCs w:val="21"/>
          <w:lang w:eastAsia="en-NZ"/>
        </w:rPr>
        <w:t xml:space="preserve">. </w:t>
      </w:r>
    </w:p>
    <w:p w14:paraId="2FFD5F27" w14:textId="5542BFE2" w:rsidR="00386D81" w:rsidRPr="00B61255" w:rsidRDefault="00386D81">
      <w:pPr>
        <w:pStyle w:val="Heading1"/>
      </w:pPr>
      <w:bookmarkStart w:id="90" w:name="_Toc132616746"/>
      <w:bookmarkStart w:id="91" w:name="_Toc146541113"/>
      <w:bookmarkStart w:id="92" w:name="_Ref146629493"/>
      <w:bookmarkStart w:id="93" w:name="_Ref146634978"/>
      <w:bookmarkStart w:id="94" w:name="_Toc147242143"/>
      <w:r w:rsidRPr="00B61255">
        <w:lastRenderedPageBreak/>
        <w:t xml:space="preserve">Key </w:t>
      </w:r>
      <w:r>
        <w:t>p</w:t>
      </w:r>
      <w:r w:rsidRPr="00B61255">
        <w:t>oliovirus importation or circulation scenarios and corresponding actions</w:t>
      </w:r>
      <w:bookmarkEnd w:id="90"/>
      <w:bookmarkEnd w:id="91"/>
      <w:bookmarkEnd w:id="92"/>
      <w:bookmarkEnd w:id="93"/>
      <w:bookmarkEnd w:id="94"/>
    </w:p>
    <w:p w14:paraId="7E26E240" w14:textId="77777777" w:rsidR="00424706" w:rsidRDefault="00386D81" w:rsidP="00386D81">
      <w:r w:rsidRPr="00B61255">
        <w:t>All poliovirus detection events will trigger a</w:t>
      </w:r>
      <w:r w:rsidR="00424706">
        <w:t>:</w:t>
      </w:r>
      <w:r w:rsidRPr="00B61255">
        <w:t xml:space="preserve"> </w:t>
      </w:r>
    </w:p>
    <w:p w14:paraId="2C3E6A1D" w14:textId="4CF4609E" w:rsidR="00424706" w:rsidRDefault="00386D81" w:rsidP="00184D75">
      <w:pPr>
        <w:pStyle w:val="Bullet"/>
      </w:pPr>
      <w:r w:rsidRPr="00B61255">
        <w:rPr>
          <w:b/>
          <w:bCs/>
        </w:rPr>
        <w:t>public health investigation</w:t>
      </w:r>
      <w:r w:rsidR="00424706">
        <w:rPr>
          <w:b/>
          <w:bCs/>
        </w:rPr>
        <w:t>,</w:t>
      </w:r>
      <w:r>
        <w:rPr>
          <w:b/>
          <w:bCs/>
        </w:rPr>
        <w:t xml:space="preserve"> </w:t>
      </w:r>
      <w:r w:rsidRPr="00B61255">
        <w:t>including of cases and their contacts, and local communities, or in the case of a positive environmental sample, investigation of the catchment area and population being sampled by the surveillance site</w:t>
      </w:r>
    </w:p>
    <w:p w14:paraId="26382CFE" w14:textId="41A9DADF" w:rsidR="00386D81" w:rsidRPr="00B61255" w:rsidRDefault="00386D81" w:rsidP="00184D75">
      <w:pPr>
        <w:pStyle w:val="Bullet"/>
      </w:pPr>
      <w:r w:rsidRPr="00B61255">
        <w:rPr>
          <w:b/>
          <w:bCs/>
        </w:rPr>
        <w:t>risk assessment</w:t>
      </w:r>
      <w:r w:rsidRPr="00B61255">
        <w:t>.</w:t>
      </w:r>
    </w:p>
    <w:p w14:paraId="5422CD3C" w14:textId="77777777" w:rsidR="00386D81" w:rsidRPr="00B61255" w:rsidRDefault="00386D81" w:rsidP="00386D81"/>
    <w:p w14:paraId="56286324" w14:textId="77777777" w:rsidR="00386D81" w:rsidRPr="00B61255" w:rsidRDefault="00386D81" w:rsidP="00386D81">
      <w:r w:rsidRPr="00B61255">
        <w:t>This investigation and corresponding risk assessment will then inform other key responses including:</w:t>
      </w:r>
    </w:p>
    <w:p w14:paraId="66704EF1" w14:textId="562B7C84" w:rsidR="00386D81" w:rsidRPr="00B61255" w:rsidRDefault="00386D81" w:rsidP="00386D81">
      <w:pPr>
        <w:pStyle w:val="Bullet"/>
        <w:rPr>
          <w:b/>
          <w:bCs/>
        </w:rPr>
      </w:pPr>
      <w:r>
        <w:rPr>
          <w:b/>
          <w:bCs/>
        </w:rPr>
        <w:t>e</w:t>
      </w:r>
      <w:r w:rsidRPr="00B61255">
        <w:rPr>
          <w:b/>
          <w:bCs/>
        </w:rPr>
        <w:t>nhanced surveillance</w:t>
      </w:r>
    </w:p>
    <w:p w14:paraId="7D915ED8" w14:textId="5D54BC1A" w:rsidR="00386D81" w:rsidRPr="00B61255" w:rsidRDefault="00386D81" w:rsidP="00386D81">
      <w:pPr>
        <w:pStyle w:val="Bullet"/>
        <w:rPr>
          <w:b/>
          <w:bCs/>
        </w:rPr>
      </w:pPr>
      <w:r>
        <w:rPr>
          <w:b/>
          <w:bCs/>
        </w:rPr>
        <w:t>c</w:t>
      </w:r>
      <w:r w:rsidRPr="00B61255">
        <w:rPr>
          <w:b/>
          <w:bCs/>
        </w:rPr>
        <w:t xml:space="preserve">ommunications </w:t>
      </w:r>
    </w:p>
    <w:p w14:paraId="4CF088DE" w14:textId="16C11DB8" w:rsidR="00386D81" w:rsidRPr="00B61255" w:rsidRDefault="00386D81" w:rsidP="00386D81">
      <w:pPr>
        <w:pStyle w:val="Bullet"/>
        <w:rPr>
          <w:b/>
          <w:bCs/>
        </w:rPr>
      </w:pPr>
      <w:r>
        <w:rPr>
          <w:b/>
          <w:bCs/>
        </w:rPr>
        <w:t>i</w:t>
      </w:r>
      <w:r w:rsidRPr="00B61255">
        <w:rPr>
          <w:b/>
          <w:bCs/>
        </w:rPr>
        <w:t>mmunisation.</w:t>
      </w:r>
    </w:p>
    <w:p w14:paraId="42BF84FD" w14:textId="77777777" w:rsidR="00386D81" w:rsidRPr="00B61255" w:rsidRDefault="00386D81" w:rsidP="00386D81"/>
    <w:p w14:paraId="485DBDAB" w14:textId="099DE161" w:rsidR="00386D81" w:rsidRPr="00B61255" w:rsidRDefault="00386D81" w:rsidP="00386D81">
      <w:pPr>
        <w:rPr>
          <w:rFonts w:cs="Arial"/>
        </w:rPr>
      </w:pPr>
      <w:r w:rsidRPr="00B61255">
        <w:rPr>
          <w:rFonts w:cs="Arial"/>
        </w:rPr>
        <w:t xml:space="preserve">The most likely scenario that might occur in Aotearoa is detection of poliovirus in an environmental sample (wastewater). Less likely, but important to plan for, is a case of poliomyelitis (polio) caused by a wild poliovirus </w:t>
      </w:r>
      <w:r>
        <w:rPr>
          <w:rFonts w:cs="Arial"/>
        </w:rPr>
        <w:t xml:space="preserve">(WPV) </w:t>
      </w:r>
      <w:r w:rsidRPr="00B61255">
        <w:rPr>
          <w:rFonts w:cs="Arial"/>
        </w:rPr>
        <w:t>or by a vaccine-derived poliovirus (VDPV). We have also planned for a response following identification of a contact of a known case overseas, and facility-related exposure to live polioviruses.</w:t>
      </w:r>
    </w:p>
    <w:p w14:paraId="4F422834" w14:textId="77777777" w:rsidR="00386D81" w:rsidRPr="00B61255" w:rsidRDefault="00386D81" w:rsidP="00386D81">
      <w:pPr>
        <w:rPr>
          <w:rFonts w:cs="Arial"/>
        </w:rPr>
      </w:pPr>
    </w:p>
    <w:p w14:paraId="380D3FFD" w14:textId="08DC0F4C" w:rsidR="00386D81" w:rsidRPr="00B61255" w:rsidRDefault="00386D81" w:rsidP="00386D81">
      <w:r w:rsidRPr="00B61255">
        <w:t xml:space="preserve">These are described in this </w:t>
      </w:r>
      <w:r>
        <w:t>chapter</w:t>
      </w:r>
      <w:r w:rsidRPr="00B61255">
        <w:t xml:space="preserve">, noting there is a separate detailed communication plan. </w:t>
      </w:r>
    </w:p>
    <w:p w14:paraId="6F5C925E" w14:textId="77777777" w:rsidR="00386D81" w:rsidRPr="00B61255" w:rsidRDefault="00386D81" w:rsidP="00386D81"/>
    <w:p w14:paraId="4D680899" w14:textId="1E260826" w:rsidR="00386D81" w:rsidRPr="00B61255" w:rsidRDefault="00386D81" w:rsidP="00386D81">
      <w:r w:rsidRPr="00B61255">
        <w:t xml:space="preserve">A summary table of scenarios and responses is provided in section </w:t>
      </w:r>
      <w:r>
        <w:fldChar w:fldCharType="begin"/>
      </w:r>
      <w:r>
        <w:instrText xml:space="preserve"> REF _Ref146628237 \r \h </w:instrText>
      </w:r>
      <w:r>
        <w:fldChar w:fldCharType="separate"/>
      </w:r>
      <w:r w:rsidR="009B1F81">
        <w:t>3.6</w:t>
      </w:r>
      <w:r>
        <w:fldChar w:fldCharType="end"/>
      </w:r>
      <w:r w:rsidRPr="00B61255">
        <w:t>.</w:t>
      </w:r>
    </w:p>
    <w:p w14:paraId="2B1EB784" w14:textId="77777777" w:rsidR="00386D81" w:rsidRPr="00B61255" w:rsidRDefault="00386D81" w:rsidP="00386D81"/>
    <w:p w14:paraId="547305F0" w14:textId="02EF0916" w:rsidR="00386D81" w:rsidRPr="00B61255" w:rsidRDefault="00386D81" w:rsidP="00386D81">
      <w:r w:rsidRPr="00B61255">
        <w:t xml:space="preserve">There is separate information for cases and contacts found in the </w:t>
      </w:r>
      <w:hyperlink r:id="rId29" w:history="1">
        <w:r w:rsidRPr="00B61255">
          <w:t>C</w:t>
        </w:r>
      </w:hyperlink>
      <w:r w:rsidRPr="00B61255">
        <w:rPr>
          <w:i/>
          <w:iCs/>
        </w:rPr>
        <w:t>ommunicable Disease Control Manual.</w:t>
      </w:r>
      <w:r w:rsidRPr="00B61255">
        <w:t xml:space="preserve"> In consultation with regional public health services, the national office is preparing supporting operational documents for use in an outbreak.</w:t>
      </w:r>
    </w:p>
    <w:p w14:paraId="5BB7B0DC" w14:textId="77777777" w:rsidR="00386D81" w:rsidRPr="00B61255" w:rsidRDefault="00386D81" w:rsidP="00AA2D6A">
      <w:pPr>
        <w:pStyle w:val="Heading2"/>
        <w:rPr>
          <w:lang w:eastAsia="en-US"/>
        </w:rPr>
      </w:pPr>
      <w:bookmarkStart w:id="95" w:name="_Toc132616747"/>
      <w:bookmarkStart w:id="96" w:name="_Toc146541114"/>
      <w:bookmarkStart w:id="97" w:name="_Toc147242144"/>
      <w:r w:rsidRPr="00B61255">
        <w:rPr>
          <w:lang w:eastAsia="en-US"/>
        </w:rPr>
        <w:lastRenderedPageBreak/>
        <w:t xml:space="preserve">Notification and obligations under </w:t>
      </w:r>
      <w:r>
        <w:rPr>
          <w:lang w:eastAsia="en-US"/>
        </w:rPr>
        <w:t xml:space="preserve">the </w:t>
      </w:r>
      <w:r w:rsidRPr="00B61255">
        <w:rPr>
          <w:lang w:eastAsia="en-US"/>
        </w:rPr>
        <w:t>IHR</w:t>
      </w:r>
      <w:bookmarkEnd w:id="95"/>
      <w:bookmarkEnd w:id="96"/>
      <w:bookmarkEnd w:id="97"/>
    </w:p>
    <w:p w14:paraId="3108DE9C" w14:textId="1FBAD743" w:rsidR="00386D81" w:rsidRPr="00B61255" w:rsidRDefault="00386D81" w:rsidP="00386D81">
      <w:r w:rsidRPr="00B61255">
        <w:t xml:space="preserve">Under </w:t>
      </w:r>
      <w:r>
        <w:t xml:space="preserve">the </w:t>
      </w:r>
      <w:r w:rsidRPr="00233583">
        <w:t xml:space="preserve">International Health Regulations </w:t>
      </w:r>
      <w:r>
        <w:t>(</w:t>
      </w:r>
      <w:r w:rsidRPr="00B61255">
        <w:t>IHR</w:t>
      </w:r>
      <w:r>
        <w:t>)</w:t>
      </w:r>
      <w:r w:rsidRPr="00B61255">
        <w:t xml:space="preserve">, </w:t>
      </w:r>
      <w:r w:rsidR="0087333E">
        <w:t xml:space="preserve">countries must notify </w:t>
      </w:r>
      <w:r>
        <w:t xml:space="preserve">the </w:t>
      </w:r>
      <w:r w:rsidRPr="00B61255">
        <w:t xml:space="preserve">WHO for all events that may constitute a </w:t>
      </w:r>
      <w:r>
        <w:t>P</w:t>
      </w:r>
      <w:r w:rsidRPr="00B61255">
        <w:t xml:space="preserve">ublic </w:t>
      </w:r>
      <w:r>
        <w:t>H</w:t>
      </w:r>
      <w:r w:rsidRPr="00B61255">
        <w:t xml:space="preserve">ealth </w:t>
      </w:r>
      <w:r>
        <w:t>E</w:t>
      </w:r>
      <w:r w:rsidRPr="00B61255">
        <w:t xml:space="preserve">mergency of </w:t>
      </w:r>
      <w:r>
        <w:t>I</w:t>
      </w:r>
      <w:r w:rsidRPr="00B61255">
        <w:t xml:space="preserve">nternational </w:t>
      </w:r>
      <w:r>
        <w:t>C</w:t>
      </w:r>
      <w:r w:rsidRPr="00B61255">
        <w:t>oncern. For polio, this includes detection in human or non-human sources of:</w:t>
      </w:r>
    </w:p>
    <w:p w14:paraId="3C50D5B9" w14:textId="77777777" w:rsidR="00386D81" w:rsidRPr="00B61255" w:rsidRDefault="00386D81" w:rsidP="00386D81">
      <w:pPr>
        <w:pStyle w:val="Bullet"/>
      </w:pPr>
      <w:r w:rsidRPr="00B61255">
        <w:t>WPV</w:t>
      </w:r>
    </w:p>
    <w:p w14:paraId="0423E5E3" w14:textId="5DE0F8F6" w:rsidR="00386D81" w:rsidRPr="00B61255" w:rsidRDefault="00386D81" w:rsidP="00386D81">
      <w:pPr>
        <w:pStyle w:val="Bullet"/>
      </w:pPr>
      <w:r w:rsidRPr="00B61255">
        <w:t>VDPV (type 1, 2 or 3)</w:t>
      </w:r>
    </w:p>
    <w:p w14:paraId="7036FA79" w14:textId="77777777" w:rsidR="00386D81" w:rsidRPr="00B61255" w:rsidRDefault="00386D81" w:rsidP="00386D81">
      <w:pPr>
        <w:pStyle w:val="Bullet"/>
      </w:pPr>
      <w:r w:rsidRPr="00B61255">
        <w:t xml:space="preserve">and Sabin/Sabin-like type 2 viruses, from the areas where Sabin </w:t>
      </w:r>
      <w:r w:rsidRPr="003A22E0">
        <w:t xml:space="preserve">oral poliovirus vaccine </w:t>
      </w:r>
      <w:r>
        <w:t>type 2 (</w:t>
      </w:r>
      <w:r w:rsidRPr="00B61255">
        <w:t>OPV2</w:t>
      </w:r>
      <w:r>
        <w:t>)</w:t>
      </w:r>
      <w:r w:rsidRPr="00B61255">
        <w:t xml:space="preserve"> has not been used in the previous four months (Sabin/Sabin-like virus types 1 and 3 are not notifiable).</w:t>
      </w:r>
    </w:p>
    <w:p w14:paraId="0833D8F7" w14:textId="77777777" w:rsidR="00386D81" w:rsidRPr="00B61255" w:rsidRDefault="00386D81" w:rsidP="00386D81"/>
    <w:p w14:paraId="48172983" w14:textId="3218C541" w:rsidR="00386D81" w:rsidRPr="00B61255" w:rsidRDefault="00386D81" w:rsidP="00A74F62">
      <w:r w:rsidRPr="00B61255">
        <w:t xml:space="preserve">The national IHR focal point must notify </w:t>
      </w:r>
      <w:r>
        <w:t xml:space="preserve">the </w:t>
      </w:r>
      <w:r w:rsidRPr="00B61255">
        <w:t>WHO within 24 hours</w:t>
      </w:r>
      <w:r w:rsidR="00A74F62">
        <w:t>; s</w:t>
      </w:r>
      <w:r w:rsidR="006D1547">
        <w:t>pecifically</w:t>
      </w:r>
      <w:r w:rsidRPr="00B61255">
        <w:t xml:space="preserve"> the IHR contact person at the respective WHO regional office, </w:t>
      </w:r>
      <w:r w:rsidR="00A74F62">
        <w:t xml:space="preserve">and </w:t>
      </w:r>
      <w:r w:rsidRPr="00B61255">
        <w:t>without waiting for final classification.</w:t>
      </w:r>
    </w:p>
    <w:p w14:paraId="3BA05FC1" w14:textId="77777777" w:rsidR="00386D81" w:rsidRPr="00B61255" w:rsidRDefault="00386D81" w:rsidP="00386D81"/>
    <w:p w14:paraId="12864ECD" w14:textId="7B5414D1" w:rsidR="00386D81" w:rsidRPr="00B61255" w:rsidRDefault="00386D81" w:rsidP="00386D81">
      <w:r w:rsidRPr="00B61255">
        <w:t xml:space="preserve">In addition, Aotearoa must investigate any poliovirus isolate notifiable under </w:t>
      </w:r>
      <w:r>
        <w:t xml:space="preserve">the </w:t>
      </w:r>
      <w:r w:rsidRPr="00B61255">
        <w:t xml:space="preserve">IHR, from any human or environmental sources, and </w:t>
      </w:r>
      <w:r>
        <w:t xml:space="preserve">the </w:t>
      </w:r>
      <w:r w:rsidRPr="00155FEB">
        <w:t xml:space="preserve">Global Polio Eradication Initiative </w:t>
      </w:r>
      <w:r w:rsidRPr="00B61255">
        <w:t>can support as required.</w:t>
      </w:r>
    </w:p>
    <w:p w14:paraId="4589C03A" w14:textId="77777777" w:rsidR="00386D81" w:rsidRPr="00B61255" w:rsidRDefault="00386D81" w:rsidP="00386D81"/>
    <w:p w14:paraId="50A03BEC" w14:textId="77777777" w:rsidR="00386D81" w:rsidRPr="00B61255" w:rsidRDefault="00386D81" w:rsidP="00386D81">
      <w:r w:rsidRPr="00B61255">
        <w:t>There is also guidance around spills, releases or breaches (without known or demonstrated human transmission or environmental contamination).</w:t>
      </w:r>
    </w:p>
    <w:p w14:paraId="2E27B82F" w14:textId="77777777" w:rsidR="00386D81" w:rsidRPr="00B61255" w:rsidRDefault="00386D81" w:rsidP="00386D81"/>
    <w:p w14:paraId="44D1A8AF" w14:textId="26E3C6AE" w:rsidR="00386D81" w:rsidRPr="00B61255" w:rsidRDefault="00386D81" w:rsidP="00386D81">
      <w:r w:rsidRPr="00B61255">
        <w:t xml:space="preserve">Because WPV2 has been eradicated, OPV2 has been withdrawn and all WPV2 is currently being targeted for destruction, transfer or containment in a secure </w:t>
      </w:r>
      <w:r w:rsidRPr="004346A1">
        <w:t>poliovirus-essential facility</w:t>
      </w:r>
      <w:r>
        <w:t>.</w:t>
      </w:r>
      <w:r w:rsidRPr="00B61255">
        <w:t xml:space="preserve"> </w:t>
      </w:r>
      <w:r>
        <w:t>A</w:t>
      </w:r>
      <w:r w:rsidRPr="00B61255">
        <w:t xml:space="preserve">ny </w:t>
      </w:r>
      <w:r>
        <w:t>p</w:t>
      </w:r>
      <w:r w:rsidRPr="00B61255">
        <w:t xml:space="preserve">oliovirus </w:t>
      </w:r>
      <w:r>
        <w:t xml:space="preserve">type </w:t>
      </w:r>
      <w:r w:rsidRPr="00B61255">
        <w:t xml:space="preserve">2 exposure or breach (any virus belonging to </w:t>
      </w:r>
      <w:r w:rsidRPr="00DD24CC">
        <w:t xml:space="preserve">poliovirus </w:t>
      </w:r>
      <w:r>
        <w:t xml:space="preserve">type </w:t>
      </w:r>
      <w:r w:rsidRPr="00B61255">
        <w:t>2</w:t>
      </w:r>
      <w:r>
        <w:t>,</w:t>
      </w:r>
      <w:r w:rsidRPr="00B61255">
        <w:t xml:space="preserve"> including VDPV2 and WPV2) should be regarded as a notifiable event and notified to the WHO regional contact.</w:t>
      </w:r>
    </w:p>
    <w:p w14:paraId="3A411199" w14:textId="77777777" w:rsidR="00386D81" w:rsidRPr="00B61255" w:rsidRDefault="00386D81" w:rsidP="00386D81"/>
    <w:p w14:paraId="6D4CF41E" w14:textId="77777777" w:rsidR="00386D81" w:rsidRPr="00B61255" w:rsidRDefault="00386D81" w:rsidP="00386D81">
      <w:r w:rsidRPr="00B61255">
        <w:t xml:space="preserve">Spills or releases involving WPV/VDPV types 1 or 3 should also be notified (as per Annex 2 of </w:t>
      </w:r>
      <w:r>
        <w:t xml:space="preserve">the </w:t>
      </w:r>
      <w:r w:rsidRPr="00B61255">
        <w:t>IHR) if the event meets at least two of the following criteria:</w:t>
      </w:r>
    </w:p>
    <w:p w14:paraId="3C3E256D" w14:textId="77777777" w:rsidR="00386D81" w:rsidRPr="00B61255" w:rsidRDefault="00386D81" w:rsidP="00184D75">
      <w:pPr>
        <w:pStyle w:val="Bullet"/>
      </w:pPr>
      <w:r w:rsidRPr="00B61255">
        <w:t>the event’s public health impact is serious</w:t>
      </w:r>
    </w:p>
    <w:p w14:paraId="372E8A42" w14:textId="77777777" w:rsidR="00386D81" w:rsidRPr="00B61255" w:rsidRDefault="00386D81" w:rsidP="00184D75">
      <w:pPr>
        <w:pStyle w:val="Bullet"/>
      </w:pPr>
      <w:r w:rsidRPr="00B61255">
        <w:t>the event is unusual or unexpected</w:t>
      </w:r>
    </w:p>
    <w:p w14:paraId="0F7AE0A5" w14:textId="77777777" w:rsidR="00386D81" w:rsidRPr="00B61255" w:rsidRDefault="00386D81" w:rsidP="00184D75">
      <w:pPr>
        <w:pStyle w:val="Bullet"/>
      </w:pPr>
      <w:r w:rsidRPr="00B61255">
        <w:t>the risk of international spread is significant</w:t>
      </w:r>
    </w:p>
    <w:p w14:paraId="7808C52C" w14:textId="77777777" w:rsidR="00386D81" w:rsidRPr="00B61255" w:rsidRDefault="00386D81" w:rsidP="00184D75">
      <w:pPr>
        <w:pStyle w:val="Bullet"/>
      </w:pPr>
      <w:r w:rsidRPr="00B61255">
        <w:t xml:space="preserve">the risk of international travel or trade restrictions is significant. </w:t>
      </w:r>
    </w:p>
    <w:p w14:paraId="038121C6" w14:textId="77777777" w:rsidR="00386D81" w:rsidRPr="00B61255" w:rsidRDefault="00386D81" w:rsidP="00386D81"/>
    <w:p w14:paraId="0BF954EB" w14:textId="0988CE65" w:rsidR="00386D81" w:rsidRPr="00B61255" w:rsidRDefault="00386D81" w:rsidP="00386D81">
      <w:r w:rsidRPr="00B61255">
        <w:t xml:space="preserve">In general, any containment breach involving WPV/VDPV types 1 </w:t>
      </w:r>
      <w:r>
        <w:t xml:space="preserve">or </w:t>
      </w:r>
      <w:r w:rsidRPr="00B61255">
        <w:t xml:space="preserve">3 should also be notified to the WHO. When a facility identified a breach, it is the facility management’s responsibility to inform </w:t>
      </w:r>
      <w:r w:rsidRPr="003576B4">
        <w:t>Manatū Hauora</w:t>
      </w:r>
      <w:r>
        <w:t xml:space="preserve"> </w:t>
      </w:r>
      <w:r w:rsidRPr="00B61255">
        <w:t xml:space="preserve">(within 24 hours). It is then the responsibility of </w:t>
      </w:r>
      <w:r w:rsidRPr="003576B4">
        <w:t>Manatū Hauora</w:t>
      </w:r>
      <w:r w:rsidRPr="00B61255">
        <w:t xml:space="preserve"> to notify the WHO.</w:t>
      </w:r>
    </w:p>
    <w:p w14:paraId="773B6062" w14:textId="77777777" w:rsidR="00386D81" w:rsidRPr="00B61255" w:rsidRDefault="00386D81" w:rsidP="00386D81"/>
    <w:p w14:paraId="3BED8577" w14:textId="201FCF3E" w:rsidR="00386D81" w:rsidRPr="00B61255" w:rsidRDefault="00386D81" w:rsidP="00386D81">
      <w:r w:rsidRPr="00B61255">
        <w:t xml:space="preserve">Currently, as the global </w:t>
      </w:r>
      <w:r>
        <w:t>polio</w:t>
      </w:r>
      <w:r w:rsidRPr="00B61255">
        <w:t xml:space="preserve"> situation is a </w:t>
      </w:r>
      <w:r w:rsidRPr="007C08F2">
        <w:t>Public Health Emergency of International Concern</w:t>
      </w:r>
      <w:r w:rsidRPr="00B61255">
        <w:t xml:space="preserve">, the Emergency Committee on </w:t>
      </w:r>
      <w:r>
        <w:t>polio</w:t>
      </w:r>
      <w:r w:rsidRPr="00B61255">
        <w:t xml:space="preserve"> under the IHR issues temporary </w:t>
      </w:r>
      <w:r w:rsidRPr="00B61255">
        <w:lastRenderedPageBreak/>
        <w:t>recommendations every three months for polio</w:t>
      </w:r>
      <w:r w:rsidR="0087333E">
        <w:t>, which</w:t>
      </w:r>
      <w:r w:rsidRPr="00B61255">
        <w:t xml:space="preserve"> will continue to be reviewed by Aotearoa</w:t>
      </w:r>
      <w:r>
        <w:t>.</w:t>
      </w:r>
      <w:r>
        <w:rPr>
          <w:rStyle w:val="FootnoteReference"/>
        </w:rPr>
        <w:footnoteReference w:id="20"/>
      </w:r>
      <w:r w:rsidRPr="00B61255">
        <w:t xml:space="preserve"> </w:t>
      </w:r>
    </w:p>
    <w:p w14:paraId="2225F56F" w14:textId="77777777" w:rsidR="00386D81" w:rsidRPr="00B61255" w:rsidRDefault="00386D81" w:rsidP="00AA2D6A">
      <w:pPr>
        <w:pStyle w:val="Heading2"/>
        <w:rPr>
          <w:lang w:eastAsia="en-US"/>
        </w:rPr>
      </w:pPr>
      <w:bookmarkStart w:id="98" w:name="_Toc132616748"/>
      <w:bookmarkStart w:id="99" w:name="_Toc146541115"/>
      <w:bookmarkStart w:id="100" w:name="_Ref146624527"/>
      <w:bookmarkStart w:id="101" w:name="_Ref146624534"/>
      <w:bookmarkStart w:id="102" w:name="_Ref146635102"/>
      <w:bookmarkStart w:id="103" w:name="_Ref146704490"/>
      <w:bookmarkStart w:id="104" w:name="_Ref146704495"/>
      <w:bookmarkStart w:id="105" w:name="_Ref146704496"/>
      <w:bookmarkStart w:id="106" w:name="_Toc147242145"/>
      <w:bookmarkStart w:id="107" w:name="_Hlk121761386"/>
      <w:r w:rsidRPr="00B61255">
        <w:rPr>
          <w:lang w:eastAsia="en-US"/>
        </w:rPr>
        <w:t>Detection in environment (wastewater testing)</w:t>
      </w:r>
      <w:bookmarkEnd w:id="98"/>
      <w:bookmarkEnd w:id="99"/>
      <w:bookmarkEnd w:id="100"/>
      <w:bookmarkEnd w:id="101"/>
      <w:bookmarkEnd w:id="102"/>
      <w:bookmarkEnd w:id="103"/>
      <w:bookmarkEnd w:id="104"/>
      <w:bookmarkEnd w:id="105"/>
      <w:bookmarkEnd w:id="106"/>
    </w:p>
    <w:bookmarkEnd w:id="107"/>
    <w:p w14:paraId="25455694" w14:textId="77777777" w:rsidR="00386D81" w:rsidRPr="00B61255" w:rsidRDefault="00386D81" w:rsidP="00386D81">
      <w:pPr>
        <w:rPr>
          <w:lang w:eastAsia="en-US"/>
        </w:rPr>
      </w:pPr>
      <w:r w:rsidRPr="00B61255">
        <w:rPr>
          <w:lang w:eastAsia="en-US"/>
        </w:rPr>
        <w:t>Once environmental (wastewater) testing is initiated,</w:t>
      </w:r>
      <w:r w:rsidRPr="00B61255">
        <w:t xml:space="preserve"> </w:t>
      </w:r>
      <w:r w:rsidRPr="00B61255">
        <w:rPr>
          <w:lang w:eastAsia="en-US"/>
        </w:rPr>
        <w:t>initial identification will indicate the presence of:</w:t>
      </w:r>
    </w:p>
    <w:p w14:paraId="70172888" w14:textId="5C0ED8B9" w:rsidR="00386D81" w:rsidRPr="00B61255" w:rsidRDefault="00386D81" w:rsidP="00184D75">
      <w:pPr>
        <w:pStyle w:val="Bullet"/>
        <w:rPr>
          <w:lang w:eastAsia="en-US"/>
        </w:rPr>
      </w:pPr>
      <w:r w:rsidRPr="00B61255">
        <w:rPr>
          <w:lang w:eastAsia="en-US"/>
        </w:rPr>
        <w:t>Sabin-like poliovirus vaccine strains (1, 2</w:t>
      </w:r>
      <w:r>
        <w:rPr>
          <w:lang w:eastAsia="en-US"/>
        </w:rPr>
        <w:t xml:space="preserve"> and</w:t>
      </w:r>
      <w:r w:rsidRPr="00B61255">
        <w:rPr>
          <w:lang w:eastAsia="en-US"/>
        </w:rPr>
        <w:t xml:space="preserve"> 3) </w:t>
      </w:r>
    </w:p>
    <w:p w14:paraId="437ACF29" w14:textId="52D802AC" w:rsidR="00386D81" w:rsidRPr="00B61255" w:rsidRDefault="00386D81" w:rsidP="00184D75">
      <w:pPr>
        <w:pStyle w:val="Bullet"/>
        <w:rPr>
          <w:lang w:eastAsia="en-US"/>
        </w:rPr>
      </w:pPr>
      <w:r>
        <w:rPr>
          <w:lang w:eastAsia="en-US"/>
        </w:rPr>
        <w:t>n</w:t>
      </w:r>
      <w:r w:rsidRPr="00B61255">
        <w:rPr>
          <w:lang w:eastAsia="en-US"/>
        </w:rPr>
        <w:t xml:space="preserve">on-Sabin viruses VDPV and </w:t>
      </w:r>
      <w:r>
        <w:rPr>
          <w:lang w:eastAsia="en-US"/>
        </w:rPr>
        <w:t>WPV</w:t>
      </w:r>
      <w:r w:rsidRPr="00B61255">
        <w:rPr>
          <w:lang w:eastAsia="en-US"/>
        </w:rPr>
        <w:t xml:space="preserve">. This detection will then be verified by sequencing. Sequencing can also identify if a VDPV is new or if it is a </w:t>
      </w:r>
      <w:r w:rsidRPr="001B0D85">
        <w:rPr>
          <w:lang w:eastAsia="en-US"/>
        </w:rPr>
        <w:t xml:space="preserve">circulating vaccine-derived poliovirus </w:t>
      </w:r>
      <w:r>
        <w:rPr>
          <w:lang w:eastAsia="en-US"/>
        </w:rPr>
        <w:t>(</w:t>
      </w:r>
      <w:r w:rsidRPr="00B61255">
        <w:rPr>
          <w:lang w:eastAsia="en-US"/>
        </w:rPr>
        <w:t>cVDPV</w:t>
      </w:r>
      <w:r>
        <w:rPr>
          <w:lang w:eastAsia="en-US"/>
        </w:rPr>
        <w:t>)</w:t>
      </w:r>
      <w:r w:rsidRPr="00B61255">
        <w:rPr>
          <w:lang w:eastAsia="en-US"/>
        </w:rPr>
        <w:t xml:space="preserve">, </w:t>
      </w:r>
      <w:r>
        <w:rPr>
          <w:lang w:eastAsia="en-US"/>
        </w:rPr>
        <w:t xml:space="preserve">ambiguous </w:t>
      </w:r>
      <w:r w:rsidRPr="001B0D85">
        <w:rPr>
          <w:lang w:eastAsia="en-US"/>
        </w:rPr>
        <w:t xml:space="preserve">vaccine-derived poliovirus </w:t>
      </w:r>
      <w:r>
        <w:rPr>
          <w:lang w:eastAsia="en-US"/>
        </w:rPr>
        <w:t>(</w:t>
      </w:r>
      <w:r w:rsidRPr="00B61255">
        <w:rPr>
          <w:lang w:eastAsia="en-US"/>
        </w:rPr>
        <w:t>aVDPV</w:t>
      </w:r>
      <w:r>
        <w:rPr>
          <w:lang w:eastAsia="en-US"/>
        </w:rPr>
        <w:t>)</w:t>
      </w:r>
      <w:r w:rsidRPr="00B61255">
        <w:rPr>
          <w:lang w:eastAsia="en-US"/>
        </w:rPr>
        <w:t xml:space="preserve">, or </w:t>
      </w:r>
      <w:r w:rsidRPr="0061050F">
        <w:rPr>
          <w:lang w:eastAsia="en-US"/>
        </w:rPr>
        <w:t>immune-deficiency associated</w:t>
      </w:r>
      <w:r w:rsidRPr="001B0D85">
        <w:rPr>
          <w:lang w:eastAsia="en-US"/>
        </w:rPr>
        <w:t xml:space="preserve"> vaccine-derived poliovirus </w:t>
      </w:r>
      <w:r>
        <w:rPr>
          <w:lang w:eastAsia="en-US"/>
        </w:rPr>
        <w:t>(</w:t>
      </w:r>
      <w:r w:rsidRPr="00B61255">
        <w:rPr>
          <w:lang w:eastAsia="en-US"/>
        </w:rPr>
        <w:t>iVDPV</w:t>
      </w:r>
      <w:r>
        <w:rPr>
          <w:lang w:eastAsia="en-US"/>
        </w:rPr>
        <w:t>)</w:t>
      </w:r>
      <w:r w:rsidRPr="00B61255">
        <w:rPr>
          <w:lang w:eastAsia="en-US"/>
        </w:rPr>
        <w:t xml:space="preserve">. Some indeterminate and invalid results will also be sequenced. </w:t>
      </w:r>
    </w:p>
    <w:p w14:paraId="596A2525" w14:textId="77777777" w:rsidR="00386D81" w:rsidRPr="00B61255" w:rsidRDefault="00386D81" w:rsidP="00386D81">
      <w:pPr>
        <w:rPr>
          <w:lang w:eastAsia="en-US"/>
        </w:rPr>
      </w:pPr>
    </w:p>
    <w:p w14:paraId="581FE0B2" w14:textId="77777777" w:rsidR="00386D81" w:rsidRPr="00B61255" w:rsidRDefault="00386D81" w:rsidP="00386D81">
      <w:pPr>
        <w:rPr>
          <w:lang w:eastAsia="en-US"/>
        </w:rPr>
      </w:pPr>
      <w:r w:rsidRPr="00B61255">
        <w:rPr>
          <w:lang w:eastAsia="en-US"/>
        </w:rPr>
        <w:t>Detection of Sabin/Sabin-like poliovirus (type</w:t>
      </w:r>
      <w:r>
        <w:rPr>
          <w:lang w:eastAsia="en-US"/>
        </w:rPr>
        <w:t>s</w:t>
      </w:r>
      <w:r w:rsidRPr="00B61255">
        <w:rPr>
          <w:lang w:eastAsia="en-US"/>
        </w:rPr>
        <w:t xml:space="preserve"> 1 and 3) requires reporting nationally.</w:t>
      </w:r>
    </w:p>
    <w:p w14:paraId="59FBE7DA" w14:textId="77777777" w:rsidR="00386D81" w:rsidRPr="00B61255" w:rsidRDefault="00386D81" w:rsidP="00386D81">
      <w:pPr>
        <w:rPr>
          <w:lang w:eastAsia="en-US"/>
        </w:rPr>
      </w:pPr>
    </w:p>
    <w:p w14:paraId="2FFA7235" w14:textId="43EB57B3" w:rsidR="00386D81" w:rsidRPr="00B61255" w:rsidRDefault="00386D81" w:rsidP="00386D81">
      <w:pPr>
        <w:rPr>
          <w:lang w:eastAsia="en-US"/>
        </w:rPr>
      </w:pPr>
      <w:r w:rsidRPr="00B61255">
        <w:rPr>
          <w:lang w:eastAsia="en-US"/>
        </w:rPr>
        <w:t xml:space="preserve">Detection of Sabin/Sabin-like type 2 viruses </w:t>
      </w:r>
      <w:r w:rsidR="00BC7EA2">
        <w:rPr>
          <w:lang w:eastAsia="en-US"/>
        </w:rPr>
        <w:t>requires</w:t>
      </w:r>
      <w:r w:rsidR="00BC7EA2" w:rsidRPr="00B61255">
        <w:rPr>
          <w:lang w:eastAsia="en-US"/>
        </w:rPr>
        <w:t xml:space="preserve"> </w:t>
      </w:r>
      <w:r w:rsidRPr="00B61255">
        <w:rPr>
          <w:lang w:eastAsia="en-US"/>
        </w:rPr>
        <w:t xml:space="preserve">national notification and risk assessment (as per </w:t>
      </w:r>
      <w:r>
        <w:rPr>
          <w:lang w:eastAsia="en-US"/>
        </w:rPr>
        <w:t xml:space="preserve">the </w:t>
      </w:r>
      <w:r w:rsidRPr="00B61255">
        <w:rPr>
          <w:lang w:eastAsia="en-US"/>
        </w:rPr>
        <w:t xml:space="preserve">WHO). </w:t>
      </w:r>
    </w:p>
    <w:p w14:paraId="35FC3731" w14:textId="77777777" w:rsidR="00386D81" w:rsidRPr="00B61255" w:rsidRDefault="00386D81" w:rsidP="00386D81">
      <w:pPr>
        <w:rPr>
          <w:lang w:eastAsia="en-US"/>
        </w:rPr>
      </w:pPr>
    </w:p>
    <w:p w14:paraId="27DE27C5" w14:textId="3E798EE8" w:rsidR="00386D81" w:rsidRPr="00B61255" w:rsidRDefault="00386D81" w:rsidP="00386D81">
      <w:pPr>
        <w:rPr>
          <w:lang w:eastAsia="en-US"/>
        </w:rPr>
      </w:pPr>
      <w:r w:rsidRPr="00B61255">
        <w:rPr>
          <w:lang w:eastAsia="en-US"/>
        </w:rPr>
        <w:t>Detection of non-</w:t>
      </w:r>
      <w:r>
        <w:rPr>
          <w:lang w:eastAsia="en-US"/>
        </w:rPr>
        <w:t>S</w:t>
      </w:r>
      <w:r w:rsidRPr="00B61255">
        <w:rPr>
          <w:lang w:eastAsia="en-US"/>
        </w:rPr>
        <w:t xml:space="preserve">abin viruses VDPV and </w:t>
      </w:r>
      <w:r>
        <w:rPr>
          <w:lang w:eastAsia="en-US"/>
        </w:rPr>
        <w:t>WPV</w:t>
      </w:r>
      <w:r w:rsidRPr="00B61255">
        <w:rPr>
          <w:lang w:eastAsia="en-US"/>
        </w:rPr>
        <w:t xml:space="preserve"> </w:t>
      </w:r>
      <w:r>
        <w:rPr>
          <w:lang w:eastAsia="en-US"/>
        </w:rPr>
        <w:t>is</w:t>
      </w:r>
      <w:r w:rsidRPr="00B61255">
        <w:rPr>
          <w:lang w:eastAsia="en-US"/>
        </w:rPr>
        <w:t xml:space="preserve"> likely to warrant an </w:t>
      </w:r>
      <w:r w:rsidRPr="00B61255">
        <w:rPr>
          <w:b/>
          <w:bCs/>
          <w:lang w:eastAsia="en-US"/>
        </w:rPr>
        <w:t>urgent nationally coordinated response</w:t>
      </w:r>
      <w:r w:rsidRPr="00B61255">
        <w:rPr>
          <w:lang w:eastAsia="en-US"/>
        </w:rPr>
        <w:t xml:space="preserve">. Actions subsequently required may include: </w:t>
      </w:r>
    </w:p>
    <w:p w14:paraId="10A889A9" w14:textId="77777777" w:rsidR="00386D81" w:rsidRPr="00B61255" w:rsidRDefault="00386D81" w:rsidP="00386D81">
      <w:pPr>
        <w:pStyle w:val="Bullet"/>
        <w:rPr>
          <w:lang w:eastAsia="en-US"/>
        </w:rPr>
      </w:pPr>
      <w:r w:rsidRPr="00B61255">
        <w:rPr>
          <w:lang w:eastAsia="en-US"/>
        </w:rPr>
        <w:t>public health investigation</w:t>
      </w:r>
    </w:p>
    <w:p w14:paraId="2CB5CABF" w14:textId="77777777" w:rsidR="00386D81" w:rsidRPr="00B61255" w:rsidRDefault="00386D81" w:rsidP="00386D81">
      <w:pPr>
        <w:pStyle w:val="Bullet"/>
        <w:rPr>
          <w:lang w:eastAsia="en-US"/>
        </w:rPr>
      </w:pPr>
      <w:r w:rsidRPr="00B61255">
        <w:rPr>
          <w:lang w:eastAsia="en-US"/>
        </w:rPr>
        <w:t>risk assessment</w:t>
      </w:r>
    </w:p>
    <w:p w14:paraId="552FDD9F" w14:textId="77777777" w:rsidR="00386D81" w:rsidRPr="00B61255" w:rsidRDefault="00386D81" w:rsidP="00386D81">
      <w:pPr>
        <w:pStyle w:val="Bullet"/>
        <w:rPr>
          <w:lang w:eastAsia="en-US"/>
        </w:rPr>
      </w:pPr>
      <w:r w:rsidRPr="00B61255">
        <w:rPr>
          <w:lang w:eastAsia="en-US"/>
        </w:rPr>
        <w:t>vaccination response</w:t>
      </w:r>
      <w:r>
        <w:rPr>
          <w:lang w:eastAsia="en-US"/>
        </w:rPr>
        <w:t>.</w:t>
      </w:r>
    </w:p>
    <w:p w14:paraId="28560D9B" w14:textId="77777777" w:rsidR="00386D81" w:rsidRPr="00B61255" w:rsidRDefault="00386D81" w:rsidP="00386D81"/>
    <w:p w14:paraId="0854BBEB" w14:textId="3FF8FC3E" w:rsidR="00386D81" w:rsidRPr="00B61255" w:rsidRDefault="00386D81" w:rsidP="00184D75">
      <w:pPr>
        <w:rPr>
          <w:lang w:eastAsia="en-US"/>
        </w:rPr>
      </w:pPr>
      <w:r w:rsidRPr="00B61255">
        <w:rPr>
          <w:lang w:eastAsia="en-US"/>
        </w:rPr>
        <w:t>While not essential for identification purposes (</w:t>
      </w:r>
      <w:r>
        <w:rPr>
          <w:lang w:eastAsia="en-US"/>
        </w:rPr>
        <w:t>eg,</w:t>
      </w:r>
      <w:r w:rsidRPr="00B61255">
        <w:rPr>
          <w:lang w:eastAsia="en-US"/>
        </w:rPr>
        <w:t xml:space="preserve"> whether it is one of the above strains), poliovirus isolate/s may also be sent to the WHO Reference Laboratory for further sequencing </w:t>
      </w:r>
      <w:r w:rsidRPr="00184D75">
        <w:rPr>
          <w:lang w:eastAsia="en-US"/>
        </w:rPr>
        <w:t>that may be necessary</w:t>
      </w:r>
      <w:r w:rsidRPr="00B61255">
        <w:rPr>
          <w:lang w:eastAsia="en-US"/>
        </w:rPr>
        <w:t xml:space="preserve"> to determine whether a VDPV is cVDPV, aVDPV, or iVDPV using epidemiological/molecular timelines. Please see </w:t>
      </w:r>
      <w:r>
        <w:rPr>
          <w:lang w:eastAsia="en-US"/>
        </w:rPr>
        <w:t>A</w:t>
      </w:r>
      <w:r w:rsidRPr="00B61255">
        <w:rPr>
          <w:lang w:eastAsia="en-US"/>
        </w:rPr>
        <w:t xml:space="preserve">ppendix 1 for wastewater testing timeframes, noting that these times are subject to change depending on method of testing </w:t>
      </w:r>
      <w:r>
        <w:rPr>
          <w:lang w:eastAsia="en-US"/>
        </w:rPr>
        <w:t>(eg,</w:t>
      </w:r>
      <w:r w:rsidRPr="00B61255">
        <w:rPr>
          <w:lang w:eastAsia="en-US"/>
        </w:rPr>
        <w:t xml:space="preserve"> </w:t>
      </w:r>
      <w:r>
        <w:rPr>
          <w:lang w:eastAsia="en-US"/>
        </w:rPr>
        <w:t>d</w:t>
      </w:r>
      <w:r w:rsidRPr="00B61255">
        <w:rPr>
          <w:lang w:eastAsia="en-US"/>
        </w:rPr>
        <w:t xml:space="preserve">irect </w:t>
      </w:r>
      <w:r w:rsidRPr="00E16CB5">
        <w:rPr>
          <w:lang w:eastAsia="en-US"/>
        </w:rPr>
        <w:t xml:space="preserve">polymerase chain reaction </w:t>
      </w:r>
      <w:r>
        <w:rPr>
          <w:lang w:eastAsia="en-US"/>
        </w:rPr>
        <w:t>(</w:t>
      </w:r>
      <w:r w:rsidRPr="00B61255">
        <w:rPr>
          <w:lang w:eastAsia="en-US"/>
        </w:rPr>
        <w:t>PCR</w:t>
      </w:r>
      <w:r>
        <w:rPr>
          <w:lang w:eastAsia="en-US"/>
        </w:rPr>
        <w:t>))</w:t>
      </w:r>
      <w:r w:rsidRPr="00B61255">
        <w:rPr>
          <w:lang w:eastAsia="en-US"/>
        </w:rPr>
        <w:t xml:space="preserve">. </w:t>
      </w:r>
    </w:p>
    <w:p w14:paraId="35B9DA39" w14:textId="77777777" w:rsidR="00386D81" w:rsidRPr="003B30DE" w:rsidRDefault="00386D81" w:rsidP="00184D75"/>
    <w:p w14:paraId="35F58ADC" w14:textId="77777777" w:rsidR="00386D81" w:rsidRPr="00B61255" w:rsidRDefault="00386D81" w:rsidP="00184D75">
      <w:r w:rsidRPr="00B61255">
        <w:t xml:space="preserve">The response required </w:t>
      </w:r>
      <w:r w:rsidRPr="00E16CB5">
        <w:t>may</w:t>
      </w:r>
      <w:r w:rsidRPr="00B61255">
        <w:t xml:space="preserve"> differ depending on the type of virus detected, and whether there has been a single detection or sustained detection of polio.</w:t>
      </w:r>
    </w:p>
    <w:p w14:paraId="27DCDEB5" w14:textId="1D7C7062" w:rsidR="00386D81" w:rsidRPr="00B61255" w:rsidRDefault="00386D81" w:rsidP="000F2AF2">
      <w:pPr>
        <w:pStyle w:val="Heading3"/>
        <w:rPr>
          <w:lang w:eastAsia="en-US"/>
        </w:rPr>
      </w:pPr>
      <w:bookmarkStart w:id="108" w:name="_Ref146635115"/>
      <w:r w:rsidRPr="00B61255">
        <w:rPr>
          <w:lang w:eastAsia="en-US"/>
        </w:rPr>
        <w:t>Sabin/Sabin-like viruses (type</w:t>
      </w:r>
      <w:r>
        <w:rPr>
          <w:lang w:eastAsia="en-US"/>
        </w:rPr>
        <w:t>s</w:t>
      </w:r>
      <w:r w:rsidRPr="00B61255">
        <w:rPr>
          <w:lang w:eastAsia="en-US"/>
        </w:rPr>
        <w:t xml:space="preserve"> 1 </w:t>
      </w:r>
      <w:r>
        <w:rPr>
          <w:lang w:eastAsia="en-US"/>
        </w:rPr>
        <w:t>and</w:t>
      </w:r>
      <w:r w:rsidRPr="00B61255">
        <w:rPr>
          <w:lang w:eastAsia="en-US"/>
        </w:rPr>
        <w:t xml:space="preserve"> 3)</w:t>
      </w:r>
      <w:bookmarkEnd w:id="108"/>
    </w:p>
    <w:p w14:paraId="5F5895DA" w14:textId="7BBA45AA" w:rsidR="00386D81" w:rsidRDefault="00386D81" w:rsidP="00386D81">
      <w:pPr>
        <w:rPr>
          <w:lang w:eastAsia="en-US"/>
        </w:rPr>
      </w:pPr>
      <w:r w:rsidRPr="00B61255">
        <w:rPr>
          <w:lang w:eastAsia="en-US"/>
        </w:rPr>
        <w:t xml:space="preserve">A detection of </w:t>
      </w:r>
      <w:r>
        <w:rPr>
          <w:lang w:eastAsia="en-US"/>
        </w:rPr>
        <w:t>S</w:t>
      </w:r>
      <w:r w:rsidRPr="00B61255">
        <w:rPr>
          <w:lang w:eastAsia="en-US"/>
        </w:rPr>
        <w:t>abin/</w:t>
      </w:r>
      <w:r>
        <w:rPr>
          <w:lang w:eastAsia="en-US"/>
        </w:rPr>
        <w:t>S</w:t>
      </w:r>
      <w:r w:rsidRPr="00B61255">
        <w:rPr>
          <w:lang w:eastAsia="en-US"/>
        </w:rPr>
        <w:t xml:space="preserve">abin-like virus is likely to be due to excretion by people who have recently received an </w:t>
      </w:r>
      <w:r>
        <w:rPr>
          <w:lang w:eastAsia="en-US"/>
        </w:rPr>
        <w:t>OPV</w:t>
      </w:r>
      <w:r w:rsidRPr="00B61255">
        <w:rPr>
          <w:lang w:eastAsia="en-US"/>
        </w:rPr>
        <w:t>.</w:t>
      </w:r>
    </w:p>
    <w:p w14:paraId="6479ACB3" w14:textId="77777777" w:rsidR="00386D81" w:rsidRPr="00B61255" w:rsidRDefault="00386D81" w:rsidP="00386D81">
      <w:pPr>
        <w:rPr>
          <w:lang w:eastAsia="en-US"/>
        </w:rPr>
      </w:pPr>
    </w:p>
    <w:p w14:paraId="2AE34D6F" w14:textId="77777777" w:rsidR="00386D81" w:rsidRPr="00B61255" w:rsidRDefault="00386D81" w:rsidP="00386D81">
      <w:pPr>
        <w:rPr>
          <w:lang w:eastAsia="en-US"/>
        </w:rPr>
      </w:pPr>
      <w:r w:rsidRPr="00B61255">
        <w:rPr>
          <w:lang w:eastAsia="en-US"/>
        </w:rPr>
        <w:lastRenderedPageBreak/>
        <w:t xml:space="preserve">If </w:t>
      </w:r>
      <w:r>
        <w:rPr>
          <w:lang w:eastAsia="en-US"/>
        </w:rPr>
        <w:t xml:space="preserve">a </w:t>
      </w:r>
      <w:r w:rsidRPr="00B61255">
        <w:rPr>
          <w:lang w:eastAsia="en-US"/>
        </w:rPr>
        <w:t xml:space="preserve">type 1 or 3 virus is detected, the situation will be monitored using existing surveillance to exclude ongoing excretion by someone who is immunosuppressed (iVDPV). </w:t>
      </w:r>
    </w:p>
    <w:p w14:paraId="6D1E5F35" w14:textId="77777777" w:rsidR="00386D81" w:rsidRDefault="00386D81" w:rsidP="00386D81">
      <w:pPr>
        <w:rPr>
          <w:lang w:eastAsia="en-US"/>
        </w:rPr>
      </w:pPr>
    </w:p>
    <w:p w14:paraId="413763D3" w14:textId="340F9500" w:rsidR="00386D81" w:rsidRPr="00B61255" w:rsidRDefault="00386D81" w:rsidP="00184D75">
      <w:pPr>
        <w:rPr>
          <w:lang w:eastAsia="en-US"/>
        </w:rPr>
      </w:pPr>
      <w:r w:rsidRPr="00B61255">
        <w:rPr>
          <w:lang w:eastAsia="en-US"/>
        </w:rPr>
        <w:t>If there are ongoing detections, potential actions would be to identify this person</w:t>
      </w:r>
      <w:r>
        <w:rPr>
          <w:lang w:eastAsia="en-US"/>
        </w:rPr>
        <w:t>;</w:t>
      </w:r>
      <w:r w:rsidRPr="00B61255">
        <w:rPr>
          <w:lang w:eastAsia="en-US"/>
        </w:rPr>
        <w:t xml:space="preserve"> however</w:t>
      </w:r>
      <w:r>
        <w:rPr>
          <w:lang w:eastAsia="en-US"/>
        </w:rPr>
        <w:t>,</w:t>
      </w:r>
      <w:r w:rsidRPr="00B61255">
        <w:rPr>
          <w:lang w:eastAsia="en-US"/>
        </w:rPr>
        <w:t xml:space="preserve"> this scenario is deemed unlikely.</w:t>
      </w:r>
    </w:p>
    <w:p w14:paraId="069769E2" w14:textId="119325D9" w:rsidR="00386D81" w:rsidRPr="00B61255" w:rsidRDefault="00386D81" w:rsidP="000F2AF2">
      <w:pPr>
        <w:pStyle w:val="Heading3"/>
        <w:rPr>
          <w:lang w:eastAsia="en-US"/>
        </w:rPr>
      </w:pPr>
      <w:bookmarkStart w:id="109" w:name="_Ref146635179"/>
      <w:r w:rsidRPr="00B61255">
        <w:rPr>
          <w:lang w:eastAsia="en-US"/>
        </w:rPr>
        <w:t>Sabin/Sabin-like viruses (type 2)</w:t>
      </w:r>
      <w:bookmarkEnd w:id="109"/>
    </w:p>
    <w:p w14:paraId="79C5C6C2" w14:textId="6536699F" w:rsidR="00386D81" w:rsidRPr="00B61255" w:rsidRDefault="00386D81" w:rsidP="00386D81">
      <w:pPr>
        <w:rPr>
          <w:lang w:eastAsia="en-US"/>
        </w:rPr>
      </w:pPr>
      <w:r w:rsidRPr="00146BCD">
        <w:rPr>
          <w:lang w:eastAsia="en-US"/>
        </w:rPr>
        <w:t xml:space="preserve">As </w:t>
      </w:r>
      <w:r w:rsidRPr="00B62139">
        <w:rPr>
          <w:lang w:eastAsia="en-US"/>
        </w:rPr>
        <w:t xml:space="preserve">novel oral polio vaccine type 2 </w:t>
      </w:r>
      <w:r>
        <w:rPr>
          <w:lang w:eastAsia="en-US"/>
        </w:rPr>
        <w:t>(</w:t>
      </w:r>
      <w:r w:rsidRPr="00146BCD">
        <w:rPr>
          <w:lang w:eastAsia="en-US"/>
        </w:rPr>
        <w:t>nOPV2</w:t>
      </w:r>
      <w:r>
        <w:rPr>
          <w:lang w:eastAsia="en-US"/>
        </w:rPr>
        <w:t>)</w:t>
      </w:r>
      <w:r w:rsidRPr="00146BCD">
        <w:rPr>
          <w:lang w:eastAsia="en-US"/>
        </w:rPr>
        <w:t xml:space="preserve"> is not used in Aotearoa</w:t>
      </w:r>
      <w:r>
        <w:rPr>
          <w:lang w:eastAsia="en-US"/>
        </w:rPr>
        <w:t>,</w:t>
      </w:r>
      <w:r w:rsidRPr="00146BCD">
        <w:rPr>
          <w:lang w:eastAsia="en-US"/>
        </w:rPr>
        <w:t xml:space="preserve"> </w:t>
      </w:r>
      <w:r>
        <w:rPr>
          <w:lang w:eastAsia="en-US"/>
        </w:rPr>
        <w:t>a</w:t>
      </w:r>
      <w:r w:rsidRPr="00B61255">
        <w:rPr>
          <w:lang w:eastAsia="en-US"/>
        </w:rPr>
        <w:t xml:space="preserve">ny detection of Sabin-like type 2 poliovirus in Aotearoa must be reported to the WHO under </w:t>
      </w:r>
      <w:r>
        <w:rPr>
          <w:lang w:eastAsia="en-US"/>
        </w:rPr>
        <w:t xml:space="preserve">the </w:t>
      </w:r>
      <w:r w:rsidRPr="00B61255">
        <w:rPr>
          <w:lang w:eastAsia="en-US"/>
        </w:rPr>
        <w:t>IHR. International guidance states that investigation of Sabin-like type 2</w:t>
      </w:r>
      <w:r>
        <w:rPr>
          <w:lang w:eastAsia="en-US"/>
        </w:rPr>
        <w:t xml:space="preserve"> </w:t>
      </w:r>
      <w:r w:rsidRPr="00B61255">
        <w:rPr>
          <w:lang w:eastAsia="en-US"/>
        </w:rPr>
        <w:t>poliovirus detection should be initiated within 48 hours, particularly for sources of tOPV.</w:t>
      </w:r>
      <w:r>
        <w:rPr>
          <w:rStyle w:val="FootnoteReference"/>
          <w:lang w:eastAsia="en-US"/>
        </w:rPr>
        <w:footnoteReference w:id="21"/>
      </w:r>
      <w:r w:rsidRPr="00B61255">
        <w:rPr>
          <w:lang w:eastAsia="en-US"/>
        </w:rPr>
        <w:t xml:space="preserve"> </w:t>
      </w:r>
    </w:p>
    <w:p w14:paraId="33670181" w14:textId="0053E7DA" w:rsidR="00386D81" w:rsidRPr="00B61255" w:rsidRDefault="00386D81" w:rsidP="000F2AF2">
      <w:pPr>
        <w:pStyle w:val="Heading3"/>
        <w:rPr>
          <w:lang w:eastAsia="en-US"/>
        </w:rPr>
      </w:pPr>
      <w:r w:rsidRPr="00B61255">
        <w:rPr>
          <w:lang w:eastAsia="en-US"/>
        </w:rPr>
        <w:t>Non-</w:t>
      </w:r>
      <w:r>
        <w:rPr>
          <w:lang w:eastAsia="en-US"/>
        </w:rPr>
        <w:t>S</w:t>
      </w:r>
      <w:r w:rsidRPr="00B61255">
        <w:rPr>
          <w:lang w:eastAsia="en-US"/>
        </w:rPr>
        <w:t xml:space="preserve">abin viruses WPV or VDPV </w:t>
      </w:r>
      <w:r>
        <w:rPr>
          <w:lang w:eastAsia="en-US"/>
        </w:rPr>
        <w:br/>
        <w:t>(</w:t>
      </w:r>
      <w:r w:rsidRPr="00B61255">
        <w:rPr>
          <w:lang w:eastAsia="en-US"/>
        </w:rPr>
        <w:t>type 1, 2 or</w:t>
      </w:r>
      <w:r>
        <w:rPr>
          <w:lang w:eastAsia="en-US"/>
        </w:rPr>
        <w:t> </w:t>
      </w:r>
      <w:r w:rsidRPr="00B61255">
        <w:rPr>
          <w:lang w:eastAsia="en-US"/>
        </w:rPr>
        <w:t>3)</w:t>
      </w:r>
    </w:p>
    <w:p w14:paraId="11B1839D" w14:textId="77777777" w:rsidR="00386D81" w:rsidRPr="00B61255" w:rsidRDefault="00386D81" w:rsidP="00386D81">
      <w:pPr>
        <w:rPr>
          <w:lang w:eastAsia="en-US"/>
        </w:rPr>
      </w:pPr>
      <w:r w:rsidRPr="00B61255">
        <w:rPr>
          <w:lang w:eastAsia="en-US"/>
        </w:rPr>
        <w:t>The response may vary slightly depending on virological and epidemiological features (including if there were any genetically linked isolates found in human samples).</w:t>
      </w:r>
    </w:p>
    <w:p w14:paraId="6212D807" w14:textId="77777777" w:rsidR="00386D81" w:rsidRPr="00B61255" w:rsidRDefault="00386D81" w:rsidP="00386D81">
      <w:pPr>
        <w:rPr>
          <w:lang w:eastAsia="en-US"/>
        </w:rPr>
      </w:pPr>
    </w:p>
    <w:p w14:paraId="07F67504" w14:textId="3FFBDFF2" w:rsidR="00386D81" w:rsidRPr="00B61255" w:rsidRDefault="00386D81" w:rsidP="00386D81">
      <w:pPr>
        <w:rPr>
          <w:lang w:eastAsia="en-US"/>
        </w:rPr>
      </w:pPr>
      <w:r w:rsidRPr="00B61255">
        <w:rPr>
          <w:lang w:eastAsia="en-US"/>
        </w:rPr>
        <w:t xml:space="preserve">If a VDPV is detected, the sequencing lab will review the result and compare </w:t>
      </w:r>
      <w:r>
        <w:rPr>
          <w:lang w:eastAsia="en-US"/>
        </w:rPr>
        <w:t xml:space="preserve">it </w:t>
      </w:r>
      <w:r w:rsidRPr="00B61255">
        <w:rPr>
          <w:lang w:eastAsia="en-US"/>
        </w:rPr>
        <w:t xml:space="preserve">with existing strains and determine whether it is a known cVDPV (genetic link to one </w:t>
      </w:r>
      <w:r>
        <w:rPr>
          <w:lang w:eastAsia="en-US"/>
        </w:rPr>
        <w:t>or</w:t>
      </w:r>
      <w:r w:rsidRPr="00B61255">
        <w:rPr>
          <w:lang w:eastAsia="en-US"/>
        </w:rPr>
        <w:t xml:space="preserve"> more known current </w:t>
      </w:r>
      <w:r>
        <w:rPr>
          <w:lang w:eastAsia="en-US"/>
        </w:rPr>
        <w:t>or</w:t>
      </w:r>
      <w:r w:rsidRPr="00B61255">
        <w:rPr>
          <w:lang w:eastAsia="en-US"/>
        </w:rPr>
        <w:t xml:space="preserve"> historic</w:t>
      </w:r>
      <w:r>
        <w:rPr>
          <w:lang w:eastAsia="en-US"/>
        </w:rPr>
        <w:t>al</w:t>
      </w:r>
      <w:r w:rsidRPr="00B61255">
        <w:rPr>
          <w:lang w:eastAsia="en-US"/>
        </w:rPr>
        <w:t xml:space="preserve"> cVDPV</w:t>
      </w:r>
      <w:r>
        <w:rPr>
          <w:lang w:eastAsia="en-US"/>
        </w:rPr>
        <w:t>s</w:t>
      </w:r>
      <w:r w:rsidRPr="00B61255">
        <w:rPr>
          <w:lang w:eastAsia="en-US"/>
        </w:rPr>
        <w:t>), a new cVDPV (genetic link to a previously detected aVDPV), or new VDPV (newly detected VDPV, without known genetically linked previous VDPV).</w:t>
      </w:r>
    </w:p>
    <w:p w14:paraId="14F3C038" w14:textId="77777777" w:rsidR="00386D81" w:rsidRDefault="00386D81" w:rsidP="00386D81">
      <w:pPr>
        <w:rPr>
          <w:lang w:eastAsia="en-US"/>
        </w:rPr>
      </w:pPr>
    </w:p>
    <w:p w14:paraId="6621ECCC" w14:textId="77777777" w:rsidR="00386D81" w:rsidRPr="00B61255" w:rsidRDefault="00386D81" w:rsidP="00184D75">
      <w:pPr>
        <w:rPr>
          <w:lang w:eastAsia="en-US"/>
        </w:rPr>
      </w:pPr>
      <w:r w:rsidRPr="00B61255">
        <w:rPr>
          <w:lang w:eastAsia="en-US"/>
        </w:rPr>
        <w:t>Detection of a new or known cVDPV would trigger an immediate response.</w:t>
      </w:r>
    </w:p>
    <w:p w14:paraId="3E8640C0" w14:textId="77777777" w:rsidR="00386D81" w:rsidRPr="00B61255" w:rsidRDefault="00386D81" w:rsidP="00386D81">
      <w:pPr>
        <w:rPr>
          <w:lang w:eastAsia="en-US"/>
        </w:rPr>
      </w:pPr>
    </w:p>
    <w:p w14:paraId="3F6EDC25" w14:textId="77777777" w:rsidR="00386D81" w:rsidRDefault="00386D81" w:rsidP="00386D81">
      <w:pPr>
        <w:rPr>
          <w:lang w:eastAsia="en-US"/>
        </w:rPr>
      </w:pPr>
      <w:r w:rsidRPr="00B61255">
        <w:rPr>
          <w:lang w:eastAsia="en-US"/>
        </w:rPr>
        <w:t>Detection of a new VDPV would require a detailed field investigation</w:t>
      </w:r>
      <w:r>
        <w:rPr>
          <w:lang w:eastAsia="en-US"/>
        </w:rPr>
        <w:t>,</w:t>
      </w:r>
      <w:r w:rsidRPr="00B61255">
        <w:rPr>
          <w:lang w:eastAsia="en-US"/>
        </w:rPr>
        <w:t xml:space="preserve"> including</w:t>
      </w:r>
      <w:r>
        <w:rPr>
          <w:lang w:eastAsia="en-US"/>
        </w:rPr>
        <w:t>:</w:t>
      </w:r>
    </w:p>
    <w:p w14:paraId="1B003B7B" w14:textId="3CCB2AB8" w:rsidR="00386D81" w:rsidRDefault="00386D81" w:rsidP="00184D75">
      <w:pPr>
        <w:pStyle w:val="Bullet"/>
        <w:rPr>
          <w:lang w:eastAsia="en-US"/>
        </w:rPr>
      </w:pPr>
      <w:r w:rsidRPr="00B61255">
        <w:rPr>
          <w:lang w:eastAsia="en-US"/>
        </w:rPr>
        <w:t>active case finding</w:t>
      </w:r>
    </w:p>
    <w:p w14:paraId="72F68E76" w14:textId="0813C4DF" w:rsidR="00386D81" w:rsidRDefault="00386D81" w:rsidP="00184D75">
      <w:pPr>
        <w:pStyle w:val="Bullet"/>
        <w:rPr>
          <w:lang w:eastAsia="en-US"/>
        </w:rPr>
      </w:pPr>
      <w:r w:rsidRPr="00B61255">
        <w:rPr>
          <w:lang w:eastAsia="en-US"/>
        </w:rPr>
        <w:t xml:space="preserve">enhanced </w:t>
      </w:r>
      <w:r w:rsidRPr="004673DB">
        <w:rPr>
          <w:lang w:eastAsia="en-US"/>
        </w:rPr>
        <w:t>acute flaccid</w:t>
      </w:r>
      <w:r>
        <w:rPr>
          <w:lang w:eastAsia="en-US"/>
        </w:rPr>
        <w:t xml:space="preserve"> paralysis</w:t>
      </w:r>
      <w:r w:rsidRPr="004673DB">
        <w:rPr>
          <w:lang w:eastAsia="en-US"/>
        </w:rPr>
        <w:t xml:space="preserve"> </w:t>
      </w:r>
      <w:r>
        <w:rPr>
          <w:lang w:eastAsia="en-US"/>
        </w:rPr>
        <w:t>(</w:t>
      </w:r>
      <w:r w:rsidRPr="00B61255">
        <w:rPr>
          <w:lang w:eastAsia="en-US"/>
        </w:rPr>
        <w:t>AFP</w:t>
      </w:r>
      <w:r>
        <w:rPr>
          <w:lang w:eastAsia="en-US"/>
        </w:rPr>
        <w:t>)</w:t>
      </w:r>
      <w:r w:rsidRPr="00B61255">
        <w:rPr>
          <w:lang w:eastAsia="en-US"/>
        </w:rPr>
        <w:t xml:space="preserve"> surveillance</w:t>
      </w:r>
    </w:p>
    <w:p w14:paraId="77C42838" w14:textId="79745256" w:rsidR="00386D81" w:rsidRPr="00B61255" w:rsidRDefault="003B30DE" w:rsidP="00184D75">
      <w:pPr>
        <w:pStyle w:val="Bullet"/>
        <w:rPr>
          <w:lang w:eastAsia="en-US"/>
        </w:rPr>
      </w:pPr>
      <w:r>
        <w:rPr>
          <w:lang w:eastAsia="en-US"/>
        </w:rPr>
        <w:t xml:space="preserve">an </w:t>
      </w:r>
      <w:r w:rsidR="00386D81" w:rsidRPr="00B61255">
        <w:rPr>
          <w:lang w:eastAsia="en-US"/>
        </w:rPr>
        <w:t>immunisation coverage survey</w:t>
      </w:r>
      <w:r w:rsidR="00386D81" w:rsidRPr="00B61255">
        <w:rPr>
          <w:rStyle w:val="FootnoteReference"/>
          <w:lang w:eastAsia="en-US"/>
        </w:rPr>
        <w:footnoteReference w:id="22"/>
      </w:r>
      <w:r w:rsidR="00386D81" w:rsidRPr="00B61255">
        <w:rPr>
          <w:lang w:eastAsia="en-US"/>
        </w:rPr>
        <w:t xml:space="preserve"> to determine whether the detection was likely to signify community transmission or shedding from a person with primary immunodeficiency diseases (iVDVP) or an importation event (without detection of community transmission).</w:t>
      </w:r>
    </w:p>
    <w:p w14:paraId="3B47E727" w14:textId="77777777" w:rsidR="00386D81" w:rsidRPr="00B61255" w:rsidRDefault="00386D81" w:rsidP="00386D81">
      <w:pPr>
        <w:rPr>
          <w:lang w:eastAsia="en-US"/>
        </w:rPr>
      </w:pPr>
    </w:p>
    <w:p w14:paraId="507B91EB" w14:textId="6631D62D" w:rsidR="00386D81" w:rsidRPr="00B61255" w:rsidRDefault="00386D81" w:rsidP="00386D81">
      <w:pPr>
        <w:rPr>
          <w:lang w:eastAsia="en-US"/>
        </w:rPr>
      </w:pPr>
      <w:r w:rsidRPr="00B61255">
        <w:rPr>
          <w:lang w:eastAsia="en-US"/>
        </w:rPr>
        <w:t xml:space="preserve">As per section </w:t>
      </w:r>
      <w:r>
        <w:rPr>
          <w:lang w:eastAsia="en-US"/>
        </w:rPr>
        <w:fldChar w:fldCharType="begin"/>
      </w:r>
      <w:r>
        <w:rPr>
          <w:lang w:eastAsia="en-US"/>
        </w:rPr>
        <w:instrText xml:space="preserve"> REF _Ref146639271 \r \h </w:instrText>
      </w:r>
      <w:r>
        <w:rPr>
          <w:lang w:eastAsia="en-US"/>
        </w:rPr>
      </w:r>
      <w:r>
        <w:rPr>
          <w:lang w:eastAsia="en-US"/>
        </w:rPr>
        <w:fldChar w:fldCharType="separate"/>
      </w:r>
      <w:r w:rsidR="009B1F81">
        <w:rPr>
          <w:lang w:eastAsia="en-US"/>
        </w:rPr>
        <w:t>2.3</w:t>
      </w:r>
      <w:r>
        <w:rPr>
          <w:lang w:eastAsia="en-US"/>
        </w:rPr>
        <w:fldChar w:fldCharType="end"/>
      </w:r>
      <w:r>
        <w:rPr>
          <w:lang w:eastAsia="en-US"/>
        </w:rPr>
        <w:t>,</w:t>
      </w:r>
      <w:r w:rsidRPr="00B61255">
        <w:rPr>
          <w:lang w:eastAsia="en-US"/>
        </w:rPr>
        <w:t xml:space="preserve"> the WHO classifies an outbreak as two separate detections from the environment, where separate means the samples were collected from </w:t>
      </w:r>
      <w:r w:rsidRPr="00B61255">
        <w:rPr>
          <w:i/>
          <w:iCs/>
          <w:lang w:eastAsia="en-US"/>
        </w:rPr>
        <w:t xml:space="preserve">two different sites </w:t>
      </w:r>
      <w:r w:rsidRPr="00B61255">
        <w:rPr>
          <w:i/>
          <w:iCs/>
          <w:lang w:eastAsia="en-US"/>
        </w:rPr>
        <w:lastRenderedPageBreak/>
        <w:t>with no overlapping catchment areas</w:t>
      </w:r>
      <w:r w:rsidRPr="00B61255">
        <w:rPr>
          <w:lang w:eastAsia="en-US"/>
        </w:rPr>
        <w:t xml:space="preserve"> </w:t>
      </w:r>
      <w:r w:rsidR="003B30DE">
        <w:rPr>
          <w:lang w:eastAsia="en-US"/>
        </w:rPr>
        <w:t>or</w:t>
      </w:r>
      <w:r w:rsidRPr="00B61255">
        <w:rPr>
          <w:lang w:eastAsia="en-US"/>
        </w:rPr>
        <w:t xml:space="preserve"> from the same site but </w:t>
      </w:r>
      <w:r w:rsidRPr="00B61255">
        <w:rPr>
          <w:i/>
          <w:iCs/>
          <w:lang w:eastAsia="en-US"/>
        </w:rPr>
        <w:t>at least two months apart</w:t>
      </w:r>
      <w:r w:rsidRPr="00B61255">
        <w:rPr>
          <w:lang w:eastAsia="en-US"/>
        </w:rPr>
        <w:t xml:space="preserve">, or newly detected cVDPV, whether in a human or environmental sample. </w:t>
      </w:r>
    </w:p>
    <w:p w14:paraId="2F99BA8A" w14:textId="77777777" w:rsidR="00386D81" w:rsidRPr="00B61255" w:rsidRDefault="00386D81" w:rsidP="00386D81">
      <w:pPr>
        <w:rPr>
          <w:lang w:eastAsia="en-US"/>
        </w:rPr>
      </w:pPr>
    </w:p>
    <w:p w14:paraId="379615A0" w14:textId="0F48765A" w:rsidR="00386D81" w:rsidRPr="00B61255" w:rsidRDefault="00386D81" w:rsidP="00386D81">
      <w:pPr>
        <w:rPr>
          <w:i/>
          <w:iCs/>
          <w:lang w:eastAsia="en-US"/>
        </w:rPr>
      </w:pPr>
      <w:r w:rsidRPr="00B61255">
        <w:rPr>
          <w:lang w:eastAsia="en-US"/>
        </w:rPr>
        <w:t>Although the WHO states that an outbreak is two separate detections, considering the delays in identifying the VDPV sequence (</w:t>
      </w:r>
      <w:r>
        <w:rPr>
          <w:lang w:eastAsia="en-US"/>
        </w:rPr>
        <w:t>eg,</w:t>
      </w:r>
      <w:r w:rsidRPr="00B61255">
        <w:rPr>
          <w:lang w:eastAsia="en-US"/>
        </w:rPr>
        <w:t xml:space="preserve"> iVDPV) alongside our low immunisation rates,</w:t>
      </w:r>
      <w:r w:rsidRPr="00B61255">
        <w:t xml:space="preserve"> we would consider any detection of poliovirus in wastewater (excluding detection of Sabin-like viruses) as a potential threat and would take a </w:t>
      </w:r>
      <w:r w:rsidRPr="00B61255">
        <w:rPr>
          <w:lang w:eastAsia="en-US"/>
        </w:rPr>
        <w:t>precautionary approach that can be scaled back if appropriate. This precautionary approach is also warranted as</w:t>
      </w:r>
      <w:r>
        <w:rPr>
          <w:lang w:eastAsia="en-US"/>
        </w:rPr>
        <w:t>,</w:t>
      </w:r>
      <w:r w:rsidRPr="00B61255">
        <w:rPr>
          <w:lang w:eastAsia="en-US"/>
        </w:rPr>
        <w:t xml:space="preserve"> although it is theoretically possible that poliovirus detected through environmental surveillance could come from one individual, this is unlikely</w:t>
      </w:r>
      <w:r>
        <w:rPr>
          <w:lang w:eastAsia="en-US"/>
        </w:rPr>
        <w:t>.</w:t>
      </w:r>
      <w:r w:rsidRPr="00B61255">
        <w:rPr>
          <w:rStyle w:val="FootnoteReference"/>
          <w:lang w:eastAsia="en-US"/>
        </w:rPr>
        <w:footnoteReference w:id="23"/>
      </w:r>
      <w:r w:rsidRPr="00B61255">
        <w:rPr>
          <w:lang w:eastAsia="en-US"/>
        </w:rPr>
        <w:t xml:space="preserve"> Our approach to this situation would involve urgent assembling of a response team, public health investigation and risk assessment. This may also include enhanced surveillance mechanisms and/or active case finding to look for evidence of local circulation, and prompt scaling up of vaccination efforts. </w:t>
      </w:r>
    </w:p>
    <w:p w14:paraId="0DAEC8B9" w14:textId="77777777" w:rsidR="00386D81" w:rsidRPr="00B61255" w:rsidRDefault="00386D81" w:rsidP="000F2AF2">
      <w:pPr>
        <w:pStyle w:val="Heading4"/>
      </w:pPr>
      <w:r w:rsidRPr="00B61255">
        <w:t>Intermittent/once-off detection vs sustained detection</w:t>
      </w:r>
    </w:p>
    <w:p w14:paraId="055719B5" w14:textId="6986C204" w:rsidR="00386D81" w:rsidRPr="00B61255" w:rsidRDefault="00386D81" w:rsidP="00386D81">
      <w:pPr>
        <w:rPr>
          <w:lang w:eastAsia="en-US"/>
        </w:rPr>
      </w:pPr>
      <w:r w:rsidRPr="00B61255">
        <w:rPr>
          <w:lang w:eastAsia="en-US"/>
        </w:rPr>
        <w:t xml:space="preserve">If there was detection of </w:t>
      </w:r>
      <w:r>
        <w:rPr>
          <w:lang w:eastAsia="en-US"/>
        </w:rPr>
        <w:t xml:space="preserve">WPV </w:t>
      </w:r>
      <w:r w:rsidRPr="00B61255">
        <w:rPr>
          <w:lang w:eastAsia="en-US"/>
        </w:rPr>
        <w:t xml:space="preserve">or </w:t>
      </w:r>
      <w:r>
        <w:rPr>
          <w:lang w:eastAsia="en-US"/>
        </w:rPr>
        <w:t xml:space="preserve">VDPV </w:t>
      </w:r>
      <w:r w:rsidRPr="00B61255">
        <w:rPr>
          <w:lang w:eastAsia="en-US"/>
        </w:rPr>
        <w:t xml:space="preserve">from an environmental sample, it is important to try and determine whether this represents recent importation of the virus or poliovirus circulation in the community. </w:t>
      </w:r>
    </w:p>
    <w:p w14:paraId="7981E694" w14:textId="77777777" w:rsidR="00386D81" w:rsidRPr="00B61255" w:rsidRDefault="00386D81" w:rsidP="00386D81">
      <w:pPr>
        <w:rPr>
          <w:lang w:eastAsia="en-US"/>
        </w:rPr>
      </w:pPr>
    </w:p>
    <w:p w14:paraId="0777B3F4" w14:textId="7570AD44" w:rsidR="00386D81" w:rsidRPr="00B61255" w:rsidRDefault="00386D81" w:rsidP="00386D81">
      <w:pPr>
        <w:rPr>
          <w:lang w:eastAsia="en-US"/>
        </w:rPr>
      </w:pPr>
      <w:r w:rsidRPr="00B61255">
        <w:rPr>
          <w:b/>
          <w:bCs/>
          <w:lang w:eastAsia="en-US"/>
        </w:rPr>
        <w:t>Sustained detection of vaccine</w:t>
      </w:r>
      <w:r>
        <w:rPr>
          <w:b/>
          <w:bCs/>
          <w:lang w:eastAsia="en-US"/>
        </w:rPr>
        <w:t>-</w:t>
      </w:r>
      <w:r w:rsidRPr="00B61255">
        <w:rPr>
          <w:b/>
          <w:bCs/>
          <w:lang w:eastAsia="en-US"/>
        </w:rPr>
        <w:t>derived strain</w:t>
      </w:r>
      <w:r w:rsidRPr="00B61255">
        <w:rPr>
          <w:lang w:eastAsia="en-US"/>
        </w:rPr>
        <w:t xml:space="preserve"> is more likely to suggest poliovirus circulation in the community.</w:t>
      </w:r>
      <w:r w:rsidRPr="00B61255">
        <w:t xml:space="preserve"> </w:t>
      </w:r>
      <w:r w:rsidR="00C31B1B">
        <w:rPr>
          <w:lang w:eastAsia="en-US"/>
        </w:rPr>
        <w:t>A</w:t>
      </w:r>
      <w:r w:rsidRPr="00B61255">
        <w:rPr>
          <w:lang w:eastAsia="en-US"/>
        </w:rPr>
        <w:t xml:space="preserve">ccording to WHO estimates, the maximum sample sensitivity of environmental surveillance </w:t>
      </w:r>
      <w:r w:rsidR="00C31B1B">
        <w:rPr>
          <w:lang w:eastAsia="en-US"/>
        </w:rPr>
        <w:t>is</w:t>
      </w:r>
      <w:r w:rsidR="00C31B1B" w:rsidRPr="00B61255">
        <w:rPr>
          <w:lang w:eastAsia="en-US"/>
        </w:rPr>
        <w:t xml:space="preserve"> </w:t>
      </w:r>
      <w:r w:rsidRPr="00B61255">
        <w:rPr>
          <w:lang w:eastAsia="en-US"/>
        </w:rPr>
        <w:t xml:space="preserve">detection of one individual infection with poliovirus among 10,000 uninfected individuals, suggesting that repeated detections in the same site are likely to indicate that there is virus circulating in the community. However, this should be evaluated based on timing and location of detection (with WHO outbreak criteria specifying detection of WPV or cVDPV in a time period </w:t>
      </w:r>
      <w:r w:rsidRPr="00B61255">
        <w:rPr>
          <w:i/>
          <w:iCs/>
          <w:lang w:eastAsia="en-US"/>
        </w:rPr>
        <w:t xml:space="preserve">&gt;2 months in the same location </w:t>
      </w:r>
      <w:r w:rsidRPr="00B61255">
        <w:rPr>
          <w:lang w:eastAsia="en-US"/>
        </w:rPr>
        <w:t xml:space="preserve">or in </w:t>
      </w:r>
      <w:r w:rsidRPr="00B61255">
        <w:rPr>
          <w:i/>
          <w:iCs/>
          <w:lang w:eastAsia="en-US"/>
        </w:rPr>
        <w:t>two separate locations</w:t>
      </w:r>
      <w:r w:rsidRPr="00B61255">
        <w:rPr>
          <w:lang w:eastAsia="en-US"/>
        </w:rPr>
        <w:t xml:space="preserve">) as well as associated </w:t>
      </w:r>
      <w:r w:rsidRPr="00B61255">
        <w:rPr>
          <w:b/>
          <w:bCs/>
          <w:lang w:eastAsia="en-US"/>
        </w:rPr>
        <w:t>virological</w:t>
      </w:r>
      <w:r w:rsidRPr="00B61255">
        <w:rPr>
          <w:lang w:eastAsia="en-US"/>
        </w:rPr>
        <w:t xml:space="preserve"> and </w:t>
      </w:r>
      <w:r w:rsidRPr="00B61255">
        <w:rPr>
          <w:b/>
          <w:bCs/>
          <w:lang w:eastAsia="en-US"/>
        </w:rPr>
        <w:t>epidemiological</w:t>
      </w:r>
      <w:r w:rsidRPr="00B61255">
        <w:rPr>
          <w:lang w:eastAsia="en-US"/>
        </w:rPr>
        <w:t xml:space="preserve"> information. </w:t>
      </w:r>
      <w:r>
        <w:rPr>
          <w:lang w:eastAsia="en-US"/>
        </w:rPr>
        <w:fldChar w:fldCharType="begin"/>
      </w:r>
      <w:r>
        <w:rPr>
          <w:lang w:eastAsia="en-US"/>
        </w:rPr>
        <w:instrText xml:space="preserve"> REF _Ref146541433 \h </w:instrText>
      </w:r>
      <w:r>
        <w:rPr>
          <w:lang w:eastAsia="en-US"/>
        </w:rPr>
      </w:r>
      <w:r>
        <w:rPr>
          <w:lang w:eastAsia="en-US"/>
        </w:rPr>
        <w:fldChar w:fldCharType="separate"/>
      </w:r>
      <w:r w:rsidR="009B1F81" w:rsidRPr="00B61255">
        <w:t xml:space="preserve">Figure </w:t>
      </w:r>
      <w:r w:rsidR="009B1F81">
        <w:rPr>
          <w:noProof/>
        </w:rPr>
        <w:t>2</w:t>
      </w:r>
      <w:r>
        <w:rPr>
          <w:lang w:eastAsia="en-US"/>
        </w:rPr>
        <w:fldChar w:fldCharType="end"/>
      </w:r>
      <w:r>
        <w:rPr>
          <w:lang w:eastAsia="en-US"/>
        </w:rPr>
        <w:t xml:space="preserve"> </w:t>
      </w:r>
      <w:r w:rsidRPr="00B61255">
        <w:rPr>
          <w:lang w:eastAsia="en-US"/>
        </w:rPr>
        <w:t xml:space="preserve">shows steps in assessing risk in the case of detection in </w:t>
      </w:r>
      <w:r>
        <w:rPr>
          <w:lang w:eastAsia="en-US"/>
        </w:rPr>
        <w:t>wastewater</w:t>
      </w:r>
      <w:r w:rsidRPr="00B61255">
        <w:rPr>
          <w:lang w:eastAsia="en-US"/>
        </w:rPr>
        <w:t xml:space="preserve">. </w:t>
      </w:r>
    </w:p>
    <w:p w14:paraId="163F589B" w14:textId="77777777" w:rsidR="00386D81" w:rsidRPr="00B61255" w:rsidRDefault="00386D81" w:rsidP="000F2AF2">
      <w:pPr>
        <w:pStyle w:val="Heading4"/>
        <w:rPr>
          <w:lang w:eastAsia="en-US"/>
        </w:rPr>
      </w:pPr>
      <w:r w:rsidRPr="00B61255">
        <w:rPr>
          <w:lang w:eastAsia="en-US"/>
        </w:rPr>
        <w:t>Determination of community spread</w:t>
      </w:r>
    </w:p>
    <w:p w14:paraId="132D09EC" w14:textId="77777777" w:rsidR="00386D81" w:rsidRDefault="00386D81" w:rsidP="00386D81">
      <w:r w:rsidRPr="00B61255">
        <w:rPr>
          <w:lang w:eastAsia="en-US"/>
        </w:rPr>
        <w:t>To determine whether there is community spread of polio</w:t>
      </w:r>
      <w:r w:rsidRPr="00B61255">
        <w:t xml:space="preserve"> </w:t>
      </w:r>
      <w:r w:rsidRPr="00B61255">
        <w:rPr>
          <w:lang w:eastAsia="en-US"/>
        </w:rPr>
        <w:t>versus evidence of an imported case or shedding following OPV vaccination in an immunocompromised person, in addition to the virological testing and sequencing described above, further epidemiological investigation is required</w:t>
      </w:r>
      <w:r>
        <w:rPr>
          <w:lang w:eastAsia="en-US"/>
        </w:rPr>
        <w:t>,</w:t>
      </w:r>
      <w:r w:rsidRPr="00B61255">
        <w:rPr>
          <w:lang w:eastAsia="en-US"/>
        </w:rPr>
        <w:t xml:space="preserve"> including</w:t>
      </w:r>
      <w:r>
        <w:rPr>
          <w:lang w:eastAsia="en-US"/>
        </w:rPr>
        <w:t xml:space="preserve"> </w:t>
      </w:r>
      <w:r w:rsidRPr="00B61255">
        <w:t>active case finding and enhanced surveillance for AFP cases in the area and collection of stool specimens from healthy persons in the community. Efforts to rule out local circulation should be particularly intense if sequencing of the index VDPV isolate is consistent with prolonged independent replication.</w:t>
      </w:r>
    </w:p>
    <w:p w14:paraId="3FE3E837" w14:textId="77777777" w:rsidR="001A0C63" w:rsidRDefault="001A0C63" w:rsidP="00386D81"/>
    <w:p w14:paraId="1986D54C" w14:textId="77777777" w:rsidR="001A0C63" w:rsidRDefault="001A0C63" w:rsidP="00386D81"/>
    <w:p w14:paraId="1736F84B" w14:textId="77777777" w:rsidR="001A0C63" w:rsidRPr="00B61255" w:rsidRDefault="001A0C63" w:rsidP="00386D81">
      <w:pPr>
        <w:sectPr w:rsidR="001A0C63" w:rsidRPr="00B61255" w:rsidSect="00E82951">
          <w:footerReference w:type="even" r:id="rId30"/>
          <w:footerReference w:type="default" r:id="rId31"/>
          <w:pgSz w:w="11907" w:h="16834" w:code="9"/>
          <w:pgMar w:top="1418" w:right="1701" w:bottom="1134" w:left="1843" w:header="284" w:footer="425" w:gutter="284"/>
          <w:cols w:space="720"/>
        </w:sectPr>
      </w:pPr>
    </w:p>
    <w:p w14:paraId="5B7B87AF" w14:textId="1597517E" w:rsidR="00386D81" w:rsidRDefault="001A0C63" w:rsidP="001A0C63">
      <w:pPr>
        <w:pStyle w:val="Figure"/>
      </w:pPr>
      <w:bookmarkStart w:id="110" w:name="_Ref146541433"/>
      <w:bookmarkStart w:id="111" w:name="_Toc146541449"/>
      <w:bookmarkStart w:id="112" w:name="_Toc147153732"/>
      <w:r>
        <w:rPr>
          <w:noProof/>
        </w:rPr>
        <w:lastRenderedPageBreak/>
        <w:drawing>
          <wp:anchor distT="0" distB="0" distL="114300" distR="114300" simplePos="0" relativeHeight="251658240" behindDoc="1" locked="0" layoutInCell="1" allowOverlap="1" wp14:anchorId="6CA1CB70" wp14:editId="520566B5">
            <wp:simplePos x="0" y="0"/>
            <wp:positionH relativeFrom="column">
              <wp:posOffset>-423</wp:posOffset>
            </wp:positionH>
            <wp:positionV relativeFrom="page">
              <wp:posOffset>846666</wp:posOffset>
            </wp:positionV>
            <wp:extent cx="8390466" cy="5891013"/>
            <wp:effectExtent l="0" t="0" r="0" b="0"/>
            <wp:wrapNone/>
            <wp:docPr id="1133676778" name="Picture 1" descr="Poliovirus wastewater surveillance - process and approximate timef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676778" name="Picture 1" descr="Poliovirus wastewater surveillance - process and approximate timefram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397610" cy="58960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6D81" w:rsidRPr="00B61255">
        <w:t xml:space="preserve">Figure </w:t>
      </w:r>
      <w:fldSimple w:instr=" SEQ Figure \* ARABIC ">
        <w:r w:rsidR="009B1F81">
          <w:rPr>
            <w:noProof/>
          </w:rPr>
          <w:t>2</w:t>
        </w:r>
      </w:fldSimple>
      <w:bookmarkEnd w:id="110"/>
      <w:r w:rsidR="00386D81">
        <w:t>:</w:t>
      </w:r>
      <w:r w:rsidR="00386D81" w:rsidRPr="00B61255">
        <w:t xml:space="preserve"> Poliovirus characterisation and risk guidance</w:t>
      </w:r>
      <w:bookmarkEnd w:id="111"/>
      <w:bookmarkEnd w:id="112"/>
    </w:p>
    <w:p w14:paraId="2D11229C" w14:textId="77777777" w:rsidR="00386D81" w:rsidRPr="00B61255" w:rsidRDefault="00386D81" w:rsidP="00386D81">
      <w:pPr>
        <w:sectPr w:rsidR="00386D81" w:rsidRPr="00B61255" w:rsidSect="001A0C63">
          <w:footerReference w:type="even" r:id="rId33"/>
          <w:footerReference w:type="default" r:id="rId34"/>
          <w:pgSz w:w="16834" w:h="11907" w:orient="landscape" w:code="9"/>
          <w:pgMar w:top="426" w:right="1418" w:bottom="1701" w:left="1134" w:header="284" w:footer="425" w:gutter="284"/>
          <w:cols w:space="720"/>
          <w:docGrid w:linePitch="286"/>
        </w:sectPr>
      </w:pPr>
    </w:p>
    <w:p w14:paraId="056992F1" w14:textId="77777777" w:rsidR="00386D81" w:rsidRPr="00B61255" w:rsidRDefault="00386D81" w:rsidP="000F2AF2">
      <w:pPr>
        <w:pStyle w:val="Heading3"/>
      </w:pPr>
      <w:bookmarkStart w:id="113" w:name="_Ref147147221"/>
      <w:r w:rsidRPr="00B61255">
        <w:lastRenderedPageBreak/>
        <w:t>Community context</w:t>
      </w:r>
      <w:bookmarkEnd w:id="113"/>
    </w:p>
    <w:p w14:paraId="3E36D9FA" w14:textId="77777777" w:rsidR="00386D81" w:rsidRPr="00B61255" w:rsidRDefault="00386D81" w:rsidP="00386D81">
      <w:r w:rsidRPr="00B61255">
        <w:t>The context of the community where poliovirus is detected in wastewater is critical for informing our response. Key information that may help guide our response will include:</w:t>
      </w:r>
    </w:p>
    <w:p w14:paraId="59552F06" w14:textId="42991380" w:rsidR="00386D81" w:rsidRPr="00B61255" w:rsidRDefault="000F058B" w:rsidP="00386D81">
      <w:pPr>
        <w:pStyle w:val="Bullet"/>
      </w:pPr>
      <w:r>
        <w:t xml:space="preserve">the </w:t>
      </w:r>
      <w:r w:rsidR="00386D81">
        <w:t>s</w:t>
      </w:r>
      <w:r w:rsidR="00386D81" w:rsidRPr="00B61255">
        <w:t>ociodemographic and epidemiological profile</w:t>
      </w:r>
      <w:r w:rsidR="00386D81">
        <w:t>,</w:t>
      </w:r>
      <w:r w:rsidR="00386D81" w:rsidRPr="00B61255">
        <w:t xml:space="preserve"> including ethnicity, socio</w:t>
      </w:r>
      <w:r w:rsidR="00386D81">
        <w:t>-</w:t>
      </w:r>
      <w:r w:rsidR="00386D81" w:rsidRPr="00B61255">
        <w:t>economic status and prevalence of disability and diseases such as diabetes</w:t>
      </w:r>
    </w:p>
    <w:p w14:paraId="33F9E5E7" w14:textId="33235742" w:rsidR="00386D81" w:rsidRPr="00B61255" w:rsidRDefault="00386D81" w:rsidP="00386D81">
      <w:pPr>
        <w:pStyle w:val="Bullet"/>
      </w:pPr>
      <w:r>
        <w:t>i</w:t>
      </w:r>
      <w:r w:rsidRPr="00B61255">
        <w:t>wi and hapū</w:t>
      </w:r>
      <w:r w:rsidR="005748F9">
        <w:t xml:space="preserve"> associated with the community</w:t>
      </w:r>
      <w:r w:rsidRPr="00B61255">
        <w:t xml:space="preserve">, </w:t>
      </w:r>
      <w:r w:rsidR="005748F9">
        <w:t>including relevant</w:t>
      </w:r>
      <w:r w:rsidRPr="00B61255">
        <w:t xml:space="preserve"> </w:t>
      </w:r>
      <w:r w:rsidRPr="009B51BE">
        <w:t xml:space="preserve">Iwi Māori Partnership Boards </w:t>
      </w:r>
      <w:r>
        <w:t>(</w:t>
      </w:r>
      <w:r w:rsidRPr="00B61255">
        <w:t>IMPBs</w:t>
      </w:r>
      <w:r>
        <w:t>)</w:t>
      </w:r>
    </w:p>
    <w:p w14:paraId="14F597E7" w14:textId="6DD753B8" w:rsidR="00386D81" w:rsidRPr="00B61255" w:rsidRDefault="00386D81" w:rsidP="00386D81">
      <w:pPr>
        <w:pStyle w:val="Bullet"/>
      </w:pPr>
      <w:r w:rsidRPr="00B61255">
        <w:t>health services, and community access to these</w:t>
      </w:r>
    </w:p>
    <w:p w14:paraId="2CD12940" w14:textId="78B3A463" w:rsidR="00386D81" w:rsidRPr="00B61255" w:rsidRDefault="00386D81" w:rsidP="00386D81">
      <w:pPr>
        <w:pStyle w:val="Bullet"/>
      </w:pPr>
      <w:r>
        <w:t>v</w:t>
      </w:r>
      <w:r w:rsidRPr="00B61255">
        <w:t>accination profile</w:t>
      </w:r>
    </w:p>
    <w:p w14:paraId="6F2835CB" w14:textId="265666E4" w:rsidR="00386D81" w:rsidRPr="00B61255" w:rsidRDefault="00386D81" w:rsidP="00386D81">
      <w:pPr>
        <w:pStyle w:val="Bullet"/>
      </w:pPr>
      <w:r w:rsidRPr="00B61255">
        <w:t>high</w:t>
      </w:r>
      <w:r>
        <w:t>-</w:t>
      </w:r>
      <w:r w:rsidRPr="00B61255">
        <w:t>risk settings (</w:t>
      </w:r>
      <w:r>
        <w:t>eg,</w:t>
      </w:r>
      <w:r w:rsidRPr="00B61255">
        <w:t xml:space="preserve"> prisons, aged residential care etc)</w:t>
      </w:r>
    </w:p>
    <w:p w14:paraId="74A499C4" w14:textId="5BB5EF26" w:rsidR="00386D81" w:rsidRPr="00B61255" w:rsidRDefault="00386D81" w:rsidP="00386D81">
      <w:pPr>
        <w:pStyle w:val="Bullet"/>
      </w:pPr>
      <w:r>
        <w:t>r</w:t>
      </w:r>
      <w:r w:rsidRPr="00B61255">
        <w:t>ecent environmental events</w:t>
      </w:r>
    </w:p>
    <w:p w14:paraId="69ABD921" w14:textId="6DA47917" w:rsidR="00386D81" w:rsidRPr="00B61255" w:rsidRDefault="00386D81" w:rsidP="00386D81">
      <w:pPr>
        <w:pStyle w:val="Bullet"/>
      </w:pPr>
      <w:r>
        <w:t>m</w:t>
      </w:r>
      <w:r w:rsidRPr="00B61255">
        <w:t>igration patterns of community</w:t>
      </w:r>
      <w:r>
        <w:t>.</w:t>
      </w:r>
    </w:p>
    <w:p w14:paraId="00B5BA9B" w14:textId="77777777" w:rsidR="00386D81" w:rsidRPr="00B61255" w:rsidRDefault="00386D81" w:rsidP="00386D81"/>
    <w:p w14:paraId="56C48A33" w14:textId="2AF5B0E8" w:rsidR="00386D81" w:rsidRPr="00B61255" w:rsidRDefault="00386D81" w:rsidP="00386D81">
      <w:r w:rsidRPr="00B61255">
        <w:t>There should also be community social mapping, including health behaviours, immun</w:t>
      </w:r>
      <w:r>
        <w:t>is</w:t>
      </w:r>
      <w:r w:rsidRPr="00B61255">
        <w:t>ation practice and barriers, and identification of key stakeholders (including Māori, iwi and hapū as above).</w:t>
      </w:r>
    </w:p>
    <w:p w14:paraId="4CF6A1B7" w14:textId="77777777" w:rsidR="00386D81" w:rsidRPr="00B61255" w:rsidRDefault="00386D81" w:rsidP="000F2AF2">
      <w:pPr>
        <w:pStyle w:val="Heading3"/>
      </w:pPr>
      <w:r w:rsidRPr="00B61255">
        <w:t>Enhanced microbiological surveillance</w:t>
      </w:r>
    </w:p>
    <w:p w14:paraId="2CA6D0F5" w14:textId="77777777" w:rsidR="00386D81" w:rsidRPr="00B61255" w:rsidRDefault="00386D81" w:rsidP="00386D81">
      <w:r w:rsidRPr="00B61255">
        <w:t>In the case of all detections we will consider:</w:t>
      </w:r>
    </w:p>
    <w:p w14:paraId="16AB1AED" w14:textId="257D51F0" w:rsidR="00386D81" w:rsidRPr="00B61255" w:rsidRDefault="00386D81" w:rsidP="00386D81">
      <w:pPr>
        <w:pStyle w:val="Bullet"/>
      </w:pPr>
      <w:r>
        <w:rPr>
          <w:b/>
          <w:bCs/>
        </w:rPr>
        <w:t>e</w:t>
      </w:r>
      <w:r w:rsidRPr="00B61255">
        <w:rPr>
          <w:b/>
          <w:bCs/>
        </w:rPr>
        <w:t>nhancing wastewater surveillance</w:t>
      </w:r>
      <w:r w:rsidRPr="00B61255">
        <w:t xml:space="preserve"> to increase sensitivity and specificity of detection of community transmission. Sample sites and frequency of testing (along with processing) will be reviewed and adjusted as required to evaluate presence in time and area (to be further defined). Retrospective testing by at least direct PCR may be performed </w:t>
      </w:r>
    </w:p>
    <w:p w14:paraId="3D34BA5C" w14:textId="53BD2440" w:rsidR="00386D81" w:rsidRPr="00184D75" w:rsidRDefault="00386D81" w:rsidP="00386D81">
      <w:pPr>
        <w:pStyle w:val="Bullet"/>
      </w:pPr>
      <w:r>
        <w:rPr>
          <w:b/>
          <w:bCs/>
        </w:rPr>
        <w:t>e</w:t>
      </w:r>
      <w:r w:rsidRPr="00D631C5">
        <w:rPr>
          <w:b/>
          <w:bCs/>
        </w:rPr>
        <w:t>nhancing enterovirus/microbiological surveillance</w:t>
      </w:r>
      <w:r>
        <w:rPr>
          <w:b/>
          <w:bCs/>
        </w:rPr>
        <w:t>,</w:t>
      </w:r>
      <w:r w:rsidRPr="00D631C5">
        <w:rPr>
          <w:b/>
          <w:bCs/>
        </w:rPr>
        <w:t xml:space="preserve"> </w:t>
      </w:r>
      <w:r w:rsidRPr="00184D75">
        <w:t>including:</w:t>
      </w:r>
    </w:p>
    <w:p w14:paraId="2ADE211B" w14:textId="07D020FC" w:rsidR="00386D81" w:rsidRPr="00B61255" w:rsidRDefault="00386D81" w:rsidP="00386D81">
      <w:pPr>
        <w:pStyle w:val="Dash"/>
      </w:pPr>
      <w:r>
        <w:t>a</w:t>
      </w:r>
      <w:r w:rsidRPr="00B61255">
        <w:t xml:space="preserve">dding poliovirus testing to microbiological testing of stool specimens sent to laboratory for testing in </w:t>
      </w:r>
      <w:r>
        <w:t xml:space="preserve">the </w:t>
      </w:r>
      <w:r w:rsidRPr="00B61255">
        <w:t xml:space="preserve">community of detection to look for community transmission </w:t>
      </w:r>
    </w:p>
    <w:p w14:paraId="379E90E4" w14:textId="70A0A594" w:rsidR="00386D81" w:rsidRPr="00B61255" w:rsidRDefault="00386D81" w:rsidP="00184D75">
      <w:pPr>
        <w:pStyle w:val="Dash"/>
      </w:pPr>
      <w:r>
        <w:t>e</w:t>
      </w:r>
      <w:r w:rsidRPr="00B61255">
        <w:t xml:space="preserve">nhancing surveillance of aseptic meningitis and other clinical syndromes (when other causes are excluded) </w:t>
      </w:r>
      <w:r>
        <w:t>— for example,</w:t>
      </w:r>
      <w:r w:rsidRPr="00B61255">
        <w:t xml:space="preserve"> testing of </w:t>
      </w:r>
      <w:r w:rsidRPr="0073181F">
        <w:t xml:space="preserve">cerebrospinal fluid </w:t>
      </w:r>
      <w:r>
        <w:t>(</w:t>
      </w:r>
      <w:r w:rsidRPr="00B61255">
        <w:t>CSF</w:t>
      </w:r>
      <w:r>
        <w:t>)</w:t>
      </w:r>
      <w:r w:rsidRPr="00B61255">
        <w:t xml:space="preserve"> for poliovirus and/or systematic stool sampling of all acute neurological illnesses (potential poliovirus</w:t>
      </w:r>
      <w:r>
        <w:t>-</w:t>
      </w:r>
      <w:r w:rsidRPr="00B61255">
        <w:t>related presentations) to look for cases</w:t>
      </w:r>
      <w:r>
        <w:t xml:space="preserve"> (n</w:t>
      </w:r>
      <w:r w:rsidRPr="00B61255">
        <w:t xml:space="preserve">oting that </w:t>
      </w:r>
      <w:r w:rsidRPr="00046C16">
        <w:t>poliovirus</w:t>
      </w:r>
      <w:r w:rsidRPr="00B61255">
        <w:t xml:space="preserve"> detection in </w:t>
      </w:r>
      <w:r w:rsidR="00E3634D">
        <w:t>CSF</w:t>
      </w:r>
      <w:r w:rsidR="00E3634D" w:rsidRPr="00B61255">
        <w:t xml:space="preserve"> </w:t>
      </w:r>
      <w:r w:rsidRPr="00B61255">
        <w:t>is poor, and therefore focusing on stool testing may be preferable</w:t>
      </w:r>
      <w:r>
        <w:t xml:space="preserve"> — s</w:t>
      </w:r>
      <w:r w:rsidRPr="00B61255">
        <w:t xml:space="preserve">ee also section </w:t>
      </w:r>
      <w:r w:rsidR="00D244AA">
        <w:fldChar w:fldCharType="begin"/>
      </w:r>
      <w:r w:rsidR="00D244AA">
        <w:instrText xml:space="preserve"> REF _Ref147143549 \r \h </w:instrText>
      </w:r>
      <w:r w:rsidR="00D244AA">
        <w:fldChar w:fldCharType="separate"/>
      </w:r>
      <w:r w:rsidR="009B1F81">
        <w:t>1.5.1</w:t>
      </w:r>
      <w:r w:rsidR="00D244AA">
        <w:fldChar w:fldCharType="end"/>
      </w:r>
      <w:r w:rsidR="00514B58">
        <w:t xml:space="preserve"> </w:t>
      </w:r>
      <w:r w:rsidRPr="00B61255">
        <w:t>for further details</w:t>
      </w:r>
      <w:r>
        <w:t>)</w:t>
      </w:r>
      <w:r w:rsidRPr="00B61255">
        <w:t>.</w:t>
      </w:r>
    </w:p>
    <w:p w14:paraId="5929575D" w14:textId="5357994E" w:rsidR="00386D81" w:rsidRPr="00B61255" w:rsidRDefault="00386D81" w:rsidP="00386D81">
      <w:pPr>
        <w:pStyle w:val="Bullet"/>
      </w:pPr>
      <w:r>
        <w:rPr>
          <w:b/>
          <w:bCs/>
        </w:rPr>
        <w:t>t</w:t>
      </w:r>
      <w:r w:rsidRPr="00B61255">
        <w:rPr>
          <w:b/>
          <w:bCs/>
        </w:rPr>
        <w:t>argeted healthy children stool sampling</w:t>
      </w:r>
      <w:r w:rsidRPr="00B61255">
        <w:t xml:space="preserve"> if there is an isolated detection of WPV or VDPV in environmental testing and uncertainty around community transmission (see section</w:t>
      </w:r>
      <w:r w:rsidR="00514B58">
        <w:t xml:space="preserve"> </w:t>
      </w:r>
      <w:r w:rsidR="00514B58">
        <w:fldChar w:fldCharType="begin"/>
      </w:r>
      <w:r w:rsidR="00514B58">
        <w:instrText xml:space="preserve"> REF _Ref147143549 \r \h </w:instrText>
      </w:r>
      <w:r w:rsidR="00514B58">
        <w:fldChar w:fldCharType="separate"/>
      </w:r>
      <w:r w:rsidR="009B1F81">
        <w:t>1.5.1</w:t>
      </w:r>
      <w:r w:rsidR="00514B58">
        <w:fldChar w:fldCharType="end"/>
      </w:r>
      <w:r w:rsidRPr="00B61255">
        <w:t>, noting that this community should be well</w:t>
      </w:r>
      <w:r>
        <w:t xml:space="preserve"> </w:t>
      </w:r>
      <w:r w:rsidRPr="00B61255">
        <w:t>defined. This should only be conducted after confirmation that a VDPV is not genetically linked to another VDPV.</w:t>
      </w:r>
    </w:p>
    <w:p w14:paraId="22097124" w14:textId="12FAFAB5" w:rsidR="00386D81" w:rsidRPr="00B61255" w:rsidRDefault="00386D81" w:rsidP="000F2AF2">
      <w:pPr>
        <w:pStyle w:val="Heading3"/>
      </w:pPr>
      <w:r w:rsidRPr="00B61255">
        <w:lastRenderedPageBreak/>
        <w:t xml:space="preserve">Enhanced AFP </w:t>
      </w:r>
      <w:r>
        <w:t>s</w:t>
      </w:r>
      <w:r w:rsidRPr="00B61255">
        <w:t>urveillance</w:t>
      </w:r>
    </w:p>
    <w:p w14:paraId="5F462A33" w14:textId="6D983245" w:rsidR="00386D81" w:rsidRPr="00B61255" w:rsidRDefault="0068088A" w:rsidP="00184D75">
      <w:r w:rsidRPr="0068088A">
        <w:t>In the case of all</w:t>
      </w:r>
      <w:r>
        <w:t xml:space="preserve"> environmental</w:t>
      </w:r>
      <w:r w:rsidRPr="0068088A">
        <w:t xml:space="preserve"> detections we will conside</w:t>
      </w:r>
      <w:r>
        <w:t>r</w:t>
      </w:r>
      <w:r w:rsidRPr="0068088A">
        <w:t xml:space="preserve"> </w:t>
      </w:r>
      <w:r>
        <w:t>e</w:t>
      </w:r>
      <w:r w:rsidRPr="0068088A">
        <w:t>nhance</w:t>
      </w:r>
      <w:r>
        <w:t>d</w:t>
      </w:r>
      <w:r w:rsidRPr="0068088A">
        <w:t xml:space="preserve"> clinical surveillance/active</w:t>
      </w:r>
      <w:r>
        <w:t xml:space="preserve"> </w:t>
      </w:r>
      <w:r w:rsidRPr="0068088A">
        <w:t>case finding to increase the proportion of cases reported and timeliness of reporting</w:t>
      </w:r>
      <w:r>
        <w:t xml:space="preserve"> through:</w:t>
      </w:r>
    </w:p>
    <w:p w14:paraId="686853F1" w14:textId="46BAC422" w:rsidR="00386D81" w:rsidRPr="00B61255" w:rsidRDefault="00386D81" w:rsidP="00184D75">
      <w:pPr>
        <w:pStyle w:val="Bullet"/>
      </w:pPr>
      <w:r w:rsidRPr="00B61255">
        <w:t>communications to clinicians</w:t>
      </w:r>
    </w:p>
    <w:p w14:paraId="056942A9" w14:textId="6C5DDB8A" w:rsidR="00386D81" w:rsidRPr="00B61255" w:rsidRDefault="00386D81" w:rsidP="00184D75">
      <w:pPr>
        <w:pStyle w:val="Bullet"/>
      </w:pPr>
      <w:r w:rsidRPr="00B61255">
        <w:t>hospital admission surveillance</w:t>
      </w:r>
      <w:r>
        <w:t xml:space="preserve"> (</w:t>
      </w:r>
      <w:r w:rsidRPr="00B61255">
        <w:t>retrospective case searches/6-month record reviews for undetected/unreported AFP cases, and investigat</w:t>
      </w:r>
      <w:r>
        <w:t>ing</w:t>
      </w:r>
      <w:r w:rsidRPr="00B61255">
        <w:t xml:space="preserve"> unreported AFP cases</w:t>
      </w:r>
      <w:r>
        <w:t>)</w:t>
      </w:r>
    </w:p>
    <w:p w14:paraId="322EF568" w14:textId="67BC256E" w:rsidR="00386D81" w:rsidRPr="0068088A" w:rsidRDefault="00386D81" w:rsidP="00184D75">
      <w:pPr>
        <w:pStyle w:val="Bullet"/>
      </w:pPr>
      <w:r w:rsidRPr="0068088A">
        <w:t>community outreach and sensitisation</w:t>
      </w:r>
    </w:p>
    <w:p w14:paraId="4E897078" w14:textId="77777777" w:rsidR="00386D81" w:rsidRPr="0068088A" w:rsidRDefault="00386D81" w:rsidP="00184D75">
      <w:pPr>
        <w:pStyle w:val="Bullet"/>
      </w:pPr>
      <w:r w:rsidRPr="0068088A">
        <w:t>expanding AFP surveillance to include adults</w:t>
      </w:r>
    </w:p>
    <w:p w14:paraId="09AC95B2" w14:textId="37F4E72B" w:rsidR="00386D81" w:rsidRPr="0068088A" w:rsidRDefault="00386D81" w:rsidP="00184D75">
      <w:pPr>
        <w:pStyle w:val="Bullet"/>
      </w:pPr>
      <w:r w:rsidRPr="0068088A">
        <w:t>legal instruments to improve surveillance (ie, making AFP notifiable).</w:t>
      </w:r>
    </w:p>
    <w:p w14:paraId="3CF788EF" w14:textId="77777777" w:rsidR="00386D81" w:rsidRDefault="00386D81" w:rsidP="00386D81">
      <w:pPr>
        <w:rPr>
          <w:szCs w:val="21"/>
        </w:rPr>
      </w:pPr>
    </w:p>
    <w:p w14:paraId="7F4D064C" w14:textId="5AABADB7" w:rsidR="00386D81" w:rsidRPr="00B61255" w:rsidRDefault="00386D81" w:rsidP="00184D75">
      <w:pPr>
        <w:rPr>
          <w:szCs w:val="21"/>
        </w:rPr>
      </w:pPr>
      <w:r w:rsidRPr="00B61255">
        <w:rPr>
          <w:szCs w:val="21"/>
        </w:rPr>
        <w:t xml:space="preserve">See </w:t>
      </w:r>
      <w:r w:rsidRPr="00184D75">
        <w:rPr>
          <w:szCs w:val="21"/>
        </w:rPr>
        <w:t xml:space="preserve">section </w:t>
      </w:r>
      <w:r w:rsidR="00FF32D3">
        <w:rPr>
          <w:szCs w:val="21"/>
        </w:rPr>
        <w:fldChar w:fldCharType="begin"/>
      </w:r>
      <w:r w:rsidR="00FF32D3">
        <w:rPr>
          <w:szCs w:val="21"/>
        </w:rPr>
        <w:instrText xml:space="preserve"> REF _Ref147146718 \r \h </w:instrText>
      </w:r>
      <w:r w:rsidR="00FF32D3">
        <w:rPr>
          <w:szCs w:val="21"/>
        </w:rPr>
      </w:r>
      <w:r w:rsidR="00FF32D3">
        <w:rPr>
          <w:szCs w:val="21"/>
        </w:rPr>
        <w:fldChar w:fldCharType="separate"/>
      </w:r>
      <w:r w:rsidR="009B1F81">
        <w:rPr>
          <w:szCs w:val="21"/>
        </w:rPr>
        <w:t>1.5.2</w:t>
      </w:r>
      <w:r w:rsidR="00FF32D3">
        <w:rPr>
          <w:szCs w:val="21"/>
        </w:rPr>
        <w:fldChar w:fldCharType="end"/>
      </w:r>
      <w:r w:rsidR="0068088A">
        <w:rPr>
          <w:szCs w:val="21"/>
        </w:rPr>
        <w:t xml:space="preserve"> </w:t>
      </w:r>
      <w:r w:rsidRPr="00B61255">
        <w:rPr>
          <w:szCs w:val="21"/>
        </w:rPr>
        <w:t>for further details.</w:t>
      </w:r>
    </w:p>
    <w:p w14:paraId="48F78AC5" w14:textId="77777777" w:rsidR="00386D81" w:rsidRPr="00B61255" w:rsidRDefault="00386D81" w:rsidP="000F2AF2">
      <w:pPr>
        <w:pStyle w:val="Heading3"/>
      </w:pPr>
      <w:bookmarkStart w:id="114" w:name="_Ref146789590"/>
      <w:bookmarkStart w:id="115" w:name="_Hlk121764006"/>
      <w:r w:rsidRPr="00B61255">
        <w:t>Communications</w:t>
      </w:r>
      <w:bookmarkEnd w:id="114"/>
    </w:p>
    <w:p w14:paraId="5B937677" w14:textId="77777777" w:rsidR="00386D81" w:rsidRPr="00B61255" w:rsidRDefault="00386D81" w:rsidP="00386D81">
      <w:r w:rsidRPr="00B61255">
        <w:t>General principles:</w:t>
      </w:r>
    </w:p>
    <w:p w14:paraId="43349756" w14:textId="104E5FCC" w:rsidR="00386D81" w:rsidRPr="00B61255" w:rsidRDefault="00386D81" w:rsidP="00386D81">
      <w:pPr>
        <w:pStyle w:val="Bullet"/>
        <w:rPr>
          <w:rStyle w:val="eop"/>
          <w:rFonts w:cs="Segoe UI"/>
          <w:szCs w:val="21"/>
        </w:rPr>
      </w:pPr>
      <w:r w:rsidRPr="00B61255">
        <w:rPr>
          <w:rStyle w:val="normaltextrun"/>
          <w:rFonts w:cs="Segoe UI"/>
          <w:szCs w:val="21"/>
        </w:rPr>
        <w:t>Communications strategies will be developed and implemented through collaboration with key partners</w:t>
      </w:r>
      <w:r>
        <w:rPr>
          <w:rStyle w:val="normaltextrun"/>
          <w:rFonts w:cs="Segoe UI"/>
          <w:szCs w:val="21"/>
        </w:rPr>
        <w:t>,</w:t>
      </w:r>
      <w:r w:rsidRPr="00B61255">
        <w:rPr>
          <w:rStyle w:val="normaltextrun"/>
          <w:rFonts w:cs="Segoe UI"/>
          <w:szCs w:val="21"/>
        </w:rPr>
        <w:t xml:space="preserve"> including Te Whatu Ora Pacific health and </w:t>
      </w:r>
      <w:r>
        <w:rPr>
          <w:rStyle w:val="normaltextrun"/>
          <w:rFonts w:cs="Segoe UI"/>
          <w:szCs w:val="21"/>
        </w:rPr>
        <w:t>e</w:t>
      </w:r>
      <w:r w:rsidRPr="00B61255">
        <w:rPr>
          <w:rStyle w:val="normaltextrun"/>
          <w:rFonts w:cs="Segoe UI"/>
          <w:szCs w:val="21"/>
        </w:rPr>
        <w:t xml:space="preserve">quity </w:t>
      </w:r>
      <w:r>
        <w:rPr>
          <w:rStyle w:val="normaltextrun"/>
          <w:rFonts w:cs="Segoe UI"/>
          <w:szCs w:val="21"/>
        </w:rPr>
        <w:t>t</w:t>
      </w:r>
      <w:r w:rsidRPr="00B61255">
        <w:rPr>
          <w:rStyle w:val="normaltextrun"/>
          <w:rFonts w:cs="Segoe UI"/>
          <w:szCs w:val="21"/>
        </w:rPr>
        <w:t>eams, Te Aka Whai Ora, Whaikaha, and Manatū Hauora.</w:t>
      </w:r>
      <w:r w:rsidRPr="00B61255">
        <w:rPr>
          <w:rStyle w:val="eop"/>
          <w:rFonts w:cs="Segoe UI"/>
          <w:szCs w:val="21"/>
        </w:rPr>
        <w:t> </w:t>
      </w:r>
    </w:p>
    <w:p w14:paraId="539E8B7E" w14:textId="236BB4DB" w:rsidR="00386D81" w:rsidRPr="00B61255" w:rsidRDefault="00386D81" w:rsidP="00386D81">
      <w:pPr>
        <w:pStyle w:val="Bullet"/>
      </w:pPr>
      <w:r w:rsidRPr="00B61255">
        <w:t xml:space="preserve">Immunisation promotion is ongoing </w:t>
      </w:r>
      <w:r>
        <w:t>(</w:t>
      </w:r>
      <w:r w:rsidRPr="00B61255">
        <w:t>see</w:t>
      </w:r>
      <w:r>
        <w:t xml:space="preserve"> </w:t>
      </w:r>
      <w:hyperlink r:id="rId35" w:history="1">
        <w:r>
          <w:rPr>
            <w:rStyle w:val="Hyperlink"/>
          </w:rPr>
          <w:t>immunise.health.nz</w:t>
        </w:r>
      </w:hyperlink>
      <w:r>
        <w:t xml:space="preserve">). </w:t>
      </w:r>
    </w:p>
    <w:p w14:paraId="045A4508" w14:textId="70D26F40" w:rsidR="00386D81" w:rsidRPr="00B61255" w:rsidRDefault="00386D81" w:rsidP="00386D81">
      <w:pPr>
        <w:pStyle w:val="Bullet"/>
      </w:pPr>
      <w:r w:rsidRPr="00B61255">
        <w:t xml:space="preserve">Targeted communications will be informed by our Te Tiriti obligations, location of detection </w:t>
      </w:r>
      <w:bookmarkEnd w:id="115"/>
      <w:r w:rsidRPr="00B61255">
        <w:t>and corresponding demographic and immunisation profile, and informed by a pro-equity approach for those at higher risk of exposure, acquisition and/or poor outcomes of poliovirus.</w:t>
      </w:r>
    </w:p>
    <w:p w14:paraId="1616F8BC" w14:textId="654D22A4" w:rsidR="00386D81" w:rsidRPr="00B61255" w:rsidRDefault="00386D81" w:rsidP="00386D81">
      <w:pPr>
        <w:pStyle w:val="Bullet"/>
      </w:pPr>
      <w:r w:rsidRPr="00B61255">
        <w:t xml:space="preserve">As per our Te Tiriti obligations and Pae </w:t>
      </w:r>
      <w:r>
        <w:t>O</w:t>
      </w:r>
      <w:r w:rsidRPr="00B61255">
        <w:t xml:space="preserve">ra legislation principles, communications strategies must be developed, implemented and monitored in partnership with Māori. This may be supported through partnering with IMPBs and Te Aka Whai Ora. </w:t>
      </w:r>
    </w:p>
    <w:p w14:paraId="0A50F9F3" w14:textId="5B36CB89" w:rsidR="00386D81" w:rsidRPr="00B61255" w:rsidRDefault="00386D81" w:rsidP="00386D81">
      <w:pPr>
        <w:pStyle w:val="Dash"/>
        <w:rPr>
          <w:szCs w:val="21"/>
        </w:rPr>
      </w:pPr>
      <w:r w:rsidRPr="00B61255">
        <w:rPr>
          <w:szCs w:val="21"/>
        </w:rPr>
        <w:t>This approach will be designed in collaboration with communities to ensure that messaging is effective and appropriate.</w:t>
      </w:r>
    </w:p>
    <w:p w14:paraId="5F9194D9" w14:textId="7606DEDE" w:rsidR="00386D81" w:rsidRPr="00B61255" w:rsidRDefault="00386D81" w:rsidP="00386D81">
      <w:pPr>
        <w:pStyle w:val="Dash"/>
        <w:rPr>
          <w:szCs w:val="21"/>
        </w:rPr>
      </w:pPr>
      <w:r w:rsidRPr="00B61255" w:rsidDel="00F975E5">
        <w:rPr>
          <w:szCs w:val="21"/>
        </w:rPr>
        <w:t xml:space="preserve">For Māori whānau, hapū and iwi, this may be supported through partnering with IMPBs and Te Aka Whai Ora. </w:t>
      </w:r>
    </w:p>
    <w:p w14:paraId="6F084429" w14:textId="00A0F3D9" w:rsidR="00386D81" w:rsidRPr="00B61255" w:rsidDel="00F975E5" w:rsidRDefault="00386D81" w:rsidP="00386D81">
      <w:pPr>
        <w:pStyle w:val="Dash"/>
        <w:rPr>
          <w:szCs w:val="21"/>
        </w:rPr>
      </w:pPr>
      <w:r w:rsidRPr="00B61255">
        <w:rPr>
          <w:szCs w:val="21"/>
        </w:rPr>
        <w:t>For Pacific peoples, this may be supported through working with the Ministry for Pacific Peoples and relevant faith-based and community groups.</w:t>
      </w:r>
    </w:p>
    <w:p w14:paraId="2B2BD859" w14:textId="77777777" w:rsidR="00386D81" w:rsidRPr="00B61255" w:rsidRDefault="00386D81" w:rsidP="00386D81">
      <w:pPr>
        <w:pStyle w:val="Dash"/>
        <w:rPr>
          <w:szCs w:val="21"/>
        </w:rPr>
      </w:pPr>
      <w:r w:rsidRPr="00B61255">
        <w:rPr>
          <w:szCs w:val="21"/>
        </w:rPr>
        <w:t>For some ethnic and refugee populations, there may also be collaboration with relevant agencies such as the Ministry for Ethnic Communities.</w:t>
      </w:r>
    </w:p>
    <w:p w14:paraId="4C17A71F" w14:textId="77777777" w:rsidR="00386D81" w:rsidRPr="00B61255" w:rsidRDefault="00386D81" w:rsidP="00386D81">
      <w:pPr>
        <w:pStyle w:val="Dash"/>
        <w:rPr>
          <w:szCs w:val="21"/>
        </w:rPr>
      </w:pPr>
      <w:r w:rsidRPr="00B61255">
        <w:rPr>
          <w:szCs w:val="21"/>
        </w:rPr>
        <w:t>For disabled populations, there may be consultation and collaboration with disabled people, the disability community and the wider disability sector (organisations and people who work to support disabled people). This may be supported by Whaikaha.</w:t>
      </w:r>
    </w:p>
    <w:p w14:paraId="42733378" w14:textId="39B76F6C" w:rsidR="00386D81" w:rsidRPr="00B61255" w:rsidRDefault="00386D81" w:rsidP="00386D81">
      <w:pPr>
        <w:pStyle w:val="Dash"/>
        <w:rPr>
          <w:szCs w:val="21"/>
        </w:rPr>
      </w:pPr>
      <w:r w:rsidRPr="00B61255">
        <w:rPr>
          <w:szCs w:val="21"/>
        </w:rPr>
        <w:t xml:space="preserve">Communication approaches and materials will consider needs of diversity of audience and corresponding format requirements </w:t>
      </w:r>
      <w:r>
        <w:rPr>
          <w:szCs w:val="21"/>
        </w:rPr>
        <w:t>(eg,</w:t>
      </w:r>
      <w:r w:rsidRPr="00B61255">
        <w:rPr>
          <w:szCs w:val="21"/>
        </w:rPr>
        <w:t xml:space="preserve"> channel, translations, and in standard accessible formats</w:t>
      </w:r>
      <w:r>
        <w:rPr>
          <w:szCs w:val="21"/>
        </w:rPr>
        <w:t>)</w:t>
      </w:r>
      <w:r w:rsidRPr="00B61255">
        <w:rPr>
          <w:szCs w:val="21"/>
        </w:rPr>
        <w:t>.</w:t>
      </w:r>
    </w:p>
    <w:p w14:paraId="262A7041" w14:textId="072B3DC0" w:rsidR="00560C18" w:rsidRPr="00B61255" w:rsidRDefault="00560C18" w:rsidP="00560C18">
      <w:pPr>
        <w:pStyle w:val="Dash"/>
        <w:rPr>
          <w:szCs w:val="21"/>
        </w:rPr>
      </w:pPr>
      <w:r w:rsidRPr="00560C18">
        <w:rPr>
          <w:szCs w:val="21"/>
        </w:rPr>
        <w:t>Caution is needed when targeting specific populations to avoid stigmatising these groups, and their privacy must be maintained.</w:t>
      </w:r>
      <w:r w:rsidRPr="00560C18" w:rsidDel="00560C18">
        <w:rPr>
          <w:szCs w:val="21"/>
        </w:rPr>
        <w:t xml:space="preserve"> </w:t>
      </w:r>
    </w:p>
    <w:p w14:paraId="4C1D819F" w14:textId="3212717E" w:rsidR="00386D81" w:rsidRPr="00B61255" w:rsidRDefault="00386D81" w:rsidP="00560C18">
      <w:pPr>
        <w:pStyle w:val="Dash"/>
      </w:pPr>
      <w:r w:rsidRPr="00B61255">
        <w:lastRenderedPageBreak/>
        <w:t>There is a need to ensure clear communications with neighbouring countries</w:t>
      </w:r>
      <w:r>
        <w:t>,</w:t>
      </w:r>
      <w:r w:rsidRPr="00B61255">
        <w:t xml:space="preserve"> including Australia and Pacific Island</w:t>
      </w:r>
      <w:r>
        <w:t xml:space="preserve"> nations</w:t>
      </w:r>
      <w:r w:rsidRPr="00B61255">
        <w:t>.</w:t>
      </w:r>
    </w:p>
    <w:p w14:paraId="23028775" w14:textId="77777777" w:rsidR="00386D81" w:rsidRPr="00B61255" w:rsidRDefault="00386D81" w:rsidP="000F2AF2">
      <w:pPr>
        <w:pStyle w:val="Heading3"/>
      </w:pPr>
      <w:r w:rsidRPr="00B61255">
        <w:t>Case and contact management</w:t>
      </w:r>
    </w:p>
    <w:p w14:paraId="33134D0D" w14:textId="0898BAE7" w:rsidR="00386D81" w:rsidRPr="00B61255" w:rsidRDefault="00386D81" w:rsidP="00386D81">
      <w:r w:rsidRPr="00B61255">
        <w:t xml:space="preserve">Information on case identification (including case classifications), case response, laboratory testing, and case and contact management can be found in the </w:t>
      </w:r>
      <w:hyperlink r:id="rId36" w:history="1">
        <w:r w:rsidRPr="00B61255">
          <w:t>C</w:t>
        </w:r>
      </w:hyperlink>
      <w:r w:rsidRPr="00B61255">
        <w:rPr>
          <w:i/>
          <w:iCs/>
        </w:rPr>
        <w:t xml:space="preserve">ommunicable </w:t>
      </w:r>
      <w:r w:rsidRPr="00731352">
        <w:rPr>
          <w:i/>
          <w:iCs/>
        </w:rPr>
        <w:t xml:space="preserve">Disease </w:t>
      </w:r>
      <w:r w:rsidRPr="00B61255">
        <w:rPr>
          <w:i/>
          <w:iCs/>
        </w:rPr>
        <w:t>Control Manual.</w:t>
      </w:r>
      <w:r>
        <w:rPr>
          <w:rStyle w:val="FootnoteReference"/>
        </w:rPr>
        <w:footnoteReference w:id="24"/>
      </w:r>
      <w:r w:rsidRPr="00B61255">
        <w:t xml:space="preserve"> Case and contact management will only be required if any of the enhanced surveillance actions identify any cases. Note that if any cases are identified these will be investigated, including history of overseas travel. If the case has no risk factors for polio such as overseas travel, this indicates community transmission, and as this is higher risk a corresponding escalation of response needs to be taken. </w:t>
      </w:r>
    </w:p>
    <w:p w14:paraId="067FB262" w14:textId="77777777" w:rsidR="00386D81" w:rsidRPr="00B61255" w:rsidRDefault="00386D81" w:rsidP="000F2AF2">
      <w:pPr>
        <w:pStyle w:val="Heading3"/>
      </w:pPr>
      <w:r w:rsidRPr="00B61255">
        <w:t>Immunisation</w:t>
      </w:r>
    </w:p>
    <w:p w14:paraId="6BEB1817" w14:textId="7AED4D58" w:rsidR="00386D81" w:rsidRDefault="00386D81" w:rsidP="00386D81">
      <w:r w:rsidRPr="00B61255">
        <w:t>Given our current immunisation rates and particularly inequities seen within these both geographically and for Māori tamariki, any detection in wastewater would be perceived as a risk and therefore would require an</w:t>
      </w:r>
      <w:r w:rsidR="00F93979">
        <w:t xml:space="preserve"> urgent</w:t>
      </w:r>
      <w:r w:rsidR="00F93979" w:rsidRPr="00B61255">
        <w:t xml:space="preserve"> </w:t>
      </w:r>
      <w:r w:rsidRPr="00B61255">
        <w:t>response, which may be required prior to further epidemiological and virological evidence of community transmission becoming available. Genetic sequencing may take 2</w:t>
      </w:r>
      <w:r>
        <w:t>–</w:t>
      </w:r>
      <w:r w:rsidRPr="00B61255">
        <w:t>3 days, or potentially longer depending on testing and confirmation from overseas reference laboratories, and therefore a precautionary approach regarding scaling up a vaccination response should be taken whil</w:t>
      </w:r>
      <w:r>
        <w:t>e</w:t>
      </w:r>
      <w:r w:rsidRPr="00B61255">
        <w:t xml:space="preserve"> awaiting further results. </w:t>
      </w:r>
    </w:p>
    <w:p w14:paraId="350816ED" w14:textId="77777777" w:rsidR="00386D81" w:rsidRPr="00B61255" w:rsidRDefault="00386D81" w:rsidP="00386D81"/>
    <w:p w14:paraId="12646395" w14:textId="77777777" w:rsidR="00386D81" w:rsidRPr="00B61255" w:rsidRDefault="00386D81" w:rsidP="00386D81">
      <w:r w:rsidRPr="00B61255">
        <w:t xml:space="preserve">Approaches to immunisation would be based on poliovirus category and sequencing as well a single or sustained detection and/or evidence of community transmission. </w:t>
      </w:r>
    </w:p>
    <w:p w14:paraId="304D0AAB" w14:textId="77777777" w:rsidR="00386D81" w:rsidRPr="00B61255" w:rsidRDefault="00386D81" w:rsidP="00386D81"/>
    <w:p w14:paraId="169F1D29" w14:textId="46ED24A4" w:rsidR="00386D81" w:rsidRPr="00B61255" w:rsidRDefault="00386D81" w:rsidP="00386D81">
      <w:r w:rsidRPr="00B61255">
        <w:t>As per WHO guidance</w:t>
      </w:r>
      <w:r>
        <w:t>,</w:t>
      </w:r>
      <w:r w:rsidRPr="00B61255">
        <w:t xml:space="preserve"> a vaccination response is warranted in all outbreaks </w:t>
      </w:r>
      <w:r w:rsidR="00F44D7C">
        <w:t>(</w:t>
      </w:r>
      <w:r w:rsidR="00F44D7C" w:rsidRPr="00541902">
        <w:t>see section 2.3 for definitions</w:t>
      </w:r>
      <w:r w:rsidR="00F44D7C">
        <w:t>)</w:t>
      </w:r>
      <w:r w:rsidR="00F44D7C" w:rsidRPr="00B61255">
        <w:t xml:space="preserve"> </w:t>
      </w:r>
      <w:r w:rsidRPr="00B61255">
        <w:t>of any type (</w:t>
      </w:r>
      <w:r>
        <w:t>ie,</w:t>
      </w:r>
      <w:r w:rsidRPr="00B61255">
        <w:t xml:space="preserve"> </w:t>
      </w:r>
      <w:r>
        <w:t>WPV</w:t>
      </w:r>
      <w:r w:rsidRPr="00B61255">
        <w:t xml:space="preserve"> or VDPV, all types</w:t>
      </w:r>
      <w:r w:rsidR="00F44D7C">
        <w:t xml:space="preserve">) </w:t>
      </w:r>
      <w:r w:rsidRPr="00B61255">
        <w:t>and high-risk type 2 events as follows:</w:t>
      </w:r>
    </w:p>
    <w:p w14:paraId="712E7BF8" w14:textId="12A39281" w:rsidR="00386D81" w:rsidRPr="00B61255" w:rsidRDefault="00386D81" w:rsidP="00386D81">
      <w:pPr>
        <w:pStyle w:val="Bullet"/>
      </w:pPr>
      <w:r>
        <w:t>i</w:t>
      </w:r>
      <w:r w:rsidRPr="00B61255">
        <w:t>mportation event involving cVDPV2 unless travel associated</w:t>
      </w:r>
    </w:p>
    <w:p w14:paraId="1F56BD46" w14:textId="0B4C77F6" w:rsidR="00386D81" w:rsidRPr="00B61255" w:rsidRDefault="00386D81" w:rsidP="00386D81">
      <w:pPr>
        <w:pStyle w:val="Bullet"/>
      </w:pPr>
      <w:r>
        <w:t>n</w:t>
      </w:r>
      <w:r w:rsidRPr="00B61255">
        <w:t>ew emergence event involving VDPV2 in a human</w:t>
      </w:r>
    </w:p>
    <w:p w14:paraId="5DA7FAB9" w14:textId="0FA2C8ED" w:rsidR="00386D81" w:rsidRDefault="00386D81" w:rsidP="00386D81">
      <w:pPr>
        <w:pStyle w:val="Bullet"/>
      </w:pPr>
      <w:r>
        <w:t>n</w:t>
      </w:r>
      <w:r w:rsidRPr="00B61255">
        <w:t>ew emergence event involving VDPV2 in the environment plus additional risk factors</w:t>
      </w:r>
      <w:r>
        <w:t>, including:</w:t>
      </w:r>
      <w:r w:rsidRPr="00B61255">
        <w:t xml:space="preserve"> </w:t>
      </w:r>
    </w:p>
    <w:p w14:paraId="104A7250" w14:textId="08C59265" w:rsidR="00386D81" w:rsidRDefault="00386D81" w:rsidP="00184D75">
      <w:pPr>
        <w:pStyle w:val="Dash"/>
      </w:pPr>
      <w:r w:rsidRPr="00B61255">
        <w:t xml:space="preserve">virus is highly divergent </w:t>
      </w:r>
      <w:r>
        <w:t>(</w:t>
      </w:r>
      <w:r w:rsidRPr="00B61255">
        <w:t>&gt;12 nt</w:t>
      </w:r>
      <w:r>
        <w:t>)</w:t>
      </w:r>
      <w:r w:rsidRPr="00B61255">
        <w:t xml:space="preserve"> or in areas that implemented OPV2 </w:t>
      </w:r>
      <w:r w:rsidRPr="00F62EFE">
        <w:t>supplementary immuni</w:t>
      </w:r>
      <w:r>
        <w:t>s</w:t>
      </w:r>
      <w:r w:rsidRPr="00F62EFE">
        <w:t>ation activities</w:t>
      </w:r>
      <w:r w:rsidRPr="00B61255">
        <w:t xml:space="preserve"> more than six months ago</w:t>
      </w:r>
    </w:p>
    <w:p w14:paraId="13101825" w14:textId="1E8DEE8E" w:rsidR="00386D81" w:rsidRDefault="00386D81" w:rsidP="00184D75">
      <w:pPr>
        <w:pStyle w:val="Dash"/>
      </w:pPr>
      <w:r w:rsidRPr="00B61255">
        <w:t xml:space="preserve">poor quality polio surveillance </w:t>
      </w:r>
    </w:p>
    <w:p w14:paraId="6B7AF5F1" w14:textId="77777777" w:rsidR="00386D81" w:rsidRPr="00B61255" w:rsidRDefault="00386D81" w:rsidP="00184D75">
      <w:pPr>
        <w:pStyle w:val="Dash"/>
      </w:pPr>
      <w:r w:rsidRPr="00B61255">
        <w:t>presence of inaccessible or hard to reach populations and/or presence of displaced or highly mobile populations</w:t>
      </w:r>
      <w:r>
        <w:t>.</w:t>
      </w:r>
    </w:p>
    <w:p w14:paraId="673A08B9" w14:textId="77777777" w:rsidR="00386D81" w:rsidRPr="00B61255" w:rsidRDefault="00386D81" w:rsidP="00386D81">
      <w:pPr>
        <w:rPr>
          <w:b/>
          <w:bCs/>
        </w:rPr>
      </w:pPr>
    </w:p>
    <w:p w14:paraId="386D89E2" w14:textId="77777777" w:rsidR="00386D81" w:rsidRPr="00B61255" w:rsidRDefault="00386D81" w:rsidP="00184D75">
      <w:pPr>
        <w:pStyle w:val="Heading4"/>
      </w:pPr>
      <w:r w:rsidRPr="00B61255">
        <w:lastRenderedPageBreak/>
        <w:t>Single detection of poliovirus in wastewater, no evidence of community transmission</w:t>
      </w:r>
    </w:p>
    <w:p w14:paraId="5D4F736C" w14:textId="06C15B60" w:rsidR="00386D81" w:rsidRPr="00B61255" w:rsidRDefault="00386D81" w:rsidP="00386D81">
      <w:pPr>
        <w:rPr>
          <w:rFonts w:eastAsia="+mn-ea" w:cs="Segoe UI"/>
          <w:color w:val="181F1B"/>
          <w:kern w:val="24"/>
          <w:lang w:eastAsia="en-NZ"/>
        </w:rPr>
      </w:pPr>
      <w:r w:rsidRPr="00B61255">
        <w:rPr>
          <w:rFonts w:eastAsia="+mn-ea" w:cs="Segoe UI"/>
          <w:color w:val="181F1B"/>
          <w:kern w:val="24"/>
          <w:lang w:eastAsia="en-NZ"/>
        </w:rPr>
        <w:t>If there was a single detection of poliovirus in wastewater, and no evidence of community transmission (</w:t>
      </w:r>
      <w:r>
        <w:rPr>
          <w:rFonts w:eastAsia="+mn-ea" w:cs="Segoe UI"/>
          <w:color w:val="181F1B"/>
          <w:kern w:val="24"/>
          <w:lang w:eastAsia="en-NZ"/>
        </w:rPr>
        <w:t>eg,</w:t>
      </w:r>
      <w:r w:rsidRPr="00B61255">
        <w:rPr>
          <w:rFonts w:eastAsia="+mn-ea" w:cs="Segoe UI"/>
          <w:color w:val="181F1B"/>
          <w:kern w:val="24"/>
          <w:lang w:eastAsia="en-NZ"/>
        </w:rPr>
        <w:t xml:space="preserve"> virological or epidemiological), this could be leveraged to promote routine childhood vaccination activities that include targeted approaches for specific populations (</w:t>
      </w:r>
      <w:r>
        <w:rPr>
          <w:rFonts w:eastAsia="+mn-ea" w:cs="Segoe UI"/>
          <w:color w:val="181F1B"/>
          <w:kern w:val="24"/>
          <w:lang w:eastAsia="en-NZ"/>
        </w:rPr>
        <w:t>eg,</w:t>
      </w:r>
      <w:r w:rsidRPr="00B61255">
        <w:rPr>
          <w:rFonts w:eastAsia="+mn-ea" w:cs="Segoe UI"/>
          <w:color w:val="181F1B"/>
          <w:kern w:val="24"/>
          <w:lang w:eastAsia="en-NZ"/>
        </w:rPr>
        <w:t xml:space="preserve"> immunisation delivery through </w:t>
      </w:r>
      <w:r>
        <w:rPr>
          <w:rFonts w:eastAsia="+mn-ea" w:cs="Segoe UI"/>
          <w:color w:val="181F1B"/>
          <w:kern w:val="24"/>
          <w:lang w:eastAsia="en-NZ"/>
        </w:rPr>
        <w:t>k</w:t>
      </w:r>
      <w:r w:rsidRPr="00B61255">
        <w:rPr>
          <w:rFonts w:eastAsia="+mn-ea" w:cs="Segoe UI"/>
          <w:color w:val="181F1B"/>
          <w:kern w:val="24"/>
          <w:lang w:eastAsia="en-NZ"/>
        </w:rPr>
        <w:t>aupapa Māori providers) so that there was an increased national campaign plus locally targeted campaigns.</w:t>
      </w:r>
    </w:p>
    <w:p w14:paraId="005C0AFD" w14:textId="77777777" w:rsidR="00386D81" w:rsidRPr="00B61255" w:rsidRDefault="00386D81" w:rsidP="00184D75">
      <w:pPr>
        <w:pStyle w:val="Heading4"/>
        <w:rPr>
          <w:rFonts w:eastAsia="+mn-ea"/>
          <w:lang w:eastAsia="en-NZ"/>
        </w:rPr>
      </w:pPr>
      <w:r w:rsidRPr="00B61255">
        <w:rPr>
          <w:rFonts w:eastAsia="+mn-ea"/>
          <w:lang w:eastAsia="en-NZ"/>
        </w:rPr>
        <w:t>Sustained detection and/or evidence of community transmission</w:t>
      </w:r>
    </w:p>
    <w:p w14:paraId="661E2A8E" w14:textId="77B7FA19" w:rsidR="00386D81" w:rsidRPr="00B61255" w:rsidRDefault="00386D81" w:rsidP="00386D81">
      <w:pPr>
        <w:rPr>
          <w:rFonts w:cs="Segoe UI"/>
          <w:lang w:eastAsia="en-NZ"/>
        </w:rPr>
      </w:pPr>
      <w:r w:rsidRPr="00B61255">
        <w:rPr>
          <w:rFonts w:eastAsia="+mn-ea" w:cs="Segoe UI"/>
          <w:color w:val="181F1B"/>
          <w:kern w:val="24"/>
          <w:lang w:eastAsia="en-NZ"/>
        </w:rPr>
        <w:t>If there was sustained detection meeting WHO outbreak criteria, or other evidence of community transmission (</w:t>
      </w:r>
      <w:r>
        <w:rPr>
          <w:rFonts w:eastAsia="+mn-ea" w:cs="Segoe UI"/>
          <w:color w:val="181F1B"/>
          <w:kern w:val="24"/>
          <w:lang w:eastAsia="en-NZ"/>
        </w:rPr>
        <w:t>eg,</w:t>
      </w:r>
      <w:r w:rsidRPr="00B61255">
        <w:rPr>
          <w:rFonts w:eastAsia="+mn-ea" w:cs="Segoe UI"/>
          <w:color w:val="181F1B"/>
          <w:kern w:val="24"/>
          <w:lang w:eastAsia="en-NZ"/>
        </w:rPr>
        <w:t xml:space="preserve"> detection of genetically similar poliovirus in human, cVDPV) this would require supplementary immunisation activities to improve polio vaccine coverage, noting that IPV is delivered in a combination vaccine and so this would also provide protection for other vaccine-preventable illnesses. </w:t>
      </w:r>
      <w:r w:rsidRPr="00B61255">
        <w:rPr>
          <w:rFonts w:cs="Segoe UI"/>
          <w:lang w:eastAsia="en-NZ"/>
        </w:rPr>
        <w:t xml:space="preserve">This would be through an increased national </w:t>
      </w:r>
      <w:r w:rsidRPr="00B61255">
        <w:rPr>
          <w:rFonts w:eastAsia="+mn-ea" w:cs="Segoe UI"/>
          <w:color w:val="181F1B"/>
          <w:kern w:val="24"/>
          <w:lang w:eastAsia="en-NZ"/>
        </w:rPr>
        <w:t>campaign plus locally targeted campaign(s)</w:t>
      </w:r>
      <w:r w:rsidRPr="00B61255">
        <w:rPr>
          <w:rFonts w:cs="Segoe UI"/>
          <w:lang w:eastAsia="en-NZ"/>
        </w:rPr>
        <w:t xml:space="preserve">. There may be consideration of use of OPV in the future, but this is unlikely at the current time. </w:t>
      </w:r>
    </w:p>
    <w:p w14:paraId="2E536E98" w14:textId="77777777" w:rsidR="00386D81" w:rsidRPr="00B61255" w:rsidRDefault="00386D81" w:rsidP="00AA2D6A">
      <w:pPr>
        <w:pStyle w:val="Heading2"/>
        <w:rPr>
          <w:lang w:eastAsia="en-US"/>
        </w:rPr>
      </w:pPr>
      <w:bookmarkStart w:id="116" w:name="_Toc132616749"/>
      <w:bookmarkStart w:id="117" w:name="_Toc146541116"/>
      <w:bookmarkStart w:id="118" w:name="_Toc147242146"/>
      <w:r w:rsidRPr="00B61255">
        <w:rPr>
          <w:lang w:eastAsia="en-US"/>
        </w:rPr>
        <w:t>Detection in a person with AFP</w:t>
      </w:r>
      <w:bookmarkEnd w:id="116"/>
      <w:bookmarkEnd w:id="117"/>
      <w:bookmarkEnd w:id="118"/>
    </w:p>
    <w:p w14:paraId="51C67963" w14:textId="440B4099" w:rsidR="00386D81" w:rsidRPr="00B61255" w:rsidRDefault="00386D81" w:rsidP="00386D81">
      <w:pPr>
        <w:rPr>
          <w:lang w:eastAsia="en-US"/>
        </w:rPr>
      </w:pPr>
      <w:r w:rsidRPr="00B61255">
        <w:rPr>
          <w:lang w:eastAsia="en-US"/>
        </w:rPr>
        <w:t xml:space="preserve">A detection of poliovirus in a person with AFP would be considered an outbreak. It is important to ascertain whether this person had risk factors for disease </w:t>
      </w:r>
      <w:r>
        <w:rPr>
          <w:lang w:eastAsia="en-US"/>
        </w:rPr>
        <w:t>— for example,</w:t>
      </w:r>
      <w:r w:rsidRPr="00B61255">
        <w:rPr>
          <w:lang w:eastAsia="en-US"/>
        </w:rPr>
        <w:t xml:space="preserve"> travel to polio</w:t>
      </w:r>
      <w:r>
        <w:rPr>
          <w:lang w:eastAsia="en-US"/>
        </w:rPr>
        <w:t>-</w:t>
      </w:r>
      <w:r w:rsidRPr="00B61255">
        <w:rPr>
          <w:lang w:eastAsia="en-US"/>
        </w:rPr>
        <w:t xml:space="preserve">endemic regions or to regions where there are known outbreaks of VDPV. If so, this may represent an isolated importation of the virus, whereas if they do not have risk factors this is likely to indicate that there has been asymptomatic community transmission. </w:t>
      </w:r>
    </w:p>
    <w:p w14:paraId="462B9F56" w14:textId="77777777" w:rsidR="00386D81" w:rsidRPr="00B61255" w:rsidRDefault="00386D81" w:rsidP="00386D81">
      <w:pPr>
        <w:rPr>
          <w:lang w:eastAsia="en-US"/>
        </w:rPr>
      </w:pPr>
    </w:p>
    <w:p w14:paraId="128C6DF4" w14:textId="77777777" w:rsidR="00386D81" w:rsidRPr="00B61255" w:rsidRDefault="00386D81" w:rsidP="00386D81">
      <w:pPr>
        <w:rPr>
          <w:lang w:eastAsia="en-US"/>
        </w:rPr>
      </w:pPr>
      <w:r w:rsidRPr="00B61255">
        <w:rPr>
          <w:b/>
          <w:bCs/>
          <w:lang w:eastAsia="en-US"/>
        </w:rPr>
        <w:t xml:space="preserve">Any </w:t>
      </w:r>
      <w:r w:rsidRPr="00B61255">
        <w:rPr>
          <w:lang w:eastAsia="en-US"/>
        </w:rPr>
        <w:t xml:space="preserve">detection in a person with AFP would require: </w:t>
      </w:r>
    </w:p>
    <w:p w14:paraId="3062D699" w14:textId="7EB9F6B5" w:rsidR="00386D81" w:rsidRPr="00B61255" w:rsidRDefault="00386D81" w:rsidP="00386D81">
      <w:pPr>
        <w:pStyle w:val="Bullet"/>
        <w:rPr>
          <w:lang w:eastAsia="en-US"/>
        </w:rPr>
      </w:pPr>
      <w:r>
        <w:rPr>
          <w:lang w:eastAsia="en-US"/>
        </w:rPr>
        <w:t>a</w:t>
      </w:r>
      <w:r w:rsidRPr="00B61255">
        <w:rPr>
          <w:lang w:eastAsia="en-US"/>
        </w:rPr>
        <w:t xml:space="preserve"> nationally coordinated emergency response</w:t>
      </w:r>
    </w:p>
    <w:p w14:paraId="5ACF84D2" w14:textId="7428C35C" w:rsidR="00386D81" w:rsidRPr="00B61255" w:rsidRDefault="00386D81" w:rsidP="00386D81">
      <w:pPr>
        <w:pStyle w:val="Bullet"/>
        <w:rPr>
          <w:lang w:eastAsia="en-US"/>
        </w:rPr>
      </w:pPr>
      <w:r w:rsidRPr="00B61255">
        <w:rPr>
          <w:lang w:eastAsia="en-US"/>
        </w:rPr>
        <w:t>public health investigation</w:t>
      </w:r>
      <w:r>
        <w:rPr>
          <w:lang w:eastAsia="en-US"/>
        </w:rPr>
        <w:t xml:space="preserve"> — </w:t>
      </w:r>
      <w:r w:rsidRPr="00B61255">
        <w:rPr>
          <w:lang w:eastAsia="en-US"/>
        </w:rPr>
        <w:t>including source investigation/case and contact tracing and management (</w:t>
      </w:r>
      <w:r w:rsidRPr="00184D75">
        <w:rPr>
          <w:lang w:eastAsia="en-US"/>
        </w:rPr>
        <w:t xml:space="preserve">described in the </w:t>
      </w:r>
      <w:r w:rsidRPr="00B61255">
        <w:rPr>
          <w:i/>
          <w:iCs/>
          <w:lang w:eastAsia="en-US"/>
        </w:rPr>
        <w:t>Communicable Disease Control Manual</w:t>
      </w:r>
      <w:r w:rsidRPr="00B61255">
        <w:rPr>
          <w:lang w:eastAsia="en-US"/>
        </w:rPr>
        <w:t>)</w:t>
      </w:r>
    </w:p>
    <w:p w14:paraId="662752F0" w14:textId="77777777" w:rsidR="00386D81" w:rsidRPr="00B61255" w:rsidRDefault="00386D81" w:rsidP="00386D81">
      <w:pPr>
        <w:pStyle w:val="Bullet"/>
        <w:rPr>
          <w:lang w:eastAsia="en-US"/>
        </w:rPr>
      </w:pPr>
      <w:r w:rsidRPr="00B61255">
        <w:rPr>
          <w:lang w:eastAsia="en-US"/>
        </w:rPr>
        <w:t>risk assessment</w:t>
      </w:r>
      <w:r>
        <w:rPr>
          <w:lang w:eastAsia="en-US"/>
        </w:rPr>
        <w:t>.</w:t>
      </w:r>
    </w:p>
    <w:p w14:paraId="0DA5BB8C" w14:textId="77777777" w:rsidR="00386D81" w:rsidRPr="00B61255" w:rsidRDefault="00386D81" w:rsidP="00386D81">
      <w:pPr>
        <w:rPr>
          <w:lang w:eastAsia="en-US"/>
        </w:rPr>
      </w:pPr>
    </w:p>
    <w:p w14:paraId="2A18B517" w14:textId="5ADBA079" w:rsidR="00386D81" w:rsidRPr="00184D75" w:rsidRDefault="0006377D" w:rsidP="00386D81">
      <w:pPr>
        <w:rPr>
          <w:lang w:eastAsia="en-US"/>
        </w:rPr>
      </w:pPr>
      <w:r>
        <w:rPr>
          <w:lang w:eastAsia="en-US"/>
        </w:rPr>
        <w:t>Based on findings from the public health investigation and risk assessment, this would result in the following actions</w:t>
      </w:r>
      <w:r w:rsidR="00386D81" w:rsidRPr="00184D75">
        <w:rPr>
          <w:lang w:eastAsia="en-US"/>
        </w:rPr>
        <w:t>:</w:t>
      </w:r>
    </w:p>
    <w:p w14:paraId="10E7F4EC" w14:textId="77777777" w:rsidR="00386D81" w:rsidRPr="00B61255" w:rsidRDefault="00386D81" w:rsidP="00386D81">
      <w:pPr>
        <w:pStyle w:val="Bullet"/>
        <w:rPr>
          <w:lang w:eastAsia="en-US"/>
        </w:rPr>
      </w:pPr>
      <w:r w:rsidRPr="00B61255">
        <w:rPr>
          <w:lang w:eastAsia="en-US"/>
        </w:rPr>
        <w:t>enhanced surveillance</w:t>
      </w:r>
    </w:p>
    <w:p w14:paraId="2DABB2BD" w14:textId="36A82C22" w:rsidR="00386D81" w:rsidRPr="00B61255" w:rsidRDefault="00386D81" w:rsidP="00386D81">
      <w:pPr>
        <w:pStyle w:val="Bullet"/>
        <w:rPr>
          <w:lang w:eastAsia="en-US"/>
        </w:rPr>
      </w:pPr>
      <w:r w:rsidRPr="00B61255">
        <w:rPr>
          <w:lang w:eastAsia="en-US"/>
        </w:rPr>
        <w:t xml:space="preserve">national and targeted communications </w:t>
      </w:r>
    </w:p>
    <w:p w14:paraId="2EF4CE8F" w14:textId="7D822835" w:rsidR="00386D81" w:rsidRPr="00B61255" w:rsidRDefault="005148E4" w:rsidP="005148E4">
      <w:pPr>
        <w:pStyle w:val="Bullet"/>
        <w:rPr>
          <w:lang w:eastAsia="en-US"/>
        </w:rPr>
      </w:pPr>
      <w:r w:rsidRPr="005148E4">
        <w:rPr>
          <w:lang w:eastAsia="en-US"/>
        </w:rPr>
        <w:t>vaccination response.</w:t>
      </w:r>
    </w:p>
    <w:p w14:paraId="00A50BE2" w14:textId="77777777" w:rsidR="00386D81" w:rsidRPr="00B61255" w:rsidRDefault="00386D81" w:rsidP="00386D81">
      <w:pPr>
        <w:rPr>
          <w:lang w:eastAsia="en-US"/>
        </w:rPr>
      </w:pPr>
    </w:p>
    <w:p w14:paraId="56C59EF6" w14:textId="114729ED" w:rsidR="00386D81" w:rsidRPr="00B61255" w:rsidRDefault="00386D81" w:rsidP="00386D81">
      <w:pPr>
        <w:rPr>
          <w:lang w:eastAsia="en-US"/>
        </w:rPr>
      </w:pPr>
      <w:r w:rsidRPr="00B61255">
        <w:rPr>
          <w:lang w:eastAsia="en-US"/>
        </w:rPr>
        <w:t>Further microbiological analysis would support this response, but it is most likely that this case would be of vaccine</w:t>
      </w:r>
      <w:r>
        <w:rPr>
          <w:lang w:eastAsia="en-US"/>
        </w:rPr>
        <w:t>-</w:t>
      </w:r>
      <w:r w:rsidRPr="00B61255">
        <w:rPr>
          <w:lang w:eastAsia="en-US"/>
        </w:rPr>
        <w:t xml:space="preserve">derived polio (VDPV2) as has been seen in other cases in non-endemic countries. This is related to the use of OPV2 vaccines to respond to cVDPV2 outbreaks. When </w:t>
      </w:r>
      <w:r w:rsidRPr="00881D97">
        <w:rPr>
          <w:lang w:eastAsia="en-US"/>
        </w:rPr>
        <w:t>Manatū Hauora</w:t>
      </w:r>
      <w:r w:rsidRPr="00B61255">
        <w:rPr>
          <w:lang w:eastAsia="en-US"/>
        </w:rPr>
        <w:t xml:space="preserve"> is notified, the type of poliovirus will be known</w:t>
      </w:r>
      <w:r>
        <w:rPr>
          <w:lang w:eastAsia="en-US"/>
        </w:rPr>
        <w:t>;</w:t>
      </w:r>
      <w:r w:rsidRPr="00B61255">
        <w:rPr>
          <w:lang w:eastAsia="en-US"/>
        </w:rPr>
        <w:t xml:space="preserve"> however</w:t>
      </w:r>
      <w:r>
        <w:rPr>
          <w:lang w:eastAsia="en-US"/>
        </w:rPr>
        <w:t>,</w:t>
      </w:r>
      <w:r w:rsidRPr="00B61255">
        <w:rPr>
          <w:lang w:eastAsia="en-US"/>
        </w:rPr>
        <w:t xml:space="preserve"> genomic sequencing and further genetic characterisation (</w:t>
      </w:r>
      <w:r>
        <w:rPr>
          <w:lang w:eastAsia="en-US"/>
        </w:rPr>
        <w:t>eg,</w:t>
      </w:r>
      <w:r w:rsidRPr="00B61255">
        <w:rPr>
          <w:lang w:eastAsia="en-US"/>
        </w:rPr>
        <w:t xml:space="preserve"> comparing to known viruses) will take longer, at least 2</w:t>
      </w:r>
      <w:r>
        <w:rPr>
          <w:lang w:eastAsia="en-US"/>
        </w:rPr>
        <w:t>–</w:t>
      </w:r>
      <w:r w:rsidRPr="00B61255">
        <w:rPr>
          <w:lang w:eastAsia="en-US"/>
        </w:rPr>
        <w:t xml:space="preserve">3 </w:t>
      </w:r>
      <w:r w:rsidRPr="00B61255">
        <w:rPr>
          <w:lang w:eastAsia="en-US"/>
        </w:rPr>
        <w:lastRenderedPageBreak/>
        <w:t xml:space="preserve">days, and potentially longer if testing and confirmation from overseas reference laboratories is also required. </w:t>
      </w:r>
    </w:p>
    <w:p w14:paraId="7670369B" w14:textId="77777777" w:rsidR="00386D81" w:rsidRPr="00B61255" w:rsidRDefault="00386D81" w:rsidP="00386D81">
      <w:pPr>
        <w:rPr>
          <w:lang w:eastAsia="en-US"/>
        </w:rPr>
      </w:pPr>
    </w:p>
    <w:p w14:paraId="49EBCB8C" w14:textId="56F78DEC" w:rsidR="00386D81" w:rsidRPr="00B61255" w:rsidRDefault="00386D81" w:rsidP="00386D81">
      <w:pPr>
        <w:rPr>
          <w:lang w:eastAsia="en-US"/>
        </w:rPr>
      </w:pPr>
      <w:r w:rsidRPr="00B61255">
        <w:rPr>
          <w:lang w:eastAsia="en-US"/>
        </w:rPr>
        <w:t xml:space="preserve">If a case of poliovirus </w:t>
      </w:r>
      <w:r w:rsidR="000645C2">
        <w:rPr>
          <w:lang w:eastAsia="en-US"/>
        </w:rPr>
        <w:t>is</w:t>
      </w:r>
      <w:r w:rsidR="000645C2" w:rsidRPr="00B61255">
        <w:rPr>
          <w:lang w:eastAsia="en-US"/>
        </w:rPr>
        <w:t xml:space="preserve"> </w:t>
      </w:r>
      <w:r w:rsidRPr="00B61255">
        <w:rPr>
          <w:lang w:eastAsia="en-US"/>
        </w:rPr>
        <w:t>detected in an asymptomatic person (</w:t>
      </w:r>
      <w:r>
        <w:rPr>
          <w:lang w:eastAsia="en-US"/>
        </w:rPr>
        <w:t>eg,</w:t>
      </w:r>
      <w:r w:rsidRPr="00B61255">
        <w:rPr>
          <w:lang w:eastAsia="en-US"/>
        </w:rPr>
        <w:t xml:space="preserve"> from stool sampling) this should be treated in the same way as in a confirmed case of polio in a person with AFP.</w:t>
      </w:r>
    </w:p>
    <w:p w14:paraId="75ECA1C8" w14:textId="77777777" w:rsidR="00386D81" w:rsidRPr="00B61255" w:rsidRDefault="00386D81" w:rsidP="000F2AF2">
      <w:pPr>
        <w:pStyle w:val="Heading3"/>
      </w:pPr>
      <w:bookmarkStart w:id="119" w:name="_Hlk128339190"/>
      <w:r w:rsidRPr="00B61255">
        <w:t>Community context</w:t>
      </w:r>
    </w:p>
    <w:p w14:paraId="12077364" w14:textId="356194D4" w:rsidR="00386D81" w:rsidRPr="00B61255" w:rsidRDefault="00386D81" w:rsidP="00386D81">
      <w:r w:rsidRPr="00B61255">
        <w:t xml:space="preserve">As for detection in environment (section </w:t>
      </w:r>
      <w:r>
        <w:fldChar w:fldCharType="begin"/>
      </w:r>
      <w:r>
        <w:instrText xml:space="preserve"> REF _Ref146635102 \r \h </w:instrText>
      </w:r>
      <w:r>
        <w:fldChar w:fldCharType="separate"/>
      </w:r>
      <w:r w:rsidR="009B1F81">
        <w:t>3.2</w:t>
      </w:r>
      <w:r>
        <w:fldChar w:fldCharType="end"/>
      </w:r>
      <w:r w:rsidRPr="00B61255">
        <w:t xml:space="preserve">) it is critical to understand the community context that the positive case came from. Critical features are described in section </w:t>
      </w:r>
      <w:r w:rsidR="00647C27">
        <w:fldChar w:fldCharType="begin"/>
      </w:r>
      <w:r w:rsidR="00647C27">
        <w:instrText xml:space="preserve"> REF _Ref147147221 \r \h </w:instrText>
      </w:r>
      <w:r w:rsidR="00647C27">
        <w:fldChar w:fldCharType="separate"/>
      </w:r>
      <w:r w:rsidR="009B1F81">
        <w:t>3.2.4</w:t>
      </w:r>
      <w:r w:rsidR="00647C27">
        <w:fldChar w:fldCharType="end"/>
      </w:r>
      <w:r w:rsidRPr="00B61255">
        <w:t>.</w:t>
      </w:r>
    </w:p>
    <w:p w14:paraId="42E26F03" w14:textId="77777777" w:rsidR="00386D81" w:rsidRPr="00B61255" w:rsidRDefault="00386D81" w:rsidP="000F2AF2">
      <w:pPr>
        <w:pStyle w:val="Heading3"/>
      </w:pPr>
      <w:r w:rsidRPr="00B61255">
        <w:t>Immunisation</w:t>
      </w:r>
    </w:p>
    <w:p w14:paraId="03C99BF6" w14:textId="77777777" w:rsidR="00386D81" w:rsidRPr="00B61255" w:rsidRDefault="00386D81" w:rsidP="000F2AF2">
      <w:pPr>
        <w:pStyle w:val="Heading4"/>
      </w:pPr>
      <w:r w:rsidRPr="00B61255">
        <w:t>Imported case</w:t>
      </w:r>
    </w:p>
    <w:p w14:paraId="6870E5FC" w14:textId="690CE690" w:rsidR="00386D81" w:rsidRPr="00B61255" w:rsidRDefault="00386D81" w:rsidP="00386D81">
      <w:pPr>
        <w:rPr>
          <w:rFonts w:eastAsia="+mn-ea" w:cs="Segoe UI"/>
          <w:color w:val="181F1B"/>
          <w:kern w:val="24"/>
          <w:lang w:eastAsia="en-NZ"/>
        </w:rPr>
      </w:pPr>
      <w:r w:rsidRPr="00B61255">
        <w:rPr>
          <w:rFonts w:eastAsia="+mn-ea" w:cs="Segoe UI"/>
          <w:color w:val="181F1B"/>
          <w:kern w:val="24"/>
          <w:lang w:eastAsia="en-NZ"/>
        </w:rPr>
        <w:t xml:space="preserve">If a case had risk factors such as a history of travel to </w:t>
      </w:r>
      <w:r>
        <w:rPr>
          <w:rFonts w:eastAsia="+mn-ea" w:cs="Segoe UI"/>
          <w:color w:val="181F1B"/>
          <w:kern w:val="24"/>
          <w:lang w:eastAsia="en-NZ"/>
        </w:rPr>
        <w:t>polio-</w:t>
      </w:r>
      <w:r w:rsidRPr="00B61255">
        <w:rPr>
          <w:rFonts w:eastAsia="+mn-ea" w:cs="Segoe UI"/>
          <w:color w:val="181F1B"/>
          <w:kern w:val="24"/>
          <w:lang w:eastAsia="en-NZ"/>
        </w:rPr>
        <w:t xml:space="preserve">endemic countries or where there are known outbreaks of </w:t>
      </w:r>
      <w:r>
        <w:rPr>
          <w:rFonts w:eastAsia="+mn-ea" w:cs="Segoe UI"/>
          <w:color w:val="181F1B"/>
          <w:kern w:val="24"/>
          <w:lang w:eastAsia="en-NZ"/>
        </w:rPr>
        <w:t>VDPV</w:t>
      </w:r>
      <w:r w:rsidRPr="00B61255">
        <w:rPr>
          <w:rFonts w:eastAsia="+mn-ea" w:cs="Segoe UI"/>
          <w:color w:val="181F1B"/>
          <w:kern w:val="24"/>
          <w:lang w:eastAsia="en-NZ"/>
        </w:rPr>
        <w:t>, and therefore was thought to most likely be an imported case of polio (or closely related to an imported case)</w:t>
      </w:r>
      <w:r>
        <w:rPr>
          <w:rFonts w:eastAsia="+mn-ea" w:cs="Segoe UI"/>
          <w:color w:val="181F1B"/>
          <w:kern w:val="24"/>
          <w:lang w:eastAsia="en-NZ"/>
        </w:rPr>
        <w:t>,</w:t>
      </w:r>
      <w:r w:rsidRPr="00B61255">
        <w:rPr>
          <w:rFonts w:eastAsia="+mn-ea" w:cs="Segoe UI"/>
          <w:color w:val="181F1B"/>
          <w:kern w:val="24"/>
          <w:lang w:eastAsia="en-NZ"/>
        </w:rPr>
        <w:t xml:space="preserve"> there would need to be case and contact tracing and management</w:t>
      </w:r>
      <w:r>
        <w:rPr>
          <w:rFonts w:eastAsia="+mn-ea" w:cs="Segoe UI"/>
          <w:color w:val="181F1B"/>
          <w:kern w:val="24"/>
          <w:lang w:eastAsia="en-NZ"/>
        </w:rPr>
        <w:t>,</w:t>
      </w:r>
      <w:r w:rsidRPr="00B61255">
        <w:rPr>
          <w:rFonts w:eastAsia="+mn-ea" w:cs="Segoe UI"/>
          <w:color w:val="181F1B"/>
          <w:kern w:val="24"/>
          <w:lang w:eastAsia="en-NZ"/>
        </w:rPr>
        <w:t xml:space="preserve"> including appropriate vaccination of contacts. Routine childhood vaccination activities will also continue</w:t>
      </w:r>
      <w:r>
        <w:rPr>
          <w:rFonts w:eastAsia="+mn-ea" w:cs="Segoe UI"/>
          <w:color w:val="181F1B"/>
          <w:kern w:val="24"/>
          <w:lang w:eastAsia="en-NZ"/>
        </w:rPr>
        <w:t>,</w:t>
      </w:r>
      <w:r w:rsidRPr="00B61255">
        <w:rPr>
          <w:rFonts w:eastAsia="+mn-ea" w:cs="Segoe UI"/>
          <w:color w:val="181F1B"/>
          <w:kern w:val="24"/>
          <w:lang w:eastAsia="en-NZ"/>
        </w:rPr>
        <w:t xml:space="preserve"> including targeted approaches for specific populations (</w:t>
      </w:r>
      <w:r>
        <w:rPr>
          <w:rFonts w:eastAsia="+mn-ea" w:cs="Segoe UI"/>
          <w:color w:val="181F1B"/>
          <w:lang w:eastAsia="en-NZ"/>
        </w:rPr>
        <w:t>eg,</w:t>
      </w:r>
      <w:r w:rsidRPr="00B61255">
        <w:rPr>
          <w:rFonts w:eastAsia="+mn-ea" w:cs="Segoe UI"/>
          <w:color w:val="181F1B"/>
          <w:kern w:val="24"/>
          <w:lang w:eastAsia="en-NZ"/>
        </w:rPr>
        <w:t xml:space="preserve"> immunisation delivery through </w:t>
      </w:r>
      <w:r>
        <w:rPr>
          <w:rFonts w:eastAsia="+mn-ea" w:cs="Segoe UI"/>
          <w:color w:val="181F1B"/>
          <w:kern w:val="24"/>
          <w:lang w:eastAsia="en-NZ"/>
        </w:rPr>
        <w:t>k</w:t>
      </w:r>
      <w:r w:rsidRPr="00B61255">
        <w:rPr>
          <w:rFonts w:eastAsia="+mn-ea" w:cs="Segoe UI"/>
          <w:color w:val="181F1B"/>
          <w:kern w:val="24"/>
          <w:lang w:eastAsia="en-NZ"/>
        </w:rPr>
        <w:t xml:space="preserve">aupapa Māori providers). </w:t>
      </w:r>
      <w:r w:rsidRPr="00B61255">
        <w:rPr>
          <w:rFonts w:eastAsia="+mn-ea" w:cs="Segoe UI"/>
          <w:color w:val="181F1B"/>
          <w:lang w:eastAsia="en-NZ"/>
        </w:rPr>
        <w:t xml:space="preserve">There should also be enhanced surveillance put in place to exclude further transmission. </w:t>
      </w:r>
      <w:r w:rsidRPr="00B61255">
        <w:rPr>
          <w:rFonts w:eastAsia="+mn-ea" w:cs="Segoe UI"/>
          <w:color w:val="181F1B"/>
          <w:kern w:val="24"/>
          <w:lang w:eastAsia="en-NZ"/>
        </w:rPr>
        <w:t xml:space="preserve">There </w:t>
      </w:r>
      <w:r w:rsidRPr="00B61255">
        <w:rPr>
          <w:rFonts w:eastAsia="+mn-ea" w:cs="Segoe UI"/>
          <w:color w:val="181F1B"/>
          <w:lang w:eastAsia="en-NZ"/>
        </w:rPr>
        <w:t xml:space="preserve">may </w:t>
      </w:r>
      <w:r w:rsidRPr="00B61255">
        <w:rPr>
          <w:rFonts w:eastAsia="+mn-ea" w:cs="Segoe UI"/>
          <w:color w:val="181F1B"/>
          <w:kern w:val="24"/>
          <w:lang w:eastAsia="en-NZ"/>
        </w:rPr>
        <w:t>be both national and local level supplementary immunisation activities</w:t>
      </w:r>
      <w:r w:rsidRPr="00B61255">
        <w:rPr>
          <w:rFonts w:eastAsia="+mn-ea" w:cs="Segoe UI"/>
          <w:color w:val="181F1B"/>
          <w:lang w:eastAsia="en-NZ"/>
        </w:rPr>
        <w:t xml:space="preserve"> depending on risk assessment</w:t>
      </w:r>
      <w:r w:rsidRPr="00B61255">
        <w:rPr>
          <w:rFonts w:eastAsia="+mn-ea" w:cs="Segoe UI"/>
          <w:color w:val="181F1B"/>
          <w:kern w:val="24"/>
          <w:lang w:eastAsia="en-NZ"/>
        </w:rPr>
        <w:t>.</w:t>
      </w:r>
    </w:p>
    <w:p w14:paraId="4E33E889" w14:textId="77777777" w:rsidR="00386D81" w:rsidRPr="00B61255" w:rsidRDefault="00386D81" w:rsidP="000F2AF2">
      <w:pPr>
        <w:pStyle w:val="Heading4"/>
        <w:rPr>
          <w:rFonts w:eastAsia="+mn-ea"/>
          <w:lang w:eastAsia="en-NZ"/>
        </w:rPr>
      </w:pPr>
      <w:r w:rsidRPr="00B61255">
        <w:rPr>
          <w:rFonts w:eastAsia="+mn-ea"/>
          <w:lang w:eastAsia="en-NZ"/>
        </w:rPr>
        <w:t>Community transmission</w:t>
      </w:r>
    </w:p>
    <w:p w14:paraId="386CB081" w14:textId="334F16DC" w:rsidR="00386D81" w:rsidRPr="00B61255" w:rsidRDefault="00386D81" w:rsidP="00386D81">
      <w:pPr>
        <w:rPr>
          <w:rFonts w:cs="Segoe UI"/>
          <w:i/>
          <w:iCs/>
          <w:strike/>
          <w:szCs w:val="21"/>
          <w:lang w:eastAsia="en-NZ"/>
        </w:rPr>
      </w:pPr>
      <w:r w:rsidRPr="00B61255">
        <w:rPr>
          <w:rFonts w:eastAsia="+mn-ea" w:cs="Segoe UI"/>
          <w:color w:val="181F1B"/>
          <w:kern w:val="24"/>
          <w:szCs w:val="21"/>
          <w:lang w:eastAsia="en-NZ"/>
        </w:rPr>
        <w:t xml:space="preserve">If this case suggested community transmission </w:t>
      </w:r>
      <w:r>
        <w:rPr>
          <w:rFonts w:eastAsia="+mn-ea" w:cs="Segoe UI"/>
          <w:color w:val="181F1B"/>
          <w:kern w:val="24"/>
          <w:szCs w:val="21"/>
          <w:lang w:eastAsia="en-NZ"/>
        </w:rPr>
        <w:t>(eg,</w:t>
      </w:r>
      <w:r w:rsidRPr="00B61255">
        <w:rPr>
          <w:rFonts w:eastAsia="+mn-ea" w:cs="Segoe UI"/>
          <w:color w:val="181F1B"/>
          <w:kern w:val="24"/>
          <w:szCs w:val="21"/>
          <w:lang w:eastAsia="en-NZ"/>
        </w:rPr>
        <w:t xml:space="preserve"> had no risk factors such as travel history to outbreak countries</w:t>
      </w:r>
      <w:r>
        <w:rPr>
          <w:rFonts w:eastAsia="+mn-ea" w:cs="Segoe UI"/>
          <w:color w:val="181F1B"/>
          <w:kern w:val="24"/>
          <w:szCs w:val="21"/>
          <w:lang w:eastAsia="en-NZ"/>
        </w:rPr>
        <w:t>)</w:t>
      </w:r>
      <w:r w:rsidRPr="00B61255">
        <w:rPr>
          <w:rFonts w:eastAsia="+mn-ea" w:cs="Segoe UI"/>
          <w:color w:val="181F1B"/>
          <w:kern w:val="24"/>
          <w:szCs w:val="21"/>
          <w:lang w:eastAsia="en-NZ"/>
        </w:rPr>
        <w:t>, this would require supplementary immunisation activities to improve polio vaccine coverage, noting that IPV is delivered in a combination vaccine</w:t>
      </w:r>
      <w:r>
        <w:rPr>
          <w:rFonts w:eastAsia="+mn-ea" w:cs="Segoe UI"/>
          <w:color w:val="181F1B"/>
          <w:kern w:val="24"/>
          <w:szCs w:val="21"/>
          <w:lang w:eastAsia="en-NZ"/>
        </w:rPr>
        <w:t>,</w:t>
      </w:r>
      <w:r w:rsidRPr="00B61255">
        <w:rPr>
          <w:rFonts w:eastAsia="+mn-ea" w:cs="Segoe UI"/>
          <w:color w:val="181F1B"/>
          <w:kern w:val="24"/>
          <w:szCs w:val="21"/>
          <w:lang w:eastAsia="en-NZ"/>
        </w:rPr>
        <w:t xml:space="preserve"> so this would also provide protection for other vaccine-preventable illnesses. </w:t>
      </w:r>
    </w:p>
    <w:p w14:paraId="3CBC0B72" w14:textId="77777777" w:rsidR="00386D81" w:rsidRPr="00B61255" w:rsidRDefault="00386D81" w:rsidP="00386D81">
      <w:pPr>
        <w:rPr>
          <w:rFonts w:cs="Segoe UI"/>
          <w:szCs w:val="21"/>
          <w:lang w:eastAsia="en-NZ"/>
        </w:rPr>
      </w:pPr>
    </w:p>
    <w:p w14:paraId="150FF24D" w14:textId="7AC950F1" w:rsidR="00386D81" w:rsidRPr="00B61255" w:rsidRDefault="00386D81" w:rsidP="00386D81">
      <w:pPr>
        <w:rPr>
          <w:rFonts w:cs="Segoe UI"/>
          <w:lang w:eastAsia="en-NZ"/>
        </w:rPr>
      </w:pPr>
      <w:r w:rsidRPr="00B61255">
        <w:rPr>
          <w:rFonts w:cs="Segoe UI"/>
          <w:lang w:eastAsia="en-NZ"/>
        </w:rPr>
        <w:t>Either of these scenarios would constitute risk for Aotearoa</w:t>
      </w:r>
      <w:r>
        <w:rPr>
          <w:rFonts w:cs="Segoe UI"/>
          <w:lang w:eastAsia="en-NZ"/>
        </w:rPr>
        <w:t>;</w:t>
      </w:r>
      <w:r w:rsidRPr="00B61255">
        <w:rPr>
          <w:rFonts w:cs="Segoe UI"/>
          <w:lang w:eastAsia="en-NZ"/>
        </w:rPr>
        <w:t xml:space="preserve"> however</w:t>
      </w:r>
      <w:r>
        <w:rPr>
          <w:rFonts w:cs="Segoe UI"/>
          <w:lang w:eastAsia="en-NZ"/>
        </w:rPr>
        <w:t>,</w:t>
      </w:r>
      <w:r w:rsidRPr="00B61255">
        <w:rPr>
          <w:rFonts w:cs="Segoe UI"/>
          <w:lang w:eastAsia="en-NZ"/>
        </w:rPr>
        <w:t xml:space="preserve"> an imported case may signify lower</w:t>
      </w:r>
      <w:r>
        <w:rPr>
          <w:rFonts w:cs="Segoe UI"/>
          <w:lang w:eastAsia="en-NZ"/>
        </w:rPr>
        <w:t xml:space="preserve"> </w:t>
      </w:r>
      <w:r w:rsidRPr="00B61255">
        <w:rPr>
          <w:rFonts w:cs="Segoe UI"/>
          <w:lang w:eastAsia="en-NZ"/>
        </w:rPr>
        <w:t>risk compared to a scenario where the case had no known risk factors</w:t>
      </w:r>
      <w:r>
        <w:rPr>
          <w:rFonts w:cs="Segoe UI"/>
          <w:lang w:eastAsia="en-NZ"/>
        </w:rPr>
        <w:t>,</w:t>
      </w:r>
      <w:r w:rsidRPr="00B61255">
        <w:rPr>
          <w:rFonts w:cs="Segoe UI"/>
          <w:lang w:eastAsia="en-NZ"/>
        </w:rPr>
        <w:t xml:space="preserve"> suggesting community transmission</w:t>
      </w:r>
      <w:r>
        <w:rPr>
          <w:rFonts w:cs="Segoe UI"/>
          <w:lang w:eastAsia="en-NZ"/>
        </w:rPr>
        <w:t>,</w:t>
      </w:r>
      <w:r w:rsidRPr="00B61255">
        <w:rPr>
          <w:rFonts w:cs="Segoe UI"/>
          <w:lang w:eastAsia="en-NZ"/>
        </w:rPr>
        <w:t xml:space="preserve"> </w:t>
      </w:r>
      <w:r>
        <w:rPr>
          <w:rFonts w:cs="Segoe UI"/>
          <w:lang w:eastAsia="en-NZ"/>
        </w:rPr>
        <w:t>which</w:t>
      </w:r>
      <w:r w:rsidRPr="00B61255">
        <w:rPr>
          <w:rFonts w:cs="Segoe UI"/>
          <w:lang w:eastAsia="en-NZ"/>
        </w:rPr>
        <w:t xml:space="preserve"> may require a higher level of response. See also </w:t>
      </w:r>
      <w:r>
        <w:rPr>
          <w:rFonts w:cs="Segoe UI"/>
          <w:lang w:eastAsia="en-NZ"/>
        </w:rPr>
        <w:t xml:space="preserve">the summary table in </w:t>
      </w:r>
      <w:r w:rsidRPr="00B61255">
        <w:rPr>
          <w:rFonts w:cs="Segoe UI"/>
          <w:lang w:eastAsia="en-NZ"/>
        </w:rPr>
        <w:t xml:space="preserve">section </w:t>
      </w:r>
      <w:r>
        <w:rPr>
          <w:rFonts w:cs="Segoe UI"/>
          <w:lang w:eastAsia="en-NZ"/>
        </w:rPr>
        <w:fldChar w:fldCharType="begin"/>
      </w:r>
      <w:r>
        <w:rPr>
          <w:rFonts w:cs="Segoe UI"/>
          <w:lang w:eastAsia="en-NZ"/>
        </w:rPr>
        <w:instrText xml:space="preserve"> REF _Ref146635137 \r \h </w:instrText>
      </w:r>
      <w:r>
        <w:rPr>
          <w:rFonts w:cs="Segoe UI"/>
          <w:lang w:eastAsia="en-NZ"/>
        </w:rPr>
      </w:r>
      <w:r>
        <w:rPr>
          <w:rFonts w:cs="Segoe UI"/>
          <w:lang w:eastAsia="en-NZ"/>
        </w:rPr>
        <w:fldChar w:fldCharType="separate"/>
      </w:r>
      <w:r w:rsidR="009B1F81">
        <w:rPr>
          <w:rFonts w:cs="Segoe UI"/>
          <w:lang w:eastAsia="en-NZ"/>
        </w:rPr>
        <w:t>3.6</w:t>
      </w:r>
      <w:r>
        <w:rPr>
          <w:rFonts w:cs="Segoe UI"/>
          <w:lang w:eastAsia="en-NZ"/>
        </w:rPr>
        <w:fldChar w:fldCharType="end"/>
      </w:r>
      <w:r w:rsidRPr="00B61255">
        <w:rPr>
          <w:rFonts w:cs="Segoe UI"/>
          <w:lang w:eastAsia="en-NZ"/>
        </w:rPr>
        <w:t xml:space="preserve"> below.</w:t>
      </w:r>
    </w:p>
    <w:p w14:paraId="1FCF3E4E" w14:textId="77777777" w:rsidR="00386D81" w:rsidRPr="00B61255" w:rsidRDefault="00386D81" w:rsidP="000F2AF2">
      <w:pPr>
        <w:pStyle w:val="Heading3"/>
      </w:pPr>
      <w:r w:rsidRPr="00B61255">
        <w:t xml:space="preserve">Enhanced </w:t>
      </w:r>
      <w:bookmarkEnd w:id="119"/>
      <w:r w:rsidRPr="00B61255">
        <w:t>microbiological surveillance</w:t>
      </w:r>
    </w:p>
    <w:p w14:paraId="6C95F101" w14:textId="77777777" w:rsidR="00386D81" w:rsidRPr="00B61255" w:rsidRDefault="00386D81" w:rsidP="00386D81">
      <w:r w:rsidRPr="00B61255">
        <w:t>In the case of detection in one person with AFP we would</w:t>
      </w:r>
      <w:r>
        <w:t xml:space="preserve"> take the following actions</w:t>
      </w:r>
      <w:r w:rsidRPr="00B61255">
        <w:t>:</w:t>
      </w:r>
    </w:p>
    <w:p w14:paraId="4F4B95D2" w14:textId="07C6F1CB" w:rsidR="00386D81" w:rsidRPr="00B61255" w:rsidRDefault="00386D81" w:rsidP="00386D81">
      <w:pPr>
        <w:pStyle w:val="Bullet"/>
      </w:pPr>
      <w:r w:rsidRPr="00B61255">
        <w:rPr>
          <w:b/>
          <w:bCs/>
        </w:rPr>
        <w:t>Enhance wastewater surveillance</w:t>
      </w:r>
      <w:r w:rsidRPr="00B61255">
        <w:t xml:space="preserve"> to increase sensitivity and specificity of detection of potential community transmission. Sample sites and frequency of testing (along with processing) will be reviewed and adjusted as required to evaluate presence in time and area (to be further defined). Retrospective testing by at least direct PCR may be performed</w:t>
      </w:r>
      <w:r w:rsidR="000645C2">
        <w:t>.</w:t>
      </w:r>
      <w:r w:rsidRPr="00B61255">
        <w:t xml:space="preserve"> </w:t>
      </w:r>
    </w:p>
    <w:p w14:paraId="21BF66D8" w14:textId="7636B1EA" w:rsidR="00386D81" w:rsidRPr="00EE0CB4" w:rsidRDefault="00386D81" w:rsidP="00386D81">
      <w:pPr>
        <w:pStyle w:val="Bullet"/>
      </w:pPr>
      <w:bookmarkStart w:id="120" w:name="_Hlk131434932"/>
      <w:r w:rsidRPr="00184D75">
        <w:rPr>
          <w:b/>
          <w:bCs/>
        </w:rPr>
        <w:t>Enhance enterovirus/microbiological surveillance</w:t>
      </w:r>
      <w:r>
        <w:rPr>
          <w:b/>
          <w:bCs/>
        </w:rPr>
        <w:t>,</w:t>
      </w:r>
      <w:r w:rsidRPr="00EE0CB4">
        <w:t xml:space="preserve"> including:</w:t>
      </w:r>
    </w:p>
    <w:p w14:paraId="46D91FDF" w14:textId="2B544E8D" w:rsidR="00386D81" w:rsidRPr="00B61255" w:rsidRDefault="00386D81" w:rsidP="00386D81">
      <w:pPr>
        <w:pStyle w:val="Dash"/>
        <w:ind w:left="568" w:hanging="284"/>
        <w:rPr>
          <w:szCs w:val="21"/>
        </w:rPr>
      </w:pPr>
      <w:r>
        <w:rPr>
          <w:szCs w:val="21"/>
        </w:rPr>
        <w:lastRenderedPageBreak/>
        <w:t>a</w:t>
      </w:r>
      <w:r w:rsidRPr="00B61255">
        <w:rPr>
          <w:szCs w:val="21"/>
        </w:rPr>
        <w:t>dd</w:t>
      </w:r>
      <w:r>
        <w:rPr>
          <w:szCs w:val="21"/>
        </w:rPr>
        <w:t>ing</w:t>
      </w:r>
      <w:r w:rsidRPr="00B61255">
        <w:rPr>
          <w:szCs w:val="21"/>
        </w:rPr>
        <w:t xml:space="preserve"> poliovirus testing to all stool specimens sent to laboratory for testing in location(s) associated with case </w:t>
      </w:r>
    </w:p>
    <w:p w14:paraId="12A878B8" w14:textId="2C0155AD" w:rsidR="00386D81" w:rsidRPr="00B61255" w:rsidRDefault="00386D81" w:rsidP="00386D81">
      <w:pPr>
        <w:pStyle w:val="Dash"/>
        <w:ind w:left="568" w:hanging="284"/>
        <w:rPr>
          <w:szCs w:val="21"/>
        </w:rPr>
      </w:pPr>
      <w:r>
        <w:rPr>
          <w:szCs w:val="21"/>
        </w:rPr>
        <w:t xml:space="preserve">enhancing </w:t>
      </w:r>
      <w:r w:rsidRPr="00B61255">
        <w:rPr>
          <w:szCs w:val="21"/>
        </w:rPr>
        <w:t xml:space="preserve">surveillance of aseptic meningitis and other clinical syndromes (when other causes are excluded) </w:t>
      </w:r>
      <w:r w:rsidR="00B52DE3">
        <w:rPr>
          <w:szCs w:val="21"/>
        </w:rPr>
        <w:t>— for example</w:t>
      </w:r>
      <w:r>
        <w:rPr>
          <w:szCs w:val="21"/>
        </w:rPr>
        <w:t>,</w:t>
      </w:r>
      <w:r w:rsidRPr="00B61255">
        <w:rPr>
          <w:szCs w:val="21"/>
        </w:rPr>
        <w:t xml:space="preserve"> testing of CSF for poliovirus and/or systematic stool sampling of all acute neurological illnesses (potential poliovirus</w:t>
      </w:r>
      <w:r w:rsidR="00B52DE3">
        <w:rPr>
          <w:szCs w:val="21"/>
        </w:rPr>
        <w:t>-</w:t>
      </w:r>
      <w:r w:rsidRPr="00B61255">
        <w:rPr>
          <w:szCs w:val="21"/>
        </w:rPr>
        <w:t>related presentations)</w:t>
      </w:r>
      <w:r>
        <w:rPr>
          <w:szCs w:val="21"/>
        </w:rPr>
        <w:t xml:space="preserve"> — n</w:t>
      </w:r>
      <w:r w:rsidRPr="00B61255">
        <w:rPr>
          <w:szCs w:val="21"/>
        </w:rPr>
        <w:t xml:space="preserve">oting that </w:t>
      </w:r>
      <w:r w:rsidRPr="00046C16">
        <w:rPr>
          <w:szCs w:val="21"/>
        </w:rPr>
        <w:t>poliovirus</w:t>
      </w:r>
      <w:r w:rsidRPr="00B61255">
        <w:rPr>
          <w:szCs w:val="21"/>
        </w:rPr>
        <w:t xml:space="preserve"> detection in </w:t>
      </w:r>
      <w:r w:rsidR="002A7262">
        <w:rPr>
          <w:szCs w:val="21"/>
        </w:rPr>
        <w:t>CSF</w:t>
      </w:r>
      <w:r w:rsidRPr="00B61255">
        <w:rPr>
          <w:szCs w:val="21"/>
        </w:rPr>
        <w:t xml:space="preserve"> is poor, and therefore focusing on stool testing may be preferable</w:t>
      </w:r>
      <w:r>
        <w:rPr>
          <w:szCs w:val="21"/>
        </w:rPr>
        <w:t xml:space="preserve"> (s</w:t>
      </w:r>
      <w:r w:rsidRPr="00B61255">
        <w:rPr>
          <w:szCs w:val="21"/>
        </w:rPr>
        <w:t xml:space="preserve">ee also section </w:t>
      </w:r>
      <w:r w:rsidR="00FB41C1">
        <w:rPr>
          <w:szCs w:val="21"/>
        </w:rPr>
        <w:fldChar w:fldCharType="begin"/>
      </w:r>
      <w:r w:rsidR="00FB41C1">
        <w:rPr>
          <w:szCs w:val="21"/>
        </w:rPr>
        <w:instrText xml:space="preserve"> REF _Ref147143549 \r \h </w:instrText>
      </w:r>
      <w:r w:rsidR="00FB41C1">
        <w:rPr>
          <w:szCs w:val="21"/>
        </w:rPr>
      </w:r>
      <w:r w:rsidR="00FB41C1">
        <w:rPr>
          <w:szCs w:val="21"/>
        </w:rPr>
        <w:fldChar w:fldCharType="separate"/>
      </w:r>
      <w:r w:rsidR="009B1F81">
        <w:rPr>
          <w:szCs w:val="21"/>
        </w:rPr>
        <w:t>1.5.1</w:t>
      </w:r>
      <w:r w:rsidR="00FB41C1">
        <w:rPr>
          <w:szCs w:val="21"/>
        </w:rPr>
        <w:fldChar w:fldCharType="end"/>
      </w:r>
      <w:r w:rsidR="00FB41C1">
        <w:rPr>
          <w:szCs w:val="21"/>
        </w:rPr>
        <w:t xml:space="preserve"> </w:t>
      </w:r>
      <w:r w:rsidRPr="00B61255">
        <w:rPr>
          <w:szCs w:val="21"/>
        </w:rPr>
        <w:t>for further details</w:t>
      </w:r>
      <w:r>
        <w:rPr>
          <w:szCs w:val="21"/>
        </w:rPr>
        <w:t>)</w:t>
      </w:r>
      <w:r w:rsidRPr="00B61255">
        <w:rPr>
          <w:szCs w:val="21"/>
        </w:rPr>
        <w:t>.</w:t>
      </w:r>
    </w:p>
    <w:bookmarkEnd w:id="120"/>
    <w:p w14:paraId="642BE1FD" w14:textId="77777777" w:rsidR="00386D81" w:rsidRPr="00B61255" w:rsidRDefault="00386D81" w:rsidP="000F2AF2">
      <w:pPr>
        <w:pStyle w:val="Heading3"/>
      </w:pPr>
      <w:r w:rsidRPr="00B61255">
        <w:t>Enhanced AFP surveillance</w:t>
      </w:r>
    </w:p>
    <w:p w14:paraId="02899B21" w14:textId="3571AE50" w:rsidR="00386D81" w:rsidRPr="00B61255" w:rsidRDefault="00B33071" w:rsidP="00184D75">
      <w:r w:rsidRPr="00184D75">
        <w:t>If poliovirus was confirmed in an AFP case we would</w:t>
      </w:r>
      <w:r w:rsidRPr="00B33071">
        <w:rPr>
          <w:b/>
          <w:bCs/>
        </w:rPr>
        <w:t xml:space="preserve"> </w:t>
      </w:r>
      <w:r>
        <w:rPr>
          <w:b/>
          <w:bCs/>
        </w:rPr>
        <w:t>e</w:t>
      </w:r>
      <w:r w:rsidR="00386D81">
        <w:rPr>
          <w:b/>
          <w:bCs/>
        </w:rPr>
        <w:t xml:space="preserve">nhance </w:t>
      </w:r>
      <w:r w:rsidR="00386D81" w:rsidRPr="00B61255">
        <w:rPr>
          <w:b/>
          <w:bCs/>
        </w:rPr>
        <w:t>clinical surveillance/active case finding</w:t>
      </w:r>
      <w:r w:rsidR="00386D81">
        <w:t xml:space="preserve"> </w:t>
      </w:r>
      <w:r w:rsidR="00386D81" w:rsidRPr="00B61255">
        <w:t>to increase the proportion of cases reported and timeliness of reporting</w:t>
      </w:r>
      <w:r w:rsidR="00386D81">
        <w:t xml:space="preserve"> —</w:t>
      </w:r>
      <w:r w:rsidR="00386D81" w:rsidRPr="00B61255">
        <w:t xml:space="preserve"> </w:t>
      </w:r>
      <w:r w:rsidR="00386D81">
        <w:t>f</w:t>
      </w:r>
      <w:r w:rsidR="00386D81" w:rsidRPr="00B61255">
        <w:t>or example</w:t>
      </w:r>
      <w:r w:rsidR="00E94D57">
        <w:t>,</w:t>
      </w:r>
      <w:r w:rsidR="00386D81" w:rsidRPr="00B61255">
        <w:t xml:space="preserve"> through increasing communications to clinicians, </w:t>
      </w:r>
      <w:r w:rsidR="00E94D57">
        <w:t xml:space="preserve">and </w:t>
      </w:r>
      <w:r w:rsidR="00386D81" w:rsidRPr="00B61255">
        <w:t>AFP surveillance expansion to adults (see section</w:t>
      </w:r>
      <w:r w:rsidR="00FF32D3">
        <w:t xml:space="preserve"> </w:t>
      </w:r>
      <w:r w:rsidR="00FF32D3">
        <w:fldChar w:fldCharType="begin"/>
      </w:r>
      <w:r w:rsidR="00FF32D3">
        <w:instrText xml:space="preserve"> REF _Ref147146718 \r \h </w:instrText>
      </w:r>
      <w:r w:rsidR="00FF32D3">
        <w:fldChar w:fldCharType="separate"/>
      </w:r>
      <w:r w:rsidR="009B1F81">
        <w:t>1.5.2</w:t>
      </w:r>
      <w:r w:rsidR="00FF32D3">
        <w:fldChar w:fldCharType="end"/>
      </w:r>
      <w:r w:rsidR="00386D81" w:rsidRPr="00B61255">
        <w:t xml:space="preserve"> for further details). </w:t>
      </w:r>
    </w:p>
    <w:p w14:paraId="38AEBF5B" w14:textId="77777777" w:rsidR="00386D81" w:rsidRPr="00B61255" w:rsidRDefault="00386D81" w:rsidP="000F2AF2">
      <w:pPr>
        <w:pStyle w:val="Heading3"/>
      </w:pPr>
      <w:r w:rsidRPr="00B61255">
        <w:t>Communications</w:t>
      </w:r>
    </w:p>
    <w:p w14:paraId="5D959305" w14:textId="550A959F" w:rsidR="00386D81" w:rsidRPr="00B61255" w:rsidRDefault="006A08FA" w:rsidP="00386D81">
      <w:r>
        <w:t xml:space="preserve">If there was detection of poliovirus in an AFP case we will refer to key messaging and responses </w:t>
      </w:r>
      <w:r w:rsidR="00386D81" w:rsidRPr="00184D75">
        <w:t>within a detailed communications plan.</w:t>
      </w:r>
      <w:r>
        <w:t xml:space="preserve"> However the g</w:t>
      </w:r>
      <w:r w:rsidR="00386D81" w:rsidRPr="00B61255">
        <w:t xml:space="preserve">eneral principles </w:t>
      </w:r>
      <w:r w:rsidR="00386D81">
        <w:t xml:space="preserve">are the same </w:t>
      </w:r>
      <w:r w:rsidR="00386D81" w:rsidRPr="00B61255">
        <w:t xml:space="preserve">as for detection in wastewater testing (section </w:t>
      </w:r>
      <w:r w:rsidR="00386D81">
        <w:fldChar w:fldCharType="begin"/>
      </w:r>
      <w:r w:rsidR="00386D81">
        <w:instrText xml:space="preserve"> REF _Ref146704495 \r \h </w:instrText>
      </w:r>
      <w:r w:rsidR="00386D81">
        <w:fldChar w:fldCharType="separate"/>
      </w:r>
      <w:r w:rsidR="009B1F81">
        <w:t>3.2</w:t>
      </w:r>
      <w:r w:rsidR="00386D81">
        <w:fldChar w:fldCharType="end"/>
      </w:r>
      <w:r w:rsidR="00386D81" w:rsidRPr="00B61255">
        <w:t>)</w:t>
      </w:r>
      <w:r w:rsidR="00386D81">
        <w:t>.</w:t>
      </w:r>
      <w:r>
        <w:t xml:space="preserve"> Any communications around a confirmed case of poliovirus in an AFP case would need to be done </w:t>
      </w:r>
      <w:r w:rsidR="00386D81" w:rsidRPr="00B61255">
        <w:t xml:space="preserve">with consideration of anxiety that may emerge </w:t>
      </w:r>
      <w:r w:rsidR="00CF55DC">
        <w:t xml:space="preserve">because of the </w:t>
      </w:r>
      <w:r w:rsidR="00386D81" w:rsidRPr="00B61255">
        <w:t xml:space="preserve">historical memory and lived experience for some communities, whānau and individuals. </w:t>
      </w:r>
    </w:p>
    <w:p w14:paraId="4E36139D" w14:textId="77777777" w:rsidR="00386D81" w:rsidRPr="00B61255" w:rsidRDefault="00386D81" w:rsidP="00AA2D6A">
      <w:pPr>
        <w:pStyle w:val="Heading2"/>
        <w:rPr>
          <w:lang w:eastAsia="en-US"/>
        </w:rPr>
      </w:pPr>
      <w:bookmarkStart w:id="121" w:name="_Toc132616750"/>
      <w:bookmarkStart w:id="122" w:name="_Toc146541117"/>
      <w:bookmarkStart w:id="123" w:name="_Toc147242147"/>
      <w:r w:rsidRPr="00B61255">
        <w:rPr>
          <w:lang w:eastAsia="en-US"/>
        </w:rPr>
        <w:t>Facility-related exposure to live polioviruses</w:t>
      </w:r>
      <w:bookmarkEnd w:id="121"/>
      <w:bookmarkEnd w:id="122"/>
      <w:bookmarkEnd w:id="123"/>
    </w:p>
    <w:p w14:paraId="2CA878C2" w14:textId="0BE5F218" w:rsidR="00386D81" w:rsidRPr="00B61255" w:rsidRDefault="00386D81" w:rsidP="00386D81">
      <w:r w:rsidRPr="00B61255">
        <w:t xml:space="preserve">If there was a known </w:t>
      </w:r>
      <w:bookmarkStart w:id="124" w:name="_Hlk147150794"/>
      <w:r w:rsidRPr="00B61255">
        <w:t>facility-related exposure to a live poliovirus</w:t>
      </w:r>
      <w:bookmarkEnd w:id="124"/>
      <w:r w:rsidRPr="00B61255">
        <w:t>, the WHO has</w:t>
      </w:r>
      <w:r w:rsidRPr="00213D17">
        <w:t xml:space="preserve"> </w:t>
      </w:r>
      <w:r w:rsidRPr="00184D75">
        <w:t>detailed guidance</w:t>
      </w:r>
      <w:r w:rsidRPr="00213D17">
        <w:t xml:space="preserve"> for</w:t>
      </w:r>
      <w:r w:rsidRPr="00B61255">
        <w:t xml:space="preserve"> the public health response.</w:t>
      </w:r>
      <w:r>
        <w:rPr>
          <w:rStyle w:val="FootnoteReference"/>
        </w:rPr>
        <w:footnoteReference w:id="25"/>
      </w:r>
      <w:r w:rsidRPr="00B61255">
        <w:t xml:space="preserve"> </w:t>
      </w:r>
      <w:r>
        <w:t>The m</w:t>
      </w:r>
      <w:r w:rsidRPr="00B61255">
        <w:t>ain components or strategies used to respond to a breach of containment and prevent the potential establishment of further transmission include:</w:t>
      </w:r>
    </w:p>
    <w:p w14:paraId="562D67D8" w14:textId="77777777" w:rsidR="00386D81" w:rsidRPr="00B61255" w:rsidRDefault="00386D81" w:rsidP="00386D81">
      <w:pPr>
        <w:pStyle w:val="Bullet"/>
      </w:pPr>
      <w:r w:rsidRPr="00B61255">
        <w:t>risk assessment</w:t>
      </w:r>
    </w:p>
    <w:p w14:paraId="26F59A3E" w14:textId="0F85299C" w:rsidR="00386D81" w:rsidRPr="00B61255" w:rsidRDefault="00386D81" w:rsidP="00386D81">
      <w:pPr>
        <w:pStyle w:val="Bullet"/>
      </w:pPr>
      <w:r w:rsidRPr="00B61255">
        <w:t xml:space="preserve">isolation of exposed persons and quarantine of their contacts, </w:t>
      </w:r>
      <w:r w:rsidR="00C373A5">
        <w:t xml:space="preserve">and </w:t>
      </w:r>
      <w:r w:rsidRPr="00B61255">
        <w:t xml:space="preserve">stool and throat sample analyses to assess </w:t>
      </w:r>
      <w:r w:rsidRPr="00046C16">
        <w:t>poliovirus</w:t>
      </w:r>
      <w:r w:rsidRPr="00B61255">
        <w:t xml:space="preserve"> shedding</w:t>
      </w:r>
    </w:p>
    <w:p w14:paraId="372B0F05" w14:textId="77777777" w:rsidR="00386D81" w:rsidRDefault="00386D81" w:rsidP="00386D81">
      <w:pPr>
        <w:pStyle w:val="Bullet"/>
      </w:pPr>
      <w:r w:rsidRPr="00B61255">
        <w:t>infection control and disinfection</w:t>
      </w:r>
    </w:p>
    <w:p w14:paraId="3C02CBD8" w14:textId="42F61B0A" w:rsidR="00723204" w:rsidRPr="00B61255" w:rsidRDefault="00723204" w:rsidP="00723204">
      <w:pPr>
        <w:pStyle w:val="Bullet"/>
      </w:pPr>
      <w:r w:rsidRPr="00B61255">
        <w:t>education of health care workers and cleaning staff</w:t>
      </w:r>
      <w:r>
        <w:t>.</w:t>
      </w:r>
    </w:p>
    <w:p w14:paraId="09EC0C22" w14:textId="77777777" w:rsidR="00386D81" w:rsidRDefault="00386D81" w:rsidP="00386D81">
      <w:pPr>
        <w:pStyle w:val="Bullet"/>
      </w:pPr>
      <w:r w:rsidRPr="00B61255">
        <w:t>targeted vaccination</w:t>
      </w:r>
      <w:r>
        <w:t>.</w:t>
      </w:r>
    </w:p>
    <w:p w14:paraId="045C095C" w14:textId="260FF09E" w:rsidR="00723204" w:rsidRPr="00B61255" w:rsidRDefault="00723204" w:rsidP="00723204">
      <w:pPr>
        <w:pStyle w:val="Bullet"/>
        <w:rPr>
          <w:lang w:eastAsia="en-US"/>
        </w:rPr>
      </w:pPr>
      <w:r w:rsidRPr="00B61255">
        <w:rPr>
          <w:lang w:eastAsia="en-US"/>
        </w:rPr>
        <w:lastRenderedPageBreak/>
        <w:t>communications (</w:t>
      </w:r>
      <w:r>
        <w:t>n</w:t>
      </w:r>
      <w:r w:rsidRPr="00B61255">
        <w:t xml:space="preserve">oting that the </w:t>
      </w:r>
      <w:r>
        <w:t>identity</w:t>
      </w:r>
      <w:r w:rsidRPr="00B61255">
        <w:t xml:space="preserve"> of concerned individuals should only be shared on a need-to-know basis (</w:t>
      </w:r>
      <w:r>
        <w:t>eg,</w:t>
      </w:r>
      <w:r w:rsidRPr="00B61255">
        <w:t xml:space="preserve"> not released to the public) as </w:t>
      </w:r>
      <w:r>
        <w:t xml:space="preserve">it </w:t>
      </w:r>
      <w:r w:rsidRPr="00B61255">
        <w:t>may expose them to stigma and discrimination)</w:t>
      </w:r>
    </w:p>
    <w:p w14:paraId="3F9A3B9C" w14:textId="77777777" w:rsidR="00386D81" w:rsidRPr="00B61255" w:rsidRDefault="00386D81" w:rsidP="00386D81"/>
    <w:p w14:paraId="1AED9F8C" w14:textId="77777777" w:rsidR="00386D81" w:rsidRPr="00B61255" w:rsidRDefault="00386D81" w:rsidP="00386D81">
      <w:r w:rsidRPr="00B61255">
        <w:t>Critical factors for success of this response include timeliness of:</w:t>
      </w:r>
    </w:p>
    <w:p w14:paraId="290E8977" w14:textId="77777777" w:rsidR="00386D81" w:rsidRPr="00B61255" w:rsidRDefault="00386D81" w:rsidP="00386D81">
      <w:pPr>
        <w:pStyle w:val="Bullet"/>
      </w:pPr>
      <w:r w:rsidRPr="00B61255">
        <w:t>recognition and reporting of the incident</w:t>
      </w:r>
    </w:p>
    <w:p w14:paraId="2DBC5846" w14:textId="77777777" w:rsidR="00386D81" w:rsidRPr="00B61255" w:rsidRDefault="00386D81" w:rsidP="00386D81">
      <w:pPr>
        <w:pStyle w:val="Bullet"/>
      </w:pPr>
      <w:r w:rsidRPr="00B61255">
        <w:t>thorough and prompt risk assessment of contaminant breach (preferably within 48 hour</w:t>
      </w:r>
      <w:r>
        <w:t>s</w:t>
      </w:r>
      <w:r w:rsidRPr="00B61255">
        <w:t xml:space="preserve"> of a breach)</w:t>
      </w:r>
    </w:p>
    <w:p w14:paraId="2D933831" w14:textId="029A0391" w:rsidR="00386D81" w:rsidRPr="00B61255" w:rsidRDefault="00386D81" w:rsidP="00386D81">
      <w:pPr>
        <w:pStyle w:val="Bullet"/>
      </w:pPr>
      <w:r w:rsidRPr="00B61255">
        <w:t xml:space="preserve">identification </w:t>
      </w:r>
      <w:r>
        <w:t xml:space="preserve">of </w:t>
      </w:r>
      <w:r w:rsidRPr="00B61255">
        <w:t>source</w:t>
      </w:r>
    </w:p>
    <w:p w14:paraId="03DF8393" w14:textId="77777777" w:rsidR="00386D81" w:rsidRPr="00B61255" w:rsidRDefault="00386D81" w:rsidP="00386D81">
      <w:pPr>
        <w:pStyle w:val="Bullet"/>
      </w:pPr>
      <w:r w:rsidRPr="00B61255">
        <w:t>root cause analysis of the breach and its rectification</w:t>
      </w:r>
      <w:r>
        <w:t>,</w:t>
      </w:r>
      <w:r w:rsidRPr="00B61255">
        <w:t xml:space="preserve"> including prevention of recurrence</w:t>
      </w:r>
    </w:p>
    <w:p w14:paraId="4017BE98" w14:textId="08D1C0AE" w:rsidR="008B51CC" w:rsidRDefault="00386D81" w:rsidP="008B51CC">
      <w:pPr>
        <w:pStyle w:val="Bullet"/>
      </w:pPr>
      <w:r w:rsidRPr="00B61255">
        <w:t>identification of all polio exposed or infected persons</w:t>
      </w:r>
      <w:r>
        <w:t xml:space="preserve"> — </w:t>
      </w:r>
      <w:r w:rsidRPr="00B61255">
        <w:t>case and contact management</w:t>
      </w:r>
      <w:r w:rsidR="008B51CC">
        <w:t xml:space="preserve"> including</w:t>
      </w:r>
      <w:r w:rsidRPr="00B61255">
        <w:t xml:space="preserve"> </w:t>
      </w:r>
      <w:r w:rsidR="001871AD">
        <w:t>actions such as</w:t>
      </w:r>
      <w:r w:rsidR="008B51CC">
        <w:t>:</w:t>
      </w:r>
    </w:p>
    <w:p w14:paraId="157D8BC2" w14:textId="40618780" w:rsidR="008B51CC" w:rsidRDefault="00386D81" w:rsidP="00184D75">
      <w:pPr>
        <w:pStyle w:val="Dash"/>
      </w:pPr>
      <w:r w:rsidRPr="00B61255">
        <w:t xml:space="preserve">isolation or quarantine where </w:t>
      </w:r>
      <w:r w:rsidR="008B51CC" w:rsidRPr="00B61255">
        <w:t>indicat</w:t>
      </w:r>
      <w:r w:rsidR="008B51CC">
        <w:t>ed</w:t>
      </w:r>
    </w:p>
    <w:p w14:paraId="3A2385D6" w14:textId="789801CD" w:rsidR="008B51CC" w:rsidRDefault="008B51CC" w:rsidP="00184D75">
      <w:pPr>
        <w:pStyle w:val="Dash"/>
      </w:pPr>
      <w:r>
        <w:t>t</w:t>
      </w:r>
      <w:r w:rsidR="00386D81" w:rsidRPr="00B61255">
        <w:t>esting</w:t>
      </w:r>
    </w:p>
    <w:p w14:paraId="30C754BA" w14:textId="013544EE" w:rsidR="00386D81" w:rsidRPr="00B61255" w:rsidRDefault="008B51CC" w:rsidP="00184D75">
      <w:pPr>
        <w:pStyle w:val="Dash"/>
      </w:pPr>
      <w:r>
        <w:t>v</w:t>
      </w:r>
      <w:r w:rsidR="00386D81" w:rsidRPr="00B61255">
        <w:t>accination of exposed persons and contacts where appropriate</w:t>
      </w:r>
      <w:r>
        <w:t>.</w:t>
      </w:r>
    </w:p>
    <w:p w14:paraId="07D084B4" w14:textId="77777777" w:rsidR="00386D81" w:rsidRPr="00B61255" w:rsidRDefault="00386D81" w:rsidP="00386D81"/>
    <w:p w14:paraId="657FA669" w14:textId="39C7BCD5" w:rsidR="00386D81" w:rsidRPr="00184D75" w:rsidRDefault="00386D81" w:rsidP="00386D81">
      <w:r w:rsidRPr="00184D75">
        <w:t>Risk assessment of the poliovirus exposure may include:</w:t>
      </w:r>
    </w:p>
    <w:p w14:paraId="7A61FF03" w14:textId="1E377811" w:rsidR="00386D81" w:rsidRPr="00B61255" w:rsidRDefault="00386D81" w:rsidP="00184D75">
      <w:pPr>
        <w:pStyle w:val="Bullet"/>
      </w:pPr>
      <w:r>
        <w:t>c</w:t>
      </w:r>
      <w:r w:rsidRPr="00B61255">
        <w:t>haracteristics of the breach</w:t>
      </w:r>
      <w:r>
        <w:t xml:space="preserve">, </w:t>
      </w:r>
      <w:r w:rsidRPr="00B61255">
        <w:t xml:space="preserve">including type of </w:t>
      </w:r>
      <w:r w:rsidRPr="00046C16">
        <w:t>poliovirus</w:t>
      </w:r>
      <w:r w:rsidRPr="00B61255">
        <w:t xml:space="preserve"> with a contaminant breach or exposure anywhere involving WPV2 or VDPV2 being assessed as very high risk</w:t>
      </w:r>
      <w:r>
        <w:t xml:space="preserve"> — </w:t>
      </w:r>
      <w:r w:rsidRPr="00B61255">
        <w:t>other high risk exposures include</w:t>
      </w:r>
      <w:r>
        <w:t xml:space="preserve"> </w:t>
      </w:r>
      <w:r w:rsidRPr="00923FC3">
        <w:t>any exposure involving</w:t>
      </w:r>
      <w:r w:rsidRPr="00B61255">
        <w:t>:</w:t>
      </w:r>
    </w:p>
    <w:p w14:paraId="1C811732" w14:textId="44004CCB" w:rsidR="00386D81" w:rsidRPr="00923FC3" w:rsidRDefault="00386D81" w:rsidP="00184D75">
      <w:pPr>
        <w:pStyle w:val="Dash"/>
      </w:pPr>
      <w:r w:rsidRPr="00923FC3">
        <w:t>WPV1/VDPV1 or WPV3/VDPV3</w:t>
      </w:r>
    </w:p>
    <w:p w14:paraId="1F638B71" w14:textId="36FB02F5" w:rsidR="00386D81" w:rsidRPr="00923FC3" w:rsidRDefault="00386D81" w:rsidP="00184D75">
      <w:pPr>
        <w:pStyle w:val="Dash"/>
      </w:pPr>
      <w:r w:rsidRPr="00923FC3">
        <w:t xml:space="preserve">Sabin-like 2, in a country with inadequate type 2 immunity (less than 90% IPV coverage) </w:t>
      </w:r>
    </w:p>
    <w:p w14:paraId="48E94352" w14:textId="77777777" w:rsidR="00386D81" w:rsidRPr="00B61255" w:rsidRDefault="00386D81" w:rsidP="00386D81">
      <w:pPr>
        <w:pStyle w:val="Bullet"/>
      </w:pPr>
      <w:r w:rsidRPr="00B61255">
        <w:t>pathway of exposure</w:t>
      </w:r>
    </w:p>
    <w:p w14:paraId="37C86F64" w14:textId="77777777" w:rsidR="00386D81" w:rsidRPr="00B61255" w:rsidRDefault="00386D81" w:rsidP="00386D81">
      <w:pPr>
        <w:pStyle w:val="Bullet"/>
      </w:pPr>
      <w:r w:rsidRPr="00B61255">
        <w:t>use of adequate personal protective equipment</w:t>
      </w:r>
    </w:p>
    <w:p w14:paraId="1F661790" w14:textId="77777777" w:rsidR="00386D81" w:rsidRPr="00B61255" w:rsidRDefault="00386D81" w:rsidP="00386D81">
      <w:pPr>
        <w:pStyle w:val="Bullet"/>
      </w:pPr>
      <w:r w:rsidRPr="00B61255">
        <w:t>time elapsed since the breach</w:t>
      </w:r>
    </w:p>
    <w:p w14:paraId="2AA2A6B0" w14:textId="1E6D8062" w:rsidR="00386D81" w:rsidRPr="00B61255" w:rsidRDefault="00386D81" w:rsidP="00386D81">
      <w:pPr>
        <w:pStyle w:val="Bullet"/>
      </w:pPr>
      <w:r w:rsidRPr="00B61255">
        <w:t xml:space="preserve">community context </w:t>
      </w:r>
      <w:r>
        <w:t>(eg, s</w:t>
      </w:r>
      <w:r w:rsidRPr="00B61255">
        <w:t>ubpopulations at high risks</w:t>
      </w:r>
      <w:r>
        <w:t>)</w:t>
      </w:r>
      <w:r w:rsidRPr="00B61255">
        <w:t xml:space="preserve"> </w:t>
      </w:r>
    </w:p>
    <w:p w14:paraId="3CE16A55" w14:textId="43366505" w:rsidR="00386D81" w:rsidRPr="00056D12" w:rsidRDefault="00386D81" w:rsidP="00386D81">
      <w:pPr>
        <w:pStyle w:val="Bullet"/>
      </w:pPr>
      <w:r w:rsidRPr="00184D75">
        <w:t>other factors that are part of case and contact management</w:t>
      </w:r>
      <w:r w:rsidRPr="00056D12">
        <w:t xml:space="preserve"> (eg, immunisation history, travel history)</w:t>
      </w:r>
    </w:p>
    <w:p w14:paraId="2EB901CB" w14:textId="76285B48" w:rsidR="00386D81" w:rsidRPr="00B61255" w:rsidRDefault="00386D81" w:rsidP="00386D81">
      <w:pPr>
        <w:pStyle w:val="Bullet"/>
      </w:pPr>
      <w:r w:rsidRPr="00184D75">
        <w:t>contact tracing</w:t>
      </w:r>
      <w:r w:rsidRPr="00056D12">
        <w:t xml:space="preserve"> to limit potential spread of poliovirus (please see </w:t>
      </w:r>
      <w:r w:rsidRPr="00184D75">
        <w:rPr>
          <w:i/>
          <w:iCs/>
        </w:rPr>
        <w:t>Communicable Disease Control Manual</w:t>
      </w:r>
      <w:r w:rsidRPr="005D1B69">
        <w:t xml:space="preserve"> </w:t>
      </w:r>
      <w:r w:rsidRPr="00B61255">
        <w:t>for further details</w:t>
      </w:r>
      <w:r>
        <w:t>)</w:t>
      </w:r>
      <w:r w:rsidRPr="00B61255">
        <w:t>.</w:t>
      </w:r>
    </w:p>
    <w:p w14:paraId="0A868418" w14:textId="77777777" w:rsidR="00386D81" w:rsidRPr="00B61255" w:rsidRDefault="00386D81" w:rsidP="000F2AF2">
      <w:pPr>
        <w:pStyle w:val="Heading3"/>
      </w:pPr>
      <w:r w:rsidRPr="00B61255">
        <w:t>Enhanced microbiological surveillance</w:t>
      </w:r>
    </w:p>
    <w:p w14:paraId="65863ACC" w14:textId="6F68BDE0" w:rsidR="00386D81" w:rsidRPr="00B61255" w:rsidRDefault="00386D81" w:rsidP="00386D81">
      <w:r w:rsidRPr="00B61255">
        <w:t>I</w:t>
      </w:r>
      <w:r w:rsidR="00DC6B54">
        <w:t>f there was a</w:t>
      </w:r>
      <w:r w:rsidRPr="00B61255">
        <w:t xml:space="preserve"> </w:t>
      </w:r>
      <w:r w:rsidR="00DC6B54" w:rsidRPr="00DC6B54">
        <w:t>facility-related exposure to a live poliovirus</w:t>
      </w:r>
      <w:r w:rsidR="00DC6B54">
        <w:t xml:space="preserve"> we would</w:t>
      </w:r>
      <w:r w:rsidRPr="00B61255">
        <w:t>:</w:t>
      </w:r>
    </w:p>
    <w:p w14:paraId="301754B1" w14:textId="0A18D322" w:rsidR="00571C73" w:rsidRDefault="00386D81" w:rsidP="00571C73">
      <w:pPr>
        <w:pStyle w:val="Bullet"/>
      </w:pPr>
      <w:r w:rsidRPr="00B61255">
        <w:rPr>
          <w:b/>
          <w:bCs/>
        </w:rPr>
        <w:t xml:space="preserve">alert diagnostic laboratories in the area to the possibility of </w:t>
      </w:r>
      <w:r w:rsidRPr="00046C16">
        <w:rPr>
          <w:b/>
          <w:bCs/>
        </w:rPr>
        <w:t>poliovirus</w:t>
      </w:r>
      <w:r w:rsidRPr="00B61255">
        <w:rPr>
          <w:b/>
          <w:bCs/>
        </w:rPr>
        <w:t xml:space="preserve"> being detected,</w:t>
      </w:r>
      <w:r w:rsidRPr="00B61255">
        <w:t xml:space="preserve"> and plan for referral of specimens to </w:t>
      </w:r>
      <w:r>
        <w:t>facilities</w:t>
      </w:r>
      <w:r w:rsidRPr="00B61255">
        <w:t xml:space="preserve"> with appropriate contaminant</w:t>
      </w:r>
      <w:r w:rsidR="008E0568">
        <w:t xml:space="preserve"> capabilities</w:t>
      </w:r>
    </w:p>
    <w:p w14:paraId="357C44B1" w14:textId="215AB67B" w:rsidR="00DC6B54" w:rsidRPr="00B61255" w:rsidRDefault="00386D81" w:rsidP="00571C73">
      <w:pPr>
        <w:pStyle w:val="Bullet"/>
      </w:pPr>
      <w:r w:rsidRPr="00571C73">
        <w:rPr>
          <w:b/>
          <w:bCs/>
        </w:rPr>
        <w:t>consider enhanced wastewater testing</w:t>
      </w:r>
      <w:r w:rsidRPr="00B61255">
        <w:t xml:space="preserve"> </w:t>
      </w:r>
      <w:r w:rsidR="00DC6B54" w:rsidRPr="00DC6B54">
        <w:t>around facility or community of exposed persons</w:t>
      </w:r>
      <w:r w:rsidR="00DC6B54">
        <w:t xml:space="preserve"> for a limited duration, which may be</w:t>
      </w:r>
      <w:r w:rsidR="00DC6B54" w:rsidRPr="00DC6B54">
        <w:t xml:space="preserve"> </w:t>
      </w:r>
      <w:r w:rsidRPr="00B61255">
        <w:t xml:space="preserve">in consultation with </w:t>
      </w:r>
      <w:r>
        <w:t xml:space="preserve">the </w:t>
      </w:r>
      <w:r w:rsidRPr="00B61255">
        <w:t>WHO regional office.</w:t>
      </w:r>
      <w:r w:rsidR="00DC6B54">
        <w:t xml:space="preserve"> </w:t>
      </w:r>
    </w:p>
    <w:p w14:paraId="07B2FDFB" w14:textId="77777777" w:rsidR="00386D81" w:rsidRPr="00B61255" w:rsidRDefault="00386D81" w:rsidP="00184D75">
      <w:pPr>
        <w:pStyle w:val="Bullet"/>
        <w:numPr>
          <w:ilvl w:val="0"/>
          <w:numId w:val="0"/>
        </w:numPr>
        <w:ind w:left="284"/>
      </w:pPr>
    </w:p>
    <w:p w14:paraId="78C642F3" w14:textId="77777777" w:rsidR="00386D81" w:rsidRPr="00B61255" w:rsidRDefault="00386D81" w:rsidP="00386D81">
      <w:r w:rsidRPr="00B61255">
        <w:t xml:space="preserve">All actions would need to be discussed with ESR, relevant laboratories and associated stakeholders, and may require activation of a laboratory surge plan. </w:t>
      </w:r>
    </w:p>
    <w:p w14:paraId="69034A07" w14:textId="77777777" w:rsidR="00386D81" w:rsidRPr="00B61255" w:rsidRDefault="00386D81" w:rsidP="000F2AF2">
      <w:pPr>
        <w:pStyle w:val="Heading3"/>
      </w:pPr>
      <w:r w:rsidRPr="00B61255">
        <w:lastRenderedPageBreak/>
        <w:t>Enhanced AFP surveillance</w:t>
      </w:r>
    </w:p>
    <w:p w14:paraId="3E3BE228" w14:textId="28E22237" w:rsidR="00386D81" w:rsidRPr="00270316" w:rsidRDefault="00DC6B54" w:rsidP="00184D75">
      <w:r w:rsidRPr="00184D75">
        <w:t>Following a facility-related exposure to a live poliovirus we may</w:t>
      </w:r>
      <w:r>
        <w:rPr>
          <w:b/>
          <w:bCs/>
        </w:rPr>
        <w:t xml:space="preserve"> consider</w:t>
      </w:r>
      <w:r w:rsidR="00386D81" w:rsidRPr="00B61255">
        <w:rPr>
          <w:b/>
          <w:bCs/>
        </w:rPr>
        <w:t xml:space="preserve"> </w:t>
      </w:r>
      <w:r w:rsidR="00B01580" w:rsidRPr="00184D75">
        <w:t xml:space="preserve">enhanced </w:t>
      </w:r>
      <w:r w:rsidR="00386D81" w:rsidRPr="00184D75">
        <w:t>clinical surveillance/active case</w:t>
      </w:r>
      <w:r w:rsidR="00B01580">
        <w:t xml:space="preserve"> finding</w:t>
      </w:r>
      <w:r w:rsidR="00386D81" w:rsidRPr="00184D75">
        <w:t xml:space="preserve"> </w:t>
      </w:r>
      <w:r w:rsidR="00386D81" w:rsidRPr="00B61255">
        <w:t xml:space="preserve">(see </w:t>
      </w:r>
      <w:r w:rsidR="00386D81" w:rsidRPr="00184D75">
        <w:t xml:space="preserve">section </w:t>
      </w:r>
      <w:r w:rsidR="004A4DC9">
        <w:fldChar w:fldCharType="begin"/>
      </w:r>
      <w:r w:rsidR="004A4DC9">
        <w:instrText xml:space="preserve"> REF _Ref147146718 \r \h </w:instrText>
      </w:r>
      <w:r w:rsidR="004A4DC9">
        <w:fldChar w:fldCharType="separate"/>
      </w:r>
      <w:r w:rsidR="009B1F81">
        <w:t>1.5.2</w:t>
      </w:r>
      <w:r w:rsidR="004A4DC9">
        <w:fldChar w:fldCharType="end"/>
      </w:r>
      <w:r w:rsidR="004A4DC9">
        <w:t xml:space="preserve"> </w:t>
      </w:r>
      <w:r w:rsidR="00386D81" w:rsidRPr="00270316">
        <w:t>for further details).</w:t>
      </w:r>
    </w:p>
    <w:p w14:paraId="1A5FFCCA" w14:textId="77777777" w:rsidR="00386D81" w:rsidRPr="00B61255" w:rsidRDefault="00386D81" w:rsidP="000F2AF2">
      <w:pPr>
        <w:pStyle w:val="Heading3"/>
      </w:pPr>
      <w:r w:rsidRPr="00B61255">
        <w:t>Communications</w:t>
      </w:r>
    </w:p>
    <w:p w14:paraId="6F718634" w14:textId="3C88F9DC" w:rsidR="00386D81" w:rsidRPr="00B61255" w:rsidRDefault="00386D81" w:rsidP="00386D81">
      <w:r w:rsidRPr="00B61255">
        <w:t>A breach</w:t>
      </w:r>
      <w:r w:rsidR="00027C47">
        <w:t xml:space="preserve"> in containment</w:t>
      </w:r>
      <w:r w:rsidRPr="00B61255">
        <w:t xml:space="preserve"> may elicit media interest </w:t>
      </w:r>
      <w:r>
        <w:t>that</w:t>
      </w:r>
      <w:r w:rsidRPr="00B61255">
        <w:t xml:space="preserve"> </w:t>
      </w:r>
      <w:r w:rsidR="0060264F">
        <w:t>needs</w:t>
      </w:r>
      <w:r w:rsidRPr="00B61255">
        <w:t xml:space="preserve"> to be addressed</w:t>
      </w:r>
      <w:r w:rsidR="001B0C02">
        <w:t>,</w:t>
      </w:r>
      <w:r w:rsidR="001B0C02" w:rsidRPr="001B0C02">
        <w:t xml:space="preserve"> but </w:t>
      </w:r>
      <w:r w:rsidR="001B0C02">
        <w:t xml:space="preserve">it is </w:t>
      </w:r>
      <w:r w:rsidR="001B0C02" w:rsidRPr="001B0C02">
        <w:t xml:space="preserve">important to keep </w:t>
      </w:r>
      <w:r w:rsidR="001B0C02">
        <w:t>t</w:t>
      </w:r>
      <w:r w:rsidRPr="00B61255">
        <w:t xml:space="preserve">he </w:t>
      </w:r>
      <w:r>
        <w:t>identities</w:t>
      </w:r>
      <w:r w:rsidRPr="00B61255">
        <w:t xml:space="preserve"> of involved persons confidential as far as possible.</w:t>
      </w:r>
    </w:p>
    <w:p w14:paraId="71367B43" w14:textId="6DE64EA0" w:rsidR="00386D81" w:rsidRPr="00B61255" w:rsidRDefault="00386D81" w:rsidP="000F2AF2">
      <w:pPr>
        <w:pStyle w:val="Heading3"/>
      </w:pPr>
      <w:r w:rsidRPr="00B61255">
        <w:t xml:space="preserve">Education of health care workers </w:t>
      </w:r>
      <w:r w:rsidR="001A13C7">
        <w:t>including</w:t>
      </w:r>
      <w:r w:rsidR="001A13C7" w:rsidRPr="00B61255">
        <w:t xml:space="preserve"> </w:t>
      </w:r>
      <w:r w:rsidRPr="00B61255">
        <w:t>cleaning staff</w:t>
      </w:r>
    </w:p>
    <w:p w14:paraId="3FE2579F" w14:textId="27B1F164" w:rsidR="00386D81" w:rsidRPr="00B61255" w:rsidRDefault="001831D5" w:rsidP="00184D75">
      <w:r>
        <w:t xml:space="preserve">In the event of a </w:t>
      </w:r>
      <w:r w:rsidR="00027C47" w:rsidRPr="00027C47">
        <w:t>facility-related exposure to a live poliovirus</w:t>
      </w:r>
      <w:r w:rsidR="00E726E7">
        <w:t xml:space="preserve"> there will need to be</w:t>
      </w:r>
      <w:r w:rsidR="00027C47" w:rsidRPr="00027C47">
        <w:t xml:space="preserve"> </w:t>
      </w:r>
      <w:r w:rsidR="00027C47">
        <w:t xml:space="preserve">education </w:t>
      </w:r>
      <w:r w:rsidR="00E726E7">
        <w:t xml:space="preserve">provided to </w:t>
      </w:r>
      <w:r w:rsidR="002A3097" w:rsidRPr="002A3097">
        <w:t>health care workers including cleaning staff</w:t>
      </w:r>
      <w:r w:rsidR="00E726E7">
        <w:t>, and other staff in the facility</w:t>
      </w:r>
      <w:r w:rsidR="002A3097">
        <w:t xml:space="preserve">. Staff should be </w:t>
      </w:r>
      <w:r w:rsidR="00386D81" w:rsidRPr="00B61255">
        <w:t>reminded of appropriate contact precautions, testing and immunisation</w:t>
      </w:r>
      <w:r w:rsidR="00E726E7">
        <w:t>,</w:t>
      </w:r>
      <w:r w:rsidR="002A3097">
        <w:t xml:space="preserve"> and </w:t>
      </w:r>
      <w:r w:rsidR="00386D81" w:rsidRPr="00B61255">
        <w:t>refer</w:t>
      </w:r>
      <w:r w:rsidR="00E726E7">
        <w:t>red</w:t>
      </w:r>
      <w:r w:rsidR="00386D81" w:rsidRPr="00B61255">
        <w:t xml:space="preserve"> to </w:t>
      </w:r>
      <w:r w:rsidR="00386D81">
        <w:t>i</w:t>
      </w:r>
      <w:r w:rsidR="00386D81" w:rsidRPr="00B61255">
        <w:t xml:space="preserve">nfection </w:t>
      </w:r>
      <w:r w:rsidR="00386D81">
        <w:t>p</w:t>
      </w:r>
      <w:r w:rsidR="00386D81" w:rsidRPr="00B61255">
        <w:t xml:space="preserve">revention and </w:t>
      </w:r>
      <w:r w:rsidR="00386D81">
        <w:t>c</w:t>
      </w:r>
      <w:r w:rsidR="00386D81" w:rsidRPr="00B61255">
        <w:t xml:space="preserve">ontrol (IPC) guidance (see </w:t>
      </w:r>
      <w:r w:rsidR="00386D81" w:rsidRPr="00D777E3">
        <w:t>Communicable Disease Control Manual</w:t>
      </w:r>
      <w:r w:rsidR="00386D81" w:rsidRPr="00B61255">
        <w:t xml:space="preserve">). </w:t>
      </w:r>
    </w:p>
    <w:p w14:paraId="69484ED1" w14:textId="77777777" w:rsidR="00386D81" w:rsidRPr="00B61255" w:rsidRDefault="00386D81" w:rsidP="000F2AF2">
      <w:pPr>
        <w:pStyle w:val="Heading3"/>
      </w:pPr>
      <w:r w:rsidRPr="00B61255">
        <w:t>Immunisation</w:t>
      </w:r>
    </w:p>
    <w:p w14:paraId="1604A2E3" w14:textId="6DD0E337" w:rsidR="00386D81" w:rsidRPr="00B61255" w:rsidRDefault="00B01580" w:rsidP="00386D81">
      <w:r w:rsidRPr="00B01580">
        <w:t>If there was a facility-related exposure to a live poliovirus we would</w:t>
      </w:r>
      <w:r>
        <w:t xml:space="preserve"> ensure a</w:t>
      </w:r>
      <w:r w:rsidR="00386D81" w:rsidRPr="00B61255">
        <w:t xml:space="preserve">ppropriate vaccination of exposed persons (as per </w:t>
      </w:r>
      <w:r w:rsidR="00386D81" w:rsidRPr="00184D75">
        <w:rPr>
          <w:i/>
          <w:iCs/>
        </w:rPr>
        <w:t>Communicable Disease Control Manual</w:t>
      </w:r>
      <w:r w:rsidR="00386D81" w:rsidRPr="00B61255">
        <w:t xml:space="preserve">). </w:t>
      </w:r>
    </w:p>
    <w:p w14:paraId="4AE994B6" w14:textId="77777777" w:rsidR="00386D81" w:rsidRPr="00B61255" w:rsidRDefault="00386D81" w:rsidP="00386D81"/>
    <w:p w14:paraId="7DFAF76F" w14:textId="01A99E42" w:rsidR="00386D81" w:rsidRPr="00B61255" w:rsidRDefault="008A7082" w:rsidP="00386D81">
      <w:r>
        <w:t>Depending on the risk assessment t</w:t>
      </w:r>
      <w:r w:rsidR="00386D81" w:rsidRPr="00B61255">
        <w:t xml:space="preserve">here would </w:t>
      </w:r>
      <w:r>
        <w:t xml:space="preserve">also </w:t>
      </w:r>
      <w:r w:rsidR="00386D81" w:rsidRPr="00B61255">
        <w:t>be consideration of an increased national campaign plus locally targeted campaigns if there was evidence of community transmission.</w:t>
      </w:r>
    </w:p>
    <w:p w14:paraId="1FF35E0E" w14:textId="77777777" w:rsidR="00386D81" w:rsidRPr="00B61255" w:rsidRDefault="00386D81" w:rsidP="00F10F76">
      <w:pPr>
        <w:pStyle w:val="Heading2"/>
        <w:spacing w:before="360"/>
        <w:rPr>
          <w:lang w:eastAsia="en-US"/>
        </w:rPr>
      </w:pPr>
      <w:bookmarkStart w:id="125" w:name="_Toc132616751"/>
      <w:bookmarkStart w:id="126" w:name="_Toc146541118"/>
      <w:bookmarkStart w:id="127" w:name="_Toc147242148"/>
      <w:bookmarkStart w:id="128" w:name="_Hlk124457458"/>
      <w:r w:rsidRPr="00B61255">
        <w:rPr>
          <w:lang w:eastAsia="en-US"/>
        </w:rPr>
        <w:t>Known contact of a case overseas</w:t>
      </w:r>
      <w:bookmarkEnd w:id="125"/>
      <w:bookmarkEnd w:id="126"/>
      <w:bookmarkEnd w:id="127"/>
    </w:p>
    <w:bookmarkEnd w:id="128"/>
    <w:p w14:paraId="566BF4F5" w14:textId="37C0CF1B" w:rsidR="00386D81" w:rsidRPr="00B61255" w:rsidRDefault="00386D81" w:rsidP="00386D81">
      <w:r w:rsidRPr="00B61255">
        <w:t xml:space="preserve">If there was a known contact in Aotearoa of a case identified overseas, the local public health service will lead the investigation, testing and management of the contact (as per the </w:t>
      </w:r>
      <w:r w:rsidR="005C0CE1">
        <w:t>‘</w:t>
      </w:r>
      <w:r w:rsidR="005C0CE1" w:rsidRPr="005C0CE1">
        <w:t>Poliomyelitis</w:t>
      </w:r>
      <w:r w:rsidR="005C0CE1">
        <w:t>’</w:t>
      </w:r>
      <w:r w:rsidRPr="00B61255">
        <w:t xml:space="preserve"> chapter of the </w:t>
      </w:r>
      <w:r w:rsidRPr="00184D75">
        <w:rPr>
          <w:i/>
          <w:iCs/>
        </w:rPr>
        <w:t>Communicable Disease Control Manual</w:t>
      </w:r>
      <w:r w:rsidRPr="00B61255">
        <w:t xml:space="preserve">) </w:t>
      </w:r>
    </w:p>
    <w:p w14:paraId="06A14BDA" w14:textId="77777777" w:rsidR="00386D81" w:rsidRPr="00B61255" w:rsidRDefault="00386D81" w:rsidP="00386D81">
      <w:pPr>
        <w:rPr>
          <w:lang w:eastAsia="en-US"/>
        </w:rPr>
      </w:pPr>
    </w:p>
    <w:p w14:paraId="72037EE6" w14:textId="50DDF519" w:rsidR="00386D81" w:rsidRPr="00B61255" w:rsidRDefault="00386D81" w:rsidP="00184D75">
      <w:pPr>
        <w:rPr>
          <w:lang w:eastAsia="en-US"/>
        </w:rPr>
      </w:pPr>
      <w:r w:rsidRPr="00B61255">
        <w:rPr>
          <w:lang w:eastAsia="en-US"/>
        </w:rPr>
        <w:t xml:space="preserve">National support and coordination will be provided as required and </w:t>
      </w:r>
      <w:r w:rsidRPr="00B61255">
        <w:rPr>
          <w:i/>
          <w:iCs/>
          <w:lang w:eastAsia="en-US"/>
        </w:rPr>
        <w:t xml:space="preserve">may </w:t>
      </w:r>
      <w:r w:rsidRPr="00B61255">
        <w:rPr>
          <w:lang w:eastAsia="en-US"/>
        </w:rPr>
        <w:t>include</w:t>
      </w:r>
      <w:r>
        <w:rPr>
          <w:lang w:eastAsia="en-US"/>
        </w:rPr>
        <w:t xml:space="preserve"> a</w:t>
      </w:r>
      <w:r w:rsidRPr="00B61255">
        <w:rPr>
          <w:lang w:eastAsia="en-US"/>
        </w:rPr>
        <w:t>n Initial Assessment Team (IAT) meeting to determine:</w:t>
      </w:r>
    </w:p>
    <w:p w14:paraId="0B283212" w14:textId="6E10AB87" w:rsidR="00386D81" w:rsidRPr="00B61255" w:rsidRDefault="00386D81" w:rsidP="00184D75">
      <w:pPr>
        <w:pStyle w:val="Bullet"/>
        <w:rPr>
          <w:lang w:eastAsia="en-US"/>
        </w:rPr>
      </w:pPr>
      <w:r>
        <w:rPr>
          <w:lang w:eastAsia="en-US"/>
        </w:rPr>
        <w:t>t</w:t>
      </w:r>
      <w:r w:rsidRPr="00B61255">
        <w:rPr>
          <w:lang w:eastAsia="en-US"/>
        </w:rPr>
        <w:t>he community context</w:t>
      </w:r>
    </w:p>
    <w:p w14:paraId="2015A167" w14:textId="10914605" w:rsidR="00386D81" w:rsidRPr="00B61255" w:rsidRDefault="00386D81" w:rsidP="00184D75">
      <w:pPr>
        <w:pStyle w:val="Bullet"/>
        <w:rPr>
          <w:lang w:eastAsia="en-US"/>
        </w:rPr>
      </w:pPr>
      <w:r>
        <w:rPr>
          <w:lang w:eastAsia="en-US"/>
        </w:rPr>
        <w:t>p</w:t>
      </w:r>
      <w:r w:rsidRPr="00B61255">
        <w:rPr>
          <w:lang w:eastAsia="en-US"/>
        </w:rPr>
        <w:t>otential for unidentified contacts</w:t>
      </w:r>
    </w:p>
    <w:p w14:paraId="78DD9D1E" w14:textId="3037D78E" w:rsidR="00386D81" w:rsidRPr="00B61255" w:rsidRDefault="00386D81" w:rsidP="00184D75">
      <w:pPr>
        <w:pStyle w:val="Bullet"/>
        <w:rPr>
          <w:lang w:eastAsia="en-US"/>
        </w:rPr>
      </w:pPr>
      <w:r>
        <w:rPr>
          <w:lang w:eastAsia="en-US"/>
        </w:rPr>
        <w:t>c</w:t>
      </w:r>
      <w:r w:rsidRPr="00B61255">
        <w:rPr>
          <w:lang w:eastAsia="en-US"/>
        </w:rPr>
        <w:t>ommunication requirements</w:t>
      </w:r>
    </w:p>
    <w:p w14:paraId="68E18AA5" w14:textId="69551CBA" w:rsidR="00386D81" w:rsidRPr="00B61255" w:rsidRDefault="00386D81" w:rsidP="00184D75">
      <w:pPr>
        <w:pStyle w:val="Bullet"/>
        <w:rPr>
          <w:lang w:eastAsia="en-US"/>
        </w:rPr>
      </w:pPr>
      <w:r>
        <w:rPr>
          <w:lang w:eastAsia="en-US"/>
        </w:rPr>
        <w:t>a</w:t>
      </w:r>
      <w:r w:rsidRPr="00B61255">
        <w:rPr>
          <w:lang w:eastAsia="en-US"/>
        </w:rPr>
        <w:t>dditional response activities</w:t>
      </w:r>
      <w:r>
        <w:rPr>
          <w:lang w:eastAsia="en-US"/>
        </w:rPr>
        <w:t>.</w:t>
      </w:r>
    </w:p>
    <w:p w14:paraId="2F90DACC" w14:textId="77777777" w:rsidR="00386D81" w:rsidRPr="00B61255" w:rsidRDefault="00386D81" w:rsidP="00386D81">
      <w:pPr>
        <w:rPr>
          <w:szCs w:val="21"/>
        </w:rPr>
      </w:pPr>
    </w:p>
    <w:p w14:paraId="63268B70" w14:textId="12198E53" w:rsidR="00386D81" w:rsidRPr="00B61255" w:rsidRDefault="00386D81" w:rsidP="00386D81">
      <w:pPr>
        <w:rPr>
          <w:szCs w:val="21"/>
        </w:rPr>
      </w:pPr>
      <w:r w:rsidRPr="00B61255">
        <w:rPr>
          <w:szCs w:val="21"/>
        </w:rPr>
        <w:t>As a result of the IAT</w:t>
      </w:r>
      <w:r w:rsidR="008E0568">
        <w:rPr>
          <w:szCs w:val="21"/>
        </w:rPr>
        <w:t xml:space="preserve"> meeting</w:t>
      </w:r>
      <w:r w:rsidRPr="00B61255">
        <w:rPr>
          <w:szCs w:val="21"/>
        </w:rPr>
        <w:t>, there may be a determination to implement an Incident Management Team (IMT) response to manage various response activities</w:t>
      </w:r>
      <w:r>
        <w:rPr>
          <w:szCs w:val="21"/>
        </w:rPr>
        <w:t>.</w:t>
      </w:r>
    </w:p>
    <w:p w14:paraId="58C044E4" w14:textId="77777777" w:rsidR="00386D81" w:rsidRPr="00B61255" w:rsidRDefault="00386D81" w:rsidP="00386D81">
      <w:pPr>
        <w:rPr>
          <w:szCs w:val="21"/>
        </w:rPr>
      </w:pPr>
    </w:p>
    <w:p w14:paraId="631FCCAC" w14:textId="013C09FA" w:rsidR="00386D81" w:rsidRPr="00B61255" w:rsidRDefault="00386D81" w:rsidP="00386D81">
      <w:r w:rsidRPr="00B61255">
        <w:lastRenderedPageBreak/>
        <w:t>There may be consideration of enhanced surveillance depending on the public health investigation and risk assessment. This could include actions such as:</w:t>
      </w:r>
    </w:p>
    <w:p w14:paraId="55FBC743" w14:textId="7296AD36" w:rsidR="00386D81" w:rsidRPr="00B61255" w:rsidRDefault="00386D81" w:rsidP="00386D81">
      <w:pPr>
        <w:pStyle w:val="Bullet"/>
        <w:rPr>
          <w:lang w:eastAsia="en-US"/>
        </w:rPr>
      </w:pPr>
      <w:r w:rsidRPr="00B61255">
        <w:rPr>
          <w:lang w:eastAsia="en-US"/>
        </w:rPr>
        <w:t xml:space="preserve">increasing sample sites and frequency of </w:t>
      </w:r>
      <w:r>
        <w:rPr>
          <w:lang w:eastAsia="en-US"/>
        </w:rPr>
        <w:t xml:space="preserve">wastewater </w:t>
      </w:r>
      <w:r w:rsidRPr="00B61255">
        <w:rPr>
          <w:lang w:eastAsia="en-US"/>
        </w:rPr>
        <w:t>testing to evaluate presence in time and area</w:t>
      </w:r>
    </w:p>
    <w:p w14:paraId="37183AF2" w14:textId="197FF086" w:rsidR="00386D81" w:rsidRPr="00B61255" w:rsidRDefault="00386D81" w:rsidP="00386D81">
      <w:pPr>
        <w:pStyle w:val="Bullet"/>
      </w:pPr>
      <w:r w:rsidRPr="00B61255">
        <w:t>enhanced enterovirus/microbiological surveillance based on IAT</w:t>
      </w:r>
      <w:r w:rsidR="008E0568">
        <w:t xml:space="preserve"> meeting</w:t>
      </w:r>
      <w:r w:rsidRPr="00B61255">
        <w:t xml:space="preserve"> and assessment of likelihood of unidentified contacts/cases in a community</w:t>
      </w:r>
    </w:p>
    <w:p w14:paraId="2D277ED4" w14:textId="5C3AFA8D" w:rsidR="00386D81" w:rsidRPr="00B61255" w:rsidRDefault="00386D81" w:rsidP="00184D75">
      <w:pPr>
        <w:pStyle w:val="Bullet"/>
      </w:pPr>
      <w:r w:rsidRPr="00184D75">
        <w:t>enhanced clinical surveillance/active case finding.</w:t>
      </w:r>
    </w:p>
    <w:p w14:paraId="5F394755" w14:textId="77777777" w:rsidR="00386D81" w:rsidRPr="00B61255" w:rsidRDefault="00386D81" w:rsidP="00386D81">
      <w:pPr>
        <w:sectPr w:rsidR="00386D81" w:rsidRPr="00B61255" w:rsidSect="004B0366">
          <w:footerReference w:type="even" r:id="rId37"/>
          <w:footerReference w:type="default" r:id="rId38"/>
          <w:pgSz w:w="11907" w:h="16834" w:code="9"/>
          <w:pgMar w:top="1843" w:right="1418" w:bottom="1701" w:left="1134" w:header="284" w:footer="425" w:gutter="284"/>
          <w:cols w:space="720"/>
          <w:docGrid w:linePitch="286"/>
        </w:sectPr>
      </w:pPr>
    </w:p>
    <w:p w14:paraId="33726A30" w14:textId="77777777" w:rsidR="00386D81" w:rsidRPr="00B61255" w:rsidRDefault="00386D81" w:rsidP="00F10F76">
      <w:pPr>
        <w:pStyle w:val="Heading2"/>
        <w:spacing w:before="0"/>
        <w:rPr>
          <w:lang w:eastAsia="en-US"/>
        </w:rPr>
      </w:pPr>
      <w:bookmarkStart w:id="129" w:name="_Toc132616752"/>
      <w:bookmarkStart w:id="130" w:name="_Toc146541119"/>
      <w:bookmarkStart w:id="131" w:name="_Ref146628237"/>
      <w:bookmarkStart w:id="132" w:name="_Ref146635137"/>
      <w:bookmarkStart w:id="133" w:name="_Toc147242149"/>
      <w:r w:rsidRPr="00B61255">
        <w:rPr>
          <w:lang w:eastAsia="en-US"/>
        </w:rPr>
        <w:lastRenderedPageBreak/>
        <w:t>Summary table of key scenarios and potential responses</w:t>
      </w:r>
      <w:bookmarkEnd w:id="129"/>
      <w:bookmarkEnd w:id="130"/>
      <w:bookmarkEnd w:id="131"/>
      <w:bookmarkEnd w:id="132"/>
      <w:bookmarkEnd w:id="133"/>
    </w:p>
    <w:p w14:paraId="476072E7" w14:textId="5DAAE410" w:rsidR="00386D81" w:rsidRPr="00B61255" w:rsidRDefault="00386D81" w:rsidP="00386D81">
      <w:r w:rsidRPr="00B61255">
        <w:t>See</w:t>
      </w:r>
      <w:r w:rsidRPr="005C0CE1">
        <w:t xml:space="preserve"> </w:t>
      </w:r>
      <w:r w:rsidR="005C0CE1">
        <w:t>t</w:t>
      </w:r>
      <w:r w:rsidRPr="00184D75">
        <w:t>he</w:t>
      </w:r>
      <w:r w:rsidRPr="00B61255">
        <w:rPr>
          <w:i/>
          <w:iCs/>
        </w:rPr>
        <w:t xml:space="preserve"> Communicable Disease Control Manual</w:t>
      </w:r>
      <w:r w:rsidRPr="00B61255">
        <w:t xml:space="preserve"> for details of case and contact management.</w:t>
      </w:r>
    </w:p>
    <w:p w14:paraId="5A24DBFC" w14:textId="77777777" w:rsidR="00386D81" w:rsidRPr="00B61255" w:rsidRDefault="00386D81" w:rsidP="00386D81"/>
    <w:p w14:paraId="53184B1B" w14:textId="07B55AE0" w:rsidR="00386D81" w:rsidRPr="00B61255" w:rsidRDefault="00386D81" w:rsidP="00386D81">
      <w:r w:rsidRPr="00B61255">
        <w:t xml:space="preserve">Responses will </w:t>
      </w:r>
      <w:r>
        <w:t>depend</w:t>
      </w:r>
      <w:r w:rsidRPr="00B61255">
        <w:t xml:space="preserve"> on public health risk assessment and associated decision</w:t>
      </w:r>
      <w:r>
        <w:t xml:space="preserve"> </w:t>
      </w:r>
      <w:r w:rsidRPr="00B61255">
        <w:t>making by key stakeholders.</w:t>
      </w:r>
    </w:p>
    <w:p w14:paraId="66062E9C" w14:textId="77777777" w:rsidR="00386D81" w:rsidRPr="00B61255" w:rsidRDefault="00386D81" w:rsidP="00386D81"/>
    <w:p w14:paraId="163714C7" w14:textId="0C8BBD6F" w:rsidR="00386D81" w:rsidRDefault="00386D81" w:rsidP="00386D81">
      <w:r w:rsidRPr="00B61255">
        <w:t xml:space="preserve">Given potential delays in genetic sequencing of </w:t>
      </w:r>
      <w:r w:rsidR="00FB364E">
        <w:t xml:space="preserve">the </w:t>
      </w:r>
      <w:r w:rsidRPr="00B61255">
        <w:t xml:space="preserve">virus, based on the precautionary principle, actions to address a higher risk situation should be considered in </w:t>
      </w:r>
      <w:r w:rsidRPr="00B61255">
        <w:rPr>
          <w:b/>
          <w:bCs/>
        </w:rPr>
        <w:t>any</w:t>
      </w:r>
      <w:r w:rsidRPr="00B61255">
        <w:t xml:space="preserve"> scenario initially. This can then be reassessed as further genetic and epidemiological characterisation becomes available to inform response.</w:t>
      </w:r>
    </w:p>
    <w:p w14:paraId="440DE2C5" w14:textId="77777777" w:rsidR="00CC711F" w:rsidRDefault="00CC711F" w:rsidP="00CC711F"/>
    <w:tbl>
      <w:tblPr>
        <w:tblStyle w:val="TableGrid"/>
        <w:tblW w:w="5000" w:type="pct"/>
        <w:tblLook w:val="04A0" w:firstRow="1" w:lastRow="0" w:firstColumn="1" w:lastColumn="0" w:noHBand="0" w:noVBand="1"/>
      </w:tblPr>
      <w:tblGrid>
        <w:gridCol w:w="1467"/>
        <w:gridCol w:w="1316"/>
        <w:gridCol w:w="1516"/>
        <w:gridCol w:w="1336"/>
        <w:gridCol w:w="1907"/>
        <w:gridCol w:w="1270"/>
        <w:gridCol w:w="1644"/>
        <w:gridCol w:w="1998"/>
        <w:gridCol w:w="1818"/>
      </w:tblGrid>
      <w:tr w:rsidR="001A43ED" w:rsidRPr="00086392" w14:paraId="27A37C64" w14:textId="77777777" w:rsidTr="002D0A37">
        <w:trPr>
          <w:cantSplit/>
          <w:trHeight w:val="396"/>
          <w:tblHeader/>
        </w:trPr>
        <w:tc>
          <w:tcPr>
            <w:tcW w:w="514" w:type="pct"/>
            <w:shd w:val="clear" w:color="auto" w:fill="B6DFE0"/>
          </w:tcPr>
          <w:p w14:paraId="385C3BD0" w14:textId="77777777" w:rsidR="001A43ED" w:rsidRPr="00086392" w:rsidRDefault="001A43ED" w:rsidP="00747C44">
            <w:pPr>
              <w:pStyle w:val="TableText"/>
              <w:spacing w:before="20" w:after="20" w:line="252" w:lineRule="auto"/>
              <w:rPr>
                <w:b/>
                <w:bCs/>
                <w:szCs w:val="18"/>
              </w:rPr>
            </w:pPr>
            <w:r w:rsidRPr="00086392">
              <w:rPr>
                <w:b/>
                <w:bCs/>
                <w:szCs w:val="18"/>
              </w:rPr>
              <w:t>Response component</w:t>
            </w:r>
          </w:p>
        </w:tc>
        <w:tc>
          <w:tcPr>
            <w:tcW w:w="461" w:type="pct"/>
            <w:shd w:val="clear" w:color="auto" w:fill="B6DFE0"/>
          </w:tcPr>
          <w:p w14:paraId="456F7394" w14:textId="77777777" w:rsidR="001A43ED" w:rsidRPr="00086392" w:rsidRDefault="001A43ED" w:rsidP="00747C44">
            <w:pPr>
              <w:pStyle w:val="TableText"/>
              <w:spacing w:before="20" w:after="20" w:line="252" w:lineRule="auto"/>
              <w:rPr>
                <w:b/>
                <w:bCs/>
                <w:szCs w:val="18"/>
              </w:rPr>
            </w:pPr>
          </w:p>
        </w:tc>
        <w:tc>
          <w:tcPr>
            <w:tcW w:w="1667" w:type="pct"/>
            <w:gridSpan w:val="3"/>
            <w:shd w:val="clear" w:color="auto" w:fill="B6DFE0"/>
          </w:tcPr>
          <w:p w14:paraId="5FB1C683" w14:textId="536BEB29" w:rsidR="001A43ED" w:rsidRPr="00086392" w:rsidRDefault="001A43ED" w:rsidP="00747C44">
            <w:pPr>
              <w:pStyle w:val="TableText"/>
              <w:spacing w:before="20" w:after="20" w:line="252" w:lineRule="auto"/>
              <w:rPr>
                <w:b/>
                <w:bCs/>
                <w:szCs w:val="18"/>
              </w:rPr>
            </w:pPr>
            <w:r w:rsidRPr="00086392">
              <w:rPr>
                <w:b/>
                <w:bCs/>
                <w:szCs w:val="18"/>
              </w:rPr>
              <w:t>Detection in wastewater</w:t>
            </w:r>
          </w:p>
        </w:tc>
        <w:tc>
          <w:tcPr>
            <w:tcW w:w="1021" w:type="pct"/>
            <w:gridSpan w:val="2"/>
            <w:shd w:val="clear" w:color="auto" w:fill="B6DFE0"/>
          </w:tcPr>
          <w:p w14:paraId="42196FF3" w14:textId="77777777" w:rsidR="001A43ED" w:rsidRPr="00086392" w:rsidRDefault="001A43ED" w:rsidP="00747C44">
            <w:pPr>
              <w:pStyle w:val="TableText"/>
              <w:spacing w:before="20" w:after="20" w:line="252" w:lineRule="auto"/>
              <w:rPr>
                <w:b/>
                <w:bCs/>
                <w:szCs w:val="18"/>
              </w:rPr>
            </w:pPr>
            <w:r w:rsidRPr="00086392">
              <w:rPr>
                <w:b/>
                <w:bCs/>
                <w:szCs w:val="18"/>
              </w:rPr>
              <w:t>Detection in a person with AFP</w:t>
            </w:r>
          </w:p>
        </w:tc>
        <w:tc>
          <w:tcPr>
            <w:tcW w:w="700" w:type="pct"/>
            <w:shd w:val="clear" w:color="auto" w:fill="B6DFE0"/>
          </w:tcPr>
          <w:p w14:paraId="64E88761" w14:textId="77777777" w:rsidR="001A43ED" w:rsidRPr="00086392" w:rsidRDefault="001A43ED" w:rsidP="00747C44">
            <w:pPr>
              <w:pStyle w:val="TableText"/>
              <w:spacing w:before="20" w:after="20" w:line="252" w:lineRule="auto"/>
              <w:rPr>
                <w:b/>
                <w:bCs/>
                <w:szCs w:val="18"/>
              </w:rPr>
            </w:pPr>
            <w:r w:rsidRPr="00086392">
              <w:rPr>
                <w:rFonts w:cs="Arial"/>
                <w:b/>
                <w:bCs/>
                <w:szCs w:val="18"/>
              </w:rPr>
              <w:t>Facility-related exposure to live polioviruses</w:t>
            </w:r>
          </w:p>
        </w:tc>
        <w:tc>
          <w:tcPr>
            <w:tcW w:w="637" w:type="pct"/>
            <w:shd w:val="clear" w:color="auto" w:fill="B6DFE0"/>
          </w:tcPr>
          <w:p w14:paraId="479E86BB" w14:textId="77777777" w:rsidR="001A43ED" w:rsidRPr="00086392" w:rsidRDefault="001A43ED" w:rsidP="00747C44">
            <w:pPr>
              <w:pStyle w:val="TableText"/>
              <w:spacing w:before="20" w:after="20" w:line="252" w:lineRule="auto"/>
              <w:rPr>
                <w:b/>
                <w:bCs/>
                <w:szCs w:val="18"/>
              </w:rPr>
            </w:pPr>
            <w:r w:rsidRPr="00086392">
              <w:rPr>
                <w:b/>
                <w:bCs/>
                <w:szCs w:val="18"/>
              </w:rPr>
              <w:t>Known contact of a case overseas</w:t>
            </w:r>
          </w:p>
        </w:tc>
      </w:tr>
      <w:tr w:rsidR="001A43ED" w:rsidRPr="00086392" w14:paraId="1C94685D" w14:textId="77777777" w:rsidTr="002D0A37">
        <w:trPr>
          <w:cantSplit/>
          <w:trHeight w:val="792"/>
          <w:tblHeader/>
        </w:trPr>
        <w:tc>
          <w:tcPr>
            <w:tcW w:w="514" w:type="pct"/>
          </w:tcPr>
          <w:p w14:paraId="45E7D49B" w14:textId="77777777" w:rsidR="001A43ED" w:rsidRPr="00086392" w:rsidRDefault="001A43ED" w:rsidP="00747C44">
            <w:pPr>
              <w:pStyle w:val="TableText"/>
              <w:spacing w:before="20" w:after="20" w:line="252" w:lineRule="auto"/>
              <w:rPr>
                <w:szCs w:val="18"/>
              </w:rPr>
            </w:pPr>
          </w:p>
        </w:tc>
        <w:tc>
          <w:tcPr>
            <w:tcW w:w="461" w:type="pct"/>
            <w:shd w:val="clear" w:color="auto" w:fill="auto"/>
          </w:tcPr>
          <w:p w14:paraId="69D414B3" w14:textId="7B507E4C" w:rsidR="001A43ED" w:rsidRPr="00086392" w:rsidRDefault="001A43ED" w:rsidP="00747C44">
            <w:pPr>
              <w:pStyle w:val="TableText"/>
              <w:spacing w:before="20" w:after="20" w:line="252" w:lineRule="auto"/>
              <w:rPr>
                <w:szCs w:val="18"/>
              </w:rPr>
            </w:pPr>
            <w:r w:rsidRPr="00184D75">
              <w:rPr>
                <w:b/>
                <w:bCs/>
                <w:szCs w:val="18"/>
              </w:rPr>
              <w:t>No risk or little risk:</w:t>
            </w:r>
            <w:r w:rsidRPr="00086392">
              <w:rPr>
                <w:szCs w:val="18"/>
              </w:rPr>
              <w:t xml:space="preserve"> Sabin or Sabin-like type 1 or 3 (likely shedding following OPV)</w:t>
            </w:r>
            <w:r w:rsidRPr="00086392">
              <w:rPr>
                <w:szCs w:val="18"/>
                <w:vertAlign w:val="superscript"/>
              </w:rPr>
              <w:t>a</w:t>
            </w:r>
          </w:p>
        </w:tc>
        <w:tc>
          <w:tcPr>
            <w:tcW w:w="531" w:type="pct"/>
            <w:shd w:val="clear" w:color="auto" w:fill="FFE48F"/>
          </w:tcPr>
          <w:p w14:paraId="082B016E" w14:textId="77777777" w:rsidR="001A43ED" w:rsidRPr="00086392" w:rsidRDefault="001A43ED" w:rsidP="00747C44">
            <w:pPr>
              <w:pStyle w:val="TableText"/>
              <w:spacing w:before="20" w:after="20" w:line="252" w:lineRule="auto"/>
              <w:rPr>
                <w:szCs w:val="18"/>
              </w:rPr>
            </w:pPr>
            <w:r w:rsidRPr="00184D75">
              <w:rPr>
                <w:b/>
                <w:bCs/>
                <w:szCs w:val="18"/>
              </w:rPr>
              <w:t>Lower risk:</w:t>
            </w:r>
            <w:r w:rsidRPr="00086392">
              <w:rPr>
                <w:szCs w:val="18"/>
              </w:rPr>
              <w:t xml:space="preserve"> </w:t>
            </w:r>
            <w:r>
              <w:rPr>
                <w:szCs w:val="18"/>
              </w:rPr>
              <w:br/>
            </w:r>
            <w:r w:rsidRPr="00086392">
              <w:rPr>
                <w:szCs w:val="18"/>
              </w:rPr>
              <w:t>No evidence of community transmission or no confirmation of this (WPV, aVDPV, iVDPV)</w:t>
            </w:r>
          </w:p>
        </w:tc>
        <w:tc>
          <w:tcPr>
            <w:tcW w:w="468" w:type="pct"/>
            <w:shd w:val="clear" w:color="auto" w:fill="FADADC"/>
          </w:tcPr>
          <w:p w14:paraId="74E289BD" w14:textId="5A0A2EFB" w:rsidR="001A43ED" w:rsidRPr="00086392" w:rsidRDefault="001A43ED" w:rsidP="00747C44">
            <w:pPr>
              <w:pStyle w:val="TableText"/>
              <w:spacing w:before="20" w:after="20" w:line="252" w:lineRule="auto"/>
              <w:rPr>
                <w:szCs w:val="18"/>
              </w:rPr>
            </w:pPr>
            <w:r w:rsidRPr="00184D75">
              <w:rPr>
                <w:b/>
                <w:bCs/>
                <w:szCs w:val="18"/>
              </w:rPr>
              <w:t>Higher risk:</w:t>
            </w:r>
            <w:r w:rsidRPr="00086392">
              <w:rPr>
                <w:szCs w:val="18"/>
              </w:rPr>
              <w:t xml:space="preserve"> New VDPV, even without evidence of community transmission</w:t>
            </w:r>
          </w:p>
        </w:tc>
        <w:tc>
          <w:tcPr>
            <w:tcW w:w="668" w:type="pct"/>
            <w:shd w:val="clear" w:color="auto" w:fill="FADADC"/>
          </w:tcPr>
          <w:p w14:paraId="31CAFB04" w14:textId="230C2AA8" w:rsidR="001A43ED" w:rsidRPr="00086392" w:rsidRDefault="001A43ED" w:rsidP="00747C44">
            <w:pPr>
              <w:pStyle w:val="TableText"/>
              <w:spacing w:before="20" w:after="20" w:line="252" w:lineRule="auto"/>
              <w:rPr>
                <w:szCs w:val="18"/>
              </w:rPr>
            </w:pPr>
            <w:r w:rsidRPr="00184D75">
              <w:rPr>
                <w:b/>
                <w:bCs/>
                <w:szCs w:val="18"/>
              </w:rPr>
              <w:t xml:space="preserve">Higher risk: </w:t>
            </w:r>
            <w:r>
              <w:rPr>
                <w:b/>
                <w:bCs/>
                <w:szCs w:val="18"/>
              </w:rPr>
              <w:br/>
            </w:r>
            <w:r w:rsidRPr="00086392">
              <w:rPr>
                <w:szCs w:val="18"/>
              </w:rPr>
              <w:t>Evidence of community transmission (two or more detections of WPV or VDPV,</w:t>
            </w:r>
            <w:r w:rsidRPr="00086392">
              <w:rPr>
                <w:szCs w:val="18"/>
                <w:vertAlign w:val="superscript"/>
              </w:rPr>
              <w:t>b</w:t>
            </w:r>
            <w:r w:rsidRPr="00086392">
              <w:rPr>
                <w:szCs w:val="18"/>
              </w:rPr>
              <w:t xml:space="preserve"> cVDPV)</w:t>
            </w:r>
            <w:r w:rsidRPr="00086392">
              <w:rPr>
                <w:rStyle w:val="FootnoteReference"/>
                <w:rFonts w:cs="Segoe UI"/>
                <w:szCs w:val="18"/>
              </w:rPr>
              <w:t xml:space="preserve"> </w:t>
            </w:r>
          </w:p>
        </w:tc>
        <w:tc>
          <w:tcPr>
            <w:tcW w:w="445" w:type="pct"/>
            <w:shd w:val="clear" w:color="auto" w:fill="FFE48F"/>
          </w:tcPr>
          <w:p w14:paraId="530C9CE5" w14:textId="24CD2DF9" w:rsidR="001A43ED" w:rsidRPr="00086392" w:rsidRDefault="001A43ED" w:rsidP="00747C44">
            <w:pPr>
              <w:pStyle w:val="TableText"/>
              <w:spacing w:before="20" w:after="20" w:line="252" w:lineRule="auto"/>
              <w:rPr>
                <w:szCs w:val="18"/>
              </w:rPr>
            </w:pPr>
            <w:r w:rsidRPr="00184D75">
              <w:rPr>
                <w:b/>
                <w:bCs/>
                <w:szCs w:val="18"/>
              </w:rPr>
              <w:t>Lower risk:</w:t>
            </w:r>
            <w:r w:rsidRPr="00086392">
              <w:rPr>
                <w:szCs w:val="18"/>
              </w:rPr>
              <w:t xml:space="preserve"> Imported case</w:t>
            </w:r>
            <w:r w:rsidRPr="00184D75">
              <w:rPr>
                <w:szCs w:val="18"/>
                <w:vertAlign w:val="superscript"/>
              </w:rPr>
              <w:t>c</w:t>
            </w:r>
          </w:p>
        </w:tc>
        <w:tc>
          <w:tcPr>
            <w:tcW w:w="576" w:type="pct"/>
            <w:shd w:val="clear" w:color="auto" w:fill="FADADC"/>
          </w:tcPr>
          <w:p w14:paraId="25EBF23B" w14:textId="6E69731C" w:rsidR="001A43ED" w:rsidRPr="00086392" w:rsidRDefault="001A43ED" w:rsidP="00747C44">
            <w:pPr>
              <w:pStyle w:val="TableText"/>
              <w:spacing w:before="20" w:after="20" w:line="252" w:lineRule="auto"/>
              <w:rPr>
                <w:szCs w:val="18"/>
              </w:rPr>
            </w:pPr>
            <w:r w:rsidRPr="00184D75">
              <w:rPr>
                <w:b/>
                <w:bCs/>
                <w:szCs w:val="18"/>
              </w:rPr>
              <w:t>Higher risk:</w:t>
            </w:r>
            <w:r w:rsidRPr="00086392">
              <w:rPr>
                <w:szCs w:val="18"/>
              </w:rPr>
              <w:t xml:space="preserve"> Community transmission</w:t>
            </w:r>
          </w:p>
        </w:tc>
        <w:tc>
          <w:tcPr>
            <w:tcW w:w="700" w:type="pct"/>
            <w:shd w:val="clear" w:color="auto" w:fill="FFCC00"/>
          </w:tcPr>
          <w:p w14:paraId="67B890A1" w14:textId="5E71E837" w:rsidR="001A43ED" w:rsidRPr="00086392" w:rsidRDefault="001A43ED" w:rsidP="00747C44">
            <w:pPr>
              <w:pStyle w:val="TableText"/>
              <w:spacing w:before="20" w:after="20" w:line="252" w:lineRule="auto"/>
              <w:rPr>
                <w:szCs w:val="18"/>
              </w:rPr>
            </w:pPr>
            <w:r w:rsidRPr="00086392">
              <w:rPr>
                <w:szCs w:val="18"/>
              </w:rPr>
              <w:t>Risk depends on type of poliovirus detected</w:t>
            </w:r>
          </w:p>
        </w:tc>
        <w:tc>
          <w:tcPr>
            <w:tcW w:w="637" w:type="pct"/>
            <w:shd w:val="clear" w:color="auto" w:fill="FFE48F"/>
          </w:tcPr>
          <w:p w14:paraId="2E917078" w14:textId="77777777" w:rsidR="001A43ED" w:rsidRPr="00184D75" w:rsidRDefault="001A43ED" w:rsidP="00747C44">
            <w:pPr>
              <w:pStyle w:val="TableText"/>
              <w:spacing w:before="20" w:after="20" w:line="252" w:lineRule="auto"/>
              <w:rPr>
                <w:b/>
                <w:bCs/>
                <w:szCs w:val="18"/>
              </w:rPr>
            </w:pPr>
            <w:r w:rsidRPr="00184D75">
              <w:rPr>
                <w:b/>
                <w:bCs/>
                <w:szCs w:val="18"/>
              </w:rPr>
              <w:t>Lower risk</w:t>
            </w:r>
          </w:p>
        </w:tc>
      </w:tr>
      <w:tr w:rsidR="002D0A37" w:rsidRPr="00086392" w14:paraId="1C260019" w14:textId="77777777" w:rsidTr="002D0A37">
        <w:trPr>
          <w:cantSplit/>
          <w:trHeight w:val="218"/>
        </w:trPr>
        <w:tc>
          <w:tcPr>
            <w:tcW w:w="5000" w:type="pct"/>
            <w:gridSpan w:val="9"/>
            <w:shd w:val="clear" w:color="auto" w:fill="DBE5F1"/>
          </w:tcPr>
          <w:p w14:paraId="030CC674" w14:textId="52E66750" w:rsidR="002D0A37" w:rsidRPr="00086392" w:rsidRDefault="002D0A37" w:rsidP="00747C44">
            <w:pPr>
              <w:pStyle w:val="TableText"/>
              <w:spacing w:before="20" w:after="20" w:line="252" w:lineRule="auto"/>
              <w:rPr>
                <w:szCs w:val="18"/>
              </w:rPr>
            </w:pPr>
            <w:r w:rsidRPr="00086392">
              <w:rPr>
                <w:b/>
                <w:bCs/>
                <w:szCs w:val="18"/>
              </w:rPr>
              <w:t>Enhanced microbiological surveillance</w:t>
            </w:r>
            <w:r w:rsidRPr="00184D75">
              <w:rPr>
                <w:b/>
                <w:bCs/>
                <w:szCs w:val="18"/>
                <w:vertAlign w:val="superscript"/>
              </w:rPr>
              <w:t>d</w:t>
            </w:r>
          </w:p>
        </w:tc>
      </w:tr>
      <w:tr w:rsidR="00B852AA" w:rsidRPr="00086392" w14:paraId="128E9B21" w14:textId="77777777" w:rsidTr="002D0A37">
        <w:trPr>
          <w:cantSplit/>
          <w:trHeight w:val="587"/>
        </w:trPr>
        <w:tc>
          <w:tcPr>
            <w:tcW w:w="514" w:type="pct"/>
          </w:tcPr>
          <w:p w14:paraId="78DE7C26" w14:textId="77777777" w:rsidR="001A43ED" w:rsidRPr="00086392" w:rsidRDefault="001A43ED" w:rsidP="00747C44">
            <w:pPr>
              <w:pStyle w:val="TableText"/>
              <w:spacing w:before="20" w:after="20" w:line="252" w:lineRule="auto"/>
              <w:rPr>
                <w:szCs w:val="18"/>
              </w:rPr>
            </w:pPr>
            <w:r w:rsidRPr="00086392">
              <w:rPr>
                <w:szCs w:val="18"/>
              </w:rPr>
              <w:t>Common actions</w:t>
            </w:r>
          </w:p>
        </w:tc>
        <w:tc>
          <w:tcPr>
            <w:tcW w:w="461" w:type="pct"/>
            <w:vMerge w:val="restart"/>
            <w:shd w:val="clear" w:color="auto" w:fill="D9D9D9"/>
          </w:tcPr>
          <w:p w14:paraId="0A4DB013" w14:textId="77777777" w:rsidR="001A43ED" w:rsidRPr="00086392" w:rsidRDefault="001A43ED" w:rsidP="00747C44">
            <w:pPr>
              <w:pStyle w:val="TableText"/>
              <w:spacing w:before="20" w:after="20" w:line="252" w:lineRule="auto"/>
              <w:rPr>
                <w:szCs w:val="18"/>
              </w:rPr>
            </w:pPr>
            <w:r w:rsidRPr="00086392">
              <w:rPr>
                <w:szCs w:val="18"/>
              </w:rPr>
              <w:t>No action required</w:t>
            </w:r>
          </w:p>
        </w:tc>
        <w:tc>
          <w:tcPr>
            <w:tcW w:w="531" w:type="pct"/>
          </w:tcPr>
          <w:p w14:paraId="61687C87" w14:textId="77777777" w:rsidR="001A43ED" w:rsidRPr="00086392" w:rsidRDefault="001A43ED" w:rsidP="00747C44">
            <w:pPr>
              <w:pStyle w:val="TableText"/>
              <w:spacing w:before="20" w:after="20" w:line="252" w:lineRule="auto"/>
              <w:rPr>
                <w:szCs w:val="18"/>
              </w:rPr>
            </w:pPr>
          </w:p>
        </w:tc>
        <w:tc>
          <w:tcPr>
            <w:tcW w:w="3494" w:type="pct"/>
            <w:gridSpan w:val="6"/>
          </w:tcPr>
          <w:p w14:paraId="007E26A8" w14:textId="0B6E7F0F" w:rsidR="001A43ED" w:rsidRPr="00086392" w:rsidRDefault="001A43ED" w:rsidP="00747C44">
            <w:pPr>
              <w:pStyle w:val="TableBullet"/>
              <w:tabs>
                <w:tab w:val="clear" w:pos="284"/>
                <w:tab w:val="num" w:pos="227"/>
              </w:tabs>
              <w:spacing w:before="20" w:after="20" w:line="252" w:lineRule="auto"/>
              <w:ind w:left="227" w:hanging="227"/>
              <w:rPr>
                <w:szCs w:val="18"/>
              </w:rPr>
            </w:pPr>
            <w:r w:rsidRPr="00086392">
              <w:rPr>
                <w:szCs w:val="18"/>
              </w:rPr>
              <w:t>Review and adjust sample sites and frequency of wastewater to evaluate presence in time and area.</w:t>
            </w:r>
          </w:p>
          <w:p w14:paraId="029DA5D2" w14:textId="73F56EF3" w:rsidR="001A43ED" w:rsidRPr="00086392" w:rsidRDefault="001A43ED" w:rsidP="00747C44">
            <w:pPr>
              <w:pStyle w:val="TableBullet"/>
              <w:tabs>
                <w:tab w:val="clear" w:pos="284"/>
                <w:tab w:val="num" w:pos="227"/>
              </w:tabs>
              <w:spacing w:before="20" w:after="20" w:line="252" w:lineRule="auto"/>
              <w:ind w:left="227" w:hanging="227"/>
              <w:rPr>
                <w:szCs w:val="18"/>
              </w:rPr>
            </w:pPr>
            <w:r w:rsidRPr="00086392">
              <w:rPr>
                <w:szCs w:val="18"/>
              </w:rPr>
              <w:t>Consider adding poliovirus to microbiological testing of all stool specimens in community of detection.</w:t>
            </w:r>
            <w:r w:rsidRPr="00184D75">
              <w:rPr>
                <w:szCs w:val="18"/>
                <w:vertAlign w:val="superscript"/>
              </w:rPr>
              <w:t>e</w:t>
            </w:r>
            <w:r w:rsidRPr="00086392">
              <w:rPr>
                <w:szCs w:val="18"/>
              </w:rPr>
              <w:t xml:space="preserve"> </w:t>
            </w:r>
          </w:p>
          <w:p w14:paraId="74EF11E6" w14:textId="77777777" w:rsidR="001A43ED" w:rsidRPr="00086392" w:rsidRDefault="001A43ED" w:rsidP="00747C44">
            <w:pPr>
              <w:pStyle w:val="TableBullet"/>
              <w:tabs>
                <w:tab w:val="clear" w:pos="284"/>
                <w:tab w:val="num" w:pos="227"/>
              </w:tabs>
              <w:spacing w:before="20" w:after="20" w:line="252" w:lineRule="auto"/>
              <w:ind w:left="227" w:hanging="227"/>
              <w:rPr>
                <w:szCs w:val="18"/>
              </w:rPr>
            </w:pPr>
            <w:r w:rsidRPr="00086392">
              <w:rPr>
                <w:szCs w:val="18"/>
              </w:rPr>
              <w:t>Consider enhanced surveillance of aseptic meningitis and other clinical syndromes.</w:t>
            </w:r>
          </w:p>
        </w:tc>
      </w:tr>
      <w:tr w:rsidR="001A43ED" w:rsidRPr="00086392" w14:paraId="5C60B347" w14:textId="77777777" w:rsidTr="002D0A37">
        <w:trPr>
          <w:cantSplit/>
          <w:trHeight w:val="1483"/>
        </w:trPr>
        <w:tc>
          <w:tcPr>
            <w:tcW w:w="514" w:type="pct"/>
          </w:tcPr>
          <w:p w14:paraId="03E201CE" w14:textId="77777777" w:rsidR="001A43ED" w:rsidRPr="00086392" w:rsidRDefault="001A43ED" w:rsidP="00747C44">
            <w:pPr>
              <w:pStyle w:val="TableText"/>
              <w:spacing w:before="20" w:after="20" w:line="252" w:lineRule="auto"/>
              <w:rPr>
                <w:szCs w:val="18"/>
              </w:rPr>
            </w:pPr>
            <w:r w:rsidRPr="00086392">
              <w:rPr>
                <w:szCs w:val="18"/>
              </w:rPr>
              <w:lastRenderedPageBreak/>
              <w:t>Key differences</w:t>
            </w:r>
          </w:p>
        </w:tc>
        <w:tc>
          <w:tcPr>
            <w:tcW w:w="461" w:type="pct"/>
            <w:vMerge/>
            <w:shd w:val="clear" w:color="auto" w:fill="D9D9D9"/>
          </w:tcPr>
          <w:p w14:paraId="106BF3E3" w14:textId="77777777" w:rsidR="001A43ED" w:rsidRPr="00086392" w:rsidRDefault="001A43ED" w:rsidP="00747C44">
            <w:pPr>
              <w:pStyle w:val="TableText"/>
              <w:spacing w:before="20" w:after="20" w:line="252" w:lineRule="auto"/>
              <w:rPr>
                <w:szCs w:val="18"/>
              </w:rPr>
            </w:pPr>
          </w:p>
        </w:tc>
        <w:tc>
          <w:tcPr>
            <w:tcW w:w="531" w:type="pct"/>
          </w:tcPr>
          <w:p w14:paraId="1877F9D9" w14:textId="77777777" w:rsidR="001A43ED" w:rsidRPr="00086392" w:rsidRDefault="001A43ED" w:rsidP="00747C44">
            <w:pPr>
              <w:pStyle w:val="TableBullet"/>
              <w:numPr>
                <w:ilvl w:val="0"/>
                <w:numId w:val="50"/>
              </w:numPr>
              <w:tabs>
                <w:tab w:val="clear" w:pos="284"/>
                <w:tab w:val="num" w:pos="227"/>
              </w:tabs>
              <w:spacing w:before="20" w:after="20" w:line="252" w:lineRule="auto"/>
              <w:ind w:left="227" w:hanging="227"/>
              <w:rPr>
                <w:i/>
                <w:iCs/>
                <w:szCs w:val="18"/>
              </w:rPr>
            </w:pPr>
            <w:r w:rsidRPr="00086392">
              <w:rPr>
                <w:szCs w:val="18"/>
              </w:rPr>
              <w:t xml:space="preserve">Consider targeted healthy children stool sampling </w:t>
            </w:r>
          </w:p>
        </w:tc>
        <w:tc>
          <w:tcPr>
            <w:tcW w:w="1136" w:type="pct"/>
            <w:gridSpan w:val="2"/>
            <w:shd w:val="clear" w:color="auto" w:fill="D9D9D9"/>
          </w:tcPr>
          <w:p w14:paraId="4DB8BE04" w14:textId="77777777" w:rsidR="001A43ED" w:rsidRPr="00086392" w:rsidRDefault="001A43ED" w:rsidP="00747C44">
            <w:pPr>
              <w:spacing w:before="20" w:after="20" w:line="252" w:lineRule="auto"/>
              <w:rPr>
                <w:sz w:val="18"/>
                <w:szCs w:val="18"/>
              </w:rPr>
            </w:pPr>
          </w:p>
        </w:tc>
        <w:tc>
          <w:tcPr>
            <w:tcW w:w="445" w:type="pct"/>
          </w:tcPr>
          <w:p w14:paraId="435E8488" w14:textId="77777777" w:rsidR="001A43ED" w:rsidRPr="00086392" w:rsidRDefault="001A43ED" w:rsidP="00747C44">
            <w:pPr>
              <w:pStyle w:val="TableBullet"/>
              <w:tabs>
                <w:tab w:val="clear" w:pos="284"/>
                <w:tab w:val="num" w:pos="227"/>
              </w:tabs>
              <w:spacing w:before="20" w:after="20" w:line="252" w:lineRule="auto"/>
              <w:ind w:left="227" w:hanging="227"/>
              <w:rPr>
                <w:i/>
                <w:iCs/>
                <w:szCs w:val="18"/>
              </w:rPr>
            </w:pPr>
            <w:r w:rsidRPr="00086392">
              <w:rPr>
                <w:szCs w:val="18"/>
              </w:rPr>
              <w:t xml:space="preserve">Consider targeted healthy children stool sampling </w:t>
            </w:r>
          </w:p>
        </w:tc>
        <w:tc>
          <w:tcPr>
            <w:tcW w:w="576" w:type="pct"/>
            <w:shd w:val="clear" w:color="auto" w:fill="D9D9D9"/>
          </w:tcPr>
          <w:p w14:paraId="1C0F3086" w14:textId="77777777" w:rsidR="001A43ED" w:rsidRPr="00086392" w:rsidRDefault="001A43ED" w:rsidP="00747C44">
            <w:pPr>
              <w:spacing w:before="20" w:after="20"/>
              <w:rPr>
                <w:sz w:val="18"/>
                <w:szCs w:val="18"/>
              </w:rPr>
            </w:pPr>
          </w:p>
        </w:tc>
        <w:tc>
          <w:tcPr>
            <w:tcW w:w="700" w:type="pct"/>
            <w:shd w:val="clear" w:color="auto" w:fill="auto"/>
          </w:tcPr>
          <w:p w14:paraId="0DC5335D" w14:textId="77777777" w:rsidR="001A43ED" w:rsidRPr="00086392" w:rsidRDefault="001A43ED" w:rsidP="00747C44">
            <w:pPr>
              <w:pStyle w:val="TableBullet"/>
              <w:tabs>
                <w:tab w:val="clear" w:pos="284"/>
                <w:tab w:val="num" w:pos="227"/>
              </w:tabs>
              <w:spacing w:before="20" w:after="20" w:line="252" w:lineRule="auto"/>
              <w:ind w:left="227" w:hanging="227"/>
              <w:rPr>
                <w:szCs w:val="18"/>
              </w:rPr>
            </w:pPr>
            <w:r w:rsidRPr="00086392">
              <w:rPr>
                <w:szCs w:val="18"/>
              </w:rPr>
              <w:t xml:space="preserve">Consider limited duration environmental surveillance around facility or community of exposed person(s). </w:t>
            </w:r>
          </w:p>
        </w:tc>
        <w:tc>
          <w:tcPr>
            <w:tcW w:w="637" w:type="pct"/>
            <w:shd w:val="clear" w:color="auto" w:fill="D9D9D9"/>
          </w:tcPr>
          <w:p w14:paraId="6150307A" w14:textId="77777777" w:rsidR="001A43ED" w:rsidRPr="00086392" w:rsidRDefault="001A43ED" w:rsidP="00747C44">
            <w:pPr>
              <w:pStyle w:val="TableText"/>
              <w:spacing w:before="20" w:after="20" w:line="252" w:lineRule="auto"/>
              <w:rPr>
                <w:szCs w:val="18"/>
              </w:rPr>
            </w:pPr>
          </w:p>
        </w:tc>
      </w:tr>
      <w:tr w:rsidR="002D0A37" w:rsidRPr="00086392" w14:paraId="2BCD9806" w14:textId="77777777" w:rsidTr="002D0A37">
        <w:trPr>
          <w:cantSplit/>
          <w:trHeight w:val="190"/>
        </w:trPr>
        <w:tc>
          <w:tcPr>
            <w:tcW w:w="5000" w:type="pct"/>
            <w:gridSpan w:val="9"/>
            <w:shd w:val="clear" w:color="auto" w:fill="DBE5F1"/>
          </w:tcPr>
          <w:p w14:paraId="68B967BC" w14:textId="77777777" w:rsidR="002D0A37" w:rsidRPr="00086392" w:rsidRDefault="002D0A37" w:rsidP="00747C44">
            <w:pPr>
              <w:pStyle w:val="TableText"/>
              <w:keepNext/>
              <w:spacing w:before="20" w:after="20" w:line="252" w:lineRule="auto"/>
              <w:rPr>
                <w:b/>
                <w:bCs/>
                <w:szCs w:val="18"/>
              </w:rPr>
            </w:pPr>
            <w:r w:rsidRPr="00086392">
              <w:rPr>
                <w:b/>
                <w:bCs/>
                <w:szCs w:val="18"/>
              </w:rPr>
              <w:t>Enhanced AFP surveillance</w:t>
            </w:r>
          </w:p>
        </w:tc>
      </w:tr>
      <w:tr w:rsidR="00B852AA" w:rsidRPr="00086392" w14:paraId="07CD34C1" w14:textId="77777777" w:rsidTr="002D0A37">
        <w:trPr>
          <w:cantSplit/>
          <w:trHeight w:val="1204"/>
        </w:trPr>
        <w:tc>
          <w:tcPr>
            <w:tcW w:w="514" w:type="pct"/>
          </w:tcPr>
          <w:p w14:paraId="094DFA45" w14:textId="77777777" w:rsidR="001A43ED" w:rsidRPr="00086392" w:rsidRDefault="001A43ED" w:rsidP="00747C44">
            <w:pPr>
              <w:pStyle w:val="TableText"/>
              <w:spacing w:before="20" w:after="20" w:line="252" w:lineRule="auto"/>
              <w:rPr>
                <w:szCs w:val="18"/>
              </w:rPr>
            </w:pPr>
            <w:r w:rsidRPr="00086392">
              <w:rPr>
                <w:szCs w:val="18"/>
              </w:rPr>
              <w:t>Common actions</w:t>
            </w:r>
          </w:p>
        </w:tc>
        <w:tc>
          <w:tcPr>
            <w:tcW w:w="461" w:type="pct"/>
            <w:shd w:val="clear" w:color="auto" w:fill="D9D9D9"/>
          </w:tcPr>
          <w:p w14:paraId="0F86E59D" w14:textId="77777777" w:rsidR="001A43ED" w:rsidRPr="00086392" w:rsidRDefault="001A43ED" w:rsidP="00747C44">
            <w:pPr>
              <w:pStyle w:val="TableText"/>
              <w:spacing w:before="20" w:after="20" w:line="252" w:lineRule="auto"/>
              <w:rPr>
                <w:szCs w:val="18"/>
              </w:rPr>
            </w:pPr>
            <w:r w:rsidRPr="00086392">
              <w:rPr>
                <w:szCs w:val="18"/>
              </w:rPr>
              <w:t>No action required</w:t>
            </w:r>
          </w:p>
        </w:tc>
        <w:tc>
          <w:tcPr>
            <w:tcW w:w="531" w:type="pct"/>
          </w:tcPr>
          <w:p w14:paraId="45236285" w14:textId="77777777" w:rsidR="001A43ED" w:rsidRPr="00086392" w:rsidRDefault="001A43ED" w:rsidP="00747C44">
            <w:pPr>
              <w:pStyle w:val="TableText"/>
              <w:spacing w:before="20" w:after="20" w:line="252" w:lineRule="auto"/>
              <w:rPr>
                <w:szCs w:val="18"/>
              </w:rPr>
            </w:pPr>
          </w:p>
        </w:tc>
        <w:tc>
          <w:tcPr>
            <w:tcW w:w="3494" w:type="pct"/>
            <w:gridSpan w:val="6"/>
          </w:tcPr>
          <w:p w14:paraId="798761C7" w14:textId="77777777" w:rsidR="001A43ED" w:rsidRPr="00086392" w:rsidRDefault="001A43ED" w:rsidP="00747C44">
            <w:pPr>
              <w:pStyle w:val="TableText"/>
              <w:spacing w:before="20" w:after="20" w:line="252" w:lineRule="auto"/>
              <w:rPr>
                <w:szCs w:val="18"/>
              </w:rPr>
            </w:pPr>
            <w:r w:rsidRPr="00086392">
              <w:rPr>
                <w:szCs w:val="18"/>
              </w:rPr>
              <w:t>Actions to improve proportion of cases reported, proportion that have stool samples collected for testing, and timeliness of reporting and follow-up. This may include:</w:t>
            </w:r>
          </w:p>
          <w:p w14:paraId="59BF0AD9" w14:textId="29AE6367" w:rsidR="001A43ED" w:rsidRPr="00086392" w:rsidRDefault="001A43ED" w:rsidP="00747C44">
            <w:pPr>
              <w:pStyle w:val="TableBullet"/>
              <w:tabs>
                <w:tab w:val="clear" w:pos="284"/>
                <w:tab w:val="num" w:pos="227"/>
              </w:tabs>
              <w:spacing w:before="20" w:after="20" w:line="252" w:lineRule="auto"/>
              <w:ind w:left="227" w:hanging="227"/>
              <w:rPr>
                <w:szCs w:val="18"/>
              </w:rPr>
            </w:pPr>
            <w:r w:rsidRPr="00086392">
              <w:rPr>
                <w:szCs w:val="18"/>
              </w:rPr>
              <w:t>communications to clinicians</w:t>
            </w:r>
          </w:p>
          <w:p w14:paraId="111014E8" w14:textId="22283B77" w:rsidR="001A43ED" w:rsidRPr="00086392" w:rsidRDefault="001A43ED" w:rsidP="00747C44">
            <w:pPr>
              <w:pStyle w:val="TableBullet"/>
              <w:tabs>
                <w:tab w:val="clear" w:pos="284"/>
                <w:tab w:val="num" w:pos="227"/>
              </w:tabs>
              <w:spacing w:before="20" w:after="20" w:line="252" w:lineRule="auto"/>
              <w:ind w:left="227" w:hanging="227"/>
              <w:rPr>
                <w:szCs w:val="18"/>
              </w:rPr>
            </w:pPr>
            <w:r w:rsidRPr="00086392">
              <w:rPr>
                <w:szCs w:val="18"/>
              </w:rPr>
              <w:t>hospital admission surveillance</w:t>
            </w:r>
          </w:p>
          <w:p w14:paraId="30FEB53D" w14:textId="77777777" w:rsidR="001A43ED" w:rsidRPr="00086392" w:rsidRDefault="001A43ED" w:rsidP="00747C44">
            <w:pPr>
              <w:pStyle w:val="TableBullet"/>
              <w:tabs>
                <w:tab w:val="clear" w:pos="284"/>
                <w:tab w:val="num" w:pos="227"/>
              </w:tabs>
              <w:spacing w:before="20" w:after="20" w:line="252" w:lineRule="auto"/>
              <w:ind w:left="227" w:hanging="227"/>
              <w:rPr>
                <w:szCs w:val="18"/>
              </w:rPr>
            </w:pPr>
            <w:r w:rsidRPr="00086392">
              <w:rPr>
                <w:szCs w:val="18"/>
              </w:rPr>
              <w:t>community outreach and sensitisation</w:t>
            </w:r>
          </w:p>
          <w:p w14:paraId="367BBE67" w14:textId="77777777" w:rsidR="001A43ED" w:rsidRPr="00086392" w:rsidRDefault="001A43ED" w:rsidP="00747C44">
            <w:pPr>
              <w:pStyle w:val="TableBullet"/>
              <w:tabs>
                <w:tab w:val="clear" w:pos="284"/>
                <w:tab w:val="num" w:pos="227"/>
              </w:tabs>
              <w:spacing w:before="20" w:after="20" w:line="252" w:lineRule="auto"/>
              <w:ind w:left="227" w:hanging="227"/>
              <w:rPr>
                <w:szCs w:val="18"/>
              </w:rPr>
            </w:pPr>
            <w:r w:rsidRPr="00086392">
              <w:rPr>
                <w:szCs w:val="18"/>
              </w:rPr>
              <w:t>expanding AFP surveillance to include adults</w:t>
            </w:r>
          </w:p>
          <w:p w14:paraId="444435B5" w14:textId="77777777" w:rsidR="001A43ED" w:rsidRPr="00086392" w:rsidRDefault="001A43ED" w:rsidP="00747C44">
            <w:pPr>
              <w:pStyle w:val="TableBullet"/>
              <w:tabs>
                <w:tab w:val="clear" w:pos="284"/>
                <w:tab w:val="num" w:pos="227"/>
              </w:tabs>
              <w:spacing w:before="20" w:after="20" w:line="252" w:lineRule="auto"/>
              <w:ind w:left="227" w:hanging="227"/>
              <w:rPr>
                <w:szCs w:val="18"/>
              </w:rPr>
            </w:pPr>
            <w:r w:rsidRPr="00086392">
              <w:rPr>
                <w:szCs w:val="18"/>
              </w:rPr>
              <w:t>legal instruments to improve surveillance.</w:t>
            </w:r>
          </w:p>
        </w:tc>
      </w:tr>
      <w:tr w:rsidR="002D0A37" w:rsidRPr="00086392" w14:paraId="3CFDB0C1" w14:textId="77777777" w:rsidTr="002D0A37">
        <w:trPr>
          <w:cantSplit/>
          <w:trHeight w:val="190"/>
        </w:trPr>
        <w:tc>
          <w:tcPr>
            <w:tcW w:w="5000" w:type="pct"/>
            <w:gridSpan w:val="9"/>
            <w:shd w:val="clear" w:color="auto" w:fill="DBE5F1"/>
          </w:tcPr>
          <w:p w14:paraId="102D82C0" w14:textId="77777777" w:rsidR="002D0A37" w:rsidRPr="00086392" w:rsidRDefault="002D0A37" w:rsidP="00747C44">
            <w:pPr>
              <w:pStyle w:val="TableText"/>
              <w:keepNext/>
              <w:spacing w:before="20" w:after="20" w:line="252" w:lineRule="auto"/>
              <w:rPr>
                <w:b/>
                <w:bCs/>
                <w:szCs w:val="18"/>
              </w:rPr>
            </w:pPr>
            <w:r w:rsidRPr="00086392">
              <w:rPr>
                <w:b/>
                <w:bCs/>
                <w:szCs w:val="18"/>
              </w:rPr>
              <w:lastRenderedPageBreak/>
              <w:t xml:space="preserve">Communications </w:t>
            </w:r>
            <w:r w:rsidRPr="00184D75">
              <w:rPr>
                <w:b/>
                <w:bCs/>
                <w:szCs w:val="18"/>
              </w:rPr>
              <w:t>(details contained within communications plan)</w:t>
            </w:r>
          </w:p>
        </w:tc>
      </w:tr>
      <w:tr w:rsidR="001A43ED" w:rsidRPr="00086392" w14:paraId="0211EC50" w14:textId="77777777" w:rsidTr="002D0A37">
        <w:trPr>
          <w:cantSplit/>
          <w:trHeight w:val="998"/>
        </w:trPr>
        <w:tc>
          <w:tcPr>
            <w:tcW w:w="514" w:type="pct"/>
          </w:tcPr>
          <w:p w14:paraId="6B72AE02" w14:textId="77777777" w:rsidR="001A43ED" w:rsidRPr="00086392" w:rsidRDefault="001A43ED" w:rsidP="00747C44">
            <w:pPr>
              <w:pStyle w:val="TableText"/>
              <w:spacing w:before="20" w:after="20" w:line="252" w:lineRule="auto"/>
              <w:rPr>
                <w:szCs w:val="18"/>
              </w:rPr>
            </w:pPr>
            <w:r w:rsidRPr="00086392">
              <w:rPr>
                <w:szCs w:val="18"/>
              </w:rPr>
              <w:t>Common actions</w:t>
            </w:r>
          </w:p>
        </w:tc>
        <w:tc>
          <w:tcPr>
            <w:tcW w:w="461" w:type="pct"/>
            <w:shd w:val="clear" w:color="auto" w:fill="D9D9D9"/>
          </w:tcPr>
          <w:p w14:paraId="298A7106" w14:textId="77777777" w:rsidR="001A43ED" w:rsidRPr="00086392" w:rsidRDefault="001A43ED" w:rsidP="00747C44">
            <w:pPr>
              <w:pStyle w:val="TableText"/>
              <w:spacing w:before="20" w:after="20" w:line="252" w:lineRule="auto"/>
              <w:rPr>
                <w:szCs w:val="18"/>
              </w:rPr>
            </w:pPr>
            <w:r w:rsidRPr="00086392">
              <w:rPr>
                <w:szCs w:val="18"/>
              </w:rPr>
              <w:t>No action required</w:t>
            </w:r>
          </w:p>
        </w:tc>
        <w:tc>
          <w:tcPr>
            <w:tcW w:w="531" w:type="pct"/>
          </w:tcPr>
          <w:p w14:paraId="3F1EB50B" w14:textId="77777777" w:rsidR="001A43ED" w:rsidRPr="00086392" w:rsidRDefault="001A43ED" w:rsidP="00747C44">
            <w:pPr>
              <w:pStyle w:val="TableText"/>
              <w:spacing w:before="20" w:after="20" w:line="252" w:lineRule="auto"/>
              <w:rPr>
                <w:szCs w:val="18"/>
              </w:rPr>
            </w:pPr>
          </w:p>
        </w:tc>
        <w:tc>
          <w:tcPr>
            <w:tcW w:w="2857" w:type="pct"/>
            <w:gridSpan w:val="5"/>
          </w:tcPr>
          <w:p w14:paraId="181433E0" w14:textId="088341B2" w:rsidR="001A43ED" w:rsidRPr="00086392" w:rsidRDefault="001A43ED" w:rsidP="00747C44">
            <w:pPr>
              <w:pStyle w:val="TableBullet"/>
              <w:tabs>
                <w:tab w:val="clear" w:pos="284"/>
                <w:tab w:val="num" w:pos="227"/>
              </w:tabs>
              <w:spacing w:before="20" w:after="20" w:line="252" w:lineRule="auto"/>
              <w:ind w:left="227" w:hanging="227"/>
              <w:rPr>
                <w:szCs w:val="18"/>
              </w:rPr>
            </w:pPr>
            <w:r w:rsidRPr="00086392">
              <w:rPr>
                <w:szCs w:val="18"/>
              </w:rPr>
              <w:t>Provide key messaging around poliovirus and AFP to public and media.</w:t>
            </w:r>
          </w:p>
          <w:p w14:paraId="5A16D9C9" w14:textId="4F6199FC" w:rsidR="001A43ED" w:rsidRPr="00086392" w:rsidRDefault="001A43ED" w:rsidP="00747C44">
            <w:pPr>
              <w:pStyle w:val="TableBullet"/>
              <w:tabs>
                <w:tab w:val="clear" w:pos="284"/>
                <w:tab w:val="num" w:pos="227"/>
              </w:tabs>
              <w:spacing w:before="20" w:after="20" w:line="252" w:lineRule="auto"/>
              <w:ind w:left="227" w:hanging="227"/>
              <w:rPr>
                <w:szCs w:val="18"/>
              </w:rPr>
            </w:pPr>
            <w:r w:rsidRPr="00086392">
              <w:rPr>
                <w:szCs w:val="18"/>
              </w:rPr>
              <w:t>Promote uptake in vaccinations, with targeted campaigns for communities who may be at greater risk of acquiring poliovirus and/or at greater risk of poorer outcomes.</w:t>
            </w:r>
          </w:p>
          <w:p w14:paraId="39ADE3D0" w14:textId="65B1ADDA" w:rsidR="001A43ED" w:rsidRPr="00086392" w:rsidRDefault="001A43ED" w:rsidP="00747C44">
            <w:pPr>
              <w:pStyle w:val="TableBullet"/>
              <w:tabs>
                <w:tab w:val="clear" w:pos="284"/>
                <w:tab w:val="num" w:pos="227"/>
              </w:tabs>
              <w:spacing w:before="20" w:after="20" w:line="252" w:lineRule="auto"/>
              <w:ind w:left="227" w:hanging="227"/>
              <w:rPr>
                <w:szCs w:val="18"/>
              </w:rPr>
            </w:pPr>
            <w:r w:rsidRPr="00086392">
              <w:rPr>
                <w:szCs w:val="18"/>
              </w:rPr>
              <w:t>Provide communications to the health sector, including public health services, clinicians and lab.</w:t>
            </w:r>
          </w:p>
          <w:p w14:paraId="5F097CB3" w14:textId="55D42254" w:rsidR="001A43ED" w:rsidRPr="00086392" w:rsidRDefault="001A43ED" w:rsidP="00747C44">
            <w:pPr>
              <w:pStyle w:val="TableBullet"/>
              <w:tabs>
                <w:tab w:val="clear" w:pos="284"/>
                <w:tab w:val="num" w:pos="227"/>
              </w:tabs>
              <w:spacing w:before="20" w:after="20" w:line="252" w:lineRule="auto"/>
              <w:ind w:left="227" w:hanging="227"/>
              <w:rPr>
                <w:szCs w:val="18"/>
              </w:rPr>
            </w:pPr>
            <w:r w:rsidRPr="00086392">
              <w:rPr>
                <w:szCs w:val="18"/>
              </w:rPr>
              <w:t>Translate all communications into alternative formats and other languages (where possible prepare prior).</w:t>
            </w:r>
          </w:p>
        </w:tc>
        <w:tc>
          <w:tcPr>
            <w:tcW w:w="637" w:type="pct"/>
            <w:shd w:val="clear" w:color="auto" w:fill="D9D9D9"/>
          </w:tcPr>
          <w:p w14:paraId="0A01CC93" w14:textId="77777777" w:rsidR="001A43ED" w:rsidRPr="00086392" w:rsidRDefault="001A43ED" w:rsidP="00747C44">
            <w:pPr>
              <w:pStyle w:val="TableText"/>
              <w:spacing w:before="20" w:after="20" w:line="252" w:lineRule="auto"/>
              <w:rPr>
                <w:szCs w:val="18"/>
              </w:rPr>
            </w:pPr>
            <w:r w:rsidRPr="00086392">
              <w:rPr>
                <w:szCs w:val="18"/>
              </w:rPr>
              <w:t>None specifically required</w:t>
            </w:r>
          </w:p>
        </w:tc>
      </w:tr>
      <w:tr w:rsidR="001A43ED" w:rsidRPr="00086392" w14:paraId="6D91780B" w14:textId="77777777" w:rsidTr="002D0A37">
        <w:trPr>
          <w:cantSplit/>
          <w:trHeight w:val="1394"/>
        </w:trPr>
        <w:tc>
          <w:tcPr>
            <w:tcW w:w="514" w:type="pct"/>
          </w:tcPr>
          <w:p w14:paraId="04A3626D" w14:textId="77777777" w:rsidR="001A43ED" w:rsidRPr="00086392" w:rsidRDefault="001A43ED" w:rsidP="00747C44">
            <w:pPr>
              <w:pStyle w:val="TableText"/>
              <w:spacing w:before="20" w:after="20" w:line="252" w:lineRule="auto"/>
              <w:rPr>
                <w:szCs w:val="18"/>
              </w:rPr>
            </w:pPr>
            <w:r w:rsidRPr="00086392">
              <w:rPr>
                <w:szCs w:val="18"/>
              </w:rPr>
              <w:t>Key differences</w:t>
            </w:r>
          </w:p>
        </w:tc>
        <w:tc>
          <w:tcPr>
            <w:tcW w:w="461" w:type="pct"/>
            <w:shd w:val="clear" w:color="auto" w:fill="D9D9D9"/>
          </w:tcPr>
          <w:p w14:paraId="0B03AD45" w14:textId="77777777" w:rsidR="001A43ED" w:rsidRPr="00086392" w:rsidRDefault="001A43ED" w:rsidP="00747C44">
            <w:pPr>
              <w:pStyle w:val="TableText"/>
              <w:spacing w:before="20" w:after="20" w:line="252" w:lineRule="auto"/>
              <w:rPr>
                <w:szCs w:val="18"/>
              </w:rPr>
            </w:pPr>
          </w:p>
        </w:tc>
        <w:tc>
          <w:tcPr>
            <w:tcW w:w="531" w:type="pct"/>
          </w:tcPr>
          <w:p w14:paraId="271AE6FB" w14:textId="77777777" w:rsidR="001A43ED" w:rsidRPr="00086392" w:rsidRDefault="001A43ED" w:rsidP="00747C44">
            <w:pPr>
              <w:pStyle w:val="TableText"/>
              <w:spacing w:before="20" w:after="20" w:line="252" w:lineRule="auto"/>
              <w:rPr>
                <w:szCs w:val="18"/>
              </w:rPr>
            </w:pPr>
          </w:p>
        </w:tc>
        <w:tc>
          <w:tcPr>
            <w:tcW w:w="1136" w:type="pct"/>
            <w:gridSpan w:val="2"/>
          </w:tcPr>
          <w:p w14:paraId="4E1BFB3C" w14:textId="77777777" w:rsidR="001A43ED" w:rsidRPr="00086392" w:rsidRDefault="001A43ED" w:rsidP="00747C44">
            <w:pPr>
              <w:pStyle w:val="TableBullet"/>
              <w:tabs>
                <w:tab w:val="clear" w:pos="284"/>
                <w:tab w:val="num" w:pos="227"/>
              </w:tabs>
              <w:spacing w:before="20" w:after="20" w:line="252" w:lineRule="auto"/>
              <w:ind w:left="227" w:hanging="227"/>
              <w:rPr>
                <w:szCs w:val="18"/>
              </w:rPr>
            </w:pPr>
            <w:r w:rsidRPr="00086392">
              <w:rPr>
                <w:szCs w:val="18"/>
              </w:rPr>
              <w:t>Targeted communications in community associated with detection.</w:t>
            </w:r>
          </w:p>
        </w:tc>
        <w:tc>
          <w:tcPr>
            <w:tcW w:w="1021" w:type="pct"/>
            <w:gridSpan w:val="2"/>
          </w:tcPr>
          <w:p w14:paraId="22820DC2" w14:textId="77777777" w:rsidR="001A43ED" w:rsidRPr="00086392" w:rsidRDefault="001A43ED" w:rsidP="00747C44">
            <w:pPr>
              <w:pStyle w:val="TableBullet"/>
              <w:tabs>
                <w:tab w:val="clear" w:pos="284"/>
                <w:tab w:val="num" w:pos="227"/>
              </w:tabs>
              <w:spacing w:before="20" w:after="20" w:line="252" w:lineRule="auto"/>
              <w:ind w:left="227" w:hanging="227"/>
              <w:rPr>
                <w:szCs w:val="18"/>
              </w:rPr>
            </w:pPr>
            <w:r w:rsidRPr="00086392">
              <w:rPr>
                <w:szCs w:val="18"/>
              </w:rPr>
              <w:t>Targeted communications in community associated with case.</w:t>
            </w:r>
          </w:p>
        </w:tc>
        <w:tc>
          <w:tcPr>
            <w:tcW w:w="700" w:type="pct"/>
          </w:tcPr>
          <w:p w14:paraId="72568099" w14:textId="77777777" w:rsidR="001A43ED" w:rsidRPr="00086392" w:rsidRDefault="001A43ED" w:rsidP="00747C44">
            <w:pPr>
              <w:pStyle w:val="TableBullet"/>
              <w:tabs>
                <w:tab w:val="clear" w:pos="284"/>
                <w:tab w:val="num" w:pos="227"/>
              </w:tabs>
              <w:spacing w:before="20" w:after="20" w:line="252" w:lineRule="auto"/>
              <w:ind w:left="227" w:hanging="227"/>
              <w:rPr>
                <w:szCs w:val="18"/>
              </w:rPr>
            </w:pPr>
            <w:r w:rsidRPr="00086392">
              <w:rPr>
                <w:szCs w:val="18"/>
              </w:rPr>
              <w:t>May need to respond to media attention around this, but important to keep identity of exposed person(s) confidential as possible.</w:t>
            </w:r>
          </w:p>
        </w:tc>
        <w:tc>
          <w:tcPr>
            <w:tcW w:w="637" w:type="pct"/>
            <w:shd w:val="clear" w:color="auto" w:fill="auto"/>
          </w:tcPr>
          <w:p w14:paraId="7B906577" w14:textId="4635C4A9" w:rsidR="001A43ED" w:rsidRPr="00086392" w:rsidRDefault="001A43ED" w:rsidP="00747C44">
            <w:pPr>
              <w:pStyle w:val="TableBullet"/>
              <w:tabs>
                <w:tab w:val="clear" w:pos="284"/>
                <w:tab w:val="num" w:pos="227"/>
              </w:tabs>
              <w:spacing w:before="20" w:after="20" w:line="252" w:lineRule="auto"/>
              <w:ind w:left="227" w:hanging="227"/>
              <w:rPr>
                <w:szCs w:val="18"/>
              </w:rPr>
            </w:pPr>
            <w:r w:rsidRPr="00086392">
              <w:rPr>
                <w:szCs w:val="18"/>
              </w:rPr>
              <w:t>May require response to media attention (if arises) and/or proactive communications to the health sector if enhancing AFP surveillance.</w:t>
            </w:r>
          </w:p>
        </w:tc>
      </w:tr>
      <w:tr w:rsidR="002D0A37" w:rsidRPr="00086392" w14:paraId="2195B69A" w14:textId="77777777" w:rsidTr="002D0A37">
        <w:trPr>
          <w:cantSplit/>
          <w:trHeight w:val="264"/>
        </w:trPr>
        <w:tc>
          <w:tcPr>
            <w:tcW w:w="5000" w:type="pct"/>
            <w:gridSpan w:val="9"/>
            <w:shd w:val="clear" w:color="auto" w:fill="DBE5F1"/>
          </w:tcPr>
          <w:p w14:paraId="105B81F8" w14:textId="77777777" w:rsidR="002D0A37" w:rsidRPr="00086392" w:rsidRDefault="002D0A37" w:rsidP="00747C44">
            <w:pPr>
              <w:pStyle w:val="TableText"/>
              <w:keepNext/>
              <w:spacing w:before="20" w:after="20" w:line="252" w:lineRule="auto"/>
              <w:rPr>
                <w:b/>
                <w:bCs/>
                <w:szCs w:val="18"/>
              </w:rPr>
            </w:pPr>
            <w:r w:rsidRPr="00086392">
              <w:rPr>
                <w:b/>
                <w:bCs/>
                <w:szCs w:val="18"/>
              </w:rPr>
              <w:lastRenderedPageBreak/>
              <w:t>Immunisation</w:t>
            </w:r>
          </w:p>
        </w:tc>
      </w:tr>
      <w:tr w:rsidR="001A43ED" w:rsidRPr="00086392" w14:paraId="47827F13" w14:textId="77777777" w:rsidTr="002D0A37">
        <w:trPr>
          <w:cantSplit/>
          <w:trHeight w:val="190"/>
        </w:trPr>
        <w:tc>
          <w:tcPr>
            <w:tcW w:w="514" w:type="pct"/>
          </w:tcPr>
          <w:p w14:paraId="078AF712" w14:textId="77777777" w:rsidR="001A43ED" w:rsidRPr="00086392" w:rsidRDefault="001A43ED" w:rsidP="00747C44">
            <w:pPr>
              <w:pStyle w:val="TableText"/>
              <w:spacing w:before="20" w:after="20" w:line="252" w:lineRule="auto"/>
              <w:rPr>
                <w:szCs w:val="18"/>
              </w:rPr>
            </w:pPr>
            <w:r w:rsidRPr="00086392">
              <w:rPr>
                <w:szCs w:val="18"/>
              </w:rPr>
              <w:t>Common actions</w:t>
            </w:r>
          </w:p>
        </w:tc>
        <w:tc>
          <w:tcPr>
            <w:tcW w:w="461" w:type="pct"/>
            <w:shd w:val="clear" w:color="auto" w:fill="D9D9D9"/>
          </w:tcPr>
          <w:p w14:paraId="79352372" w14:textId="77777777" w:rsidR="001A43ED" w:rsidRPr="00086392" w:rsidRDefault="001A43ED" w:rsidP="00747C44">
            <w:pPr>
              <w:pStyle w:val="TableText"/>
              <w:spacing w:before="20" w:after="20" w:line="252" w:lineRule="auto"/>
              <w:rPr>
                <w:szCs w:val="18"/>
              </w:rPr>
            </w:pPr>
            <w:r w:rsidRPr="00086392">
              <w:rPr>
                <w:szCs w:val="18"/>
              </w:rPr>
              <w:t>No action required</w:t>
            </w:r>
            <w:r w:rsidRPr="00086392" w:rsidDel="006270CE">
              <w:rPr>
                <w:szCs w:val="18"/>
              </w:rPr>
              <w:t xml:space="preserve"> </w:t>
            </w:r>
          </w:p>
        </w:tc>
        <w:tc>
          <w:tcPr>
            <w:tcW w:w="531" w:type="pct"/>
          </w:tcPr>
          <w:p w14:paraId="069DD3ED" w14:textId="77777777" w:rsidR="001A43ED" w:rsidRPr="00086392" w:rsidRDefault="001A43ED" w:rsidP="00747C44">
            <w:pPr>
              <w:pStyle w:val="TableText"/>
              <w:spacing w:before="20" w:after="20" w:line="252" w:lineRule="auto"/>
              <w:rPr>
                <w:szCs w:val="18"/>
              </w:rPr>
            </w:pPr>
          </w:p>
        </w:tc>
        <w:tc>
          <w:tcPr>
            <w:tcW w:w="3494" w:type="pct"/>
            <w:gridSpan w:val="6"/>
          </w:tcPr>
          <w:p w14:paraId="6FD7DE92" w14:textId="77777777" w:rsidR="001A43ED" w:rsidRPr="00086392" w:rsidRDefault="001A43ED" w:rsidP="00747C44">
            <w:pPr>
              <w:pStyle w:val="TableBullet"/>
              <w:tabs>
                <w:tab w:val="clear" w:pos="284"/>
                <w:tab w:val="num" w:pos="227"/>
              </w:tabs>
              <w:spacing w:before="20" w:after="20" w:line="252" w:lineRule="auto"/>
              <w:ind w:left="227" w:hanging="227"/>
              <w:rPr>
                <w:szCs w:val="18"/>
              </w:rPr>
            </w:pPr>
            <w:r w:rsidRPr="00086392">
              <w:rPr>
                <w:szCs w:val="18"/>
              </w:rPr>
              <w:t>Increased national campaign plus locally targeted campaigns</w:t>
            </w:r>
          </w:p>
        </w:tc>
      </w:tr>
      <w:tr w:rsidR="001A43ED" w:rsidRPr="00086392" w14:paraId="6DBEC94B" w14:textId="77777777" w:rsidTr="002D0A37">
        <w:trPr>
          <w:cantSplit/>
          <w:trHeight w:val="587"/>
        </w:trPr>
        <w:tc>
          <w:tcPr>
            <w:tcW w:w="514" w:type="pct"/>
          </w:tcPr>
          <w:p w14:paraId="7451D570" w14:textId="77777777" w:rsidR="001A43ED" w:rsidRPr="00086392" w:rsidRDefault="001A43ED" w:rsidP="00747C44">
            <w:pPr>
              <w:pStyle w:val="TableText"/>
              <w:spacing w:before="20" w:after="20" w:line="252" w:lineRule="auto"/>
              <w:rPr>
                <w:szCs w:val="18"/>
              </w:rPr>
            </w:pPr>
            <w:r w:rsidRPr="00086392">
              <w:rPr>
                <w:szCs w:val="18"/>
              </w:rPr>
              <w:t>Key differences</w:t>
            </w:r>
          </w:p>
        </w:tc>
        <w:tc>
          <w:tcPr>
            <w:tcW w:w="461" w:type="pct"/>
            <w:shd w:val="clear" w:color="auto" w:fill="D9D9D9"/>
          </w:tcPr>
          <w:p w14:paraId="02762C37" w14:textId="77777777" w:rsidR="001A43ED" w:rsidRPr="00086392" w:rsidRDefault="001A43ED" w:rsidP="00747C44">
            <w:pPr>
              <w:pStyle w:val="TableText"/>
              <w:spacing w:before="20" w:after="20" w:line="252" w:lineRule="auto"/>
              <w:rPr>
                <w:szCs w:val="18"/>
              </w:rPr>
            </w:pPr>
          </w:p>
        </w:tc>
        <w:tc>
          <w:tcPr>
            <w:tcW w:w="531" w:type="pct"/>
          </w:tcPr>
          <w:p w14:paraId="0A8AFDA5" w14:textId="77777777" w:rsidR="001A43ED" w:rsidRPr="00086392" w:rsidRDefault="001A43ED" w:rsidP="00747C44">
            <w:pPr>
              <w:pStyle w:val="TableText"/>
              <w:spacing w:before="20" w:after="20" w:line="252" w:lineRule="auto"/>
              <w:rPr>
                <w:szCs w:val="18"/>
              </w:rPr>
            </w:pPr>
          </w:p>
        </w:tc>
        <w:tc>
          <w:tcPr>
            <w:tcW w:w="468" w:type="pct"/>
          </w:tcPr>
          <w:p w14:paraId="1131573F" w14:textId="77777777" w:rsidR="001A43ED" w:rsidRPr="00086392" w:rsidRDefault="001A43ED" w:rsidP="00747C44">
            <w:pPr>
              <w:pStyle w:val="TableText"/>
              <w:spacing w:before="20" w:after="20" w:line="252" w:lineRule="auto"/>
              <w:rPr>
                <w:szCs w:val="18"/>
              </w:rPr>
            </w:pPr>
          </w:p>
        </w:tc>
        <w:tc>
          <w:tcPr>
            <w:tcW w:w="668" w:type="pct"/>
          </w:tcPr>
          <w:p w14:paraId="2CECCE1E" w14:textId="77777777" w:rsidR="001A43ED" w:rsidRPr="00086392" w:rsidRDefault="001A43ED" w:rsidP="00747C44">
            <w:pPr>
              <w:pStyle w:val="TableBullet"/>
              <w:tabs>
                <w:tab w:val="clear" w:pos="284"/>
                <w:tab w:val="num" w:pos="227"/>
              </w:tabs>
              <w:spacing w:before="20" w:after="20" w:line="252" w:lineRule="auto"/>
              <w:ind w:left="227" w:hanging="227"/>
              <w:rPr>
                <w:szCs w:val="18"/>
              </w:rPr>
            </w:pPr>
            <w:r w:rsidRPr="00086392">
              <w:rPr>
                <w:szCs w:val="18"/>
              </w:rPr>
              <w:t xml:space="preserve">Supplementary immunisation activities </w:t>
            </w:r>
          </w:p>
        </w:tc>
        <w:tc>
          <w:tcPr>
            <w:tcW w:w="445" w:type="pct"/>
          </w:tcPr>
          <w:p w14:paraId="13AC0F02" w14:textId="77777777" w:rsidR="001A43ED" w:rsidRPr="00086392" w:rsidRDefault="001A43ED" w:rsidP="00747C44">
            <w:pPr>
              <w:pStyle w:val="TableText"/>
              <w:spacing w:before="20" w:after="20" w:line="252" w:lineRule="auto"/>
              <w:rPr>
                <w:szCs w:val="18"/>
              </w:rPr>
            </w:pPr>
          </w:p>
        </w:tc>
        <w:tc>
          <w:tcPr>
            <w:tcW w:w="576" w:type="pct"/>
          </w:tcPr>
          <w:p w14:paraId="4AC8811A" w14:textId="77777777" w:rsidR="001A43ED" w:rsidRPr="00086392" w:rsidRDefault="001A43ED" w:rsidP="00747C44">
            <w:pPr>
              <w:pStyle w:val="TableBullet"/>
              <w:tabs>
                <w:tab w:val="clear" w:pos="284"/>
                <w:tab w:val="num" w:pos="227"/>
              </w:tabs>
              <w:spacing w:before="20" w:after="20" w:line="252" w:lineRule="auto"/>
              <w:ind w:left="227" w:hanging="227"/>
              <w:rPr>
                <w:szCs w:val="18"/>
              </w:rPr>
            </w:pPr>
            <w:r w:rsidRPr="00086392">
              <w:rPr>
                <w:szCs w:val="18"/>
              </w:rPr>
              <w:t xml:space="preserve">Supplementary immunisation activities </w:t>
            </w:r>
          </w:p>
        </w:tc>
        <w:tc>
          <w:tcPr>
            <w:tcW w:w="700" w:type="pct"/>
          </w:tcPr>
          <w:p w14:paraId="090D9B94" w14:textId="17C66090" w:rsidR="001A43ED" w:rsidRPr="00086392" w:rsidRDefault="001A43ED" w:rsidP="00747C44">
            <w:pPr>
              <w:pStyle w:val="TableBullet"/>
              <w:tabs>
                <w:tab w:val="clear" w:pos="284"/>
                <w:tab w:val="num" w:pos="227"/>
              </w:tabs>
              <w:spacing w:before="20" w:after="20" w:line="252" w:lineRule="auto"/>
              <w:ind w:left="227" w:hanging="227"/>
              <w:rPr>
                <w:szCs w:val="18"/>
              </w:rPr>
            </w:pPr>
            <w:r w:rsidRPr="00086392">
              <w:rPr>
                <w:szCs w:val="18"/>
              </w:rPr>
              <w:t>Appropriate vaccination of contacts</w:t>
            </w:r>
            <w:r w:rsidRPr="00184D75">
              <w:rPr>
                <w:szCs w:val="18"/>
                <w:vertAlign w:val="superscript"/>
              </w:rPr>
              <w:t>f</w:t>
            </w:r>
          </w:p>
        </w:tc>
        <w:tc>
          <w:tcPr>
            <w:tcW w:w="637" w:type="pct"/>
          </w:tcPr>
          <w:p w14:paraId="6A161F61" w14:textId="1FC92FF3" w:rsidR="001A43ED" w:rsidRPr="00086392" w:rsidRDefault="001A43ED" w:rsidP="00747C44">
            <w:pPr>
              <w:pStyle w:val="TableBullet"/>
              <w:tabs>
                <w:tab w:val="clear" w:pos="284"/>
                <w:tab w:val="num" w:pos="227"/>
              </w:tabs>
              <w:spacing w:before="20" w:after="20" w:line="252" w:lineRule="auto"/>
              <w:ind w:left="227" w:hanging="227"/>
              <w:rPr>
                <w:szCs w:val="18"/>
              </w:rPr>
            </w:pPr>
            <w:r w:rsidRPr="00086392">
              <w:rPr>
                <w:szCs w:val="18"/>
              </w:rPr>
              <w:t xml:space="preserve">Appropriate vaccination of exposed person </w:t>
            </w:r>
            <w:r w:rsidR="001A750E">
              <w:rPr>
                <w:szCs w:val="18"/>
              </w:rPr>
              <w:t>with or without vaccination of</w:t>
            </w:r>
            <w:r w:rsidRPr="00086392">
              <w:rPr>
                <w:szCs w:val="18"/>
              </w:rPr>
              <w:t xml:space="preserve"> contacts</w:t>
            </w:r>
            <w:r w:rsidRPr="00184D75">
              <w:rPr>
                <w:szCs w:val="18"/>
                <w:vertAlign w:val="superscript"/>
              </w:rPr>
              <w:t>e</w:t>
            </w:r>
          </w:p>
        </w:tc>
      </w:tr>
    </w:tbl>
    <w:p w14:paraId="0BF707EC" w14:textId="2A1EFF78" w:rsidR="00CC711F" w:rsidRDefault="00CC711F" w:rsidP="00184D75">
      <w:pPr>
        <w:spacing w:before="60"/>
        <w:rPr>
          <w:sz w:val="18"/>
          <w:szCs w:val="18"/>
        </w:rPr>
      </w:pPr>
      <w:r w:rsidRPr="00184D75">
        <w:rPr>
          <w:b/>
          <w:bCs/>
          <w:sz w:val="18"/>
          <w:szCs w:val="18"/>
        </w:rPr>
        <w:t>Key:</w:t>
      </w:r>
      <w:r w:rsidRPr="00B61255">
        <w:rPr>
          <w:sz w:val="18"/>
          <w:szCs w:val="18"/>
        </w:rPr>
        <w:t xml:space="preserve"> AFP</w:t>
      </w:r>
      <w:r>
        <w:rPr>
          <w:sz w:val="18"/>
          <w:szCs w:val="18"/>
        </w:rPr>
        <w:t xml:space="preserve"> =</w:t>
      </w:r>
      <w:r w:rsidRPr="00B61255">
        <w:rPr>
          <w:sz w:val="18"/>
          <w:szCs w:val="18"/>
        </w:rPr>
        <w:t xml:space="preserve"> </w:t>
      </w:r>
      <w:r>
        <w:rPr>
          <w:sz w:val="18"/>
          <w:szCs w:val="18"/>
        </w:rPr>
        <w:t>a</w:t>
      </w:r>
      <w:r w:rsidRPr="00B61255">
        <w:rPr>
          <w:sz w:val="18"/>
          <w:szCs w:val="18"/>
        </w:rPr>
        <w:t xml:space="preserve">cute </w:t>
      </w:r>
      <w:r>
        <w:rPr>
          <w:sz w:val="18"/>
          <w:szCs w:val="18"/>
        </w:rPr>
        <w:t>f</w:t>
      </w:r>
      <w:r w:rsidRPr="00B61255">
        <w:rPr>
          <w:sz w:val="18"/>
          <w:szCs w:val="18"/>
        </w:rPr>
        <w:t xml:space="preserve">laccid </w:t>
      </w:r>
      <w:r>
        <w:rPr>
          <w:sz w:val="18"/>
          <w:szCs w:val="18"/>
        </w:rPr>
        <w:t>p</w:t>
      </w:r>
      <w:r w:rsidRPr="00B61255">
        <w:rPr>
          <w:sz w:val="18"/>
          <w:szCs w:val="18"/>
        </w:rPr>
        <w:t>aralysis</w:t>
      </w:r>
      <w:r>
        <w:rPr>
          <w:sz w:val="18"/>
          <w:szCs w:val="18"/>
        </w:rPr>
        <w:t xml:space="preserve">; </w:t>
      </w:r>
      <w:r w:rsidRPr="00AC0451">
        <w:rPr>
          <w:sz w:val="18"/>
          <w:szCs w:val="18"/>
        </w:rPr>
        <w:t xml:space="preserve">aVDPV </w:t>
      </w:r>
      <w:r>
        <w:rPr>
          <w:sz w:val="18"/>
          <w:szCs w:val="18"/>
        </w:rPr>
        <w:t xml:space="preserve">= ambiguous </w:t>
      </w:r>
      <w:r w:rsidRPr="00AC0451">
        <w:rPr>
          <w:sz w:val="18"/>
          <w:szCs w:val="18"/>
        </w:rPr>
        <w:t>vaccine-derived poliovirus</w:t>
      </w:r>
      <w:r>
        <w:rPr>
          <w:sz w:val="18"/>
          <w:szCs w:val="18"/>
        </w:rPr>
        <w:t xml:space="preserve">; </w:t>
      </w:r>
      <w:r w:rsidRPr="00D50117">
        <w:rPr>
          <w:sz w:val="18"/>
          <w:szCs w:val="18"/>
        </w:rPr>
        <w:t xml:space="preserve">cVDPV </w:t>
      </w:r>
      <w:r>
        <w:rPr>
          <w:sz w:val="18"/>
          <w:szCs w:val="18"/>
        </w:rPr>
        <w:t xml:space="preserve">= circulating </w:t>
      </w:r>
      <w:r w:rsidRPr="00D50117">
        <w:rPr>
          <w:sz w:val="18"/>
          <w:szCs w:val="18"/>
        </w:rPr>
        <w:t>vaccine-derived poliovirus</w:t>
      </w:r>
      <w:r>
        <w:rPr>
          <w:sz w:val="18"/>
          <w:szCs w:val="18"/>
        </w:rPr>
        <w:t>;</w:t>
      </w:r>
      <w:r w:rsidRPr="00E66E64">
        <w:t xml:space="preserve"> </w:t>
      </w:r>
      <w:r w:rsidRPr="00E66E64">
        <w:rPr>
          <w:sz w:val="18"/>
          <w:szCs w:val="18"/>
        </w:rPr>
        <w:t>iVDPV</w:t>
      </w:r>
      <w:r w:rsidRPr="00D50117">
        <w:rPr>
          <w:sz w:val="18"/>
          <w:szCs w:val="18"/>
        </w:rPr>
        <w:t xml:space="preserve"> </w:t>
      </w:r>
      <w:r>
        <w:rPr>
          <w:sz w:val="18"/>
          <w:szCs w:val="18"/>
        </w:rPr>
        <w:t>=</w:t>
      </w:r>
      <w:r w:rsidRPr="00E66E64">
        <w:t xml:space="preserve"> </w:t>
      </w:r>
      <w:r w:rsidRPr="00E66E64">
        <w:rPr>
          <w:sz w:val="18"/>
          <w:szCs w:val="18"/>
        </w:rPr>
        <w:t>immune-deficiency associated</w:t>
      </w:r>
      <w:r>
        <w:rPr>
          <w:sz w:val="18"/>
          <w:szCs w:val="18"/>
        </w:rPr>
        <w:t xml:space="preserve"> </w:t>
      </w:r>
      <w:r w:rsidRPr="00E66E64">
        <w:rPr>
          <w:sz w:val="18"/>
          <w:szCs w:val="18"/>
        </w:rPr>
        <w:t>vaccine-derived poliovirus</w:t>
      </w:r>
      <w:r>
        <w:rPr>
          <w:sz w:val="18"/>
          <w:szCs w:val="18"/>
        </w:rPr>
        <w:t>;</w:t>
      </w:r>
      <w:r w:rsidRPr="00E66E64">
        <w:rPr>
          <w:sz w:val="18"/>
          <w:szCs w:val="18"/>
        </w:rPr>
        <w:t xml:space="preserve"> </w:t>
      </w:r>
      <w:r w:rsidRPr="00AC0451">
        <w:rPr>
          <w:sz w:val="18"/>
          <w:szCs w:val="18"/>
        </w:rPr>
        <w:t>OPV = oral poliovirus vaccine</w:t>
      </w:r>
      <w:r>
        <w:rPr>
          <w:sz w:val="18"/>
          <w:szCs w:val="18"/>
        </w:rPr>
        <w:t xml:space="preserve">; WPV = wild </w:t>
      </w:r>
      <w:r w:rsidRPr="00E66E64">
        <w:rPr>
          <w:sz w:val="18"/>
          <w:szCs w:val="18"/>
        </w:rPr>
        <w:t>poliovirus</w:t>
      </w:r>
      <w:r w:rsidRPr="00B61255">
        <w:rPr>
          <w:sz w:val="18"/>
          <w:szCs w:val="18"/>
        </w:rPr>
        <w:t>.</w:t>
      </w:r>
    </w:p>
    <w:p w14:paraId="1EF7B11E" w14:textId="77777777" w:rsidR="00CC711F" w:rsidRPr="00184D75" w:rsidRDefault="00CC711F" w:rsidP="00184D75">
      <w:pPr>
        <w:spacing w:before="60"/>
        <w:rPr>
          <w:b/>
          <w:bCs/>
          <w:sz w:val="18"/>
          <w:szCs w:val="18"/>
        </w:rPr>
      </w:pPr>
      <w:r w:rsidRPr="00184D75">
        <w:rPr>
          <w:b/>
          <w:bCs/>
          <w:sz w:val="18"/>
          <w:szCs w:val="18"/>
        </w:rPr>
        <w:t>Notes:</w:t>
      </w:r>
    </w:p>
    <w:p w14:paraId="1F529CB6" w14:textId="37E84302" w:rsidR="00CC711F" w:rsidRPr="00B61255" w:rsidRDefault="00CC711F" w:rsidP="00184D75">
      <w:pPr>
        <w:ind w:left="284" w:hanging="284"/>
        <w:rPr>
          <w:sz w:val="18"/>
          <w:szCs w:val="18"/>
        </w:rPr>
      </w:pPr>
      <w:r>
        <w:rPr>
          <w:sz w:val="18"/>
          <w:szCs w:val="18"/>
        </w:rPr>
        <w:t>a.</w:t>
      </w:r>
      <w:r>
        <w:rPr>
          <w:sz w:val="18"/>
          <w:szCs w:val="18"/>
        </w:rPr>
        <w:tab/>
      </w:r>
      <w:r w:rsidRPr="00B61255">
        <w:rPr>
          <w:sz w:val="18"/>
          <w:szCs w:val="18"/>
        </w:rPr>
        <w:t xml:space="preserve">The </w:t>
      </w:r>
      <w:r w:rsidRPr="00F76870">
        <w:rPr>
          <w:sz w:val="18"/>
          <w:szCs w:val="18"/>
        </w:rPr>
        <w:t xml:space="preserve">International Health Regulations </w:t>
      </w:r>
      <w:r>
        <w:rPr>
          <w:sz w:val="18"/>
          <w:szCs w:val="18"/>
        </w:rPr>
        <w:t>(</w:t>
      </w:r>
      <w:r w:rsidRPr="00B61255">
        <w:rPr>
          <w:sz w:val="18"/>
          <w:szCs w:val="18"/>
        </w:rPr>
        <w:t>IHR</w:t>
      </w:r>
      <w:r>
        <w:rPr>
          <w:sz w:val="18"/>
          <w:szCs w:val="18"/>
        </w:rPr>
        <w:t>)</w:t>
      </w:r>
      <w:r w:rsidRPr="00B61255">
        <w:rPr>
          <w:sz w:val="18"/>
          <w:szCs w:val="18"/>
        </w:rPr>
        <w:t xml:space="preserve"> </w:t>
      </w:r>
      <w:r>
        <w:rPr>
          <w:sz w:val="18"/>
          <w:szCs w:val="18"/>
        </w:rPr>
        <w:t xml:space="preserve">require countries to notify </w:t>
      </w:r>
      <w:r w:rsidRPr="00B61255">
        <w:rPr>
          <w:sz w:val="18"/>
          <w:szCs w:val="18"/>
        </w:rPr>
        <w:t>the WHO of all vaccine type 2 viruses (</w:t>
      </w:r>
      <w:r>
        <w:rPr>
          <w:sz w:val="18"/>
          <w:szCs w:val="18"/>
        </w:rPr>
        <w:t>S</w:t>
      </w:r>
      <w:r w:rsidRPr="00B61255">
        <w:rPr>
          <w:sz w:val="18"/>
          <w:szCs w:val="18"/>
        </w:rPr>
        <w:t xml:space="preserve">abin or </w:t>
      </w:r>
      <w:r>
        <w:rPr>
          <w:sz w:val="18"/>
          <w:szCs w:val="18"/>
        </w:rPr>
        <w:t>S</w:t>
      </w:r>
      <w:r w:rsidRPr="00B61255">
        <w:rPr>
          <w:sz w:val="18"/>
          <w:szCs w:val="18"/>
        </w:rPr>
        <w:t xml:space="preserve">abin-like). </w:t>
      </w:r>
    </w:p>
    <w:p w14:paraId="3F52B4EB" w14:textId="645F7266" w:rsidR="00CC711F" w:rsidRPr="00B61255" w:rsidRDefault="00CC711F" w:rsidP="00184D75">
      <w:pPr>
        <w:ind w:left="284" w:hanging="284"/>
        <w:rPr>
          <w:sz w:val="18"/>
          <w:szCs w:val="18"/>
        </w:rPr>
      </w:pPr>
      <w:r>
        <w:rPr>
          <w:sz w:val="18"/>
          <w:szCs w:val="18"/>
        </w:rPr>
        <w:t>b.</w:t>
      </w:r>
      <w:r>
        <w:rPr>
          <w:sz w:val="18"/>
          <w:szCs w:val="18"/>
        </w:rPr>
        <w:tab/>
      </w:r>
      <w:r w:rsidRPr="00B61255">
        <w:rPr>
          <w:sz w:val="18"/>
          <w:szCs w:val="18"/>
        </w:rPr>
        <w:t>In strains resembling iVDPV, repeated isolation of the same or a genetically distinct but related virus from the same site does not necessarily indicate an emerging outbreak.</w:t>
      </w:r>
    </w:p>
    <w:p w14:paraId="62F35F71" w14:textId="34D1CF2C" w:rsidR="00CC711F" w:rsidRPr="00B61255" w:rsidRDefault="00CC711F" w:rsidP="00184D75">
      <w:pPr>
        <w:ind w:left="284" w:hanging="284"/>
        <w:rPr>
          <w:sz w:val="18"/>
          <w:szCs w:val="18"/>
        </w:rPr>
      </w:pPr>
      <w:r>
        <w:rPr>
          <w:sz w:val="18"/>
          <w:szCs w:val="18"/>
        </w:rPr>
        <w:t>c.</w:t>
      </w:r>
      <w:r>
        <w:rPr>
          <w:sz w:val="18"/>
          <w:szCs w:val="18"/>
        </w:rPr>
        <w:tab/>
      </w:r>
      <w:r w:rsidRPr="00B61255">
        <w:rPr>
          <w:sz w:val="18"/>
          <w:szCs w:val="18"/>
        </w:rPr>
        <w:t>Risk factors for disease</w:t>
      </w:r>
      <w:r>
        <w:rPr>
          <w:sz w:val="18"/>
          <w:szCs w:val="18"/>
        </w:rPr>
        <w:t xml:space="preserve"> include</w:t>
      </w:r>
      <w:r w:rsidRPr="00B61255">
        <w:rPr>
          <w:sz w:val="18"/>
          <w:szCs w:val="18"/>
        </w:rPr>
        <w:t xml:space="preserve"> </w:t>
      </w:r>
      <w:r>
        <w:rPr>
          <w:sz w:val="18"/>
          <w:szCs w:val="18"/>
        </w:rPr>
        <w:t>t</w:t>
      </w:r>
      <w:r w:rsidRPr="00B61255">
        <w:rPr>
          <w:sz w:val="18"/>
          <w:szCs w:val="18"/>
        </w:rPr>
        <w:t>ravel to polio</w:t>
      </w:r>
      <w:r>
        <w:rPr>
          <w:sz w:val="18"/>
          <w:szCs w:val="18"/>
        </w:rPr>
        <w:t>-</w:t>
      </w:r>
      <w:r w:rsidRPr="00B61255">
        <w:rPr>
          <w:sz w:val="18"/>
          <w:szCs w:val="18"/>
        </w:rPr>
        <w:t>endemic regions or to regions where there are known outbreaks of VDPV.</w:t>
      </w:r>
    </w:p>
    <w:p w14:paraId="2DA15FE6" w14:textId="70059F0D" w:rsidR="00CC711F" w:rsidRPr="00B61255" w:rsidRDefault="00CC711F" w:rsidP="00184D75">
      <w:pPr>
        <w:ind w:left="284" w:hanging="284"/>
        <w:rPr>
          <w:sz w:val="18"/>
          <w:szCs w:val="18"/>
        </w:rPr>
      </w:pPr>
      <w:r>
        <w:rPr>
          <w:sz w:val="18"/>
          <w:szCs w:val="18"/>
        </w:rPr>
        <w:t>d.</w:t>
      </w:r>
      <w:r>
        <w:rPr>
          <w:sz w:val="18"/>
          <w:szCs w:val="18"/>
        </w:rPr>
        <w:tab/>
      </w:r>
      <w:r w:rsidRPr="00B61255">
        <w:rPr>
          <w:sz w:val="18"/>
          <w:szCs w:val="18"/>
        </w:rPr>
        <w:t>Enhanced surveillance to be considered in the context of laboratory capacity and capability to ensure feasibility, as well as prioritisation in terms of response.</w:t>
      </w:r>
    </w:p>
    <w:p w14:paraId="22E8B8F9" w14:textId="22B3AE49" w:rsidR="00CC711F" w:rsidRPr="00B61255" w:rsidRDefault="00CC711F" w:rsidP="00184D75">
      <w:pPr>
        <w:ind w:left="284" w:hanging="284"/>
        <w:rPr>
          <w:sz w:val="18"/>
          <w:szCs w:val="18"/>
        </w:rPr>
      </w:pPr>
      <w:r>
        <w:rPr>
          <w:sz w:val="18"/>
          <w:szCs w:val="18"/>
        </w:rPr>
        <w:t>e.</w:t>
      </w:r>
      <w:r>
        <w:rPr>
          <w:sz w:val="18"/>
          <w:szCs w:val="18"/>
        </w:rPr>
        <w:tab/>
      </w:r>
      <w:r w:rsidRPr="00B61255">
        <w:rPr>
          <w:sz w:val="18"/>
          <w:szCs w:val="18"/>
        </w:rPr>
        <w:t>This should include defining population for testing, with consideration of lab capacity.</w:t>
      </w:r>
    </w:p>
    <w:p w14:paraId="550CE7B2" w14:textId="2F060BFB" w:rsidR="00CC711F" w:rsidRPr="00B61255" w:rsidRDefault="00CC711F" w:rsidP="00184D75">
      <w:pPr>
        <w:ind w:left="284" w:hanging="284"/>
      </w:pPr>
      <w:r>
        <w:rPr>
          <w:sz w:val="18"/>
          <w:szCs w:val="18"/>
        </w:rPr>
        <w:t>f.</w:t>
      </w:r>
      <w:r>
        <w:rPr>
          <w:sz w:val="18"/>
          <w:szCs w:val="18"/>
        </w:rPr>
        <w:tab/>
      </w:r>
      <w:r w:rsidRPr="00B61255">
        <w:rPr>
          <w:sz w:val="18"/>
          <w:szCs w:val="18"/>
        </w:rPr>
        <w:t xml:space="preserve">Part of case and contact management (see </w:t>
      </w:r>
      <w:r w:rsidRPr="00184D75">
        <w:rPr>
          <w:i/>
          <w:iCs/>
          <w:sz w:val="18"/>
          <w:szCs w:val="18"/>
        </w:rPr>
        <w:t>Communicable Disease Control Manual</w:t>
      </w:r>
      <w:r w:rsidRPr="00B61255">
        <w:rPr>
          <w:sz w:val="18"/>
          <w:szCs w:val="18"/>
        </w:rPr>
        <w:t xml:space="preserve"> for further details).</w:t>
      </w:r>
    </w:p>
    <w:p w14:paraId="0283B096" w14:textId="77777777" w:rsidR="00386D81" w:rsidRPr="00B61255" w:rsidRDefault="00386D81" w:rsidP="00386D81">
      <w:pPr>
        <w:pStyle w:val="Bullet"/>
        <w:numPr>
          <w:ilvl w:val="0"/>
          <w:numId w:val="0"/>
        </w:numPr>
        <w:spacing w:before="0"/>
        <w:rPr>
          <w:rFonts w:cs="Arial"/>
        </w:rPr>
        <w:sectPr w:rsidR="00386D81" w:rsidRPr="00B61255" w:rsidSect="00663364">
          <w:footerReference w:type="even" r:id="rId39"/>
          <w:footerReference w:type="default" r:id="rId40"/>
          <w:pgSz w:w="16834" w:h="11907" w:orient="landscape" w:code="9"/>
          <w:pgMar w:top="1843" w:right="1418" w:bottom="1701" w:left="1134" w:header="284" w:footer="425" w:gutter="284"/>
          <w:cols w:space="720"/>
          <w:docGrid w:linePitch="286"/>
        </w:sectPr>
      </w:pPr>
    </w:p>
    <w:p w14:paraId="111A1415" w14:textId="16066671" w:rsidR="00386D81" w:rsidRPr="00B61255" w:rsidRDefault="00386D81" w:rsidP="00AA2D6A">
      <w:pPr>
        <w:pStyle w:val="Heading2"/>
        <w:rPr>
          <w:lang w:eastAsia="en-US"/>
        </w:rPr>
      </w:pPr>
      <w:bookmarkStart w:id="134" w:name="_Toc132616753"/>
      <w:bookmarkStart w:id="135" w:name="_Toc146541120"/>
      <w:bookmarkStart w:id="136" w:name="_Toc147242150"/>
      <w:r w:rsidRPr="00B61255">
        <w:rPr>
          <w:lang w:eastAsia="en-US"/>
        </w:rPr>
        <w:lastRenderedPageBreak/>
        <w:t xml:space="preserve">End of outbreak </w:t>
      </w:r>
      <w:r>
        <w:rPr>
          <w:lang w:eastAsia="en-US"/>
        </w:rPr>
        <w:t>and</w:t>
      </w:r>
      <w:r w:rsidRPr="00B61255">
        <w:rPr>
          <w:lang w:eastAsia="en-US"/>
        </w:rPr>
        <w:t xml:space="preserve"> monitoring and evaluation</w:t>
      </w:r>
      <w:bookmarkEnd w:id="134"/>
      <w:bookmarkEnd w:id="135"/>
      <w:bookmarkEnd w:id="136"/>
    </w:p>
    <w:p w14:paraId="308115D7" w14:textId="77777777" w:rsidR="00386D81" w:rsidRPr="00B61255" w:rsidRDefault="00386D81" w:rsidP="000F2AF2">
      <w:pPr>
        <w:pStyle w:val="Heading3"/>
      </w:pPr>
      <w:r w:rsidRPr="00B61255">
        <w:t>End of outbreak</w:t>
      </w:r>
    </w:p>
    <w:p w14:paraId="632FAA07" w14:textId="77777777" w:rsidR="00386D81" w:rsidRPr="00B61255" w:rsidRDefault="00386D81" w:rsidP="00386D81">
      <w:r w:rsidRPr="00B61255">
        <w:t xml:space="preserve">A polio outbreak can be declared over once no poliovirus has been detected from any source for at least 6 months, alongside good evidence of high-quality effective immunisation response and </w:t>
      </w:r>
      <w:r w:rsidRPr="00B61255">
        <w:rPr>
          <w:b/>
          <w:bCs/>
        </w:rPr>
        <w:t>sensitive surveillance</w:t>
      </w:r>
      <w:r w:rsidRPr="00B61255">
        <w:t xml:space="preserve">. </w:t>
      </w:r>
    </w:p>
    <w:p w14:paraId="67377DE4" w14:textId="1F4BC58A" w:rsidR="00386D81" w:rsidRDefault="00386D81" w:rsidP="00184D75">
      <w:pPr>
        <w:pStyle w:val="Heading4"/>
      </w:pPr>
      <w:r w:rsidRPr="00B61255">
        <w:t>Sensitive surveillance</w:t>
      </w:r>
    </w:p>
    <w:p w14:paraId="56E58232" w14:textId="30713D25" w:rsidR="00386D81" w:rsidRPr="00B61255" w:rsidRDefault="00386D81" w:rsidP="00386D81">
      <w:r w:rsidRPr="00B61255">
        <w:t>Following any outbreak</w:t>
      </w:r>
      <w:r>
        <w:t>,</w:t>
      </w:r>
      <w:r w:rsidRPr="00B61255">
        <w:t xml:space="preserve"> AFP surveillance</w:t>
      </w:r>
      <w:r>
        <w:t xml:space="preserve"> would need to be monitored</w:t>
      </w:r>
      <w:r w:rsidRPr="00B61255">
        <w:t xml:space="preserve"> to ensure that it reaches WHO requirements of the increase of the annualised target for the non-polio AFP rate to &gt;3 per 100,000 children &lt;15 years old per year for ≥12 months after the last case or isolate in outbreak-affected and polio high-risk areas. This would need to occur if there was sustained detection of poliovirus in wastewater or a case of poliovirus detected.</w:t>
      </w:r>
    </w:p>
    <w:p w14:paraId="3DC0A75C" w14:textId="77777777" w:rsidR="00386D81" w:rsidRPr="00B61255" w:rsidRDefault="00386D81" w:rsidP="00386D81"/>
    <w:p w14:paraId="22E13D2E" w14:textId="77777777" w:rsidR="00386D81" w:rsidRPr="00B61255" w:rsidRDefault="00386D81" w:rsidP="00386D81">
      <w:r w:rsidRPr="00B61255">
        <w:t>If wastewater testing is enhanced following an outbreak</w:t>
      </w:r>
      <w:r>
        <w:t>,</w:t>
      </w:r>
      <w:r w:rsidRPr="00B61255">
        <w:t xml:space="preserve"> this should not compromise AFP surveillance as the gold standard surveillance tool as per WHO guidance.</w:t>
      </w:r>
    </w:p>
    <w:p w14:paraId="35F4CF80" w14:textId="77777777" w:rsidR="00386D81" w:rsidRPr="00B61255" w:rsidRDefault="00386D81" w:rsidP="000F2AF2">
      <w:pPr>
        <w:pStyle w:val="Heading3"/>
      </w:pPr>
      <w:r w:rsidRPr="00B61255">
        <w:rPr>
          <w:lang w:eastAsia="en-US"/>
        </w:rPr>
        <w:t>Monitoring and evaluation</w:t>
      </w:r>
    </w:p>
    <w:p w14:paraId="0BC92769" w14:textId="52572A96" w:rsidR="00386D81" w:rsidRPr="00B61255" w:rsidRDefault="00386D81" w:rsidP="00386D81">
      <w:pPr>
        <w:rPr>
          <w:lang w:eastAsia="en-US"/>
        </w:rPr>
      </w:pPr>
      <w:r w:rsidRPr="00B61255">
        <w:rPr>
          <w:lang w:eastAsia="en-US"/>
        </w:rPr>
        <w:t>There is a need for ongoing quality assurance for outbreak response that may include quantitative and qualitative methods for core components of response before, during and after implementation. There should also be partnership with Māori, including through Te Aka Whai Ora and IMPBs, to ensure that Māori voice is reflected in monitoring and evaluation for a polio response</w:t>
      </w:r>
      <w:r>
        <w:rPr>
          <w:lang w:eastAsia="en-US"/>
        </w:rPr>
        <w:t>,</w:t>
      </w:r>
      <w:r w:rsidRPr="00B61255">
        <w:rPr>
          <w:lang w:eastAsia="en-US"/>
        </w:rPr>
        <w:t xml:space="preserve"> including a te ao Māori perspective on outcomes. All monitoring and evaluation should be designed to ensure outcomes for different priority groups are captured</w:t>
      </w:r>
      <w:r>
        <w:rPr>
          <w:lang w:eastAsia="en-US"/>
        </w:rPr>
        <w:t>,</w:t>
      </w:r>
      <w:r w:rsidRPr="00B61255">
        <w:rPr>
          <w:lang w:eastAsia="en-US"/>
        </w:rPr>
        <w:t xml:space="preserve"> enabling an equity analysis that should include disaggregation of quantitative data by characteristics such as gender, ethnicity and disability status. This is particularly important to ensure we are meeting our Te Tiriti obligations of protection and equity of health outcomes.</w:t>
      </w:r>
      <w:r w:rsidR="00740150">
        <w:rPr>
          <w:lang w:eastAsia="en-US"/>
        </w:rPr>
        <w:t xml:space="preserve"> Examples of </w:t>
      </w:r>
      <w:r w:rsidR="00E02ABC">
        <w:rPr>
          <w:lang w:eastAsia="en-US"/>
        </w:rPr>
        <w:t xml:space="preserve">key components for monitoring and evaluation and/or </w:t>
      </w:r>
      <w:r w:rsidR="007E600C">
        <w:rPr>
          <w:lang w:eastAsia="en-US"/>
        </w:rPr>
        <w:t>associated</w:t>
      </w:r>
      <w:r w:rsidR="00740150">
        <w:rPr>
          <w:lang w:eastAsia="en-US"/>
        </w:rPr>
        <w:t xml:space="preserve"> indicators at each stage of response are listed below</w:t>
      </w:r>
      <w:r w:rsidR="00E02ABC">
        <w:rPr>
          <w:lang w:eastAsia="en-US"/>
        </w:rPr>
        <w:t>.</w:t>
      </w:r>
    </w:p>
    <w:p w14:paraId="7A4906CB" w14:textId="77777777" w:rsidR="00B90A26" w:rsidRDefault="00B90A26" w:rsidP="00B90A26">
      <w:pPr>
        <w:rPr>
          <w:b/>
          <w:bCs/>
          <w:lang w:eastAsia="en-US"/>
        </w:rPr>
      </w:pPr>
    </w:p>
    <w:p w14:paraId="3EF9ACAE" w14:textId="75099548" w:rsidR="00386D81" w:rsidRPr="00B61255" w:rsidRDefault="00386D81" w:rsidP="00B90A26">
      <w:pPr>
        <w:keepNext/>
        <w:rPr>
          <w:lang w:eastAsia="en-US"/>
        </w:rPr>
      </w:pPr>
      <w:r w:rsidRPr="00041446">
        <w:rPr>
          <w:b/>
          <w:bCs/>
          <w:lang w:eastAsia="en-US"/>
        </w:rPr>
        <w:t>Planning and preparation</w:t>
      </w:r>
      <w:r w:rsidR="00041446" w:rsidRPr="00B90A26">
        <w:rPr>
          <w:b/>
          <w:bCs/>
          <w:lang w:eastAsia="en-US"/>
        </w:rPr>
        <w:t>:</w:t>
      </w:r>
    </w:p>
    <w:p w14:paraId="56E1065D" w14:textId="0BB0E55E" w:rsidR="00386D81" w:rsidRDefault="00386D81" w:rsidP="00184D75">
      <w:pPr>
        <w:pStyle w:val="Bullet"/>
        <w:rPr>
          <w:lang w:eastAsia="en-US"/>
        </w:rPr>
      </w:pPr>
      <w:r w:rsidRPr="00B61255">
        <w:rPr>
          <w:lang w:eastAsia="en-US"/>
        </w:rPr>
        <w:t>Ongoing review of AFP surveillance</w:t>
      </w:r>
    </w:p>
    <w:p w14:paraId="11BDF993" w14:textId="1C5C0484" w:rsidR="00386D81" w:rsidRDefault="005948C9" w:rsidP="00184D75">
      <w:pPr>
        <w:pStyle w:val="Bullet"/>
        <w:rPr>
          <w:lang w:eastAsia="en-US"/>
        </w:rPr>
      </w:pPr>
      <w:r>
        <w:rPr>
          <w:lang w:eastAsia="en-US"/>
        </w:rPr>
        <w:t>E</w:t>
      </w:r>
      <w:r w:rsidR="00386D81" w:rsidRPr="00B61255">
        <w:rPr>
          <w:lang w:eastAsia="en-US"/>
        </w:rPr>
        <w:t>vidence of training for all relevant personnel</w:t>
      </w:r>
    </w:p>
    <w:p w14:paraId="401C436F" w14:textId="04FF7B7F" w:rsidR="00386D81" w:rsidRDefault="005948C9" w:rsidP="00184D75">
      <w:pPr>
        <w:pStyle w:val="Bullet"/>
        <w:rPr>
          <w:lang w:eastAsia="en-US"/>
        </w:rPr>
      </w:pPr>
      <w:r>
        <w:rPr>
          <w:lang w:eastAsia="en-US"/>
        </w:rPr>
        <w:t>P</w:t>
      </w:r>
      <w:r w:rsidR="00386D81" w:rsidRPr="00B61255">
        <w:rPr>
          <w:lang w:eastAsia="en-US"/>
        </w:rPr>
        <w:t>reparation of relevant plans</w:t>
      </w:r>
      <w:r w:rsidR="00386D81">
        <w:rPr>
          <w:lang w:eastAsia="en-US"/>
        </w:rPr>
        <w:t>,</w:t>
      </w:r>
      <w:r w:rsidR="00386D81" w:rsidRPr="00B61255">
        <w:rPr>
          <w:lang w:eastAsia="en-US"/>
        </w:rPr>
        <w:t xml:space="preserve"> including vaccination and communications planning</w:t>
      </w:r>
    </w:p>
    <w:p w14:paraId="1753DAA9" w14:textId="58439642" w:rsidR="00386D81" w:rsidRPr="00B61255" w:rsidRDefault="005948C9" w:rsidP="00184D75">
      <w:pPr>
        <w:pStyle w:val="Bullet"/>
        <w:rPr>
          <w:lang w:eastAsia="en-US"/>
        </w:rPr>
      </w:pPr>
      <w:r>
        <w:rPr>
          <w:lang w:eastAsia="en-US"/>
        </w:rPr>
        <w:t>E</w:t>
      </w:r>
      <w:r w:rsidR="00386D81" w:rsidRPr="00B61255">
        <w:rPr>
          <w:lang w:eastAsia="en-US"/>
        </w:rPr>
        <w:t>arly engagement with targeted groups as required</w:t>
      </w:r>
    </w:p>
    <w:p w14:paraId="7095152F" w14:textId="77777777" w:rsidR="006E3133" w:rsidRDefault="006E3133" w:rsidP="00B90A26">
      <w:pPr>
        <w:keepNext/>
        <w:rPr>
          <w:b/>
          <w:bCs/>
          <w:lang w:eastAsia="en-US"/>
        </w:rPr>
      </w:pPr>
    </w:p>
    <w:p w14:paraId="06F83700" w14:textId="15802841" w:rsidR="00386D81" w:rsidRPr="00B90A26" w:rsidRDefault="00386D81" w:rsidP="00B90A26">
      <w:pPr>
        <w:keepNext/>
        <w:rPr>
          <w:b/>
          <w:bCs/>
          <w:lang w:eastAsia="en-US"/>
        </w:rPr>
      </w:pPr>
      <w:r w:rsidRPr="00B90A26">
        <w:rPr>
          <w:b/>
          <w:bCs/>
          <w:lang w:eastAsia="en-US"/>
        </w:rPr>
        <w:t>Implementation</w:t>
      </w:r>
      <w:r w:rsidR="006E3133">
        <w:rPr>
          <w:b/>
          <w:bCs/>
          <w:lang w:eastAsia="en-US"/>
        </w:rPr>
        <w:t>:</w:t>
      </w:r>
    </w:p>
    <w:p w14:paraId="15367FB3" w14:textId="36092B8D" w:rsidR="00386D81" w:rsidRPr="00B61255" w:rsidRDefault="00386D81" w:rsidP="00386D81">
      <w:pPr>
        <w:pStyle w:val="Bullet"/>
        <w:rPr>
          <w:lang w:eastAsia="en-US"/>
        </w:rPr>
      </w:pPr>
      <w:r w:rsidRPr="00B61255">
        <w:rPr>
          <w:b/>
          <w:bCs/>
          <w:lang w:eastAsia="en-US"/>
        </w:rPr>
        <w:t>Surveillance</w:t>
      </w:r>
      <w:r>
        <w:rPr>
          <w:lang w:eastAsia="en-US"/>
        </w:rPr>
        <w:t xml:space="preserve"> —</w:t>
      </w:r>
      <w:r w:rsidRPr="00B61255">
        <w:rPr>
          <w:lang w:eastAsia="en-US"/>
        </w:rPr>
        <w:t xml:space="preserve"> </w:t>
      </w:r>
      <w:r>
        <w:rPr>
          <w:lang w:eastAsia="en-US"/>
        </w:rPr>
        <w:t>m</w:t>
      </w:r>
      <w:r w:rsidRPr="00B61255">
        <w:rPr>
          <w:lang w:eastAsia="en-US"/>
        </w:rPr>
        <w:t>onitoring AFP surveillance in affected area</w:t>
      </w:r>
      <w:r>
        <w:rPr>
          <w:lang w:eastAsia="en-US"/>
        </w:rPr>
        <w:t xml:space="preserve"> and</w:t>
      </w:r>
      <w:r w:rsidRPr="00B61255">
        <w:rPr>
          <w:lang w:eastAsia="en-US"/>
        </w:rPr>
        <w:t xml:space="preserve"> monitoring enhanced surveillance (</w:t>
      </w:r>
      <w:r>
        <w:rPr>
          <w:lang w:eastAsia="en-US"/>
        </w:rPr>
        <w:t>eg,</w:t>
      </w:r>
      <w:r w:rsidRPr="00B61255">
        <w:rPr>
          <w:lang w:eastAsia="en-US"/>
        </w:rPr>
        <w:t xml:space="preserve"> increased yield cases)</w:t>
      </w:r>
    </w:p>
    <w:p w14:paraId="66CDBAE2" w14:textId="475937F8" w:rsidR="00386D81" w:rsidRPr="00B61255" w:rsidRDefault="00386D81" w:rsidP="00386D81">
      <w:pPr>
        <w:pStyle w:val="Bullet"/>
        <w:rPr>
          <w:lang w:eastAsia="en-US"/>
        </w:rPr>
      </w:pPr>
      <w:r w:rsidRPr="00B61255">
        <w:rPr>
          <w:b/>
          <w:bCs/>
          <w:lang w:eastAsia="en-US"/>
        </w:rPr>
        <w:t>Vaccination</w:t>
      </w:r>
      <w:r>
        <w:rPr>
          <w:b/>
          <w:bCs/>
          <w:lang w:eastAsia="en-US"/>
        </w:rPr>
        <w:t xml:space="preserve"> </w:t>
      </w:r>
      <w:r w:rsidRPr="00184D75">
        <w:rPr>
          <w:lang w:eastAsia="en-US"/>
        </w:rPr>
        <w:t>—</w:t>
      </w:r>
      <w:r w:rsidRPr="00B61255">
        <w:rPr>
          <w:lang w:eastAsia="en-US"/>
        </w:rPr>
        <w:t xml:space="preserve"> </w:t>
      </w:r>
      <w:r>
        <w:rPr>
          <w:lang w:eastAsia="en-US"/>
        </w:rPr>
        <w:t>i</w:t>
      </w:r>
      <w:r w:rsidRPr="00B61255">
        <w:rPr>
          <w:lang w:eastAsia="en-US"/>
        </w:rPr>
        <w:t>ntra-campaign monitoring, spot checks (by monitors, supervisors and independent campaign observers) and surveys for coverage</w:t>
      </w:r>
    </w:p>
    <w:p w14:paraId="7D876D87" w14:textId="78054951" w:rsidR="00386D81" w:rsidRPr="00B61255" w:rsidRDefault="00386D81" w:rsidP="00386D81">
      <w:pPr>
        <w:pStyle w:val="Bullet"/>
        <w:rPr>
          <w:lang w:eastAsia="en-US"/>
        </w:rPr>
      </w:pPr>
      <w:r w:rsidRPr="00B61255">
        <w:rPr>
          <w:b/>
          <w:bCs/>
          <w:lang w:eastAsia="en-US"/>
        </w:rPr>
        <w:t>Communication and social mobilisation/engagement</w:t>
      </w:r>
      <w:r>
        <w:rPr>
          <w:b/>
          <w:bCs/>
          <w:lang w:eastAsia="en-US"/>
        </w:rPr>
        <w:t xml:space="preserve"> </w:t>
      </w:r>
      <w:r w:rsidRPr="00184D75">
        <w:rPr>
          <w:lang w:eastAsia="en-US"/>
        </w:rPr>
        <w:t>—</w:t>
      </w:r>
      <w:r w:rsidRPr="00B61255">
        <w:rPr>
          <w:lang w:eastAsia="en-US"/>
        </w:rPr>
        <w:t xml:space="preserve">  </w:t>
      </w:r>
      <w:r w:rsidR="00DF28B8">
        <w:rPr>
          <w:lang w:eastAsia="en-US"/>
        </w:rPr>
        <w:t xml:space="preserve">evidence of </w:t>
      </w:r>
      <w:r w:rsidRPr="00B61255">
        <w:rPr>
          <w:lang w:eastAsia="en-US"/>
        </w:rPr>
        <w:t xml:space="preserve">increased sensitisation following targeted </w:t>
      </w:r>
      <w:r>
        <w:rPr>
          <w:lang w:eastAsia="en-US"/>
        </w:rPr>
        <w:t>communications</w:t>
      </w:r>
      <w:r w:rsidRPr="00B61255">
        <w:rPr>
          <w:lang w:eastAsia="en-US"/>
        </w:rPr>
        <w:t>, active community support</w:t>
      </w:r>
      <w:r w:rsidR="008E0568">
        <w:rPr>
          <w:lang w:eastAsia="en-US"/>
        </w:rPr>
        <w:t xml:space="preserve"> for outbreak response</w:t>
      </w:r>
      <w:r w:rsidRPr="00B61255">
        <w:rPr>
          <w:lang w:eastAsia="en-US"/>
        </w:rPr>
        <w:t xml:space="preserve">, </w:t>
      </w:r>
      <w:r w:rsidR="008E0568">
        <w:rPr>
          <w:lang w:eastAsia="en-US"/>
        </w:rPr>
        <w:t xml:space="preserve">and </w:t>
      </w:r>
      <w:r w:rsidRPr="00B61255">
        <w:rPr>
          <w:lang w:eastAsia="en-US"/>
        </w:rPr>
        <w:t>vaccine hesitancy/refusal.</w:t>
      </w:r>
    </w:p>
    <w:p w14:paraId="6B367849" w14:textId="77777777" w:rsidR="00B90A26" w:rsidRDefault="00B90A26" w:rsidP="00B90A26">
      <w:pPr>
        <w:keepNext/>
        <w:rPr>
          <w:b/>
          <w:bCs/>
          <w:lang w:eastAsia="en-US"/>
        </w:rPr>
      </w:pPr>
    </w:p>
    <w:p w14:paraId="4F81D6CB" w14:textId="7DDAA3D4" w:rsidR="00386D81" w:rsidRPr="00B90A26" w:rsidRDefault="00386D81" w:rsidP="00B90A26">
      <w:pPr>
        <w:keepNext/>
        <w:rPr>
          <w:b/>
          <w:bCs/>
          <w:lang w:eastAsia="en-US"/>
        </w:rPr>
      </w:pPr>
      <w:r w:rsidRPr="00B90A26">
        <w:rPr>
          <w:b/>
          <w:bCs/>
          <w:lang w:eastAsia="en-US"/>
        </w:rPr>
        <w:t>Post-outbreak follow-up</w:t>
      </w:r>
      <w:r w:rsidR="00B90A26">
        <w:rPr>
          <w:b/>
          <w:bCs/>
          <w:lang w:eastAsia="en-US"/>
        </w:rPr>
        <w:t>:</w:t>
      </w:r>
    </w:p>
    <w:p w14:paraId="57D4A57E" w14:textId="78893739" w:rsidR="00386D81" w:rsidRPr="00B61255" w:rsidRDefault="00386D81" w:rsidP="00386D81">
      <w:pPr>
        <w:pStyle w:val="Bullet"/>
        <w:rPr>
          <w:lang w:eastAsia="en-US"/>
        </w:rPr>
      </w:pPr>
      <w:r w:rsidRPr="00B61255">
        <w:rPr>
          <w:b/>
          <w:bCs/>
          <w:lang w:eastAsia="en-US"/>
        </w:rPr>
        <w:t>Surveillance</w:t>
      </w:r>
      <w:r>
        <w:rPr>
          <w:lang w:eastAsia="en-US"/>
        </w:rPr>
        <w:t xml:space="preserve"> — </w:t>
      </w:r>
      <w:r w:rsidRPr="00B61255">
        <w:rPr>
          <w:lang w:eastAsia="en-US"/>
        </w:rPr>
        <w:t>AFP surveillance post-outbreak</w:t>
      </w:r>
    </w:p>
    <w:p w14:paraId="13DDA99E" w14:textId="6D393423" w:rsidR="00386D81" w:rsidRPr="00B61255" w:rsidRDefault="00386D81" w:rsidP="00386D81">
      <w:pPr>
        <w:pStyle w:val="Bullet"/>
        <w:rPr>
          <w:lang w:eastAsia="en-US"/>
        </w:rPr>
      </w:pPr>
      <w:r w:rsidRPr="00B61255">
        <w:rPr>
          <w:b/>
          <w:bCs/>
          <w:lang w:eastAsia="en-US"/>
        </w:rPr>
        <w:t>Vaccination</w:t>
      </w:r>
      <w:r w:rsidRPr="00B61255">
        <w:rPr>
          <w:lang w:eastAsia="en-US"/>
        </w:rPr>
        <w:t xml:space="preserve"> </w:t>
      </w:r>
      <w:r>
        <w:rPr>
          <w:lang w:eastAsia="en-US"/>
        </w:rPr>
        <w:t>— p</w:t>
      </w:r>
      <w:r w:rsidRPr="00B61255">
        <w:rPr>
          <w:lang w:eastAsia="en-US"/>
        </w:rPr>
        <w:t>ost-outbreak/</w:t>
      </w:r>
      <w:r w:rsidR="000A6ECD">
        <w:rPr>
          <w:lang w:eastAsia="en-US"/>
        </w:rPr>
        <w:t>s</w:t>
      </w:r>
      <w:r w:rsidR="000A6ECD" w:rsidRPr="000A6ECD">
        <w:rPr>
          <w:lang w:eastAsia="en-US"/>
        </w:rPr>
        <w:t>upplementary immunisation activities</w:t>
      </w:r>
      <w:r w:rsidRPr="00B61255">
        <w:rPr>
          <w:lang w:eastAsia="en-US"/>
        </w:rPr>
        <w:t xml:space="preserve"> campaign coverage, no evidence of persistently missed children or missed geographic areas, including disaggregated data for high-risk populations</w:t>
      </w:r>
    </w:p>
    <w:p w14:paraId="39C0D9E1" w14:textId="6DFC526E" w:rsidR="00386D81" w:rsidRPr="00B61255" w:rsidRDefault="00386D81" w:rsidP="00386D81">
      <w:pPr>
        <w:pStyle w:val="Bullet"/>
        <w:rPr>
          <w:lang w:eastAsia="en-US"/>
        </w:rPr>
      </w:pPr>
      <w:r w:rsidRPr="00B61255">
        <w:rPr>
          <w:b/>
          <w:bCs/>
          <w:lang w:eastAsia="en-US"/>
        </w:rPr>
        <w:t>Communication and social mobilisation/engagement</w:t>
      </w:r>
      <w:r>
        <w:rPr>
          <w:b/>
          <w:bCs/>
          <w:lang w:eastAsia="en-US"/>
        </w:rPr>
        <w:t xml:space="preserve"> </w:t>
      </w:r>
      <w:r w:rsidRPr="00184D75">
        <w:t>— e</w:t>
      </w:r>
      <w:r w:rsidRPr="00B61255">
        <w:rPr>
          <w:lang w:eastAsia="en-US"/>
        </w:rPr>
        <w:t>vidence that campaign awareness was high, and that there was high awareness in priority populations.</w:t>
      </w:r>
    </w:p>
    <w:p w14:paraId="3C50D0E2" w14:textId="77777777" w:rsidR="00386D81" w:rsidRDefault="00386D81" w:rsidP="00386D81">
      <w:pPr>
        <w:sectPr w:rsidR="00386D81" w:rsidSect="003D1411">
          <w:footerReference w:type="even" r:id="rId41"/>
          <w:footerReference w:type="default" r:id="rId42"/>
          <w:pgSz w:w="11907" w:h="16840" w:code="9"/>
          <w:pgMar w:top="1418" w:right="1701" w:bottom="1134" w:left="1843" w:header="284" w:footer="425" w:gutter="284"/>
          <w:cols w:space="720"/>
        </w:sectPr>
      </w:pPr>
    </w:p>
    <w:p w14:paraId="0F350D37" w14:textId="28E7CD58" w:rsidR="001D5295" w:rsidRDefault="001D5295" w:rsidP="00621E74">
      <w:pPr>
        <w:pStyle w:val="Heading1"/>
        <w:numPr>
          <w:ilvl w:val="0"/>
          <w:numId w:val="0"/>
        </w:numPr>
      </w:pPr>
      <w:bookmarkStart w:id="137" w:name="_Toc132616755"/>
      <w:bookmarkStart w:id="138" w:name="_Toc146541121"/>
      <w:bookmarkStart w:id="139" w:name="_Toc147242151"/>
      <w:r w:rsidRPr="00B61255">
        <w:lastRenderedPageBreak/>
        <w:t xml:space="preserve">Appendix 1: </w:t>
      </w:r>
      <w:r w:rsidR="001A0C63">
        <w:br/>
      </w:r>
      <w:r w:rsidRPr="00B61255">
        <w:t>Timelines for wastewater laboratory testing</w:t>
      </w:r>
      <w:bookmarkEnd w:id="137"/>
      <w:bookmarkEnd w:id="138"/>
      <w:r w:rsidR="00E051CF">
        <w:rPr>
          <w:rStyle w:val="FootnoteReference"/>
        </w:rPr>
        <w:footnoteReference w:id="26"/>
      </w:r>
      <w:bookmarkEnd w:id="139"/>
    </w:p>
    <w:p w14:paraId="495CE8A2" w14:textId="0C557163" w:rsidR="001A0C63" w:rsidRDefault="001A0C63">
      <w:r>
        <w:br w:type="page"/>
      </w:r>
    </w:p>
    <w:p w14:paraId="44EB90F9" w14:textId="59807939" w:rsidR="001A0C63" w:rsidRPr="001A0C63" w:rsidRDefault="001A0C63" w:rsidP="001A0C63">
      <w:r w:rsidRPr="00B61255">
        <w:rPr>
          <w:noProof/>
        </w:rPr>
        <w:lastRenderedPageBreak/>
        <w:drawing>
          <wp:anchor distT="0" distB="0" distL="114300" distR="114300" simplePos="0" relativeHeight="251659264" behindDoc="1" locked="0" layoutInCell="1" allowOverlap="1" wp14:anchorId="2970C048" wp14:editId="43A7F290">
            <wp:simplePos x="0" y="0"/>
            <wp:positionH relativeFrom="column">
              <wp:posOffset>-424</wp:posOffset>
            </wp:positionH>
            <wp:positionV relativeFrom="paragraph">
              <wp:posOffset>-690245</wp:posOffset>
            </wp:positionV>
            <wp:extent cx="8834693" cy="5994400"/>
            <wp:effectExtent l="0" t="0" r="5080" b="6350"/>
            <wp:wrapNone/>
            <wp:docPr id="313461502" name="Picture 313461502" descr="Timeline for identification, implications and meeting outbreak/high risk event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61502" name="Picture 313461502" descr="Timeline for identification, implications and meeting outbreak/high risk event criteria"/>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8841944" cy="5999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DDDF89" w14:textId="3BF24CFE" w:rsidR="00F5778C" w:rsidRPr="009220F3" w:rsidRDefault="00F5778C" w:rsidP="00E1201F"/>
    <w:sectPr w:rsidR="00F5778C" w:rsidRPr="009220F3" w:rsidSect="003214CF">
      <w:footerReference w:type="even" r:id="rId44"/>
      <w:footerReference w:type="default" r:id="rId45"/>
      <w:pgSz w:w="16840" w:h="11907" w:orient="landscape" w:code="9"/>
      <w:pgMar w:top="1843" w:right="1418" w:bottom="1701" w:left="1134" w:header="284" w:footer="425" w:gutter="284"/>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50C2F" w14:textId="77777777" w:rsidR="00A542D0" w:rsidRDefault="00A542D0">
      <w:r>
        <w:separator/>
      </w:r>
    </w:p>
    <w:p w14:paraId="472131ED" w14:textId="77777777" w:rsidR="00A542D0" w:rsidRDefault="00A542D0"/>
  </w:endnote>
  <w:endnote w:type="continuationSeparator" w:id="0">
    <w:p w14:paraId="15708C78" w14:textId="77777777" w:rsidR="00A542D0" w:rsidRDefault="00A542D0">
      <w:r>
        <w:continuationSeparator/>
      </w:r>
    </w:p>
    <w:p w14:paraId="19C9A79F" w14:textId="77777777" w:rsidR="00A542D0" w:rsidRDefault="00A542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äori">
    <w:altName w:val="Arial"/>
    <w:charset w:val="00"/>
    <w:family w:val="auto"/>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Fira Sans">
    <w:charset w:val="00"/>
    <w:family w:val="swiss"/>
    <w:pitch w:val="variable"/>
    <w:sig w:usb0="600002FF" w:usb1="00000001"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Fira Sans SemiBold">
    <w:charset w:val="00"/>
    <w:family w:val="swiss"/>
    <w:pitch w:val="variable"/>
    <w:sig w:usb0="600002FF" w:usb1="00000001"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DDF9B" w14:textId="78D60BFF" w:rsidR="00105770" w:rsidRPr="005A79E5" w:rsidRDefault="00105770" w:rsidP="00CC6EA4">
    <w:pPr>
      <w:pStyle w:val="Footer"/>
      <w:pBdr>
        <w:bottom w:val="single" w:sz="4" w:space="1" w:color="auto"/>
      </w:pBdr>
      <w:tabs>
        <w:tab w:val="right" w:pos="9639"/>
      </w:tabs>
      <w:rPr>
        <w:sz w:val="2"/>
        <w:szCs w:val="2"/>
      </w:rPr>
    </w:pPr>
    <w:r w:rsidRPr="005718A6">
      <w:t>Released 20</w:t>
    </w:r>
    <w:r w:rsidR="00CC6EA4">
      <w:t>2</w:t>
    </w:r>
    <w:r w:rsidR="00721BD9">
      <w:t>3</w:t>
    </w:r>
    <w:r w:rsidRPr="005718A6">
      <w:tab/>
    </w:r>
    <w:r w:rsidR="00E064D9" w:rsidRPr="009E7127">
      <w:rPr>
        <w:b/>
      </w:rPr>
      <w:t>health.govt.nz</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89"/>
      <w:gridCol w:w="11631"/>
      <w:gridCol w:w="1662"/>
    </w:tblGrid>
    <w:tr w:rsidR="00C87CD4" w14:paraId="06DBE90B" w14:textId="77777777" w:rsidTr="003732C6">
      <w:trPr>
        <w:cantSplit/>
      </w:trPr>
      <w:tc>
        <w:tcPr>
          <w:tcW w:w="346" w:type="pct"/>
          <w:vAlign w:val="center"/>
        </w:tcPr>
        <w:p w14:paraId="564F4C17" w14:textId="77777777" w:rsidR="00C87CD4" w:rsidRPr="00931466" w:rsidRDefault="00C87CD4" w:rsidP="0036025C">
          <w:pPr>
            <w:pStyle w:val="Footer"/>
            <w:spacing w:before="12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rPr>
            <w:t>2</w:t>
          </w:r>
          <w:r w:rsidRPr="00931466">
            <w:rPr>
              <w:rStyle w:val="PageNumber"/>
            </w:rPr>
            <w:fldChar w:fldCharType="end"/>
          </w:r>
        </w:p>
      </w:tc>
      <w:sdt>
        <w:sdtPr>
          <w:alias w:val="Title"/>
          <w:tag w:val=""/>
          <w:id w:val="-1911215121"/>
          <w:placeholder>
            <w:docPart w:val="70972453C68F44C9AA7B4C0774E319C0"/>
          </w:placeholder>
          <w:dataBinding w:prefixMappings="xmlns:ns0='http://purl.org/dc/elements/1.1/' xmlns:ns1='http://schemas.openxmlformats.org/package/2006/metadata/core-properties' " w:xpath="/ns1:coreProperties[1]/ns0:title[1]" w:storeItemID="{6C3C8BC8-F283-45AE-878A-BAB7291924A1}"/>
          <w:text/>
        </w:sdtPr>
        <w:sdtContent>
          <w:tc>
            <w:tcPr>
              <w:tcW w:w="4072" w:type="pct"/>
              <w:vAlign w:val="center"/>
            </w:tcPr>
            <w:p w14:paraId="3B26E8F2" w14:textId="5B5D9222" w:rsidR="00C87CD4" w:rsidRDefault="0095724A" w:rsidP="0036025C">
              <w:pPr>
                <w:pStyle w:val="RectoFooter"/>
                <w:spacing w:before="120"/>
                <w:ind w:left="-108"/>
              </w:pPr>
              <w:r>
                <w:t>National Polio Outbreak Preparedness and Response Framework for Aotearoa New Zealand</w:t>
              </w:r>
            </w:p>
          </w:tc>
        </w:sdtContent>
      </w:sdt>
      <w:tc>
        <w:tcPr>
          <w:tcW w:w="582" w:type="pct"/>
          <w:vAlign w:val="center"/>
        </w:tcPr>
        <w:p w14:paraId="5EC3568B" w14:textId="77777777" w:rsidR="00C87CD4" w:rsidRDefault="00C87CD4" w:rsidP="0036025C">
          <w:pPr>
            <w:pStyle w:val="RectoFooter"/>
            <w:spacing w:before="120"/>
            <w:ind w:left="-108"/>
          </w:pPr>
          <w:r>
            <w:rPr>
              <w:noProof/>
              <w:lang w:eastAsia="en-NZ"/>
            </w:rPr>
            <w:drawing>
              <wp:inline distT="0" distB="0" distL="0" distR="0" wp14:anchorId="240C6736" wp14:editId="72A354E0">
                <wp:extent cx="548640" cy="353145"/>
                <wp:effectExtent l="0" t="0" r="3810" b="8890"/>
                <wp:docPr id="1736817188" name="Picture 1736817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17188" name="Picture 1736817188">
                          <a:extLst>
                            <a:ext uri="{C183D7F6-B498-43B3-948B-1728B52AA6E4}">
                              <adec:decorative xmlns:adec="http://schemas.microsoft.com/office/drawing/2017/decorative" val="1"/>
                            </a:ext>
                          </a:extLst>
                        </pic:cNvPr>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r="90430"/>
                        <a:stretch/>
                      </pic:blipFill>
                      <pic:spPr bwMode="auto">
                        <a:xfrm>
                          <a:off x="0" y="0"/>
                          <a:ext cx="548508" cy="3530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D87F69B" w14:textId="77777777" w:rsidR="00C87CD4" w:rsidRPr="0036025C" w:rsidRDefault="00C87CD4" w:rsidP="0036025C">
    <w:pPr>
      <w:pStyle w:val="Footer"/>
      <w:rPr>
        <w:sz w:val="7"/>
        <w:szCs w:val="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4A0" w:firstRow="1" w:lastRow="0" w:firstColumn="1" w:lastColumn="0" w:noHBand="0" w:noVBand="1"/>
    </w:tblPr>
    <w:tblGrid>
      <w:gridCol w:w="1517"/>
      <w:gridCol w:w="11614"/>
      <w:gridCol w:w="1151"/>
    </w:tblGrid>
    <w:tr w:rsidR="005E3B50" w14:paraId="23EC8342" w14:textId="77777777" w:rsidTr="00F447C2">
      <w:trPr>
        <w:cantSplit/>
      </w:trPr>
      <w:tc>
        <w:tcPr>
          <w:tcW w:w="531" w:type="pct"/>
          <w:vAlign w:val="center"/>
        </w:tcPr>
        <w:p w14:paraId="78B1F579" w14:textId="77777777" w:rsidR="005E3B50" w:rsidRDefault="005E3B50" w:rsidP="00DF5757">
          <w:pPr>
            <w:pStyle w:val="RectoFooter"/>
            <w:spacing w:before="120"/>
            <w:jc w:val="left"/>
          </w:pPr>
          <w:r>
            <w:rPr>
              <w:noProof/>
              <w:lang w:eastAsia="en-NZ"/>
            </w:rPr>
            <w:drawing>
              <wp:inline distT="0" distB="0" distL="0" distR="0" wp14:anchorId="0614580B" wp14:editId="7EFC1845">
                <wp:extent cx="548640" cy="353145"/>
                <wp:effectExtent l="0" t="0" r="3810" b="8890"/>
                <wp:docPr id="2119883576" name="Picture 21198835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883576" name="Picture 2119883576">
                          <a:extLst>
                            <a:ext uri="{C183D7F6-B498-43B3-948B-1728B52AA6E4}">
                              <adec:decorative xmlns:adec="http://schemas.microsoft.com/office/drawing/2017/decorative" val="1"/>
                            </a:ext>
                          </a:extLst>
                        </pic:cNvPr>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r="90430"/>
                        <a:stretch/>
                      </pic:blipFill>
                      <pic:spPr bwMode="auto">
                        <a:xfrm>
                          <a:off x="0" y="0"/>
                          <a:ext cx="548508" cy="353060"/>
                        </a:xfrm>
                        <a:prstGeom prst="rect">
                          <a:avLst/>
                        </a:prstGeom>
                        <a:ln>
                          <a:noFill/>
                        </a:ln>
                        <a:extLst>
                          <a:ext uri="{53640926-AAD7-44D8-BBD7-CCE9431645EC}">
                            <a14:shadowObscured xmlns:a14="http://schemas.microsoft.com/office/drawing/2010/main"/>
                          </a:ext>
                        </a:extLst>
                      </pic:spPr>
                    </pic:pic>
                  </a:graphicData>
                </a:graphic>
              </wp:inline>
            </w:drawing>
          </w:r>
        </w:p>
      </w:tc>
      <w:tc>
        <w:tcPr>
          <w:tcW w:w="4066" w:type="pct"/>
          <w:vAlign w:val="center"/>
        </w:tcPr>
        <w:sdt>
          <w:sdtPr>
            <w:alias w:val="Title"/>
            <w:tag w:val=""/>
            <w:id w:val="1351457157"/>
            <w:placeholder>
              <w:docPart w:val="0A098FF3A0E640529366E8C28D29C745"/>
            </w:placeholder>
            <w:dataBinding w:prefixMappings="xmlns:ns0='http://purl.org/dc/elements/1.1/' xmlns:ns1='http://schemas.openxmlformats.org/package/2006/metadata/core-properties' " w:xpath="/ns1:coreProperties[1]/ns0:title[1]" w:storeItemID="{6C3C8BC8-F283-45AE-878A-BAB7291924A1}"/>
            <w:text/>
          </w:sdtPr>
          <w:sdtContent>
            <w:p w14:paraId="5E230A5B" w14:textId="383399B0" w:rsidR="005E3B50" w:rsidRDefault="0095724A" w:rsidP="00DF5757">
              <w:pPr>
                <w:pStyle w:val="RectoFooter"/>
                <w:spacing w:before="120"/>
                <w:jc w:val="left"/>
              </w:pPr>
              <w:r>
                <w:t>National Polio Outbreak Preparedness and Response Framework for Aotearoa New Zealand</w:t>
              </w:r>
            </w:p>
          </w:sdtContent>
        </w:sdt>
      </w:tc>
      <w:tc>
        <w:tcPr>
          <w:tcW w:w="403" w:type="pct"/>
          <w:vAlign w:val="center"/>
        </w:tcPr>
        <w:p w14:paraId="01513861" w14:textId="77777777" w:rsidR="005E3B50" w:rsidRPr="00931466" w:rsidRDefault="005E3B50" w:rsidP="00DF5757">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rPr>
            <w:t>1</w:t>
          </w:r>
          <w:r w:rsidRPr="00931466">
            <w:rPr>
              <w:rStyle w:val="PageNumber"/>
            </w:rPr>
            <w:fldChar w:fldCharType="end"/>
          </w:r>
        </w:p>
      </w:tc>
    </w:tr>
  </w:tbl>
  <w:p w14:paraId="43744049" w14:textId="77777777" w:rsidR="005E3B50" w:rsidRPr="0036025C" w:rsidRDefault="005E3B50" w:rsidP="00DF5757">
    <w:pPr>
      <w:pStyle w:val="Footer"/>
      <w:rPr>
        <w:sz w:val="2"/>
        <w:szCs w:val="2"/>
      </w:rPr>
    </w:pPr>
  </w:p>
  <w:p w14:paraId="5DD31688" w14:textId="77777777" w:rsidR="005E3B50" w:rsidRPr="00DF5757" w:rsidRDefault="005E3B50" w:rsidP="00DF5757">
    <w:pPr>
      <w:pStyle w:val="Footer"/>
      <w:rPr>
        <w:sz w:val="9"/>
        <w:szCs w:val="8"/>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Ind w:w="-567" w:type="dxa"/>
      <w:tblLayout w:type="fixed"/>
      <w:tblLook w:val="04A0" w:firstRow="1" w:lastRow="0" w:firstColumn="1" w:lastColumn="0" w:noHBand="0" w:noVBand="1"/>
    </w:tblPr>
    <w:tblGrid>
      <w:gridCol w:w="675"/>
      <w:gridCol w:w="7938"/>
      <w:gridCol w:w="1134"/>
    </w:tblGrid>
    <w:tr w:rsidR="00C87CD4" w14:paraId="74EB891C" w14:textId="77777777" w:rsidTr="00AD201D">
      <w:trPr>
        <w:cantSplit/>
      </w:trPr>
      <w:tc>
        <w:tcPr>
          <w:tcW w:w="675" w:type="dxa"/>
          <w:vAlign w:val="center"/>
        </w:tcPr>
        <w:p w14:paraId="0B63D846" w14:textId="77777777" w:rsidR="00C87CD4" w:rsidRPr="00931466" w:rsidRDefault="00C87CD4" w:rsidP="0036025C">
          <w:pPr>
            <w:pStyle w:val="Footer"/>
            <w:spacing w:before="12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rPr>
            <w:t>2</w:t>
          </w:r>
          <w:r w:rsidRPr="00931466">
            <w:rPr>
              <w:rStyle w:val="PageNumber"/>
            </w:rPr>
            <w:fldChar w:fldCharType="end"/>
          </w:r>
        </w:p>
      </w:tc>
      <w:sdt>
        <w:sdtPr>
          <w:alias w:val="Title"/>
          <w:tag w:val=""/>
          <w:id w:val="2018422422"/>
          <w:placeholder>
            <w:docPart w:val="40889352744F45AA835DD63ECC62A4D7"/>
          </w:placeholder>
          <w:dataBinding w:prefixMappings="xmlns:ns0='http://purl.org/dc/elements/1.1/' xmlns:ns1='http://schemas.openxmlformats.org/package/2006/metadata/core-properties' " w:xpath="/ns1:coreProperties[1]/ns0:title[1]" w:storeItemID="{6C3C8BC8-F283-45AE-878A-BAB7291924A1}"/>
          <w:text/>
        </w:sdtPr>
        <w:sdtContent>
          <w:tc>
            <w:tcPr>
              <w:tcW w:w="7938" w:type="dxa"/>
              <w:vAlign w:val="center"/>
            </w:tcPr>
            <w:p w14:paraId="106CB113" w14:textId="762E2CB0" w:rsidR="00C87CD4" w:rsidRDefault="0095724A" w:rsidP="0036025C">
              <w:pPr>
                <w:pStyle w:val="RectoFooter"/>
                <w:spacing w:before="120"/>
                <w:ind w:left="-108"/>
              </w:pPr>
              <w:r>
                <w:t>National Polio Outbreak Preparedness and Response Framework for Aotearoa New Zealand</w:t>
              </w:r>
            </w:p>
          </w:tc>
        </w:sdtContent>
      </w:sdt>
      <w:tc>
        <w:tcPr>
          <w:tcW w:w="1134" w:type="dxa"/>
          <w:vAlign w:val="center"/>
        </w:tcPr>
        <w:p w14:paraId="34D1EFDC" w14:textId="77777777" w:rsidR="00C87CD4" w:rsidRDefault="00C87CD4" w:rsidP="0036025C">
          <w:pPr>
            <w:pStyle w:val="RectoFooter"/>
            <w:spacing w:before="120"/>
            <w:ind w:left="-108"/>
          </w:pPr>
          <w:r>
            <w:rPr>
              <w:noProof/>
              <w:lang w:eastAsia="en-NZ"/>
            </w:rPr>
            <w:drawing>
              <wp:inline distT="0" distB="0" distL="0" distR="0" wp14:anchorId="647B3F66" wp14:editId="1CE695DE">
                <wp:extent cx="548640" cy="353145"/>
                <wp:effectExtent l="0" t="0" r="3810" b="8890"/>
                <wp:docPr id="2098711375" name="Picture 2098711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11375" name="Picture 2098711375">
                          <a:extLst>
                            <a:ext uri="{C183D7F6-B498-43B3-948B-1728B52AA6E4}">
                              <adec:decorative xmlns:adec="http://schemas.microsoft.com/office/drawing/2017/decorative" val="1"/>
                            </a:ext>
                          </a:extLst>
                        </pic:cNvPr>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r="90430"/>
                        <a:stretch/>
                      </pic:blipFill>
                      <pic:spPr bwMode="auto">
                        <a:xfrm>
                          <a:off x="0" y="0"/>
                          <a:ext cx="548508" cy="3530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AF7EE3D" w14:textId="77777777" w:rsidR="00C87CD4" w:rsidRPr="0036025C" w:rsidRDefault="00C87CD4" w:rsidP="0036025C">
    <w:pPr>
      <w:pStyle w:val="Footer"/>
      <w:rPr>
        <w:sz w:val="7"/>
        <w:szCs w:val="6"/>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Ind w:w="-567" w:type="dxa"/>
      <w:tblLayout w:type="fixed"/>
      <w:tblCellMar>
        <w:left w:w="0" w:type="dxa"/>
        <w:right w:w="0" w:type="dxa"/>
      </w:tblCellMar>
      <w:tblLook w:val="04A0" w:firstRow="1" w:lastRow="0" w:firstColumn="1" w:lastColumn="0" w:noHBand="0" w:noVBand="1"/>
    </w:tblPr>
    <w:tblGrid>
      <w:gridCol w:w="993"/>
      <w:gridCol w:w="7608"/>
      <w:gridCol w:w="755"/>
    </w:tblGrid>
    <w:tr w:rsidR="00C87CD4" w14:paraId="47CE636E" w14:textId="77777777" w:rsidTr="00AD201D">
      <w:trPr>
        <w:cantSplit/>
      </w:trPr>
      <w:tc>
        <w:tcPr>
          <w:tcW w:w="993" w:type="dxa"/>
          <w:vAlign w:val="center"/>
        </w:tcPr>
        <w:p w14:paraId="5A945823" w14:textId="77777777" w:rsidR="00C87CD4" w:rsidRDefault="00C87CD4" w:rsidP="00DF5757">
          <w:pPr>
            <w:pStyle w:val="RectoFooter"/>
            <w:spacing w:before="120"/>
            <w:jc w:val="left"/>
          </w:pPr>
          <w:r>
            <w:rPr>
              <w:noProof/>
              <w:lang w:eastAsia="en-NZ"/>
            </w:rPr>
            <w:drawing>
              <wp:inline distT="0" distB="0" distL="0" distR="0" wp14:anchorId="49D2FB03" wp14:editId="551024BD">
                <wp:extent cx="548640" cy="353145"/>
                <wp:effectExtent l="0" t="0" r="3810" b="8890"/>
                <wp:docPr id="503410529" name="Picture 5034105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10529" name="Picture 503410529">
                          <a:extLst>
                            <a:ext uri="{C183D7F6-B498-43B3-948B-1728B52AA6E4}">
                              <adec:decorative xmlns:adec="http://schemas.microsoft.com/office/drawing/2017/decorative" val="1"/>
                            </a:ext>
                          </a:extLst>
                        </pic:cNvPr>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r="90430"/>
                        <a:stretch/>
                      </pic:blipFill>
                      <pic:spPr bwMode="auto">
                        <a:xfrm>
                          <a:off x="0" y="0"/>
                          <a:ext cx="548508" cy="353060"/>
                        </a:xfrm>
                        <a:prstGeom prst="rect">
                          <a:avLst/>
                        </a:prstGeom>
                        <a:ln>
                          <a:noFill/>
                        </a:ln>
                        <a:extLst>
                          <a:ext uri="{53640926-AAD7-44D8-BBD7-CCE9431645EC}">
                            <a14:shadowObscured xmlns:a14="http://schemas.microsoft.com/office/drawing/2010/main"/>
                          </a:ext>
                        </a:extLst>
                      </pic:spPr>
                    </pic:pic>
                  </a:graphicData>
                </a:graphic>
              </wp:inline>
            </w:drawing>
          </w:r>
        </w:p>
      </w:tc>
      <w:tc>
        <w:tcPr>
          <w:tcW w:w="7608" w:type="dxa"/>
          <w:vAlign w:val="center"/>
        </w:tcPr>
        <w:sdt>
          <w:sdtPr>
            <w:alias w:val="Title"/>
            <w:tag w:val=""/>
            <w:id w:val="1742908769"/>
            <w:placeholder>
              <w:docPart w:val="6CACCD981BB140618A3C1F7AD8E24CF8"/>
            </w:placeholder>
            <w:dataBinding w:prefixMappings="xmlns:ns0='http://purl.org/dc/elements/1.1/' xmlns:ns1='http://schemas.openxmlformats.org/package/2006/metadata/core-properties' " w:xpath="/ns1:coreProperties[1]/ns0:title[1]" w:storeItemID="{6C3C8BC8-F283-45AE-878A-BAB7291924A1}"/>
            <w:text/>
          </w:sdtPr>
          <w:sdtContent>
            <w:p w14:paraId="08062F5A" w14:textId="1BAF181B" w:rsidR="00C87CD4" w:rsidRDefault="0095724A" w:rsidP="00DF5757">
              <w:pPr>
                <w:pStyle w:val="RectoFooter"/>
                <w:spacing w:before="120"/>
                <w:jc w:val="left"/>
              </w:pPr>
              <w:r>
                <w:t>National Polio Outbreak Preparedness and Response Framework for Aotearoa New Zealand</w:t>
              </w:r>
            </w:p>
          </w:sdtContent>
        </w:sdt>
      </w:tc>
      <w:tc>
        <w:tcPr>
          <w:tcW w:w="755" w:type="dxa"/>
          <w:vAlign w:val="center"/>
        </w:tcPr>
        <w:p w14:paraId="7053541A" w14:textId="77777777" w:rsidR="00C87CD4" w:rsidRPr="00931466" w:rsidRDefault="00C87CD4" w:rsidP="00DF5757">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rPr>
            <w:t>1</w:t>
          </w:r>
          <w:r w:rsidRPr="00931466">
            <w:rPr>
              <w:rStyle w:val="PageNumber"/>
            </w:rPr>
            <w:fldChar w:fldCharType="end"/>
          </w:r>
        </w:p>
      </w:tc>
    </w:tr>
  </w:tbl>
  <w:p w14:paraId="53C941B6" w14:textId="77777777" w:rsidR="00C87CD4" w:rsidRPr="0036025C" w:rsidRDefault="00C87CD4" w:rsidP="00DF5757">
    <w:pPr>
      <w:pStyle w:val="Footer"/>
      <w:rPr>
        <w:sz w:val="2"/>
        <w:szCs w:val="2"/>
      </w:rPr>
    </w:pPr>
  </w:p>
  <w:p w14:paraId="6AEAB948" w14:textId="77777777" w:rsidR="00C87CD4" w:rsidRPr="00DF5757" w:rsidRDefault="00C87CD4" w:rsidP="00DF5757">
    <w:pPr>
      <w:pStyle w:val="Footer"/>
      <w:rPr>
        <w:sz w:val="9"/>
        <w:szCs w:val="8"/>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89"/>
      <w:gridCol w:w="11631"/>
      <w:gridCol w:w="1662"/>
    </w:tblGrid>
    <w:tr w:rsidR="00C87CD4" w14:paraId="0A3BF364" w14:textId="77777777" w:rsidTr="003732C6">
      <w:trPr>
        <w:cantSplit/>
      </w:trPr>
      <w:tc>
        <w:tcPr>
          <w:tcW w:w="346" w:type="pct"/>
          <w:vAlign w:val="center"/>
        </w:tcPr>
        <w:p w14:paraId="5A880FF4" w14:textId="77777777" w:rsidR="00C87CD4" w:rsidRPr="00931466" w:rsidRDefault="00C87CD4" w:rsidP="0036025C">
          <w:pPr>
            <w:pStyle w:val="Footer"/>
            <w:spacing w:before="12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rPr>
            <w:t>2</w:t>
          </w:r>
          <w:r w:rsidRPr="00931466">
            <w:rPr>
              <w:rStyle w:val="PageNumber"/>
            </w:rPr>
            <w:fldChar w:fldCharType="end"/>
          </w:r>
        </w:p>
      </w:tc>
      <w:sdt>
        <w:sdtPr>
          <w:alias w:val="Title"/>
          <w:tag w:val=""/>
          <w:id w:val="-389885440"/>
          <w:placeholder>
            <w:docPart w:val="C9AD685917794F2EAC4E4B53BD175180"/>
          </w:placeholder>
          <w:dataBinding w:prefixMappings="xmlns:ns0='http://purl.org/dc/elements/1.1/' xmlns:ns1='http://schemas.openxmlformats.org/package/2006/metadata/core-properties' " w:xpath="/ns1:coreProperties[1]/ns0:title[1]" w:storeItemID="{6C3C8BC8-F283-45AE-878A-BAB7291924A1}"/>
          <w:text/>
        </w:sdtPr>
        <w:sdtContent>
          <w:tc>
            <w:tcPr>
              <w:tcW w:w="4072" w:type="pct"/>
              <w:vAlign w:val="center"/>
            </w:tcPr>
            <w:p w14:paraId="30D8FBAD" w14:textId="055F257C" w:rsidR="00C87CD4" w:rsidRDefault="0095724A" w:rsidP="0036025C">
              <w:pPr>
                <w:pStyle w:val="RectoFooter"/>
                <w:spacing w:before="120"/>
                <w:ind w:left="-108"/>
              </w:pPr>
              <w:r>
                <w:t>National Polio Outbreak Preparedness and Response Framework for Aotearoa New Zealand</w:t>
              </w:r>
            </w:p>
          </w:tc>
        </w:sdtContent>
      </w:sdt>
      <w:tc>
        <w:tcPr>
          <w:tcW w:w="582" w:type="pct"/>
          <w:vAlign w:val="center"/>
        </w:tcPr>
        <w:p w14:paraId="0F3BF53E" w14:textId="77777777" w:rsidR="00C87CD4" w:rsidRDefault="00C87CD4" w:rsidP="0036025C">
          <w:pPr>
            <w:pStyle w:val="RectoFooter"/>
            <w:spacing w:before="120"/>
            <w:ind w:left="-108"/>
          </w:pPr>
          <w:r>
            <w:rPr>
              <w:noProof/>
              <w:lang w:eastAsia="en-NZ"/>
            </w:rPr>
            <w:drawing>
              <wp:inline distT="0" distB="0" distL="0" distR="0" wp14:anchorId="2690A6D3" wp14:editId="675E3E40">
                <wp:extent cx="548640" cy="353145"/>
                <wp:effectExtent l="0" t="0" r="3810" b="8890"/>
                <wp:docPr id="1374252683" name="Picture 13742526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252683" name="Picture 1374252683">
                          <a:extLst>
                            <a:ext uri="{C183D7F6-B498-43B3-948B-1728B52AA6E4}">
                              <adec:decorative xmlns:adec="http://schemas.microsoft.com/office/drawing/2017/decorative" val="1"/>
                            </a:ext>
                          </a:extLst>
                        </pic:cNvPr>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r="90430"/>
                        <a:stretch/>
                      </pic:blipFill>
                      <pic:spPr bwMode="auto">
                        <a:xfrm>
                          <a:off x="0" y="0"/>
                          <a:ext cx="548508" cy="3530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8F4E8B8" w14:textId="77777777" w:rsidR="00C87CD4" w:rsidRPr="0036025C" w:rsidRDefault="00C87CD4" w:rsidP="0036025C">
    <w:pPr>
      <w:pStyle w:val="Footer"/>
      <w:rPr>
        <w:sz w:val="7"/>
        <w:szCs w:val="6"/>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1517"/>
      <w:gridCol w:w="11614"/>
      <w:gridCol w:w="1151"/>
    </w:tblGrid>
    <w:tr w:rsidR="00C87CD4" w14:paraId="16C38F31" w14:textId="77777777" w:rsidTr="003732C6">
      <w:trPr>
        <w:cantSplit/>
      </w:trPr>
      <w:tc>
        <w:tcPr>
          <w:tcW w:w="531" w:type="pct"/>
          <w:vAlign w:val="center"/>
        </w:tcPr>
        <w:p w14:paraId="2FC67372" w14:textId="77777777" w:rsidR="00C87CD4" w:rsidRDefault="00C87CD4" w:rsidP="00DF5757">
          <w:pPr>
            <w:pStyle w:val="RectoFooter"/>
            <w:spacing w:before="120"/>
            <w:jc w:val="left"/>
          </w:pPr>
          <w:r>
            <w:rPr>
              <w:noProof/>
              <w:lang w:eastAsia="en-NZ"/>
            </w:rPr>
            <w:drawing>
              <wp:inline distT="0" distB="0" distL="0" distR="0" wp14:anchorId="3A3D956D" wp14:editId="2587040E">
                <wp:extent cx="548640" cy="353145"/>
                <wp:effectExtent l="0" t="0" r="3810" b="8890"/>
                <wp:docPr id="166830624" name="Picture 1668306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0624" name="Picture 166830624">
                          <a:extLst>
                            <a:ext uri="{C183D7F6-B498-43B3-948B-1728B52AA6E4}">
                              <adec:decorative xmlns:adec="http://schemas.microsoft.com/office/drawing/2017/decorative" val="1"/>
                            </a:ext>
                          </a:extLst>
                        </pic:cNvPr>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r="90430"/>
                        <a:stretch/>
                      </pic:blipFill>
                      <pic:spPr bwMode="auto">
                        <a:xfrm>
                          <a:off x="0" y="0"/>
                          <a:ext cx="548508" cy="353060"/>
                        </a:xfrm>
                        <a:prstGeom prst="rect">
                          <a:avLst/>
                        </a:prstGeom>
                        <a:ln>
                          <a:noFill/>
                        </a:ln>
                        <a:extLst>
                          <a:ext uri="{53640926-AAD7-44D8-BBD7-CCE9431645EC}">
                            <a14:shadowObscured xmlns:a14="http://schemas.microsoft.com/office/drawing/2010/main"/>
                          </a:ext>
                        </a:extLst>
                      </pic:spPr>
                    </pic:pic>
                  </a:graphicData>
                </a:graphic>
              </wp:inline>
            </w:drawing>
          </w:r>
        </w:p>
      </w:tc>
      <w:tc>
        <w:tcPr>
          <w:tcW w:w="4066" w:type="pct"/>
          <w:vAlign w:val="center"/>
        </w:tcPr>
        <w:sdt>
          <w:sdtPr>
            <w:alias w:val="Title"/>
            <w:tag w:val=""/>
            <w:id w:val="2067145728"/>
            <w:placeholder>
              <w:docPart w:val="D389517331E141E492B8FD31B752E9F0"/>
            </w:placeholder>
            <w:dataBinding w:prefixMappings="xmlns:ns0='http://purl.org/dc/elements/1.1/' xmlns:ns1='http://schemas.openxmlformats.org/package/2006/metadata/core-properties' " w:xpath="/ns1:coreProperties[1]/ns0:title[1]" w:storeItemID="{6C3C8BC8-F283-45AE-878A-BAB7291924A1}"/>
            <w:text/>
          </w:sdtPr>
          <w:sdtContent>
            <w:p w14:paraId="6B47BA39" w14:textId="2323AD5F" w:rsidR="00C87CD4" w:rsidRDefault="0095724A" w:rsidP="00DF5757">
              <w:pPr>
                <w:pStyle w:val="RectoFooter"/>
                <w:spacing w:before="120"/>
                <w:jc w:val="left"/>
              </w:pPr>
              <w:r>
                <w:t>National Polio Outbreak Preparedness and Response Framework for Aotearoa New Zealand</w:t>
              </w:r>
            </w:p>
          </w:sdtContent>
        </w:sdt>
      </w:tc>
      <w:tc>
        <w:tcPr>
          <w:tcW w:w="403" w:type="pct"/>
          <w:vAlign w:val="center"/>
        </w:tcPr>
        <w:p w14:paraId="39C0066E" w14:textId="77777777" w:rsidR="00C87CD4" w:rsidRPr="00931466" w:rsidRDefault="00C87CD4" w:rsidP="00DF5757">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rPr>
            <w:t>1</w:t>
          </w:r>
          <w:r w:rsidRPr="00931466">
            <w:rPr>
              <w:rStyle w:val="PageNumber"/>
            </w:rPr>
            <w:fldChar w:fldCharType="end"/>
          </w:r>
        </w:p>
      </w:tc>
    </w:tr>
  </w:tbl>
  <w:p w14:paraId="67590D7C" w14:textId="77777777" w:rsidR="00C87CD4" w:rsidRPr="0036025C" w:rsidRDefault="00C87CD4" w:rsidP="00DF5757">
    <w:pPr>
      <w:pStyle w:val="Footer"/>
      <w:rPr>
        <w:sz w:val="2"/>
        <w:szCs w:val="2"/>
      </w:rPr>
    </w:pPr>
  </w:p>
  <w:p w14:paraId="5E674136" w14:textId="77777777" w:rsidR="00C87CD4" w:rsidRPr="00DF5757" w:rsidRDefault="00C87CD4" w:rsidP="00DF5757">
    <w:pPr>
      <w:pStyle w:val="Footer"/>
      <w:rPr>
        <w:sz w:val="9"/>
        <w:szCs w:val="8"/>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Ind w:w="-567" w:type="dxa"/>
      <w:tblLayout w:type="fixed"/>
      <w:tblLook w:val="04A0" w:firstRow="1" w:lastRow="0" w:firstColumn="1" w:lastColumn="0" w:noHBand="0" w:noVBand="1"/>
    </w:tblPr>
    <w:tblGrid>
      <w:gridCol w:w="675"/>
      <w:gridCol w:w="7938"/>
      <w:gridCol w:w="1134"/>
    </w:tblGrid>
    <w:tr w:rsidR="00C87CD4" w14:paraId="2C9EAB85" w14:textId="77777777" w:rsidTr="00AD201D">
      <w:trPr>
        <w:cantSplit/>
      </w:trPr>
      <w:tc>
        <w:tcPr>
          <w:tcW w:w="675" w:type="dxa"/>
          <w:vAlign w:val="center"/>
        </w:tcPr>
        <w:p w14:paraId="18F8024F" w14:textId="77777777" w:rsidR="00C87CD4" w:rsidRPr="00931466" w:rsidRDefault="00C87CD4" w:rsidP="0036025C">
          <w:pPr>
            <w:pStyle w:val="Footer"/>
            <w:spacing w:before="12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rPr>
            <w:t>2</w:t>
          </w:r>
          <w:r w:rsidRPr="00931466">
            <w:rPr>
              <w:rStyle w:val="PageNumber"/>
            </w:rPr>
            <w:fldChar w:fldCharType="end"/>
          </w:r>
        </w:p>
      </w:tc>
      <w:sdt>
        <w:sdtPr>
          <w:alias w:val="Title"/>
          <w:tag w:val=""/>
          <w:id w:val="-970668512"/>
          <w:placeholder>
            <w:docPart w:val="4FD9833FFFF6475D834717251AD04A20"/>
          </w:placeholder>
          <w:dataBinding w:prefixMappings="xmlns:ns0='http://purl.org/dc/elements/1.1/' xmlns:ns1='http://schemas.openxmlformats.org/package/2006/metadata/core-properties' " w:xpath="/ns1:coreProperties[1]/ns0:title[1]" w:storeItemID="{6C3C8BC8-F283-45AE-878A-BAB7291924A1}"/>
          <w:text/>
        </w:sdtPr>
        <w:sdtContent>
          <w:tc>
            <w:tcPr>
              <w:tcW w:w="7938" w:type="dxa"/>
              <w:vAlign w:val="center"/>
            </w:tcPr>
            <w:p w14:paraId="7D7D497E" w14:textId="7D4C4351" w:rsidR="00C87CD4" w:rsidRDefault="0095724A" w:rsidP="0036025C">
              <w:pPr>
                <w:pStyle w:val="RectoFooter"/>
                <w:spacing w:before="120"/>
                <w:ind w:left="-108"/>
              </w:pPr>
              <w:r>
                <w:t>National Polio Outbreak Preparedness and Response Framework for Aotearoa New Zealand</w:t>
              </w:r>
            </w:p>
          </w:tc>
        </w:sdtContent>
      </w:sdt>
      <w:tc>
        <w:tcPr>
          <w:tcW w:w="1134" w:type="dxa"/>
          <w:vAlign w:val="center"/>
        </w:tcPr>
        <w:p w14:paraId="4A795AD6" w14:textId="77777777" w:rsidR="00C87CD4" w:rsidRDefault="00C87CD4" w:rsidP="0036025C">
          <w:pPr>
            <w:pStyle w:val="RectoFooter"/>
            <w:spacing w:before="120"/>
            <w:ind w:left="-108"/>
          </w:pPr>
          <w:r>
            <w:rPr>
              <w:noProof/>
              <w:lang w:eastAsia="en-NZ"/>
            </w:rPr>
            <w:drawing>
              <wp:inline distT="0" distB="0" distL="0" distR="0" wp14:anchorId="13093787" wp14:editId="34420C64">
                <wp:extent cx="548640" cy="353145"/>
                <wp:effectExtent l="0" t="0" r="3810" b="8890"/>
                <wp:docPr id="1794642197" name="Picture 1794642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42197" name="Picture 1794642197">
                          <a:extLst>
                            <a:ext uri="{C183D7F6-B498-43B3-948B-1728B52AA6E4}">
                              <adec:decorative xmlns:adec="http://schemas.microsoft.com/office/drawing/2017/decorative" val="1"/>
                            </a:ext>
                          </a:extLst>
                        </pic:cNvPr>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r="90430"/>
                        <a:stretch/>
                      </pic:blipFill>
                      <pic:spPr bwMode="auto">
                        <a:xfrm>
                          <a:off x="0" y="0"/>
                          <a:ext cx="548508" cy="3530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E26D6BF" w14:textId="77777777" w:rsidR="00C87CD4" w:rsidRPr="0036025C" w:rsidRDefault="00C87CD4" w:rsidP="0036025C">
    <w:pPr>
      <w:pStyle w:val="Footer"/>
      <w:rPr>
        <w:sz w:val="7"/>
        <w:szCs w:val="6"/>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Ind w:w="-567" w:type="dxa"/>
      <w:tblLayout w:type="fixed"/>
      <w:tblCellMar>
        <w:left w:w="0" w:type="dxa"/>
        <w:right w:w="0" w:type="dxa"/>
      </w:tblCellMar>
      <w:tblLook w:val="04A0" w:firstRow="1" w:lastRow="0" w:firstColumn="1" w:lastColumn="0" w:noHBand="0" w:noVBand="1"/>
    </w:tblPr>
    <w:tblGrid>
      <w:gridCol w:w="993"/>
      <w:gridCol w:w="7608"/>
      <w:gridCol w:w="755"/>
    </w:tblGrid>
    <w:tr w:rsidR="00C87CD4" w14:paraId="6BBA0298" w14:textId="77777777" w:rsidTr="00AD201D">
      <w:trPr>
        <w:cantSplit/>
      </w:trPr>
      <w:tc>
        <w:tcPr>
          <w:tcW w:w="993" w:type="dxa"/>
          <w:vAlign w:val="center"/>
        </w:tcPr>
        <w:p w14:paraId="5CD137BB" w14:textId="77777777" w:rsidR="00C87CD4" w:rsidRDefault="00C87CD4" w:rsidP="00DF5757">
          <w:pPr>
            <w:pStyle w:val="RectoFooter"/>
            <w:spacing w:before="120"/>
            <w:jc w:val="left"/>
          </w:pPr>
          <w:r>
            <w:rPr>
              <w:noProof/>
              <w:lang w:eastAsia="en-NZ"/>
            </w:rPr>
            <w:drawing>
              <wp:inline distT="0" distB="0" distL="0" distR="0" wp14:anchorId="602B469F" wp14:editId="64E21B9D">
                <wp:extent cx="548640" cy="353145"/>
                <wp:effectExtent l="0" t="0" r="3810" b="8890"/>
                <wp:docPr id="621235797" name="Picture 6212357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35797" name="Picture 621235797">
                          <a:extLst>
                            <a:ext uri="{C183D7F6-B498-43B3-948B-1728B52AA6E4}">
                              <adec:decorative xmlns:adec="http://schemas.microsoft.com/office/drawing/2017/decorative" val="1"/>
                            </a:ext>
                          </a:extLst>
                        </pic:cNvPr>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r="90430"/>
                        <a:stretch/>
                      </pic:blipFill>
                      <pic:spPr bwMode="auto">
                        <a:xfrm>
                          <a:off x="0" y="0"/>
                          <a:ext cx="548508" cy="353060"/>
                        </a:xfrm>
                        <a:prstGeom prst="rect">
                          <a:avLst/>
                        </a:prstGeom>
                        <a:ln>
                          <a:noFill/>
                        </a:ln>
                        <a:extLst>
                          <a:ext uri="{53640926-AAD7-44D8-BBD7-CCE9431645EC}">
                            <a14:shadowObscured xmlns:a14="http://schemas.microsoft.com/office/drawing/2010/main"/>
                          </a:ext>
                        </a:extLst>
                      </pic:spPr>
                    </pic:pic>
                  </a:graphicData>
                </a:graphic>
              </wp:inline>
            </w:drawing>
          </w:r>
        </w:p>
      </w:tc>
      <w:tc>
        <w:tcPr>
          <w:tcW w:w="7608" w:type="dxa"/>
          <w:vAlign w:val="center"/>
        </w:tcPr>
        <w:sdt>
          <w:sdtPr>
            <w:alias w:val="Title"/>
            <w:tag w:val=""/>
            <w:id w:val="-1629164307"/>
            <w:placeholder>
              <w:docPart w:val="DB73B371574B4EED9775D67FF155DA5F"/>
            </w:placeholder>
            <w:dataBinding w:prefixMappings="xmlns:ns0='http://purl.org/dc/elements/1.1/' xmlns:ns1='http://schemas.openxmlformats.org/package/2006/metadata/core-properties' " w:xpath="/ns1:coreProperties[1]/ns0:title[1]" w:storeItemID="{6C3C8BC8-F283-45AE-878A-BAB7291924A1}"/>
            <w:text/>
          </w:sdtPr>
          <w:sdtContent>
            <w:p w14:paraId="6153EF27" w14:textId="265A4BDE" w:rsidR="00C87CD4" w:rsidRDefault="0095724A" w:rsidP="00DF5757">
              <w:pPr>
                <w:pStyle w:val="RectoFooter"/>
                <w:spacing w:before="120"/>
                <w:jc w:val="left"/>
              </w:pPr>
              <w:r>
                <w:t>National Polio Outbreak Preparedness and Response Framework for Aotearoa New Zealand</w:t>
              </w:r>
            </w:p>
          </w:sdtContent>
        </w:sdt>
      </w:tc>
      <w:tc>
        <w:tcPr>
          <w:tcW w:w="755" w:type="dxa"/>
          <w:vAlign w:val="center"/>
        </w:tcPr>
        <w:p w14:paraId="6C0A8C6C" w14:textId="77777777" w:rsidR="00C87CD4" w:rsidRPr="00931466" w:rsidRDefault="00C87CD4" w:rsidP="00DF5757">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rPr>
            <w:t>1</w:t>
          </w:r>
          <w:r w:rsidRPr="00931466">
            <w:rPr>
              <w:rStyle w:val="PageNumber"/>
            </w:rPr>
            <w:fldChar w:fldCharType="end"/>
          </w:r>
        </w:p>
      </w:tc>
    </w:tr>
  </w:tbl>
  <w:p w14:paraId="5A0268B2" w14:textId="77777777" w:rsidR="00C87CD4" w:rsidRPr="0036025C" w:rsidRDefault="00C87CD4" w:rsidP="00DF5757">
    <w:pPr>
      <w:pStyle w:val="Footer"/>
      <w:rPr>
        <w:sz w:val="2"/>
        <w:szCs w:val="2"/>
      </w:rPr>
    </w:pPr>
  </w:p>
  <w:p w14:paraId="297748A9" w14:textId="77777777" w:rsidR="00C87CD4" w:rsidRPr="00DF5757" w:rsidRDefault="00C87CD4" w:rsidP="00DF5757">
    <w:pPr>
      <w:pStyle w:val="Footer"/>
      <w:rPr>
        <w:sz w:val="9"/>
        <w:szCs w:val="8"/>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667"/>
      <w:gridCol w:w="7850"/>
      <w:gridCol w:w="1122"/>
    </w:tblGrid>
    <w:tr w:rsidR="001B0C02" w14:paraId="52C9326B" w14:textId="77777777" w:rsidTr="005E3B50">
      <w:trPr>
        <w:cantSplit/>
      </w:trPr>
      <w:tc>
        <w:tcPr>
          <w:tcW w:w="346" w:type="pct"/>
          <w:vAlign w:val="center"/>
        </w:tcPr>
        <w:p w14:paraId="6296C45C" w14:textId="77777777" w:rsidR="00C87CD4" w:rsidRPr="00931466" w:rsidRDefault="00C87CD4" w:rsidP="0036025C">
          <w:pPr>
            <w:pStyle w:val="Footer"/>
            <w:spacing w:before="12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rPr>
            <w:t>2</w:t>
          </w:r>
          <w:r w:rsidRPr="00931466">
            <w:rPr>
              <w:rStyle w:val="PageNumber"/>
            </w:rPr>
            <w:fldChar w:fldCharType="end"/>
          </w:r>
        </w:p>
      </w:tc>
      <w:sdt>
        <w:sdtPr>
          <w:alias w:val="Title"/>
          <w:tag w:val=""/>
          <w:id w:val="-1227373207"/>
          <w:placeholder>
            <w:docPart w:val="B808D0EA71A447F0A24402D519C43409"/>
          </w:placeholder>
          <w:dataBinding w:prefixMappings="xmlns:ns0='http://purl.org/dc/elements/1.1/' xmlns:ns1='http://schemas.openxmlformats.org/package/2006/metadata/core-properties' " w:xpath="/ns1:coreProperties[1]/ns0:title[1]" w:storeItemID="{6C3C8BC8-F283-45AE-878A-BAB7291924A1}"/>
          <w:text/>
        </w:sdtPr>
        <w:sdtContent>
          <w:tc>
            <w:tcPr>
              <w:tcW w:w="4072" w:type="pct"/>
              <w:vAlign w:val="center"/>
            </w:tcPr>
            <w:p w14:paraId="4CF7FA40" w14:textId="56DC462C" w:rsidR="00C87CD4" w:rsidRDefault="0095724A" w:rsidP="0036025C">
              <w:pPr>
                <w:pStyle w:val="RectoFooter"/>
                <w:spacing w:before="120"/>
                <w:ind w:left="-108"/>
              </w:pPr>
              <w:r>
                <w:t>National Polio Outbreak Preparedness and Response Framework for Aotearoa New Zealand</w:t>
              </w:r>
            </w:p>
          </w:tc>
        </w:sdtContent>
      </w:sdt>
      <w:tc>
        <w:tcPr>
          <w:tcW w:w="582" w:type="pct"/>
          <w:vAlign w:val="center"/>
        </w:tcPr>
        <w:p w14:paraId="60485A9D" w14:textId="77777777" w:rsidR="00C87CD4" w:rsidRDefault="00C87CD4" w:rsidP="0036025C">
          <w:pPr>
            <w:pStyle w:val="RectoFooter"/>
            <w:spacing w:before="120"/>
            <w:ind w:left="-108"/>
          </w:pPr>
          <w:r>
            <w:rPr>
              <w:noProof/>
              <w:lang w:eastAsia="en-NZ"/>
            </w:rPr>
            <w:drawing>
              <wp:inline distT="0" distB="0" distL="0" distR="0" wp14:anchorId="178FE2B9" wp14:editId="514A3438">
                <wp:extent cx="548640" cy="353145"/>
                <wp:effectExtent l="0" t="0" r="3810" b="8890"/>
                <wp:docPr id="1975889664" name="Picture 1975889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889664" name="Picture 1975889664">
                          <a:extLst>
                            <a:ext uri="{C183D7F6-B498-43B3-948B-1728B52AA6E4}">
                              <adec:decorative xmlns:adec="http://schemas.microsoft.com/office/drawing/2017/decorative" val="1"/>
                            </a:ext>
                          </a:extLst>
                        </pic:cNvPr>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r="90430"/>
                        <a:stretch/>
                      </pic:blipFill>
                      <pic:spPr bwMode="auto">
                        <a:xfrm>
                          <a:off x="0" y="0"/>
                          <a:ext cx="548508" cy="3530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BA0169B" w14:textId="77777777" w:rsidR="00C87CD4" w:rsidRPr="0036025C" w:rsidRDefault="00C87CD4" w:rsidP="0036025C">
    <w:pPr>
      <w:pStyle w:val="Footer"/>
      <w:rPr>
        <w:sz w:val="7"/>
        <w:szCs w:val="6"/>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1517"/>
      <w:gridCol w:w="11614"/>
      <w:gridCol w:w="1151"/>
    </w:tblGrid>
    <w:tr w:rsidR="001B0C02" w14:paraId="7151B879" w14:textId="77777777" w:rsidTr="003732C6">
      <w:trPr>
        <w:cantSplit/>
      </w:trPr>
      <w:tc>
        <w:tcPr>
          <w:tcW w:w="531" w:type="pct"/>
          <w:vAlign w:val="center"/>
        </w:tcPr>
        <w:p w14:paraId="59D5CFB0" w14:textId="77777777" w:rsidR="00C87CD4" w:rsidRDefault="00C87CD4" w:rsidP="00DF5757">
          <w:pPr>
            <w:pStyle w:val="RectoFooter"/>
            <w:spacing w:before="120"/>
            <w:jc w:val="left"/>
          </w:pPr>
          <w:r>
            <w:rPr>
              <w:noProof/>
              <w:lang w:eastAsia="en-NZ"/>
            </w:rPr>
            <w:drawing>
              <wp:inline distT="0" distB="0" distL="0" distR="0" wp14:anchorId="56ACC07A" wp14:editId="26C22E8C">
                <wp:extent cx="548640" cy="353145"/>
                <wp:effectExtent l="0" t="0" r="3810" b="8890"/>
                <wp:docPr id="835650456" name="Picture 8356504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50456" name="Picture 835650456">
                          <a:extLst>
                            <a:ext uri="{C183D7F6-B498-43B3-948B-1728B52AA6E4}">
                              <adec:decorative xmlns:adec="http://schemas.microsoft.com/office/drawing/2017/decorative" val="1"/>
                            </a:ext>
                          </a:extLst>
                        </pic:cNvPr>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r="90430"/>
                        <a:stretch/>
                      </pic:blipFill>
                      <pic:spPr bwMode="auto">
                        <a:xfrm>
                          <a:off x="0" y="0"/>
                          <a:ext cx="548508" cy="353060"/>
                        </a:xfrm>
                        <a:prstGeom prst="rect">
                          <a:avLst/>
                        </a:prstGeom>
                        <a:ln>
                          <a:noFill/>
                        </a:ln>
                        <a:extLst>
                          <a:ext uri="{53640926-AAD7-44D8-BBD7-CCE9431645EC}">
                            <a14:shadowObscured xmlns:a14="http://schemas.microsoft.com/office/drawing/2010/main"/>
                          </a:ext>
                        </a:extLst>
                      </pic:spPr>
                    </pic:pic>
                  </a:graphicData>
                </a:graphic>
              </wp:inline>
            </w:drawing>
          </w:r>
        </w:p>
      </w:tc>
      <w:tc>
        <w:tcPr>
          <w:tcW w:w="4066" w:type="pct"/>
          <w:vAlign w:val="center"/>
        </w:tcPr>
        <w:sdt>
          <w:sdtPr>
            <w:alias w:val="Title"/>
            <w:tag w:val=""/>
            <w:id w:val="-1262910695"/>
            <w:placeholder>
              <w:docPart w:val="119917C917B64776973F684C7F65994E"/>
            </w:placeholder>
            <w:dataBinding w:prefixMappings="xmlns:ns0='http://purl.org/dc/elements/1.1/' xmlns:ns1='http://schemas.openxmlformats.org/package/2006/metadata/core-properties' " w:xpath="/ns1:coreProperties[1]/ns0:title[1]" w:storeItemID="{6C3C8BC8-F283-45AE-878A-BAB7291924A1}"/>
            <w:text/>
          </w:sdtPr>
          <w:sdtContent>
            <w:p w14:paraId="7A8D8533" w14:textId="6207E349" w:rsidR="00C87CD4" w:rsidRDefault="0095724A" w:rsidP="00DF5757">
              <w:pPr>
                <w:pStyle w:val="RectoFooter"/>
                <w:spacing w:before="120"/>
                <w:jc w:val="left"/>
              </w:pPr>
              <w:r>
                <w:t>National Polio Outbreak Preparedness and Response Framework for Aotearoa New Zealand</w:t>
              </w:r>
            </w:p>
          </w:sdtContent>
        </w:sdt>
      </w:tc>
      <w:tc>
        <w:tcPr>
          <w:tcW w:w="403" w:type="pct"/>
          <w:vAlign w:val="center"/>
        </w:tcPr>
        <w:p w14:paraId="223BF5CF" w14:textId="77777777" w:rsidR="00C87CD4" w:rsidRPr="00931466" w:rsidRDefault="00C87CD4" w:rsidP="00DF5757">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rPr>
            <w:t>1</w:t>
          </w:r>
          <w:r w:rsidRPr="00931466">
            <w:rPr>
              <w:rStyle w:val="PageNumber"/>
            </w:rPr>
            <w:fldChar w:fldCharType="end"/>
          </w:r>
        </w:p>
      </w:tc>
    </w:tr>
  </w:tbl>
  <w:p w14:paraId="671EF596" w14:textId="77777777" w:rsidR="00C87CD4" w:rsidRPr="0036025C" w:rsidRDefault="00C87CD4" w:rsidP="00DF5757">
    <w:pPr>
      <w:pStyle w:val="Footer"/>
      <w:rPr>
        <w:sz w:val="2"/>
        <w:szCs w:val="2"/>
      </w:rPr>
    </w:pPr>
  </w:p>
  <w:p w14:paraId="29C0709B" w14:textId="77777777" w:rsidR="00C87CD4" w:rsidRPr="00DF5757" w:rsidRDefault="00C87CD4" w:rsidP="00DF5757">
    <w:pPr>
      <w:pStyle w:val="Footer"/>
      <w:rPr>
        <w:sz w:val="9"/>
        <w:szCs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DDF9C" w14:textId="77777777" w:rsidR="00105770" w:rsidRDefault="00105770" w:rsidP="003D59BB">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Ind w:w="-567" w:type="dxa"/>
      <w:tblLayout w:type="fixed"/>
      <w:tblLook w:val="04A0" w:firstRow="1" w:lastRow="0" w:firstColumn="1" w:lastColumn="0" w:noHBand="0" w:noVBand="1"/>
    </w:tblPr>
    <w:tblGrid>
      <w:gridCol w:w="675"/>
      <w:gridCol w:w="7938"/>
      <w:gridCol w:w="1134"/>
    </w:tblGrid>
    <w:tr w:rsidR="00C87CD4" w14:paraId="58937D5C" w14:textId="77777777" w:rsidTr="00AD201D">
      <w:trPr>
        <w:cantSplit/>
      </w:trPr>
      <w:tc>
        <w:tcPr>
          <w:tcW w:w="675" w:type="dxa"/>
          <w:vAlign w:val="center"/>
        </w:tcPr>
        <w:p w14:paraId="748338C0" w14:textId="77777777" w:rsidR="00C87CD4" w:rsidRPr="00931466" w:rsidRDefault="00C87CD4" w:rsidP="0036025C">
          <w:pPr>
            <w:pStyle w:val="Footer"/>
            <w:spacing w:before="12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rPr>
            <w:t>2</w:t>
          </w:r>
          <w:r w:rsidRPr="00931466">
            <w:rPr>
              <w:rStyle w:val="PageNumber"/>
            </w:rPr>
            <w:fldChar w:fldCharType="end"/>
          </w:r>
        </w:p>
      </w:tc>
      <w:sdt>
        <w:sdtPr>
          <w:alias w:val="Title"/>
          <w:tag w:val=""/>
          <w:id w:val="-1779329789"/>
          <w:placeholder>
            <w:docPart w:val="0E2A2E0F1DD141D68BCFADF2854547CC"/>
          </w:placeholder>
          <w:dataBinding w:prefixMappings="xmlns:ns0='http://purl.org/dc/elements/1.1/' xmlns:ns1='http://schemas.openxmlformats.org/package/2006/metadata/core-properties' " w:xpath="/ns1:coreProperties[1]/ns0:title[1]" w:storeItemID="{6C3C8BC8-F283-45AE-878A-BAB7291924A1}"/>
          <w:text/>
        </w:sdtPr>
        <w:sdtContent>
          <w:tc>
            <w:tcPr>
              <w:tcW w:w="7938" w:type="dxa"/>
              <w:vAlign w:val="center"/>
            </w:tcPr>
            <w:p w14:paraId="692516FB" w14:textId="0A4887BF" w:rsidR="00C87CD4" w:rsidRDefault="0095724A" w:rsidP="0036025C">
              <w:pPr>
                <w:pStyle w:val="RectoFooter"/>
                <w:spacing w:before="120"/>
                <w:ind w:left="-108"/>
              </w:pPr>
              <w:r>
                <w:t>National Polio Outbreak Preparedness and Response Framework for Aotearoa New Zealand</w:t>
              </w:r>
            </w:p>
          </w:tc>
        </w:sdtContent>
      </w:sdt>
      <w:tc>
        <w:tcPr>
          <w:tcW w:w="1134" w:type="dxa"/>
          <w:vAlign w:val="center"/>
        </w:tcPr>
        <w:p w14:paraId="4EEF977D" w14:textId="77777777" w:rsidR="00C87CD4" w:rsidRDefault="00C87CD4" w:rsidP="0036025C">
          <w:pPr>
            <w:pStyle w:val="RectoFooter"/>
            <w:spacing w:before="120"/>
            <w:ind w:left="-108"/>
          </w:pPr>
          <w:r>
            <w:rPr>
              <w:noProof/>
              <w:lang w:eastAsia="en-NZ"/>
            </w:rPr>
            <w:drawing>
              <wp:inline distT="0" distB="0" distL="0" distR="0" wp14:anchorId="1D5951FE" wp14:editId="1971A539">
                <wp:extent cx="548640" cy="353145"/>
                <wp:effectExtent l="0" t="0" r="3810" b="8890"/>
                <wp:docPr id="1881382151" name="Picture 1881382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382151" name="Picture 1881382151">
                          <a:extLst>
                            <a:ext uri="{C183D7F6-B498-43B3-948B-1728B52AA6E4}">
                              <adec:decorative xmlns:adec="http://schemas.microsoft.com/office/drawing/2017/decorative" val="1"/>
                            </a:ext>
                          </a:extLst>
                        </pic:cNvPr>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r="90430"/>
                        <a:stretch/>
                      </pic:blipFill>
                      <pic:spPr bwMode="auto">
                        <a:xfrm>
                          <a:off x="0" y="0"/>
                          <a:ext cx="548508" cy="3530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D3D224B" w14:textId="77777777" w:rsidR="00C87CD4" w:rsidRPr="0036025C" w:rsidRDefault="00C87CD4" w:rsidP="0036025C">
    <w:pPr>
      <w:pStyle w:val="Footer"/>
      <w:rPr>
        <w:sz w:val="7"/>
        <w:szCs w:val="6"/>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Ind w:w="-567" w:type="dxa"/>
      <w:tblLayout w:type="fixed"/>
      <w:tblCellMar>
        <w:left w:w="0" w:type="dxa"/>
        <w:right w:w="0" w:type="dxa"/>
      </w:tblCellMar>
      <w:tblLook w:val="04A0" w:firstRow="1" w:lastRow="0" w:firstColumn="1" w:lastColumn="0" w:noHBand="0" w:noVBand="1"/>
    </w:tblPr>
    <w:tblGrid>
      <w:gridCol w:w="993"/>
      <w:gridCol w:w="7608"/>
      <w:gridCol w:w="755"/>
    </w:tblGrid>
    <w:tr w:rsidR="00C87CD4" w14:paraId="6B50FE96" w14:textId="77777777" w:rsidTr="00AD201D">
      <w:trPr>
        <w:cantSplit/>
      </w:trPr>
      <w:tc>
        <w:tcPr>
          <w:tcW w:w="993" w:type="dxa"/>
          <w:vAlign w:val="center"/>
        </w:tcPr>
        <w:p w14:paraId="27B56700" w14:textId="77777777" w:rsidR="00C87CD4" w:rsidRDefault="00C87CD4" w:rsidP="00DF5757">
          <w:pPr>
            <w:pStyle w:val="RectoFooter"/>
            <w:spacing w:before="120"/>
            <w:jc w:val="left"/>
          </w:pPr>
          <w:r>
            <w:rPr>
              <w:noProof/>
              <w:lang w:eastAsia="en-NZ"/>
            </w:rPr>
            <w:drawing>
              <wp:inline distT="0" distB="0" distL="0" distR="0" wp14:anchorId="013836D8" wp14:editId="598A4843">
                <wp:extent cx="548640" cy="353145"/>
                <wp:effectExtent l="0" t="0" r="3810" b="8890"/>
                <wp:docPr id="583249271" name="Picture 583249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49271" name="Picture 583249271">
                          <a:extLst>
                            <a:ext uri="{C183D7F6-B498-43B3-948B-1728B52AA6E4}">
                              <adec:decorative xmlns:adec="http://schemas.microsoft.com/office/drawing/2017/decorative" val="1"/>
                            </a:ext>
                          </a:extLst>
                        </pic:cNvPr>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r="90430"/>
                        <a:stretch/>
                      </pic:blipFill>
                      <pic:spPr bwMode="auto">
                        <a:xfrm>
                          <a:off x="0" y="0"/>
                          <a:ext cx="548508" cy="353060"/>
                        </a:xfrm>
                        <a:prstGeom prst="rect">
                          <a:avLst/>
                        </a:prstGeom>
                        <a:ln>
                          <a:noFill/>
                        </a:ln>
                        <a:extLst>
                          <a:ext uri="{53640926-AAD7-44D8-BBD7-CCE9431645EC}">
                            <a14:shadowObscured xmlns:a14="http://schemas.microsoft.com/office/drawing/2010/main"/>
                          </a:ext>
                        </a:extLst>
                      </pic:spPr>
                    </pic:pic>
                  </a:graphicData>
                </a:graphic>
              </wp:inline>
            </w:drawing>
          </w:r>
        </w:p>
      </w:tc>
      <w:tc>
        <w:tcPr>
          <w:tcW w:w="7608" w:type="dxa"/>
          <w:vAlign w:val="center"/>
        </w:tcPr>
        <w:sdt>
          <w:sdtPr>
            <w:alias w:val="Title"/>
            <w:tag w:val=""/>
            <w:id w:val="1170608750"/>
            <w:placeholder>
              <w:docPart w:val="EBDDAE95A7194F1C8F4095EB3CF607F5"/>
            </w:placeholder>
            <w:dataBinding w:prefixMappings="xmlns:ns0='http://purl.org/dc/elements/1.1/' xmlns:ns1='http://schemas.openxmlformats.org/package/2006/metadata/core-properties' " w:xpath="/ns1:coreProperties[1]/ns0:title[1]" w:storeItemID="{6C3C8BC8-F283-45AE-878A-BAB7291924A1}"/>
            <w:text/>
          </w:sdtPr>
          <w:sdtContent>
            <w:p w14:paraId="753D40CA" w14:textId="26DD620F" w:rsidR="00C87CD4" w:rsidRDefault="0095724A" w:rsidP="00DF5757">
              <w:pPr>
                <w:pStyle w:val="RectoFooter"/>
                <w:spacing w:before="120"/>
                <w:jc w:val="left"/>
              </w:pPr>
              <w:r>
                <w:t>National Polio Outbreak Preparedness and Response Framework for Aotearoa New Zealand</w:t>
              </w:r>
            </w:p>
          </w:sdtContent>
        </w:sdt>
      </w:tc>
      <w:tc>
        <w:tcPr>
          <w:tcW w:w="755" w:type="dxa"/>
          <w:vAlign w:val="center"/>
        </w:tcPr>
        <w:p w14:paraId="49EB84C3" w14:textId="77777777" w:rsidR="00C87CD4" w:rsidRPr="00931466" w:rsidRDefault="00C87CD4" w:rsidP="00DF5757">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rPr>
            <w:t>1</w:t>
          </w:r>
          <w:r w:rsidRPr="00931466">
            <w:rPr>
              <w:rStyle w:val="PageNumber"/>
            </w:rPr>
            <w:fldChar w:fldCharType="end"/>
          </w:r>
        </w:p>
      </w:tc>
    </w:tr>
  </w:tbl>
  <w:p w14:paraId="1D43A0DA" w14:textId="77777777" w:rsidR="00C87CD4" w:rsidRPr="0036025C" w:rsidRDefault="00C87CD4" w:rsidP="00DF5757">
    <w:pPr>
      <w:pStyle w:val="Footer"/>
      <w:rPr>
        <w:sz w:val="2"/>
        <w:szCs w:val="2"/>
      </w:rPr>
    </w:pPr>
  </w:p>
  <w:p w14:paraId="467E9573" w14:textId="77777777" w:rsidR="00C87CD4" w:rsidRPr="00DF5757" w:rsidRDefault="00C87CD4" w:rsidP="00DF5757">
    <w:pPr>
      <w:pStyle w:val="Footer"/>
      <w:rPr>
        <w:sz w:val="9"/>
        <w:szCs w:val="8"/>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Look w:val="04A0" w:firstRow="1" w:lastRow="0" w:firstColumn="1" w:lastColumn="0" w:noHBand="0" w:noVBand="1"/>
    </w:tblPr>
    <w:tblGrid>
      <w:gridCol w:w="989"/>
      <w:gridCol w:w="11636"/>
      <w:gridCol w:w="1663"/>
    </w:tblGrid>
    <w:tr w:rsidR="005E3B50" w14:paraId="6624C735" w14:textId="77777777" w:rsidTr="00F447C2">
      <w:trPr>
        <w:cantSplit/>
      </w:trPr>
      <w:tc>
        <w:tcPr>
          <w:tcW w:w="346" w:type="pct"/>
          <w:vAlign w:val="center"/>
        </w:tcPr>
        <w:p w14:paraId="45A6EEE4" w14:textId="77777777" w:rsidR="005E3B50" w:rsidRPr="00931466" w:rsidRDefault="005E3B50" w:rsidP="0036025C">
          <w:pPr>
            <w:pStyle w:val="Footer"/>
            <w:spacing w:before="12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rPr>
            <w:t>2</w:t>
          </w:r>
          <w:r w:rsidRPr="00931466">
            <w:rPr>
              <w:rStyle w:val="PageNumber"/>
            </w:rPr>
            <w:fldChar w:fldCharType="end"/>
          </w:r>
        </w:p>
      </w:tc>
      <w:sdt>
        <w:sdtPr>
          <w:alias w:val="Title"/>
          <w:tag w:val=""/>
          <w:id w:val="1919362723"/>
          <w:placeholder>
            <w:docPart w:val="06C81F1853834FDC9E20B1CE2525AB96"/>
          </w:placeholder>
          <w:dataBinding w:prefixMappings="xmlns:ns0='http://purl.org/dc/elements/1.1/' xmlns:ns1='http://schemas.openxmlformats.org/package/2006/metadata/core-properties' " w:xpath="/ns1:coreProperties[1]/ns0:title[1]" w:storeItemID="{6C3C8BC8-F283-45AE-878A-BAB7291924A1}"/>
          <w:text/>
        </w:sdtPr>
        <w:sdtContent>
          <w:tc>
            <w:tcPr>
              <w:tcW w:w="4072" w:type="pct"/>
              <w:vAlign w:val="center"/>
            </w:tcPr>
            <w:p w14:paraId="30277473" w14:textId="3234FB4A" w:rsidR="005E3B50" w:rsidRDefault="0095724A" w:rsidP="0036025C">
              <w:pPr>
                <w:pStyle w:val="RectoFooter"/>
                <w:spacing w:before="120"/>
                <w:ind w:left="-108"/>
              </w:pPr>
              <w:r>
                <w:t>National Polio Outbreak Preparedness and Response Framework for Aotearoa New Zealand</w:t>
              </w:r>
            </w:p>
          </w:tc>
        </w:sdtContent>
      </w:sdt>
      <w:tc>
        <w:tcPr>
          <w:tcW w:w="582" w:type="pct"/>
          <w:vAlign w:val="center"/>
        </w:tcPr>
        <w:p w14:paraId="74AB2E86" w14:textId="77777777" w:rsidR="005E3B50" w:rsidRDefault="005E3B50" w:rsidP="0036025C">
          <w:pPr>
            <w:pStyle w:val="RectoFooter"/>
            <w:spacing w:before="120"/>
            <w:ind w:left="-108"/>
          </w:pPr>
          <w:r>
            <w:rPr>
              <w:noProof/>
              <w:lang w:eastAsia="en-NZ"/>
            </w:rPr>
            <w:drawing>
              <wp:inline distT="0" distB="0" distL="0" distR="0" wp14:anchorId="5FAA2D6B" wp14:editId="29032129">
                <wp:extent cx="548640" cy="353145"/>
                <wp:effectExtent l="0" t="0" r="3810" b="889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r="90430"/>
                        <a:stretch/>
                      </pic:blipFill>
                      <pic:spPr bwMode="auto">
                        <a:xfrm>
                          <a:off x="0" y="0"/>
                          <a:ext cx="548508" cy="3530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BFB3843" w14:textId="77777777" w:rsidR="005E3B50" w:rsidRPr="0036025C" w:rsidRDefault="005E3B50" w:rsidP="0036025C">
    <w:pPr>
      <w:pStyle w:val="Footer"/>
      <w:rPr>
        <w:sz w:val="7"/>
        <w:szCs w:val="6"/>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1517"/>
      <w:gridCol w:w="11619"/>
      <w:gridCol w:w="1152"/>
    </w:tblGrid>
    <w:tr w:rsidR="00C87CD4" w14:paraId="05336DA6" w14:textId="77777777" w:rsidTr="003732C6">
      <w:trPr>
        <w:cantSplit/>
      </w:trPr>
      <w:tc>
        <w:tcPr>
          <w:tcW w:w="531" w:type="pct"/>
          <w:vAlign w:val="center"/>
        </w:tcPr>
        <w:p w14:paraId="69E976D4" w14:textId="77777777" w:rsidR="00C87CD4" w:rsidRDefault="00C87CD4" w:rsidP="00DF5757">
          <w:pPr>
            <w:pStyle w:val="RectoFooter"/>
            <w:spacing w:before="120"/>
            <w:jc w:val="left"/>
          </w:pPr>
          <w:r>
            <w:rPr>
              <w:noProof/>
              <w:lang w:eastAsia="en-NZ"/>
            </w:rPr>
            <w:drawing>
              <wp:inline distT="0" distB="0" distL="0" distR="0" wp14:anchorId="421A81EE" wp14:editId="781BEE2B">
                <wp:extent cx="548640" cy="353145"/>
                <wp:effectExtent l="0" t="0" r="3810" b="889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r="90430"/>
                        <a:stretch/>
                      </pic:blipFill>
                      <pic:spPr bwMode="auto">
                        <a:xfrm>
                          <a:off x="0" y="0"/>
                          <a:ext cx="548508" cy="353060"/>
                        </a:xfrm>
                        <a:prstGeom prst="rect">
                          <a:avLst/>
                        </a:prstGeom>
                        <a:ln>
                          <a:noFill/>
                        </a:ln>
                        <a:extLst>
                          <a:ext uri="{53640926-AAD7-44D8-BBD7-CCE9431645EC}">
                            <a14:shadowObscured xmlns:a14="http://schemas.microsoft.com/office/drawing/2010/main"/>
                          </a:ext>
                        </a:extLst>
                      </pic:spPr>
                    </pic:pic>
                  </a:graphicData>
                </a:graphic>
              </wp:inline>
            </w:drawing>
          </w:r>
        </w:p>
      </w:tc>
      <w:tc>
        <w:tcPr>
          <w:tcW w:w="4066" w:type="pct"/>
          <w:vAlign w:val="center"/>
        </w:tcPr>
        <w:sdt>
          <w:sdtPr>
            <w:alias w:val="Title"/>
            <w:tag w:val=""/>
            <w:id w:val="-2015059919"/>
            <w:placeholder>
              <w:docPart w:val="11A69BC81A6749DE93D4611701CEFA37"/>
            </w:placeholder>
            <w:dataBinding w:prefixMappings="xmlns:ns0='http://purl.org/dc/elements/1.1/' xmlns:ns1='http://schemas.openxmlformats.org/package/2006/metadata/core-properties' " w:xpath="/ns1:coreProperties[1]/ns0:title[1]" w:storeItemID="{6C3C8BC8-F283-45AE-878A-BAB7291924A1}"/>
            <w:text/>
          </w:sdtPr>
          <w:sdtContent>
            <w:p w14:paraId="3C809189" w14:textId="5C41F8E4" w:rsidR="00C87CD4" w:rsidRDefault="0095724A" w:rsidP="00DF5757">
              <w:pPr>
                <w:pStyle w:val="RectoFooter"/>
                <w:spacing w:before="120"/>
                <w:jc w:val="left"/>
              </w:pPr>
              <w:r>
                <w:t>National Polio Outbreak Preparedness and Response Framework for Aotearoa New Zealand</w:t>
              </w:r>
            </w:p>
          </w:sdtContent>
        </w:sdt>
      </w:tc>
      <w:tc>
        <w:tcPr>
          <w:tcW w:w="403" w:type="pct"/>
          <w:vAlign w:val="center"/>
        </w:tcPr>
        <w:p w14:paraId="2B5C0B8A" w14:textId="77777777" w:rsidR="00C87CD4" w:rsidRPr="00931466" w:rsidRDefault="00C87CD4" w:rsidP="00DF5757">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rPr>
            <w:t>1</w:t>
          </w:r>
          <w:r w:rsidRPr="00931466">
            <w:rPr>
              <w:rStyle w:val="PageNumber"/>
            </w:rPr>
            <w:fldChar w:fldCharType="end"/>
          </w:r>
        </w:p>
      </w:tc>
    </w:tr>
  </w:tbl>
  <w:p w14:paraId="21023BD8" w14:textId="77777777" w:rsidR="00C87CD4" w:rsidRPr="0036025C" w:rsidRDefault="00C87CD4" w:rsidP="00DF5757">
    <w:pPr>
      <w:pStyle w:val="Footer"/>
      <w:rPr>
        <w:sz w:val="2"/>
        <w:szCs w:val="2"/>
      </w:rPr>
    </w:pPr>
  </w:p>
  <w:p w14:paraId="6DBE8C55" w14:textId="77777777" w:rsidR="00C87CD4" w:rsidRPr="00DF5757" w:rsidRDefault="00C87CD4" w:rsidP="00DF5757">
    <w:pPr>
      <w:pStyle w:val="Footer"/>
      <w:rPr>
        <w:sz w:val="9"/>
        <w:szCs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DDF9D" w14:textId="77777777" w:rsidR="00105770" w:rsidRDefault="0010577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Ind w:w="-567" w:type="dxa"/>
      <w:tblLayout w:type="fixed"/>
      <w:tblLook w:val="04A0" w:firstRow="1" w:lastRow="0" w:firstColumn="1" w:lastColumn="0" w:noHBand="0" w:noVBand="1"/>
    </w:tblPr>
    <w:tblGrid>
      <w:gridCol w:w="675"/>
      <w:gridCol w:w="7938"/>
      <w:gridCol w:w="1134"/>
    </w:tblGrid>
    <w:tr w:rsidR="0036025C" w14:paraId="4C619301" w14:textId="77777777" w:rsidTr="00AD201D">
      <w:trPr>
        <w:cantSplit/>
      </w:trPr>
      <w:tc>
        <w:tcPr>
          <w:tcW w:w="675" w:type="dxa"/>
          <w:vAlign w:val="center"/>
        </w:tcPr>
        <w:p w14:paraId="61EC70F1" w14:textId="77777777" w:rsidR="0036025C" w:rsidRPr="00931466" w:rsidRDefault="0036025C" w:rsidP="0036025C">
          <w:pPr>
            <w:pStyle w:val="Footer"/>
            <w:spacing w:before="12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rPr>
            <w:t>2</w:t>
          </w:r>
          <w:r w:rsidRPr="00931466">
            <w:rPr>
              <w:rStyle w:val="PageNumber"/>
            </w:rPr>
            <w:fldChar w:fldCharType="end"/>
          </w:r>
        </w:p>
      </w:tc>
      <w:sdt>
        <w:sdtPr>
          <w:alias w:val="Title"/>
          <w:tag w:val=""/>
          <w:id w:val="-227070378"/>
          <w:placeholder>
            <w:docPart w:val="1D60B9BF7CD24544B354237081258670"/>
          </w:placeholder>
          <w:dataBinding w:prefixMappings="xmlns:ns0='http://purl.org/dc/elements/1.1/' xmlns:ns1='http://schemas.openxmlformats.org/package/2006/metadata/core-properties' " w:xpath="/ns1:coreProperties[1]/ns0:title[1]" w:storeItemID="{6C3C8BC8-F283-45AE-878A-BAB7291924A1}"/>
          <w:text/>
        </w:sdtPr>
        <w:sdtContent>
          <w:tc>
            <w:tcPr>
              <w:tcW w:w="7938" w:type="dxa"/>
              <w:vAlign w:val="center"/>
            </w:tcPr>
            <w:p w14:paraId="46B5B34E" w14:textId="6828F513" w:rsidR="0036025C" w:rsidRDefault="0095724A" w:rsidP="0036025C">
              <w:pPr>
                <w:pStyle w:val="RectoFooter"/>
                <w:spacing w:before="120"/>
                <w:ind w:left="-108"/>
              </w:pPr>
              <w:r>
                <w:t>National Polio Outbreak Preparedness and Response Framework for Aotearoa New Zealand</w:t>
              </w:r>
            </w:p>
          </w:tc>
        </w:sdtContent>
      </w:sdt>
      <w:tc>
        <w:tcPr>
          <w:tcW w:w="1134" w:type="dxa"/>
          <w:vAlign w:val="center"/>
        </w:tcPr>
        <w:p w14:paraId="43AC8470" w14:textId="77777777" w:rsidR="0036025C" w:rsidRDefault="0036025C" w:rsidP="0036025C">
          <w:pPr>
            <w:pStyle w:val="RectoFooter"/>
            <w:spacing w:before="120"/>
            <w:ind w:left="-108"/>
          </w:pPr>
          <w:r>
            <w:rPr>
              <w:noProof/>
              <w:lang w:eastAsia="en-NZ"/>
            </w:rPr>
            <w:drawing>
              <wp:inline distT="0" distB="0" distL="0" distR="0" wp14:anchorId="0D60F703" wp14:editId="4DBC613C">
                <wp:extent cx="548640" cy="353145"/>
                <wp:effectExtent l="0" t="0" r="3810" b="8890"/>
                <wp:docPr id="1793981551" name="Picture 17939815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81551" name="Picture 1793981551">
                          <a:extLst>
                            <a:ext uri="{C183D7F6-B498-43B3-948B-1728B52AA6E4}">
                              <adec:decorative xmlns:adec="http://schemas.microsoft.com/office/drawing/2017/decorative" val="1"/>
                            </a:ext>
                          </a:extLst>
                        </pic:cNvPr>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r="90430"/>
                        <a:stretch/>
                      </pic:blipFill>
                      <pic:spPr bwMode="auto">
                        <a:xfrm>
                          <a:off x="0" y="0"/>
                          <a:ext cx="548508" cy="3530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9DDDFAA" w14:textId="52150871" w:rsidR="00105770" w:rsidRPr="0036025C" w:rsidRDefault="00105770" w:rsidP="0036025C">
    <w:pPr>
      <w:pStyle w:val="Footer"/>
      <w:rPr>
        <w:sz w:val="7"/>
        <w:szCs w:val="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Ind w:w="-567" w:type="dxa"/>
      <w:tblLayout w:type="fixed"/>
      <w:tblCellMar>
        <w:left w:w="0" w:type="dxa"/>
        <w:right w:w="0" w:type="dxa"/>
      </w:tblCellMar>
      <w:tblLook w:val="04A0" w:firstRow="1" w:lastRow="0" w:firstColumn="1" w:lastColumn="0" w:noHBand="0" w:noVBand="1"/>
    </w:tblPr>
    <w:tblGrid>
      <w:gridCol w:w="993"/>
      <w:gridCol w:w="7608"/>
      <w:gridCol w:w="755"/>
    </w:tblGrid>
    <w:tr w:rsidR="00DF5757" w14:paraId="613241C9" w14:textId="77777777" w:rsidTr="00AD201D">
      <w:trPr>
        <w:cantSplit/>
      </w:trPr>
      <w:tc>
        <w:tcPr>
          <w:tcW w:w="993" w:type="dxa"/>
          <w:vAlign w:val="center"/>
        </w:tcPr>
        <w:p w14:paraId="4E57A8C7" w14:textId="77777777" w:rsidR="00DF5757" w:rsidRDefault="00DF5757" w:rsidP="00DF5757">
          <w:pPr>
            <w:pStyle w:val="RectoFooter"/>
            <w:spacing w:before="120"/>
            <w:jc w:val="left"/>
          </w:pPr>
          <w:r>
            <w:rPr>
              <w:noProof/>
              <w:lang w:eastAsia="en-NZ"/>
            </w:rPr>
            <w:drawing>
              <wp:inline distT="0" distB="0" distL="0" distR="0" wp14:anchorId="47F15DB8" wp14:editId="4EEB2246">
                <wp:extent cx="548640" cy="353145"/>
                <wp:effectExtent l="0" t="0" r="3810" b="8890"/>
                <wp:docPr id="2023933615" name="Picture 20239336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33615" name="Picture 2023933615">
                          <a:extLst>
                            <a:ext uri="{C183D7F6-B498-43B3-948B-1728B52AA6E4}">
                              <adec:decorative xmlns:adec="http://schemas.microsoft.com/office/drawing/2017/decorative" val="1"/>
                            </a:ext>
                          </a:extLst>
                        </pic:cNvPr>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r="90430"/>
                        <a:stretch/>
                      </pic:blipFill>
                      <pic:spPr bwMode="auto">
                        <a:xfrm>
                          <a:off x="0" y="0"/>
                          <a:ext cx="548508" cy="353060"/>
                        </a:xfrm>
                        <a:prstGeom prst="rect">
                          <a:avLst/>
                        </a:prstGeom>
                        <a:ln>
                          <a:noFill/>
                        </a:ln>
                        <a:extLst>
                          <a:ext uri="{53640926-AAD7-44D8-BBD7-CCE9431645EC}">
                            <a14:shadowObscured xmlns:a14="http://schemas.microsoft.com/office/drawing/2010/main"/>
                          </a:ext>
                        </a:extLst>
                      </pic:spPr>
                    </pic:pic>
                  </a:graphicData>
                </a:graphic>
              </wp:inline>
            </w:drawing>
          </w:r>
        </w:p>
      </w:tc>
      <w:tc>
        <w:tcPr>
          <w:tcW w:w="7608" w:type="dxa"/>
          <w:vAlign w:val="center"/>
        </w:tcPr>
        <w:sdt>
          <w:sdtPr>
            <w:alias w:val="Title"/>
            <w:tag w:val=""/>
            <w:id w:val="-374699285"/>
            <w:placeholder>
              <w:docPart w:val="E48966CEE8C74FBCA9D22944AF6436E0"/>
            </w:placeholder>
            <w:dataBinding w:prefixMappings="xmlns:ns0='http://purl.org/dc/elements/1.1/' xmlns:ns1='http://schemas.openxmlformats.org/package/2006/metadata/core-properties' " w:xpath="/ns1:coreProperties[1]/ns0:title[1]" w:storeItemID="{6C3C8BC8-F283-45AE-878A-BAB7291924A1}"/>
            <w:text/>
          </w:sdtPr>
          <w:sdtContent>
            <w:p w14:paraId="13F2B3FC" w14:textId="1843444E" w:rsidR="00DF5757" w:rsidRDefault="0095724A" w:rsidP="00DF5757">
              <w:pPr>
                <w:pStyle w:val="RectoFooter"/>
                <w:spacing w:before="120"/>
                <w:jc w:val="left"/>
              </w:pPr>
              <w:r>
                <w:t>National Polio Outbreak Preparedness and Response Framework for Aotearoa New Zealand</w:t>
              </w:r>
            </w:p>
          </w:sdtContent>
        </w:sdt>
      </w:tc>
      <w:tc>
        <w:tcPr>
          <w:tcW w:w="755" w:type="dxa"/>
          <w:vAlign w:val="center"/>
        </w:tcPr>
        <w:p w14:paraId="60EF8E48" w14:textId="77777777" w:rsidR="00DF5757" w:rsidRPr="00931466" w:rsidRDefault="00DF5757" w:rsidP="00DF5757">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rPr>
            <w:t>1</w:t>
          </w:r>
          <w:r w:rsidRPr="00931466">
            <w:rPr>
              <w:rStyle w:val="PageNumber"/>
            </w:rPr>
            <w:fldChar w:fldCharType="end"/>
          </w:r>
        </w:p>
      </w:tc>
    </w:tr>
  </w:tbl>
  <w:p w14:paraId="6012AFDB" w14:textId="77777777" w:rsidR="00DF5757" w:rsidRPr="0036025C" w:rsidRDefault="00DF5757" w:rsidP="00DF5757">
    <w:pPr>
      <w:pStyle w:val="Footer"/>
      <w:rPr>
        <w:sz w:val="2"/>
        <w:szCs w:val="2"/>
      </w:rPr>
    </w:pPr>
  </w:p>
  <w:p w14:paraId="09DDDFAF" w14:textId="50D5DE23" w:rsidR="00105770" w:rsidRPr="00DF5757" w:rsidRDefault="00105770" w:rsidP="00DF5757">
    <w:pPr>
      <w:pStyle w:val="Footer"/>
      <w:rPr>
        <w:sz w:val="9"/>
        <w:szCs w:val="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667"/>
      <w:gridCol w:w="7850"/>
      <w:gridCol w:w="1122"/>
    </w:tblGrid>
    <w:tr w:rsidR="00B7572D" w14:paraId="3EE26146" w14:textId="77777777" w:rsidTr="005E3B50">
      <w:trPr>
        <w:cantSplit/>
      </w:trPr>
      <w:tc>
        <w:tcPr>
          <w:tcW w:w="346" w:type="pct"/>
          <w:vAlign w:val="center"/>
        </w:tcPr>
        <w:p w14:paraId="42973933" w14:textId="260B2105" w:rsidR="00C87CD4" w:rsidRPr="00931466" w:rsidRDefault="00C87CD4" w:rsidP="0036025C">
          <w:pPr>
            <w:pStyle w:val="Footer"/>
            <w:spacing w:before="12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rPr>
            <w:t>2</w:t>
          </w:r>
          <w:r w:rsidRPr="00931466">
            <w:rPr>
              <w:rStyle w:val="PageNumber"/>
            </w:rPr>
            <w:fldChar w:fldCharType="end"/>
          </w:r>
        </w:p>
      </w:tc>
      <w:sdt>
        <w:sdtPr>
          <w:alias w:val="Title"/>
          <w:tag w:val=""/>
          <w:id w:val="58754443"/>
          <w:placeholder>
            <w:docPart w:val="83A01F874FF3451BA91F4B8838A82895"/>
          </w:placeholder>
          <w:dataBinding w:prefixMappings="xmlns:ns0='http://purl.org/dc/elements/1.1/' xmlns:ns1='http://schemas.openxmlformats.org/package/2006/metadata/core-properties' " w:xpath="/ns1:coreProperties[1]/ns0:title[1]" w:storeItemID="{6C3C8BC8-F283-45AE-878A-BAB7291924A1}"/>
          <w:text/>
        </w:sdtPr>
        <w:sdtContent>
          <w:tc>
            <w:tcPr>
              <w:tcW w:w="4072" w:type="pct"/>
              <w:vAlign w:val="center"/>
            </w:tcPr>
            <w:p w14:paraId="3E7A3504" w14:textId="3C5F9EA1" w:rsidR="00C87CD4" w:rsidRDefault="0095724A" w:rsidP="0036025C">
              <w:pPr>
                <w:pStyle w:val="RectoFooter"/>
                <w:spacing w:before="120"/>
                <w:ind w:left="-108"/>
              </w:pPr>
              <w:r>
                <w:t>National Polio Outbreak Preparedness and Response Framework for Aotearoa New Zealand</w:t>
              </w:r>
            </w:p>
          </w:tc>
        </w:sdtContent>
      </w:sdt>
      <w:tc>
        <w:tcPr>
          <w:tcW w:w="582" w:type="pct"/>
          <w:vAlign w:val="center"/>
        </w:tcPr>
        <w:p w14:paraId="7150ABF9" w14:textId="77777777" w:rsidR="00C87CD4" w:rsidRDefault="00C87CD4" w:rsidP="0036025C">
          <w:pPr>
            <w:pStyle w:val="RectoFooter"/>
            <w:spacing w:before="120"/>
            <w:ind w:left="-108"/>
          </w:pPr>
          <w:r>
            <w:rPr>
              <w:noProof/>
              <w:lang w:eastAsia="en-NZ"/>
            </w:rPr>
            <w:drawing>
              <wp:inline distT="0" distB="0" distL="0" distR="0" wp14:anchorId="4958726E" wp14:editId="2D8EAB5A">
                <wp:extent cx="548640" cy="353145"/>
                <wp:effectExtent l="0" t="0" r="3810" b="8890"/>
                <wp:docPr id="341807362" name="Picture 3418073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07362" name="Picture 341807362">
                          <a:extLst>
                            <a:ext uri="{C183D7F6-B498-43B3-948B-1728B52AA6E4}">
                              <adec:decorative xmlns:adec="http://schemas.microsoft.com/office/drawing/2017/decorative" val="1"/>
                            </a:ext>
                          </a:extLst>
                        </pic:cNvPr>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r="90430"/>
                        <a:stretch/>
                      </pic:blipFill>
                      <pic:spPr bwMode="auto">
                        <a:xfrm>
                          <a:off x="0" y="0"/>
                          <a:ext cx="548508" cy="3530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DBA90FA" w14:textId="77777777" w:rsidR="00C87CD4" w:rsidRPr="0036025C" w:rsidRDefault="00C87CD4" w:rsidP="0036025C">
    <w:pPr>
      <w:pStyle w:val="Footer"/>
      <w:rPr>
        <w:sz w:val="7"/>
        <w:szCs w:val="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991"/>
      <w:gridCol w:w="12145"/>
      <w:gridCol w:w="1152"/>
    </w:tblGrid>
    <w:tr w:rsidR="00C87CD4" w14:paraId="21602028" w14:textId="77777777" w:rsidTr="00A318F1">
      <w:trPr>
        <w:cantSplit/>
      </w:trPr>
      <w:tc>
        <w:tcPr>
          <w:tcW w:w="347" w:type="pct"/>
          <w:vAlign w:val="center"/>
        </w:tcPr>
        <w:p w14:paraId="67DD22DA" w14:textId="77777777" w:rsidR="00C87CD4" w:rsidRDefault="00C87CD4" w:rsidP="00DF5757">
          <w:pPr>
            <w:pStyle w:val="RectoFooter"/>
            <w:spacing w:before="120"/>
            <w:jc w:val="left"/>
          </w:pPr>
          <w:r>
            <w:rPr>
              <w:noProof/>
              <w:lang w:eastAsia="en-NZ"/>
            </w:rPr>
            <w:drawing>
              <wp:inline distT="0" distB="0" distL="0" distR="0" wp14:anchorId="6384A25B" wp14:editId="55505FF4">
                <wp:extent cx="548640" cy="353145"/>
                <wp:effectExtent l="0" t="0" r="3810" b="8890"/>
                <wp:docPr id="836317525" name="Picture 8363175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17525" name="Picture 836317525">
                          <a:extLst>
                            <a:ext uri="{C183D7F6-B498-43B3-948B-1728B52AA6E4}">
                              <adec:decorative xmlns:adec="http://schemas.microsoft.com/office/drawing/2017/decorative" val="1"/>
                            </a:ext>
                          </a:extLst>
                        </pic:cNvPr>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r="90430"/>
                        <a:stretch/>
                      </pic:blipFill>
                      <pic:spPr bwMode="auto">
                        <a:xfrm>
                          <a:off x="0" y="0"/>
                          <a:ext cx="548508" cy="353060"/>
                        </a:xfrm>
                        <a:prstGeom prst="rect">
                          <a:avLst/>
                        </a:prstGeom>
                        <a:ln>
                          <a:noFill/>
                        </a:ln>
                        <a:extLst>
                          <a:ext uri="{53640926-AAD7-44D8-BBD7-CCE9431645EC}">
                            <a14:shadowObscured xmlns:a14="http://schemas.microsoft.com/office/drawing/2010/main"/>
                          </a:ext>
                        </a:extLst>
                      </pic:spPr>
                    </pic:pic>
                  </a:graphicData>
                </a:graphic>
              </wp:inline>
            </w:drawing>
          </w:r>
        </w:p>
      </w:tc>
      <w:tc>
        <w:tcPr>
          <w:tcW w:w="4249" w:type="pct"/>
          <w:vAlign w:val="center"/>
        </w:tcPr>
        <w:sdt>
          <w:sdtPr>
            <w:alias w:val="Title"/>
            <w:tag w:val=""/>
            <w:id w:val="1816904438"/>
            <w:placeholder>
              <w:docPart w:val="D1DE3A2524C54B04A8BD4E79E27401ED"/>
            </w:placeholder>
            <w:dataBinding w:prefixMappings="xmlns:ns0='http://purl.org/dc/elements/1.1/' xmlns:ns1='http://schemas.openxmlformats.org/package/2006/metadata/core-properties' " w:xpath="/ns1:coreProperties[1]/ns0:title[1]" w:storeItemID="{6C3C8BC8-F283-45AE-878A-BAB7291924A1}"/>
            <w:text/>
          </w:sdtPr>
          <w:sdtContent>
            <w:p w14:paraId="298EF630" w14:textId="4B5DA7AC" w:rsidR="00C87CD4" w:rsidRDefault="0095724A" w:rsidP="00DF5757">
              <w:pPr>
                <w:pStyle w:val="RectoFooter"/>
                <w:spacing w:before="120"/>
                <w:jc w:val="left"/>
              </w:pPr>
              <w:r>
                <w:t>National Polio Outbreak Preparedness and Response Framework for Aotearoa New Zealand</w:t>
              </w:r>
            </w:p>
          </w:sdtContent>
        </w:sdt>
      </w:tc>
      <w:tc>
        <w:tcPr>
          <w:tcW w:w="403" w:type="pct"/>
          <w:vAlign w:val="center"/>
        </w:tcPr>
        <w:p w14:paraId="6C8765FA" w14:textId="77777777" w:rsidR="00C87CD4" w:rsidRPr="00931466" w:rsidRDefault="00C87CD4" w:rsidP="00DF5757">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rPr>
            <w:t>1</w:t>
          </w:r>
          <w:r w:rsidRPr="00931466">
            <w:rPr>
              <w:rStyle w:val="PageNumber"/>
            </w:rPr>
            <w:fldChar w:fldCharType="end"/>
          </w:r>
        </w:p>
      </w:tc>
    </w:tr>
  </w:tbl>
  <w:p w14:paraId="7FBE6D94" w14:textId="77777777" w:rsidR="00C87CD4" w:rsidRPr="0036025C" w:rsidRDefault="00C87CD4" w:rsidP="00DF5757">
    <w:pPr>
      <w:pStyle w:val="Footer"/>
      <w:rPr>
        <w:sz w:val="2"/>
        <w:szCs w:val="2"/>
      </w:rPr>
    </w:pPr>
  </w:p>
  <w:p w14:paraId="477EB8CE" w14:textId="77777777" w:rsidR="00C87CD4" w:rsidRPr="00DF5757" w:rsidRDefault="00C87CD4" w:rsidP="00DF5757">
    <w:pPr>
      <w:pStyle w:val="Footer"/>
      <w:rPr>
        <w:sz w:val="9"/>
        <w:szCs w:val="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Ind w:w="-567" w:type="dxa"/>
      <w:tblLayout w:type="fixed"/>
      <w:tblLook w:val="04A0" w:firstRow="1" w:lastRow="0" w:firstColumn="1" w:lastColumn="0" w:noHBand="0" w:noVBand="1"/>
    </w:tblPr>
    <w:tblGrid>
      <w:gridCol w:w="675"/>
      <w:gridCol w:w="7938"/>
      <w:gridCol w:w="1134"/>
    </w:tblGrid>
    <w:tr w:rsidR="00C87CD4" w14:paraId="66230738" w14:textId="77777777" w:rsidTr="00AD201D">
      <w:trPr>
        <w:cantSplit/>
      </w:trPr>
      <w:tc>
        <w:tcPr>
          <w:tcW w:w="675" w:type="dxa"/>
          <w:vAlign w:val="center"/>
        </w:tcPr>
        <w:p w14:paraId="771A4BE3" w14:textId="77777777" w:rsidR="00C87CD4" w:rsidRPr="00931466" w:rsidRDefault="00C87CD4" w:rsidP="0036025C">
          <w:pPr>
            <w:pStyle w:val="Footer"/>
            <w:spacing w:before="12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rPr>
            <w:t>2</w:t>
          </w:r>
          <w:r w:rsidRPr="00931466">
            <w:rPr>
              <w:rStyle w:val="PageNumber"/>
            </w:rPr>
            <w:fldChar w:fldCharType="end"/>
          </w:r>
        </w:p>
      </w:tc>
      <w:sdt>
        <w:sdtPr>
          <w:alias w:val="Title"/>
          <w:tag w:val=""/>
          <w:id w:val="-732001122"/>
          <w:placeholder>
            <w:docPart w:val="DA922C733FB748C7860A4F289B027D6A"/>
          </w:placeholder>
          <w:dataBinding w:prefixMappings="xmlns:ns0='http://purl.org/dc/elements/1.1/' xmlns:ns1='http://schemas.openxmlformats.org/package/2006/metadata/core-properties' " w:xpath="/ns1:coreProperties[1]/ns0:title[1]" w:storeItemID="{6C3C8BC8-F283-45AE-878A-BAB7291924A1}"/>
          <w:text/>
        </w:sdtPr>
        <w:sdtContent>
          <w:tc>
            <w:tcPr>
              <w:tcW w:w="7938" w:type="dxa"/>
              <w:vAlign w:val="center"/>
            </w:tcPr>
            <w:p w14:paraId="46DE39ED" w14:textId="5F5AA600" w:rsidR="00C87CD4" w:rsidRDefault="0095724A" w:rsidP="0036025C">
              <w:pPr>
                <w:pStyle w:val="RectoFooter"/>
                <w:spacing w:before="120"/>
                <w:ind w:left="-108"/>
              </w:pPr>
              <w:r>
                <w:t>National Polio Outbreak Preparedness and Response Framework for Aotearoa New Zealand</w:t>
              </w:r>
            </w:p>
          </w:tc>
        </w:sdtContent>
      </w:sdt>
      <w:tc>
        <w:tcPr>
          <w:tcW w:w="1134" w:type="dxa"/>
          <w:vAlign w:val="center"/>
        </w:tcPr>
        <w:p w14:paraId="566119AE" w14:textId="77777777" w:rsidR="00C87CD4" w:rsidRDefault="00C87CD4" w:rsidP="0036025C">
          <w:pPr>
            <w:pStyle w:val="RectoFooter"/>
            <w:spacing w:before="120"/>
            <w:ind w:left="-108"/>
          </w:pPr>
          <w:r>
            <w:rPr>
              <w:noProof/>
              <w:lang w:eastAsia="en-NZ"/>
            </w:rPr>
            <w:drawing>
              <wp:inline distT="0" distB="0" distL="0" distR="0" wp14:anchorId="61824C89" wp14:editId="077DFFB1">
                <wp:extent cx="548640" cy="353145"/>
                <wp:effectExtent l="0" t="0" r="3810" b="8890"/>
                <wp:docPr id="575591697" name="Picture 5755916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591697" name="Picture 575591697">
                          <a:extLst>
                            <a:ext uri="{C183D7F6-B498-43B3-948B-1728B52AA6E4}">
                              <adec:decorative xmlns:adec="http://schemas.microsoft.com/office/drawing/2017/decorative" val="1"/>
                            </a:ext>
                          </a:extLst>
                        </pic:cNvPr>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r="90430"/>
                        <a:stretch/>
                      </pic:blipFill>
                      <pic:spPr bwMode="auto">
                        <a:xfrm>
                          <a:off x="0" y="0"/>
                          <a:ext cx="548508" cy="3530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8D8D578" w14:textId="77777777" w:rsidR="00C87CD4" w:rsidRPr="0036025C" w:rsidRDefault="00C87CD4" w:rsidP="0036025C">
    <w:pPr>
      <w:pStyle w:val="Footer"/>
      <w:rPr>
        <w:sz w:val="7"/>
        <w:szCs w:val="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Ind w:w="-567" w:type="dxa"/>
      <w:tblLayout w:type="fixed"/>
      <w:tblCellMar>
        <w:left w:w="0" w:type="dxa"/>
        <w:right w:w="0" w:type="dxa"/>
      </w:tblCellMar>
      <w:tblLook w:val="04A0" w:firstRow="1" w:lastRow="0" w:firstColumn="1" w:lastColumn="0" w:noHBand="0" w:noVBand="1"/>
    </w:tblPr>
    <w:tblGrid>
      <w:gridCol w:w="993"/>
      <w:gridCol w:w="7608"/>
      <w:gridCol w:w="755"/>
    </w:tblGrid>
    <w:tr w:rsidR="00C87CD4" w14:paraId="733C1726" w14:textId="77777777" w:rsidTr="00AD201D">
      <w:trPr>
        <w:cantSplit/>
      </w:trPr>
      <w:tc>
        <w:tcPr>
          <w:tcW w:w="993" w:type="dxa"/>
          <w:vAlign w:val="center"/>
        </w:tcPr>
        <w:p w14:paraId="60F172B0" w14:textId="77777777" w:rsidR="00C87CD4" w:rsidRDefault="00C87CD4" w:rsidP="00DF5757">
          <w:pPr>
            <w:pStyle w:val="RectoFooter"/>
            <w:spacing w:before="120"/>
            <w:jc w:val="left"/>
          </w:pPr>
          <w:r>
            <w:rPr>
              <w:noProof/>
              <w:lang w:eastAsia="en-NZ"/>
            </w:rPr>
            <w:drawing>
              <wp:inline distT="0" distB="0" distL="0" distR="0" wp14:anchorId="3821085A" wp14:editId="07C6D9EF">
                <wp:extent cx="548640" cy="353145"/>
                <wp:effectExtent l="0" t="0" r="3810" b="8890"/>
                <wp:docPr id="584814608" name="Picture 5848146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814608" name="Picture 584814608">
                          <a:extLst>
                            <a:ext uri="{C183D7F6-B498-43B3-948B-1728B52AA6E4}">
                              <adec:decorative xmlns:adec="http://schemas.microsoft.com/office/drawing/2017/decorative" val="1"/>
                            </a:ext>
                          </a:extLst>
                        </pic:cNvPr>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r="90430"/>
                        <a:stretch/>
                      </pic:blipFill>
                      <pic:spPr bwMode="auto">
                        <a:xfrm>
                          <a:off x="0" y="0"/>
                          <a:ext cx="548508" cy="353060"/>
                        </a:xfrm>
                        <a:prstGeom prst="rect">
                          <a:avLst/>
                        </a:prstGeom>
                        <a:ln>
                          <a:noFill/>
                        </a:ln>
                        <a:extLst>
                          <a:ext uri="{53640926-AAD7-44D8-BBD7-CCE9431645EC}">
                            <a14:shadowObscured xmlns:a14="http://schemas.microsoft.com/office/drawing/2010/main"/>
                          </a:ext>
                        </a:extLst>
                      </pic:spPr>
                    </pic:pic>
                  </a:graphicData>
                </a:graphic>
              </wp:inline>
            </w:drawing>
          </w:r>
        </w:p>
      </w:tc>
      <w:tc>
        <w:tcPr>
          <w:tcW w:w="7608" w:type="dxa"/>
          <w:vAlign w:val="center"/>
        </w:tcPr>
        <w:sdt>
          <w:sdtPr>
            <w:alias w:val="Title"/>
            <w:tag w:val=""/>
            <w:id w:val="1933858906"/>
            <w:placeholder>
              <w:docPart w:val="C6787BC2FA184E76BE6F6D0D50625DC3"/>
            </w:placeholder>
            <w:dataBinding w:prefixMappings="xmlns:ns0='http://purl.org/dc/elements/1.1/' xmlns:ns1='http://schemas.openxmlformats.org/package/2006/metadata/core-properties' " w:xpath="/ns1:coreProperties[1]/ns0:title[1]" w:storeItemID="{6C3C8BC8-F283-45AE-878A-BAB7291924A1}"/>
            <w:text/>
          </w:sdtPr>
          <w:sdtContent>
            <w:p w14:paraId="29C9C605" w14:textId="4FCCE973" w:rsidR="00C87CD4" w:rsidRDefault="0095724A" w:rsidP="00DF5757">
              <w:pPr>
                <w:pStyle w:val="RectoFooter"/>
                <w:spacing w:before="120"/>
                <w:jc w:val="left"/>
              </w:pPr>
              <w:r>
                <w:t>National Polio Outbreak Preparedness and Response Framework for Aotearoa New Zealand</w:t>
              </w:r>
            </w:p>
          </w:sdtContent>
        </w:sdt>
      </w:tc>
      <w:tc>
        <w:tcPr>
          <w:tcW w:w="755" w:type="dxa"/>
          <w:vAlign w:val="center"/>
        </w:tcPr>
        <w:p w14:paraId="3CBE7FDD" w14:textId="77777777" w:rsidR="00C87CD4" w:rsidRPr="00931466" w:rsidRDefault="00C87CD4" w:rsidP="00DF5757">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rPr>
            <w:t>1</w:t>
          </w:r>
          <w:r w:rsidRPr="00931466">
            <w:rPr>
              <w:rStyle w:val="PageNumber"/>
            </w:rPr>
            <w:fldChar w:fldCharType="end"/>
          </w:r>
        </w:p>
      </w:tc>
    </w:tr>
  </w:tbl>
  <w:p w14:paraId="63511326" w14:textId="77777777" w:rsidR="00C87CD4" w:rsidRPr="0036025C" w:rsidRDefault="00C87CD4" w:rsidP="00DF5757">
    <w:pPr>
      <w:pStyle w:val="Footer"/>
      <w:rPr>
        <w:sz w:val="2"/>
        <w:szCs w:val="2"/>
      </w:rPr>
    </w:pPr>
  </w:p>
  <w:p w14:paraId="38588CDF" w14:textId="77777777" w:rsidR="00C87CD4" w:rsidRPr="00DF5757" w:rsidRDefault="00C87CD4" w:rsidP="00DF5757">
    <w:pPr>
      <w:pStyle w:val="Footer"/>
      <w:rPr>
        <w:sz w:val="9"/>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AECA2" w14:textId="77777777" w:rsidR="00A542D0" w:rsidRPr="00A26E6B" w:rsidRDefault="00A542D0" w:rsidP="00A26E6B">
      <w:r>
        <w:separator/>
      </w:r>
    </w:p>
  </w:footnote>
  <w:footnote w:type="continuationSeparator" w:id="0">
    <w:p w14:paraId="279F90B4" w14:textId="77777777" w:rsidR="00A542D0" w:rsidRDefault="00A542D0">
      <w:r>
        <w:continuationSeparator/>
      </w:r>
    </w:p>
    <w:p w14:paraId="2F7F228E" w14:textId="77777777" w:rsidR="00A542D0" w:rsidRDefault="00A542D0"/>
  </w:footnote>
  <w:footnote w:id="1">
    <w:p w14:paraId="1FB15656" w14:textId="5045B653" w:rsidR="0018060A" w:rsidRPr="001C79A7" w:rsidRDefault="0018060A" w:rsidP="0018060A">
      <w:pPr>
        <w:pStyle w:val="FootnoteText"/>
      </w:pPr>
      <w:r w:rsidRPr="001C79A7">
        <w:rPr>
          <w:rStyle w:val="FootnoteReference"/>
        </w:rPr>
        <w:footnoteRef/>
      </w:r>
      <w:r w:rsidRPr="001C79A7">
        <w:t xml:space="preserve"> </w:t>
      </w:r>
      <w:r w:rsidRPr="001C79A7">
        <w:tab/>
      </w:r>
      <w:r>
        <w:t xml:space="preserve">Global Polio Eradication Initiative. 2016. </w:t>
      </w:r>
      <w:r w:rsidRPr="00184D75">
        <w:rPr>
          <w:i/>
          <w:iCs/>
        </w:rPr>
        <w:t>Classification and reporting of vaccine-derived polioviruses (VDPV)</w:t>
      </w:r>
      <w:r>
        <w:rPr>
          <w:i/>
          <w:iCs/>
        </w:rPr>
        <w:t>.</w:t>
      </w:r>
      <w:r w:rsidRPr="003509DB">
        <w:t xml:space="preserve"> </w:t>
      </w:r>
      <w:r>
        <w:t xml:space="preserve">URL: </w:t>
      </w:r>
      <w:hyperlink r:id="rId1" w:history="1">
        <w:r w:rsidRPr="00F5640F">
          <w:rPr>
            <w:rStyle w:val="Hyperlink"/>
          </w:rPr>
          <w:t>https://polioeradication.org/wp-content/uploads/2016/09/Reporting-and-Classification-of-VDPVs_Aug2016_EN.pdf</w:t>
        </w:r>
      </w:hyperlink>
      <w:r>
        <w:rPr>
          <w:b/>
        </w:rPr>
        <w:t xml:space="preserve"> </w:t>
      </w:r>
      <w:r w:rsidRPr="00184D75">
        <w:t>(accessed 26 September 2023).</w:t>
      </w:r>
    </w:p>
  </w:footnote>
  <w:footnote w:id="2">
    <w:p w14:paraId="7149D35E" w14:textId="77777777" w:rsidR="0018060A" w:rsidRDefault="0018060A" w:rsidP="0018060A">
      <w:pPr>
        <w:pStyle w:val="FootnoteText"/>
      </w:pPr>
      <w:r>
        <w:rPr>
          <w:rStyle w:val="FootnoteReference"/>
        </w:rPr>
        <w:footnoteRef/>
      </w:r>
      <w:r>
        <w:t xml:space="preserve"> </w:t>
      </w:r>
      <w:r>
        <w:tab/>
      </w:r>
      <w:r w:rsidRPr="00AF4608">
        <w:t>May be called Sabin, but official Global Polio Laboratory Network guidance would classify this as Sabin-like</w:t>
      </w:r>
      <w:r>
        <w:t>.</w:t>
      </w:r>
    </w:p>
  </w:footnote>
  <w:footnote w:id="3">
    <w:p w14:paraId="383EAAD8" w14:textId="7AD59A43" w:rsidR="0018060A" w:rsidRPr="001C79A7" w:rsidRDefault="0018060A" w:rsidP="0018060A">
      <w:pPr>
        <w:pStyle w:val="FootnoteText"/>
      </w:pPr>
      <w:r w:rsidRPr="001C79A7">
        <w:rPr>
          <w:rStyle w:val="FootnoteReference"/>
        </w:rPr>
        <w:footnoteRef/>
      </w:r>
      <w:r w:rsidRPr="001C79A7">
        <w:t xml:space="preserve"> </w:t>
      </w:r>
      <w:r w:rsidRPr="001C79A7">
        <w:tab/>
        <w:t>Noting that there are different types of OPV</w:t>
      </w:r>
      <w:r>
        <w:t xml:space="preserve"> (eg,</w:t>
      </w:r>
      <w:r w:rsidRPr="001C79A7">
        <w:t xml:space="preserve"> trivalent with types 1, 2, </w:t>
      </w:r>
      <w:r>
        <w:t xml:space="preserve">and </w:t>
      </w:r>
      <w:r w:rsidRPr="001C79A7">
        <w:t xml:space="preserve">3, </w:t>
      </w:r>
      <w:r>
        <w:t xml:space="preserve">and </w:t>
      </w:r>
      <w:r w:rsidRPr="001C79A7">
        <w:t>nOPV2</w:t>
      </w:r>
      <w:r>
        <w:t>)</w:t>
      </w:r>
      <w:r w:rsidRPr="001C79A7">
        <w:t xml:space="preserve">. See section </w:t>
      </w:r>
      <w:r>
        <w:fldChar w:fldCharType="begin"/>
      </w:r>
      <w:r>
        <w:instrText xml:space="preserve"> REF _Ref146547704 \r \h </w:instrText>
      </w:r>
      <w:r>
        <w:fldChar w:fldCharType="separate"/>
      </w:r>
      <w:r w:rsidR="009B1F81">
        <w:t>2.4.1</w:t>
      </w:r>
      <w:r>
        <w:fldChar w:fldCharType="end"/>
      </w:r>
      <w:r>
        <w:t>.</w:t>
      </w:r>
    </w:p>
  </w:footnote>
  <w:footnote w:id="4">
    <w:p w14:paraId="572CF74F" w14:textId="7EA00565" w:rsidR="0018060A" w:rsidRPr="001C79A7" w:rsidRDefault="0018060A" w:rsidP="0018060A">
      <w:pPr>
        <w:pStyle w:val="FootnoteText"/>
      </w:pPr>
      <w:r w:rsidRPr="001C79A7">
        <w:rPr>
          <w:rStyle w:val="FootnoteReference"/>
        </w:rPr>
        <w:footnoteRef/>
      </w:r>
      <w:r w:rsidRPr="001C79A7">
        <w:t xml:space="preserve"> </w:t>
      </w:r>
      <w:r w:rsidRPr="001C79A7">
        <w:tab/>
        <w:t>Alleman MM</w:t>
      </w:r>
      <w:r>
        <w:t>,</w:t>
      </w:r>
      <w:r w:rsidRPr="009A3558">
        <w:t xml:space="preserve"> Chitale R, Burns CC</w:t>
      </w:r>
      <w:r>
        <w:t>,</w:t>
      </w:r>
      <w:r w:rsidRPr="001C79A7">
        <w:t xml:space="preserve"> et al. </w:t>
      </w:r>
      <w:r>
        <w:t xml:space="preserve">2018. </w:t>
      </w:r>
      <w:r w:rsidRPr="009A3558">
        <w:t>Vaccine-derived poliovirus outbreaks and events</w:t>
      </w:r>
      <w:r>
        <w:t xml:space="preserve"> </w:t>
      </w:r>
      <w:r w:rsidRPr="009A3558">
        <w:t>—</w:t>
      </w:r>
      <w:r>
        <w:t xml:space="preserve"> </w:t>
      </w:r>
      <w:r w:rsidRPr="009A3558">
        <w:t xml:space="preserve">three provinces, Democratic Republic of the Congo, 2017. </w:t>
      </w:r>
      <w:r w:rsidRPr="0035202B">
        <w:rPr>
          <w:i/>
          <w:iCs/>
        </w:rPr>
        <w:t>Morbidity and Mortality Weekly Report</w:t>
      </w:r>
      <w:r w:rsidRPr="009A3558">
        <w:t xml:space="preserve"> 67(10)</w:t>
      </w:r>
      <w:r w:rsidR="002A1528">
        <w:t>:</w:t>
      </w:r>
      <w:r w:rsidRPr="009A3558">
        <w:t xml:space="preserve"> 300.</w:t>
      </w:r>
      <w:r w:rsidRPr="001C79A7">
        <w:t xml:space="preserve"> </w:t>
      </w:r>
      <w:r>
        <w:t>URL:</w:t>
      </w:r>
      <w:r w:rsidRPr="004D3148">
        <w:t xml:space="preserve"> </w:t>
      </w:r>
      <w:hyperlink r:id="rId2" w:history="1">
        <w:r>
          <w:rPr>
            <w:rStyle w:val="Hyperlink"/>
          </w:rPr>
          <w:t>dx.doi.org/10.15585/mmwr.mm6710a4</w:t>
        </w:r>
      </w:hyperlink>
      <w:r>
        <w:t xml:space="preserve"> </w:t>
      </w:r>
      <w:r w:rsidRPr="008361F2">
        <w:t>(accessed</w:t>
      </w:r>
      <w:r>
        <w:t xml:space="preserve"> 26 September 2023</w:t>
      </w:r>
      <w:r w:rsidRPr="008361F2">
        <w:t>).</w:t>
      </w:r>
    </w:p>
  </w:footnote>
  <w:footnote w:id="5">
    <w:p w14:paraId="04ADE9EE" w14:textId="269C1E80" w:rsidR="00386D81" w:rsidRDefault="00386D81" w:rsidP="00386D81">
      <w:pPr>
        <w:pStyle w:val="FootnoteText"/>
      </w:pPr>
      <w:r>
        <w:rPr>
          <w:rStyle w:val="FootnoteReference"/>
        </w:rPr>
        <w:footnoteRef/>
      </w:r>
      <w:r>
        <w:t xml:space="preserve"> </w:t>
      </w:r>
      <w:r>
        <w:tab/>
        <w:t>See ‘</w:t>
      </w:r>
      <w:r w:rsidRPr="00466B0F">
        <w:t>Public Health Emergency status</w:t>
      </w:r>
      <w:r>
        <w:t>’ at</w:t>
      </w:r>
      <w:r w:rsidRPr="00466B0F">
        <w:t xml:space="preserve"> </w:t>
      </w:r>
      <w:hyperlink r:id="rId3" w:history="1">
        <w:r>
          <w:rPr>
            <w:rStyle w:val="Hyperlink"/>
          </w:rPr>
          <w:t>polioeradication.org/polio-today/polio-now/public-health-emergency-status</w:t>
        </w:r>
      </w:hyperlink>
      <w:r>
        <w:t xml:space="preserve"> and ‘Outbreak countries’ at </w:t>
      </w:r>
      <w:hyperlink r:id="rId4" w:history="1">
        <w:r>
          <w:rPr>
            <w:rStyle w:val="Hyperlink"/>
          </w:rPr>
          <w:t>polioeradication.org/where-we-work/polio-outbreak-countries</w:t>
        </w:r>
      </w:hyperlink>
      <w:r>
        <w:t xml:space="preserve"> </w:t>
      </w:r>
    </w:p>
  </w:footnote>
  <w:footnote w:id="6">
    <w:p w14:paraId="6EB8C245" w14:textId="7408D48D" w:rsidR="004F087B" w:rsidRDefault="004F087B" w:rsidP="004F087B">
      <w:pPr>
        <w:pStyle w:val="FootnoteText"/>
      </w:pPr>
      <w:r>
        <w:rPr>
          <w:rStyle w:val="FootnoteReference"/>
        </w:rPr>
        <w:footnoteRef/>
      </w:r>
      <w:r>
        <w:t xml:space="preserve"> </w:t>
      </w:r>
      <w:r>
        <w:tab/>
        <w:t xml:space="preserve">Te Whatu Ora. 2023. </w:t>
      </w:r>
      <w:r w:rsidRPr="00E9253A">
        <w:rPr>
          <w:i/>
          <w:iCs/>
        </w:rPr>
        <w:t>Communicable Disease Control Manual</w:t>
      </w:r>
      <w:r>
        <w:t xml:space="preserve">. URL: </w:t>
      </w:r>
      <w:hyperlink r:id="rId5" w:history="1">
        <w:r>
          <w:rPr>
            <w:rStyle w:val="Hyperlink"/>
          </w:rPr>
          <w:t>tewhatuora.govt.nz/for-the-health-sector/health-sector-guidance/communicable-disease-control-manual</w:t>
        </w:r>
      </w:hyperlink>
      <w:r w:rsidRPr="00B3313C">
        <w:t xml:space="preserve"> </w:t>
      </w:r>
      <w:r>
        <w:t>(accessed 26 September 2023).</w:t>
      </w:r>
    </w:p>
  </w:footnote>
  <w:footnote w:id="7">
    <w:p w14:paraId="1EF3FED1" w14:textId="29D1C65C" w:rsidR="00386D81" w:rsidRDefault="00386D81" w:rsidP="00386D81">
      <w:pPr>
        <w:pStyle w:val="FootnoteText"/>
      </w:pPr>
      <w:r>
        <w:rPr>
          <w:rStyle w:val="FootnoteReference"/>
        </w:rPr>
        <w:footnoteRef/>
      </w:r>
      <w:r>
        <w:t xml:space="preserve"> </w:t>
      </w:r>
      <w:r>
        <w:tab/>
        <w:t xml:space="preserve">Te Whatu Ora. 2023. </w:t>
      </w:r>
      <w:r w:rsidRPr="0035202B">
        <w:rPr>
          <w:i/>
          <w:iCs/>
        </w:rPr>
        <w:t>Poliomyelitis — Part of the Communicable Disease Control Manual</w:t>
      </w:r>
      <w:r>
        <w:t xml:space="preserve">. URL: </w:t>
      </w:r>
      <w:hyperlink r:id="rId6" w:history="1">
        <w:r>
          <w:rPr>
            <w:rStyle w:val="Hyperlink"/>
          </w:rPr>
          <w:t>tewhatuora.govt.nz/for-the-health-sector/health-sector-guidance/communicable-disease-control-manual/poliomyelitis</w:t>
        </w:r>
      </w:hyperlink>
      <w:r>
        <w:t xml:space="preserve"> (accessed 26 September 2023).</w:t>
      </w:r>
    </w:p>
  </w:footnote>
  <w:footnote w:id="8">
    <w:p w14:paraId="118369FA" w14:textId="133E9F73" w:rsidR="00386D81" w:rsidRPr="00100DF8" w:rsidRDefault="00386D81" w:rsidP="00386D81">
      <w:pPr>
        <w:spacing w:line="228" w:lineRule="auto"/>
        <w:ind w:left="284" w:hanging="284"/>
        <w:rPr>
          <w:rFonts w:eastAsia="Segoe UI" w:cs="Segoe UI"/>
          <w:sz w:val="17"/>
          <w:szCs w:val="17"/>
        </w:rPr>
      </w:pPr>
      <w:r w:rsidRPr="001C79A7">
        <w:rPr>
          <w:rStyle w:val="FootnoteReference"/>
        </w:rPr>
        <w:footnoteRef/>
      </w:r>
      <w:r w:rsidRPr="001C79A7">
        <w:t xml:space="preserve"> </w:t>
      </w:r>
      <w:r w:rsidRPr="001C79A7">
        <w:tab/>
      </w:r>
      <w:r w:rsidRPr="001C79A7">
        <w:rPr>
          <w:rFonts w:eastAsia="Segoe UI" w:cs="Segoe UI"/>
          <w:sz w:val="17"/>
          <w:szCs w:val="17"/>
        </w:rPr>
        <w:t xml:space="preserve">For further information, see </w:t>
      </w:r>
      <w:r>
        <w:rPr>
          <w:rFonts w:eastAsia="Segoe UI" w:cs="Segoe UI"/>
          <w:sz w:val="17"/>
          <w:szCs w:val="17"/>
        </w:rPr>
        <w:t xml:space="preserve">the </w:t>
      </w:r>
      <w:r w:rsidRPr="001F13E5">
        <w:rPr>
          <w:rFonts w:eastAsia="Segoe UI" w:cs="Segoe UI"/>
          <w:sz w:val="17"/>
          <w:szCs w:val="17"/>
        </w:rPr>
        <w:t>Code of Health and Disability Services Consumers' Rights</w:t>
      </w:r>
      <w:r>
        <w:rPr>
          <w:rFonts w:eastAsia="Segoe UI" w:cs="Segoe UI"/>
          <w:sz w:val="17"/>
          <w:szCs w:val="17"/>
        </w:rPr>
        <w:t>,</w:t>
      </w:r>
      <w:r w:rsidRPr="001C79A7">
        <w:rPr>
          <w:rFonts w:eastAsia="Segoe UI" w:cs="Segoe UI"/>
          <w:sz w:val="17"/>
          <w:szCs w:val="17"/>
        </w:rPr>
        <w:t xml:space="preserve"> </w:t>
      </w:r>
      <w:r>
        <w:rPr>
          <w:rFonts w:eastAsia="Segoe UI" w:cs="Segoe UI"/>
          <w:sz w:val="17"/>
          <w:szCs w:val="17"/>
        </w:rPr>
        <w:t xml:space="preserve">the </w:t>
      </w:r>
      <w:r w:rsidRPr="001C79A7">
        <w:rPr>
          <w:rFonts w:eastAsia="Segoe UI" w:cs="Segoe UI"/>
          <w:sz w:val="17"/>
          <w:szCs w:val="17"/>
        </w:rPr>
        <w:t>New Zealand Bill of Rights Act 1990</w:t>
      </w:r>
      <w:r>
        <w:rPr>
          <w:rFonts w:eastAsia="Segoe UI" w:cs="Segoe UI"/>
          <w:sz w:val="17"/>
          <w:szCs w:val="17"/>
        </w:rPr>
        <w:t>,</w:t>
      </w:r>
      <w:r w:rsidRPr="001C79A7">
        <w:rPr>
          <w:rFonts w:eastAsia="Segoe UI" w:cs="Segoe UI"/>
          <w:sz w:val="17"/>
          <w:szCs w:val="17"/>
        </w:rPr>
        <w:t xml:space="preserve"> </w:t>
      </w:r>
      <w:r>
        <w:rPr>
          <w:rFonts w:eastAsia="Segoe UI" w:cs="Segoe UI"/>
          <w:sz w:val="17"/>
          <w:szCs w:val="17"/>
        </w:rPr>
        <w:t xml:space="preserve">and the </w:t>
      </w:r>
      <w:r w:rsidRPr="001C79A7">
        <w:rPr>
          <w:rFonts w:eastAsia="Segoe UI" w:cs="Segoe UI"/>
          <w:sz w:val="17"/>
          <w:szCs w:val="17"/>
        </w:rPr>
        <w:t xml:space="preserve">Human Rights Act </w:t>
      </w:r>
      <w:r>
        <w:rPr>
          <w:rFonts w:eastAsia="Segoe UI" w:cs="Segoe UI"/>
          <w:sz w:val="17"/>
          <w:szCs w:val="17"/>
        </w:rPr>
        <w:t>1993</w:t>
      </w:r>
      <w:r w:rsidRPr="001C79A7">
        <w:rPr>
          <w:rFonts w:eastAsia="Segoe UI" w:cs="Segoe UI"/>
          <w:sz w:val="17"/>
          <w:szCs w:val="17"/>
        </w:rPr>
        <w:t>.</w:t>
      </w:r>
    </w:p>
  </w:footnote>
  <w:footnote w:id="9">
    <w:p w14:paraId="79854B52" w14:textId="77777777" w:rsidR="00386D81" w:rsidRPr="001C79A7" w:rsidRDefault="00386D81" w:rsidP="00386D81">
      <w:pPr>
        <w:pStyle w:val="FootnoteText"/>
      </w:pPr>
      <w:r w:rsidRPr="001C79A7">
        <w:rPr>
          <w:rStyle w:val="FootnoteReference"/>
        </w:rPr>
        <w:footnoteRef/>
      </w:r>
      <w:r w:rsidRPr="001C79A7">
        <w:t xml:space="preserve"> </w:t>
      </w:r>
      <w:r>
        <w:tab/>
      </w:r>
      <w:r w:rsidRPr="001C79A7">
        <w:t>Article 25 of the Disability Convention recognises that disabled people have the right to enjoy the highest attainable standard of health without discrimination on the basis of disability</w:t>
      </w:r>
      <w:r>
        <w:t>.</w:t>
      </w:r>
    </w:p>
  </w:footnote>
  <w:footnote w:id="10">
    <w:p w14:paraId="09A78F24" w14:textId="459E2B54" w:rsidR="00386D81" w:rsidRPr="001C79A7" w:rsidRDefault="00386D81" w:rsidP="00386D81">
      <w:pPr>
        <w:pStyle w:val="FootnoteText"/>
      </w:pPr>
      <w:r w:rsidRPr="001C79A7">
        <w:rPr>
          <w:rStyle w:val="FootnoteReference"/>
        </w:rPr>
        <w:footnoteRef/>
      </w:r>
      <w:r w:rsidRPr="001C79A7">
        <w:t xml:space="preserve"> </w:t>
      </w:r>
      <w:r w:rsidRPr="001C79A7">
        <w:tab/>
      </w:r>
      <w:r w:rsidRPr="00051113">
        <w:t>World Health Organization. 2018.</w:t>
      </w:r>
      <w:r>
        <w:t xml:space="preserve"> </w:t>
      </w:r>
      <w:r w:rsidRPr="00235F7F">
        <w:rPr>
          <w:i/>
          <w:iCs/>
        </w:rPr>
        <w:t>Poliomyelitis</w:t>
      </w:r>
      <w:r>
        <w:rPr>
          <w:i/>
          <w:iCs/>
        </w:rPr>
        <w:t xml:space="preserve"> —</w:t>
      </w:r>
      <w:r w:rsidRPr="00235F7F">
        <w:rPr>
          <w:i/>
          <w:iCs/>
        </w:rPr>
        <w:t xml:space="preserve"> Vaccine-Preventable Diseases, Surveillance Standards.</w:t>
      </w:r>
      <w:r w:rsidRPr="001C79A7">
        <w:t xml:space="preserve"> </w:t>
      </w:r>
      <w:r>
        <w:t xml:space="preserve">URL: </w:t>
      </w:r>
      <w:hyperlink r:id="rId7" w:history="1">
        <w:r>
          <w:rPr>
            <w:rStyle w:val="Hyperlink"/>
          </w:rPr>
          <w:t>who.int/publications/m/item/vaccine-preventable-diseases-surveillance-standards-polio</w:t>
        </w:r>
      </w:hyperlink>
      <w:r>
        <w:t xml:space="preserve"> (accessed 26 September 2023).</w:t>
      </w:r>
    </w:p>
  </w:footnote>
  <w:footnote w:id="11">
    <w:p w14:paraId="7C2AFF6A" w14:textId="5CCAC5AB" w:rsidR="00386D81" w:rsidRDefault="00386D81" w:rsidP="00386D81">
      <w:pPr>
        <w:pStyle w:val="FootnoteText"/>
      </w:pPr>
      <w:r>
        <w:rPr>
          <w:rStyle w:val="FootnoteReference"/>
        </w:rPr>
        <w:footnoteRef/>
      </w:r>
      <w:r>
        <w:t xml:space="preserve"> </w:t>
      </w:r>
      <w:r>
        <w:tab/>
        <w:t>See ‘</w:t>
      </w:r>
      <w:r w:rsidRPr="00E17A91">
        <w:t>Annual reports of the New Zealand Paediatric Surveillance Unit</w:t>
      </w:r>
      <w:r>
        <w:t xml:space="preserve">’ at </w:t>
      </w:r>
      <w:hyperlink r:id="rId8" w:history="1">
        <w:r>
          <w:rPr>
            <w:rStyle w:val="Hyperlink"/>
          </w:rPr>
          <w:t>otago.ac.nz/nzpsu/reports</w:t>
        </w:r>
      </w:hyperlink>
      <w:r>
        <w:t xml:space="preserve"> </w:t>
      </w:r>
    </w:p>
  </w:footnote>
  <w:footnote w:id="12">
    <w:p w14:paraId="18956D36" w14:textId="588CC0E3" w:rsidR="00386D81" w:rsidRPr="001C79A7" w:rsidRDefault="00386D81" w:rsidP="00386D81">
      <w:pPr>
        <w:pStyle w:val="FootnoteText"/>
      </w:pPr>
      <w:r w:rsidRPr="001C79A7">
        <w:rPr>
          <w:rStyle w:val="FootnoteReference"/>
          <w:rFonts w:cs="Segoe UI"/>
          <w:szCs w:val="17"/>
        </w:rPr>
        <w:footnoteRef/>
      </w:r>
      <w:r w:rsidRPr="001C79A7">
        <w:rPr>
          <w:rFonts w:cs="Segoe UI"/>
          <w:szCs w:val="17"/>
        </w:rPr>
        <w:t xml:space="preserve"> </w:t>
      </w:r>
      <w:r>
        <w:rPr>
          <w:rFonts w:cs="Segoe UI"/>
          <w:szCs w:val="17"/>
        </w:rPr>
        <w:tab/>
        <w:t>Source</w:t>
      </w:r>
      <w:r w:rsidRPr="001C79A7">
        <w:rPr>
          <w:rFonts w:cs="Segoe UI"/>
          <w:szCs w:val="17"/>
        </w:rPr>
        <w:t>: Polio Global Eradication Initiative.</w:t>
      </w:r>
      <w:r>
        <w:rPr>
          <w:rFonts w:cs="Segoe UI"/>
          <w:szCs w:val="17"/>
        </w:rPr>
        <w:t xml:space="preserve"> 2020.</w:t>
      </w:r>
      <w:r w:rsidRPr="001C79A7">
        <w:rPr>
          <w:rFonts w:cs="Segoe UI"/>
          <w:szCs w:val="17"/>
        </w:rPr>
        <w:t xml:space="preserve"> </w:t>
      </w:r>
      <w:r w:rsidRPr="0035202B">
        <w:rPr>
          <w:rFonts w:cs="Segoe UI"/>
          <w:i/>
          <w:iCs/>
          <w:szCs w:val="17"/>
        </w:rPr>
        <w:t>Job aid: Use of AFP contact sampling and targeted healthy children stool sampling</w:t>
      </w:r>
      <w:r w:rsidRPr="001C79A7">
        <w:rPr>
          <w:rFonts w:cs="Segoe UI"/>
          <w:szCs w:val="17"/>
        </w:rPr>
        <w:t xml:space="preserve">. </w:t>
      </w:r>
      <w:r>
        <w:rPr>
          <w:rFonts w:cs="Segoe UI"/>
          <w:szCs w:val="17"/>
        </w:rPr>
        <w:t>URL:</w:t>
      </w:r>
      <w:r w:rsidRPr="00EA13FB">
        <w:t xml:space="preserve"> </w:t>
      </w:r>
      <w:hyperlink r:id="rId9" w:history="1">
        <w:r>
          <w:rPr>
            <w:rStyle w:val="Hyperlink"/>
            <w:szCs w:val="17"/>
          </w:rPr>
          <w:t>polioeradication.org/wp-content/uploads/2020/03/AFP-contact-sampling-and-targeted-healthy-children-stool-sampling-20200327.pdf</w:t>
        </w:r>
      </w:hyperlink>
      <w:r w:rsidRPr="00272B76">
        <w:rPr>
          <w:color w:val="0000FF"/>
          <w:szCs w:val="17"/>
        </w:rPr>
        <w:t xml:space="preserve"> </w:t>
      </w:r>
      <w:r w:rsidRPr="00272B76">
        <w:rPr>
          <w:szCs w:val="17"/>
        </w:rPr>
        <w:t>(accessed 26 September 2023).</w:t>
      </w:r>
    </w:p>
  </w:footnote>
  <w:footnote w:id="13">
    <w:p w14:paraId="378B7314" w14:textId="3873C948" w:rsidR="00386D81" w:rsidRDefault="00386D81" w:rsidP="00386D81">
      <w:pPr>
        <w:pStyle w:val="FootnoteText"/>
      </w:pPr>
      <w:r>
        <w:rPr>
          <w:rStyle w:val="FootnoteReference"/>
        </w:rPr>
        <w:footnoteRef/>
      </w:r>
      <w:r>
        <w:t xml:space="preserve"> </w:t>
      </w:r>
      <w:r>
        <w:tab/>
        <w:t xml:space="preserve">Ministry of Health. 2023. </w:t>
      </w:r>
      <w:r w:rsidRPr="00D55BD8">
        <w:rPr>
          <w:i/>
          <w:iCs/>
        </w:rPr>
        <w:t>Immunisation Handbook 2020</w:t>
      </w:r>
      <w:r>
        <w:t xml:space="preserve">. URL: </w:t>
      </w:r>
      <w:hyperlink r:id="rId10" w:history="1">
        <w:r w:rsidRPr="00814DA3">
          <w:rPr>
            <w:rStyle w:val="Hyperlink"/>
          </w:rPr>
          <w:t>https://www.health.govt.nz/our-work/immunisation-handbook-2020</w:t>
        </w:r>
      </w:hyperlink>
      <w:r>
        <w:t xml:space="preserve"> (accessed 26 September 2023).</w:t>
      </w:r>
    </w:p>
  </w:footnote>
  <w:footnote w:id="14">
    <w:p w14:paraId="7BCAA486" w14:textId="61CF0308" w:rsidR="00386D81" w:rsidRPr="001C79A7" w:rsidRDefault="00386D81" w:rsidP="00386D81">
      <w:pPr>
        <w:pStyle w:val="FootnoteText"/>
      </w:pPr>
      <w:r w:rsidRPr="001C79A7">
        <w:rPr>
          <w:rStyle w:val="FootnoteReference"/>
        </w:rPr>
        <w:footnoteRef/>
      </w:r>
      <w:r w:rsidRPr="001C79A7">
        <w:t xml:space="preserve"> </w:t>
      </w:r>
      <w:bookmarkStart w:id="63" w:name="_Hlk143082825"/>
      <w:r>
        <w:tab/>
      </w:r>
      <w:r w:rsidRPr="001C79A7">
        <w:t>Simionescu L, Modlin JF</w:t>
      </w:r>
      <w:r>
        <w:t>.</w:t>
      </w:r>
      <w:r w:rsidRPr="001C79A7">
        <w:t xml:space="preserve"> 2023. </w:t>
      </w:r>
      <w:r w:rsidRPr="00184D75">
        <w:rPr>
          <w:i/>
          <w:iCs/>
        </w:rPr>
        <w:t xml:space="preserve">Poliomyelitis and </w:t>
      </w:r>
      <w:r w:rsidRPr="004452EA">
        <w:rPr>
          <w:i/>
          <w:iCs/>
        </w:rPr>
        <w:t>Post-Polio Syndrome</w:t>
      </w:r>
      <w:r>
        <w:t>.</w:t>
      </w:r>
      <w:r w:rsidRPr="001C79A7">
        <w:t xml:space="preserve"> URL: </w:t>
      </w:r>
      <w:hyperlink r:id="rId11" w:history="1">
        <w:r>
          <w:rPr>
            <w:rStyle w:val="Hyperlink"/>
          </w:rPr>
          <w:t>uptodate.com/contents/poliomyelitis-and-post-polio-syndrome</w:t>
        </w:r>
      </w:hyperlink>
      <w:bookmarkEnd w:id="63"/>
      <w:r>
        <w:t xml:space="preserve"> (accessed 26 September 2023). </w:t>
      </w:r>
    </w:p>
  </w:footnote>
  <w:footnote w:id="15">
    <w:p w14:paraId="281695DA" w14:textId="519CB1DE" w:rsidR="00386D81" w:rsidRPr="001C79A7" w:rsidRDefault="00386D81" w:rsidP="00386D81">
      <w:pPr>
        <w:pStyle w:val="FootnoteText"/>
      </w:pPr>
      <w:r w:rsidRPr="001C79A7">
        <w:rPr>
          <w:rStyle w:val="FootnoteReference"/>
        </w:rPr>
        <w:footnoteRef/>
      </w:r>
      <w:r w:rsidRPr="001C79A7">
        <w:t xml:space="preserve"> </w:t>
      </w:r>
      <w:r>
        <w:tab/>
      </w:r>
      <w:r w:rsidRPr="00F1476E">
        <w:t>Leonardi</w:t>
      </w:r>
      <w:r>
        <w:t xml:space="preserve"> M, </w:t>
      </w:r>
      <w:r w:rsidRPr="00F1476E">
        <w:t>Sartorius</w:t>
      </w:r>
      <w:r>
        <w:t xml:space="preserve"> N, </w:t>
      </w:r>
      <w:r w:rsidRPr="00F1476E">
        <w:t>Hull</w:t>
      </w:r>
      <w:r>
        <w:t xml:space="preserve"> HF et al.</w:t>
      </w:r>
      <w:r w:rsidRPr="001C79A7">
        <w:t xml:space="preserve"> 1993</w:t>
      </w:r>
      <w:r>
        <w:t xml:space="preserve">. </w:t>
      </w:r>
      <w:r w:rsidRPr="00184D75">
        <w:rPr>
          <w:i/>
          <w:iCs/>
        </w:rPr>
        <w:t xml:space="preserve">Acute </w:t>
      </w:r>
      <w:r w:rsidRPr="00B00AE5">
        <w:rPr>
          <w:i/>
          <w:iCs/>
        </w:rPr>
        <w:t>Onset Flaccid Paralysis</w:t>
      </w:r>
      <w:r>
        <w:t>.</w:t>
      </w:r>
      <w:r w:rsidRPr="001C79A7">
        <w:t xml:space="preserve"> WHO/MNH/EPI/93.3. </w:t>
      </w:r>
      <w:r>
        <w:t xml:space="preserve">URL: </w:t>
      </w:r>
      <w:hyperlink r:id="rId12" w:history="1">
        <w:r w:rsidRPr="00B00AE5">
          <w:rPr>
            <w:rStyle w:val="Hyperlink"/>
          </w:rPr>
          <w:t>iris.who.int/handle/10665/61626</w:t>
        </w:r>
      </w:hyperlink>
      <w:r>
        <w:t xml:space="preserve"> (accessed 26 September 2023).</w:t>
      </w:r>
    </w:p>
  </w:footnote>
  <w:footnote w:id="16">
    <w:p w14:paraId="057F98B3" w14:textId="5B2584F8" w:rsidR="00386D81" w:rsidRDefault="00386D81" w:rsidP="00386D81">
      <w:pPr>
        <w:pStyle w:val="FootnoteText"/>
      </w:pPr>
      <w:r>
        <w:rPr>
          <w:rStyle w:val="FootnoteReference"/>
        </w:rPr>
        <w:footnoteRef/>
      </w:r>
      <w:r>
        <w:t xml:space="preserve"> </w:t>
      </w:r>
      <w:r>
        <w:tab/>
        <w:t xml:space="preserve">Te Whatu Ora. 2023. </w:t>
      </w:r>
      <w:r w:rsidRPr="00E9253A">
        <w:rPr>
          <w:i/>
          <w:iCs/>
        </w:rPr>
        <w:t>Communicable Disease Control Manual</w:t>
      </w:r>
      <w:r>
        <w:t xml:space="preserve">. URL: </w:t>
      </w:r>
      <w:hyperlink r:id="rId13" w:history="1">
        <w:r>
          <w:rPr>
            <w:rStyle w:val="Hyperlink"/>
          </w:rPr>
          <w:t>tewhatuora.govt.nz/for-the-health-sector/health-sector-guidance/communicable-disease-control-manual</w:t>
        </w:r>
      </w:hyperlink>
      <w:r w:rsidRPr="00B3313C">
        <w:t xml:space="preserve"> </w:t>
      </w:r>
      <w:r>
        <w:t>(accessed 26 September 2023).</w:t>
      </w:r>
    </w:p>
  </w:footnote>
  <w:footnote w:id="17">
    <w:p w14:paraId="0B11CFF7" w14:textId="2419D6D1" w:rsidR="00386D81" w:rsidRPr="001C79A7" w:rsidRDefault="00386D81" w:rsidP="00386D81">
      <w:pPr>
        <w:rPr>
          <w:sz w:val="17"/>
          <w:szCs w:val="17"/>
        </w:rPr>
      </w:pPr>
      <w:r w:rsidRPr="001C79A7">
        <w:rPr>
          <w:rStyle w:val="FootnoteReference"/>
          <w:sz w:val="17"/>
          <w:szCs w:val="17"/>
        </w:rPr>
        <w:footnoteRef/>
      </w:r>
      <w:r w:rsidRPr="001C79A7">
        <w:rPr>
          <w:sz w:val="17"/>
          <w:szCs w:val="17"/>
        </w:rPr>
        <w:t xml:space="preserve"> </w:t>
      </w:r>
      <w:r w:rsidRPr="00D97A80">
        <w:rPr>
          <w:sz w:val="17"/>
          <w:szCs w:val="17"/>
        </w:rPr>
        <w:t>World Health Organization</w:t>
      </w:r>
      <w:r>
        <w:rPr>
          <w:sz w:val="17"/>
          <w:szCs w:val="17"/>
        </w:rPr>
        <w:t>.</w:t>
      </w:r>
      <w:r w:rsidRPr="00D97A80">
        <w:rPr>
          <w:sz w:val="17"/>
          <w:szCs w:val="17"/>
        </w:rPr>
        <w:t xml:space="preserve"> 2022</w:t>
      </w:r>
      <w:r>
        <w:rPr>
          <w:sz w:val="17"/>
          <w:szCs w:val="17"/>
        </w:rPr>
        <w:t xml:space="preserve">. </w:t>
      </w:r>
      <w:r w:rsidRPr="00184D75">
        <w:rPr>
          <w:i/>
          <w:iCs/>
          <w:sz w:val="17"/>
          <w:szCs w:val="17"/>
        </w:rPr>
        <w:t>Standard Operating Procedures: Responding to a Poliovirus Event or Outbreak</w:t>
      </w:r>
      <w:r w:rsidRPr="001C79A7">
        <w:rPr>
          <w:sz w:val="17"/>
          <w:szCs w:val="17"/>
        </w:rPr>
        <w:t xml:space="preserve"> </w:t>
      </w:r>
      <w:r>
        <w:rPr>
          <w:sz w:val="17"/>
          <w:szCs w:val="17"/>
        </w:rPr>
        <w:t>(</w:t>
      </w:r>
      <w:r w:rsidRPr="001C79A7">
        <w:rPr>
          <w:sz w:val="17"/>
          <w:szCs w:val="17"/>
        </w:rPr>
        <w:t>version 4.1</w:t>
      </w:r>
      <w:r>
        <w:rPr>
          <w:sz w:val="17"/>
          <w:szCs w:val="17"/>
        </w:rPr>
        <w:t>)</w:t>
      </w:r>
      <w:r w:rsidRPr="001C79A7">
        <w:rPr>
          <w:sz w:val="17"/>
          <w:szCs w:val="17"/>
        </w:rPr>
        <w:t xml:space="preserve">. </w:t>
      </w:r>
      <w:r>
        <w:rPr>
          <w:sz w:val="17"/>
          <w:szCs w:val="17"/>
        </w:rPr>
        <w:t xml:space="preserve">URL: </w:t>
      </w:r>
      <w:hyperlink r:id="rId14" w:history="1">
        <w:r w:rsidRPr="00B3313C">
          <w:rPr>
            <w:rStyle w:val="Hyperlink"/>
            <w:sz w:val="17"/>
            <w:szCs w:val="17"/>
          </w:rPr>
          <w:t>https://apps.who.int/iris/bitstream/handle/10665/363627/9789240049154-eng.pdf</w:t>
        </w:r>
      </w:hyperlink>
      <w:r>
        <w:rPr>
          <w:sz w:val="17"/>
          <w:szCs w:val="17"/>
        </w:rPr>
        <w:t xml:space="preserve"> (accessed 26 September 2023).</w:t>
      </w:r>
    </w:p>
  </w:footnote>
  <w:footnote w:id="18">
    <w:p w14:paraId="4563EE67" w14:textId="230E5661" w:rsidR="00386D81" w:rsidRDefault="00386D81" w:rsidP="00386D81">
      <w:pPr>
        <w:pStyle w:val="FootnoteText"/>
      </w:pPr>
      <w:r>
        <w:rPr>
          <w:rStyle w:val="FootnoteReference"/>
        </w:rPr>
        <w:footnoteRef/>
      </w:r>
      <w:r>
        <w:t xml:space="preserve"> </w:t>
      </w:r>
      <w:r>
        <w:tab/>
        <w:t xml:space="preserve">Ministry of Health. 2023. </w:t>
      </w:r>
      <w:r w:rsidRPr="00184D75">
        <w:rPr>
          <w:i/>
          <w:iCs/>
        </w:rPr>
        <w:t>Immunisation Handbook 2020</w:t>
      </w:r>
      <w:r>
        <w:t xml:space="preserve">. URL: </w:t>
      </w:r>
      <w:hyperlink r:id="rId15" w:history="1">
        <w:r w:rsidRPr="00814DA3">
          <w:rPr>
            <w:rStyle w:val="Hyperlink"/>
          </w:rPr>
          <w:t>https://www.health.govt.nz/our-work/immunisation-handbook-2020</w:t>
        </w:r>
      </w:hyperlink>
      <w:r>
        <w:t xml:space="preserve"> (accessed 26 September 2023).</w:t>
      </w:r>
    </w:p>
  </w:footnote>
  <w:footnote w:id="19">
    <w:p w14:paraId="7B22BB5C" w14:textId="77777777" w:rsidR="00386D81" w:rsidRPr="001C79A7" w:rsidRDefault="00386D81" w:rsidP="00386D81">
      <w:pPr>
        <w:pStyle w:val="FootnoteText"/>
      </w:pPr>
      <w:r w:rsidRPr="001C79A7">
        <w:rPr>
          <w:rStyle w:val="FootnoteReference"/>
        </w:rPr>
        <w:footnoteRef/>
      </w:r>
      <w:r w:rsidRPr="001C79A7">
        <w:t xml:space="preserve"> As of time of publication. </w:t>
      </w:r>
    </w:p>
  </w:footnote>
  <w:footnote w:id="20">
    <w:p w14:paraId="7E7AC1FD" w14:textId="44C8AF3F" w:rsidR="00386D81" w:rsidRDefault="00386D81" w:rsidP="00386D81">
      <w:pPr>
        <w:pStyle w:val="FootnoteText"/>
      </w:pPr>
      <w:r>
        <w:rPr>
          <w:rStyle w:val="FootnoteReference"/>
        </w:rPr>
        <w:footnoteRef/>
      </w:r>
      <w:r>
        <w:t xml:space="preserve"> </w:t>
      </w:r>
      <w:r>
        <w:tab/>
        <w:t>See ‘</w:t>
      </w:r>
      <w:r w:rsidRPr="0047218E">
        <w:t>Public Health Emergency status</w:t>
      </w:r>
      <w:r>
        <w:t xml:space="preserve">’ at </w:t>
      </w:r>
      <w:hyperlink r:id="rId16" w:history="1">
        <w:r>
          <w:rPr>
            <w:rStyle w:val="Hyperlink"/>
          </w:rPr>
          <w:t>polioeradication.org/polio-today/polio-now/public-health-emergency-status</w:t>
        </w:r>
      </w:hyperlink>
      <w:r>
        <w:t xml:space="preserve"> </w:t>
      </w:r>
    </w:p>
  </w:footnote>
  <w:footnote w:id="21">
    <w:p w14:paraId="4670F3A2" w14:textId="7E60AA76" w:rsidR="00386D81" w:rsidRDefault="00386D81" w:rsidP="00386D81">
      <w:pPr>
        <w:pStyle w:val="FootnoteText"/>
      </w:pPr>
      <w:r>
        <w:rPr>
          <w:rStyle w:val="FootnoteReference"/>
        </w:rPr>
        <w:footnoteRef/>
      </w:r>
      <w:r>
        <w:t xml:space="preserve"> </w:t>
      </w:r>
      <w:r>
        <w:tab/>
        <w:t>F</w:t>
      </w:r>
      <w:r w:rsidRPr="004621F1">
        <w:t>or full guidance</w:t>
      </w:r>
      <w:r>
        <w:t xml:space="preserve">, please see the WHO’s </w:t>
      </w:r>
      <w:r w:rsidRPr="00453A3A">
        <w:rPr>
          <w:i/>
          <w:iCs/>
        </w:rPr>
        <w:t>A Guide for Investigation of Sabin Like 2 (SL2) Poliovirus in a Human or in the Environment</w:t>
      </w:r>
      <w:r>
        <w:t xml:space="preserve"> (</w:t>
      </w:r>
      <w:hyperlink r:id="rId17" w:history="1">
        <w:r>
          <w:rPr>
            <w:rStyle w:val="Hyperlink"/>
          </w:rPr>
          <w:t>polioeradication.org/wp-content/uploads/2017/03/SL2-investigation-guide_WHO-HQ09032017.pdf</w:t>
        </w:r>
      </w:hyperlink>
      <w:r>
        <w:t xml:space="preserve">). </w:t>
      </w:r>
    </w:p>
  </w:footnote>
  <w:footnote w:id="22">
    <w:p w14:paraId="763F56E7" w14:textId="0E52E619" w:rsidR="00386D81" w:rsidRPr="001C79A7" w:rsidRDefault="00386D81" w:rsidP="00386D81">
      <w:pPr>
        <w:pStyle w:val="FootnoteText"/>
      </w:pPr>
      <w:r w:rsidRPr="001C79A7">
        <w:rPr>
          <w:rStyle w:val="FootnoteReference"/>
        </w:rPr>
        <w:footnoteRef/>
      </w:r>
      <w:r w:rsidRPr="001C79A7">
        <w:t xml:space="preserve"> </w:t>
      </w:r>
      <w:r>
        <w:tab/>
      </w:r>
      <w:r w:rsidRPr="001C79A7">
        <w:t>An immunisation coverage survey looks at the proportion of the target population vaccinated with a given vaccine-dose</w:t>
      </w:r>
      <w:r>
        <w:t xml:space="preserve"> </w:t>
      </w:r>
      <w:r w:rsidRPr="001C79A7">
        <w:t xml:space="preserve">of the third dose of pentavalent vaccine (containing diphtheria-tetanus-pertussis (DTP), </w:t>
      </w:r>
      <w:r w:rsidRPr="00184D75">
        <w:rPr>
          <w:i/>
          <w:iCs/>
        </w:rPr>
        <w:t>H. influenzae</w:t>
      </w:r>
      <w:r w:rsidRPr="001C79A7">
        <w:t xml:space="preserve"> type b and hepatitis B vaccines)</w:t>
      </w:r>
      <w:r>
        <w:t>,</w:t>
      </w:r>
      <w:r w:rsidRPr="001C79A7">
        <w:t xml:space="preserve"> which </w:t>
      </w:r>
      <w:r>
        <w:t xml:space="preserve">is </w:t>
      </w:r>
      <w:r w:rsidRPr="001C79A7">
        <w:t>used as a proxy indicator to obtain more accurate information on vaccination performance than that derived from routine administrative reports, or to complement them.</w:t>
      </w:r>
    </w:p>
  </w:footnote>
  <w:footnote w:id="23">
    <w:p w14:paraId="76F5DFF0" w14:textId="1F5D927F" w:rsidR="00386D81" w:rsidRPr="001C79A7" w:rsidRDefault="00386D81" w:rsidP="00386D81">
      <w:pPr>
        <w:pStyle w:val="FootnoteText"/>
      </w:pPr>
      <w:r w:rsidRPr="001C79A7">
        <w:rPr>
          <w:rStyle w:val="FootnoteReference"/>
        </w:rPr>
        <w:footnoteRef/>
      </w:r>
      <w:r w:rsidRPr="001C79A7">
        <w:t xml:space="preserve"> </w:t>
      </w:r>
      <w:r>
        <w:tab/>
      </w:r>
      <w:r w:rsidRPr="001C79A7">
        <w:t xml:space="preserve">Public Health England. </w:t>
      </w:r>
      <w:r>
        <w:t xml:space="preserve">2019. </w:t>
      </w:r>
      <w:r w:rsidRPr="00184D75">
        <w:rPr>
          <w:i/>
          <w:iCs/>
        </w:rPr>
        <w:t>PHE National Polio Guidelines: Local and Regional Services</w:t>
      </w:r>
      <w:r w:rsidRPr="001C79A7">
        <w:t xml:space="preserve">. </w:t>
      </w:r>
      <w:r>
        <w:rPr>
          <w:rStyle w:val="Hyperlink"/>
        </w:rPr>
        <w:t xml:space="preserve">URL: </w:t>
      </w:r>
      <w:hyperlink r:id="rId18" w:history="1">
        <w:r w:rsidRPr="001C0886">
          <w:rPr>
            <w:rStyle w:val="Hyperlink"/>
          </w:rPr>
          <w:t>assets.publishing.service.gov.uk/government/uploads/system/uploads/attachment_data/file/833211/National_polio_guidelines_2019.pdf</w:t>
        </w:r>
      </w:hyperlink>
      <w:r>
        <w:rPr>
          <w:rStyle w:val="Hyperlink"/>
        </w:rPr>
        <w:t xml:space="preserve"> </w:t>
      </w:r>
      <w:r w:rsidRPr="00184D75">
        <w:t>(accessed 26 September 2023).</w:t>
      </w:r>
    </w:p>
  </w:footnote>
  <w:footnote w:id="24">
    <w:p w14:paraId="519CFC7D" w14:textId="74171ED3" w:rsidR="00386D81" w:rsidRDefault="00386D81" w:rsidP="00386D81">
      <w:pPr>
        <w:pStyle w:val="FootnoteText"/>
      </w:pPr>
      <w:r>
        <w:rPr>
          <w:rStyle w:val="FootnoteReference"/>
        </w:rPr>
        <w:footnoteRef/>
      </w:r>
      <w:r>
        <w:t xml:space="preserve"> </w:t>
      </w:r>
      <w:r>
        <w:tab/>
        <w:t xml:space="preserve">Te Whatu Ora. 2023. </w:t>
      </w:r>
      <w:r w:rsidRPr="00E9253A">
        <w:rPr>
          <w:i/>
          <w:iCs/>
        </w:rPr>
        <w:t>Communicable Disease Control Manual</w:t>
      </w:r>
      <w:r>
        <w:t xml:space="preserve">. URL: </w:t>
      </w:r>
      <w:hyperlink r:id="rId19" w:history="1">
        <w:r>
          <w:rPr>
            <w:rStyle w:val="Hyperlink"/>
          </w:rPr>
          <w:t>tewhatuora.govt.nz/for-the-health-sector/health-sector-guidance/communicable-disease-control-manual</w:t>
        </w:r>
      </w:hyperlink>
      <w:r w:rsidRPr="00B3313C">
        <w:t xml:space="preserve"> </w:t>
      </w:r>
      <w:r>
        <w:t>(accessed 26 September 2023).</w:t>
      </w:r>
    </w:p>
  </w:footnote>
  <w:footnote w:id="25">
    <w:p w14:paraId="0E8F1C75" w14:textId="3057EE83" w:rsidR="00386D81" w:rsidRDefault="00386D81" w:rsidP="00386D81">
      <w:pPr>
        <w:pStyle w:val="FootnoteText"/>
      </w:pPr>
      <w:r>
        <w:rPr>
          <w:rStyle w:val="FootnoteReference"/>
        </w:rPr>
        <w:footnoteRef/>
      </w:r>
      <w:r>
        <w:t xml:space="preserve"> </w:t>
      </w:r>
      <w:r>
        <w:tab/>
        <w:t xml:space="preserve">See the WHO’s </w:t>
      </w:r>
      <w:r w:rsidRPr="00184D75">
        <w:rPr>
          <w:i/>
          <w:iCs/>
        </w:rPr>
        <w:t>Public health management of facility-related exposure to live polioviruses</w:t>
      </w:r>
      <w:r>
        <w:t xml:space="preserve"> (</w:t>
      </w:r>
      <w:hyperlink r:id="rId20" w:history="1">
        <w:r>
          <w:rPr>
            <w:rStyle w:val="Hyperlink"/>
          </w:rPr>
          <w:t>polioeradication.org/wp-content/uploads/2021/05/Public-Health-Management-of-Facility-related-Exposure-to-Live-Polioviruses-EN-20210520.pdf</w:t>
        </w:r>
      </w:hyperlink>
      <w:r>
        <w:t>).</w:t>
      </w:r>
    </w:p>
  </w:footnote>
  <w:footnote w:id="26">
    <w:p w14:paraId="4F606C8E" w14:textId="18116719" w:rsidR="00E051CF" w:rsidRDefault="00E051CF">
      <w:pPr>
        <w:pStyle w:val="FootnoteText"/>
      </w:pPr>
      <w:r>
        <w:rPr>
          <w:rStyle w:val="FootnoteReference"/>
        </w:rPr>
        <w:footnoteRef/>
      </w:r>
      <w:r>
        <w:t xml:space="preserve"> </w:t>
      </w:r>
      <w:r w:rsidRPr="00E051CF">
        <w:t>As at time of publication</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7327B0" w14:paraId="09DDDF99" w14:textId="77777777" w:rsidTr="00E9401A">
      <w:trPr>
        <w:cantSplit/>
      </w:trPr>
      <w:tc>
        <w:tcPr>
          <w:tcW w:w="5210" w:type="dxa"/>
          <w:vAlign w:val="center"/>
        </w:tcPr>
        <w:p w14:paraId="09DDDF97" w14:textId="77777777" w:rsidR="007327B0" w:rsidRDefault="007327B0" w:rsidP="00E9401A">
          <w:pPr>
            <w:pStyle w:val="Header"/>
          </w:pPr>
          <w:r>
            <w:rPr>
              <w:noProof/>
              <w:lang w:eastAsia="en-NZ"/>
            </w:rPr>
            <w:drawing>
              <wp:inline distT="0" distB="0" distL="0" distR="0" wp14:anchorId="09DDDFD1" wp14:editId="2D7C96F6">
                <wp:extent cx="2075290" cy="539919"/>
                <wp:effectExtent l="0" t="0" r="1270" b="0"/>
                <wp:docPr id="204634783" name="Picture 204634783"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4783" name="Picture 204634783" descr="New Zealand Government logo"/>
                        <pic:cNvPicPr/>
                      </pic:nvPicPr>
                      <pic:blipFill rotWithShape="1">
                        <a:blip r:embed="rId1" cstate="print">
                          <a:extLst>
                            <a:ext uri="{28A0092B-C50C-407E-A947-70E740481C1C}">
                              <a14:useLocalDpi xmlns:a14="http://schemas.microsoft.com/office/drawing/2010/main" val="0"/>
                            </a:ext>
                          </a:extLst>
                        </a:blip>
                        <a:srcRect l="11290" t="16015" r="62855" b="13256"/>
                        <a:stretch/>
                      </pic:blipFill>
                      <pic:spPr bwMode="auto">
                        <a:xfrm>
                          <a:off x="0" y="0"/>
                          <a:ext cx="2086844"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9DDDF98" w14:textId="77777777" w:rsidR="007327B0" w:rsidRDefault="007327B0" w:rsidP="00E9401A">
          <w:pPr>
            <w:pStyle w:val="Header"/>
            <w:jc w:val="right"/>
          </w:pPr>
          <w:r>
            <w:rPr>
              <w:noProof/>
              <w:lang w:eastAsia="en-NZ"/>
            </w:rPr>
            <w:drawing>
              <wp:anchor distT="0" distB="0" distL="114300" distR="114300" simplePos="0" relativeHeight="251659264" behindDoc="0" locked="0" layoutInCell="1" allowOverlap="1" wp14:anchorId="09DDDFD3" wp14:editId="1483548C">
                <wp:simplePos x="0" y="0"/>
                <wp:positionH relativeFrom="column">
                  <wp:posOffset>1418590</wp:posOffset>
                </wp:positionH>
                <wp:positionV relativeFrom="paragraph">
                  <wp:posOffset>-14605</wp:posOffset>
                </wp:positionV>
                <wp:extent cx="1391285" cy="715010"/>
                <wp:effectExtent l="0" t="0" r="0" b="8890"/>
                <wp:wrapNone/>
                <wp:docPr id="2039165732" name="Picture 203916573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165732" name="Picture 2039165732" descr="Ministry of Health logo"/>
                        <pic:cNvPicPr>
                          <a:picLocks noChangeAspect="1" noChangeArrowheads="1"/>
                        </pic:cNvPicPr>
                      </pic:nvPicPr>
                      <pic:blipFill rotWithShape="1">
                        <a:blip r:embed="rId2">
                          <a:extLst>
                            <a:ext uri="{28A0092B-C50C-407E-A947-70E740481C1C}">
                              <a14:useLocalDpi xmlns:a14="http://schemas.microsoft.com/office/drawing/2010/main" val="0"/>
                            </a:ext>
                          </a:extLst>
                        </a:blip>
                        <a:srcRect l="3676" r="4424"/>
                        <a:stretch/>
                      </pic:blipFill>
                      <pic:spPr bwMode="auto">
                        <a:xfrm>
                          <a:off x="0" y="0"/>
                          <a:ext cx="1391285" cy="715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09DDDF9A" w14:textId="77777777" w:rsidR="00105770" w:rsidRPr="005718A6" w:rsidRDefault="00105770">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DA3CD" w14:textId="77777777" w:rsidR="00C222F2" w:rsidRDefault="00C222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C95F6" w14:textId="77777777" w:rsidR="00C222F2" w:rsidRPr="005718A6" w:rsidRDefault="00C222F2">
    <w:pPr>
      <w:pStyle w:val="Heade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A0D5F" w14:textId="2934956F" w:rsidR="00386D81" w:rsidRDefault="001A0C63">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50CBB34"/>
    <w:lvl w:ilvl="0">
      <w:start w:val="1"/>
      <w:numFmt w:val="lowerLetter"/>
      <w:pStyle w:val="ListNumber2"/>
      <w:lvlText w:val="%1)"/>
      <w:lvlJc w:val="left"/>
      <w:pPr>
        <w:ind w:left="717" w:hanging="360"/>
      </w:pPr>
      <w:rPr>
        <w:rFonts w:hint="default"/>
      </w:rPr>
    </w:lvl>
  </w:abstractNum>
  <w:abstractNum w:abstractNumId="1" w15:restartNumberingAfterBreak="0">
    <w:nsid w:val="FFFFFF88"/>
    <w:multiLevelType w:val="singleLevel"/>
    <w:tmpl w:val="30D4B332"/>
    <w:lvl w:ilvl="0">
      <w:start w:val="1"/>
      <w:numFmt w:val="decimal"/>
      <w:pStyle w:val="ListNumber"/>
      <w:lvlText w:val="%1."/>
      <w:lvlJc w:val="left"/>
      <w:pPr>
        <w:tabs>
          <w:tab w:val="num" w:pos="360"/>
        </w:tabs>
        <w:ind w:left="360" w:hanging="360"/>
      </w:pPr>
    </w:lvl>
  </w:abstractNum>
  <w:abstractNum w:abstractNumId="2" w15:restartNumberingAfterBreak="0">
    <w:nsid w:val="00950D64"/>
    <w:multiLevelType w:val="multilevel"/>
    <w:tmpl w:val="33B63C2A"/>
    <w:lvl w:ilvl="0">
      <w:start w:val="1"/>
      <w:numFmt w:val="bullet"/>
      <w:lvlText w:val=""/>
      <w:lvlJc w:val="left"/>
      <w:pPr>
        <w:ind w:left="357" w:hanging="357"/>
      </w:pPr>
      <w:rPr>
        <w:rFonts w:ascii="Symbol" w:hAnsi="Symbol" w:hint="default"/>
        <w:sz w:val="22"/>
        <w:szCs w:val="22"/>
        <w:vertAlign w:val="baseline"/>
      </w:rPr>
    </w:lvl>
    <w:lvl w:ilvl="1">
      <w:start w:val="1"/>
      <w:numFmt w:val="bullet"/>
      <w:lvlText w:val=""/>
      <w:lvlJc w:val="left"/>
      <w:pPr>
        <w:tabs>
          <w:tab w:val="num" w:pos="1424"/>
        </w:tabs>
        <w:ind w:left="1066" w:hanging="357"/>
      </w:pPr>
      <w:rPr>
        <w:rFonts w:ascii="Symbol" w:hAnsi="Symbol" w:hint="default"/>
        <w:sz w:val="22"/>
        <w:vertAlign w:val="superscript"/>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3" w15:restartNumberingAfterBreak="0">
    <w:nsid w:val="00D817C7"/>
    <w:multiLevelType w:val="multilevel"/>
    <w:tmpl w:val="AB9AB7F2"/>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1623B1E"/>
    <w:multiLevelType w:val="hybridMultilevel"/>
    <w:tmpl w:val="4A3E85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1B64AE7"/>
    <w:multiLevelType w:val="hybridMultilevel"/>
    <w:tmpl w:val="7AF45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7" w15:restartNumberingAfterBreak="0">
    <w:nsid w:val="05954F30"/>
    <w:multiLevelType w:val="hybridMultilevel"/>
    <w:tmpl w:val="40485C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6FA6483"/>
    <w:multiLevelType w:val="hybridMultilevel"/>
    <w:tmpl w:val="8394396E"/>
    <w:lvl w:ilvl="0" w:tplc="14090001">
      <w:start w:val="1"/>
      <w:numFmt w:val="bullet"/>
      <w:lvlText w:val=""/>
      <w:lvlJc w:val="left"/>
      <w:pPr>
        <w:ind w:left="790" w:hanging="360"/>
      </w:pPr>
      <w:rPr>
        <w:rFonts w:ascii="Symbol" w:hAnsi="Symbol" w:hint="default"/>
      </w:rPr>
    </w:lvl>
    <w:lvl w:ilvl="1" w:tplc="14090003" w:tentative="1">
      <w:start w:val="1"/>
      <w:numFmt w:val="bullet"/>
      <w:lvlText w:val="o"/>
      <w:lvlJc w:val="left"/>
      <w:pPr>
        <w:ind w:left="1510" w:hanging="360"/>
      </w:pPr>
      <w:rPr>
        <w:rFonts w:ascii="Courier New" w:hAnsi="Courier New" w:cs="Courier New" w:hint="default"/>
      </w:rPr>
    </w:lvl>
    <w:lvl w:ilvl="2" w:tplc="14090005" w:tentative="1">
      <w:start w:val="1"/>
      <w:numFmt w:val="bullet"/>
      <w:lvlText w:val=""/>
      <w:lvlJc w:val="left"/>
      <w:pPr>
        <w:ind w:left="2230" w:hanging="360"/>
      </w:pPr>
      <w:rPr>
        <w:rFonts w:ascii="Wingdings" w:hAnsi="Wingdings" w:hint="default"/>
      </w:rPr>
    </w:lvl>
    <w:lvl w:ilvl="3" w:tplc="14090001" w:tentative="1">
      <w:start w:val="1"/>
      <w:numFmt w:val="bullet"/>
      <w:lvlText w:val=""/>
      <w:lvlJc w:val="left"/>
      <w:pPr>
        <w:ind w:left="2950" w:hanging="360"/>
      </w:pPr>
      <w:rPr>
        <w:rFonts w:ascii="Symbol" w:hAnsi="Symbol" w:hint="default"/>
      </w:rPr>
    </w:lvl>
    <w:lvl w:ilvl="4" w:tplc="14090003" w:tentative="1">
      <w:start w:val="1"/>
      <w:numFmt w:val="bullet"/>
      <w:lvlText w:val="o"/>
      <w:lvlJc w:val="left"/>
      <w:pPr>
        <w:ind w:left="3670" w:hanging="360"/>
      </w:pPr>
      <w:rPr>
        <w:rFonts w:ascii="Courier New" w:hAnsi="Courier New" w:cs="Courier New" w:hint="default"/>
      </w:rPr>
    </w:lvl>
    <w:lvl w:ilvl="5" w:tplc="14090005" w:tentative="1">
      <w:start w:val="1"/>
      <w:numFmt w:val="bullet"/>
      <w:lvlText w:val=""/>
      <w:lvlJc w:val="left"/>
      <w:pPr>
        <w:ind w:left="4390" w:hanging="360"/>
      </w:pPr>
      <w:rPr>
        <w:rFonts w:ascii="Wingdings" w:hAnsi="Wingdings" w:hint="default"/>
      </w:rPr>
    </w:lvl>
    <w:lvl w:ilvl="6" w:tplc="14090001" w:tentative="1">
      <w:start w:val="1"/>
      <w:numFmt w:val="bullet"/>
      <w:lvlText w:val=""/>
      <w:lvlJc w:val="left"/>
      <w:pPr>
        <w:ind w:left="5110" w:hanging="360"/>
      </w:pPr>
      <w:rPr>
        <w:rFonts w:ascii="Symbol" w:hAnsi="Symbol" w:hint="default"/>
      </w:rPr>
    </w:lvl>
    <w:lvl w:ilvl="7" w:tplc="14090003" w:tentative="1">
      <w:start w:val="1"/>
      <w:numFmt w:val="bullet"/>
      <w:lvlText w:val="o"/>
      <w:lvlJc w:val="left"/>
      <w:pPr>
        <w:ind w:left="5830" w:hanging="360"/>
      </w:pPr>
      <w:rPr>
        <w:rFonts w:ascii="Courier New" w:hAnsi="Courier New" w:cs="Courier New" w:hint="default"/>
      </w:rPr>
    </w:lvl>
    <w:lvl w:ilvl="8" w:tplc="14090005" w:tentative="1">
      <w:start w:val="1"/>
      <w:numFmt w:val="bullet"/>
      <w:lvlText w:val=""/>
      <w:lvlJc w:val="left"/>
      <w:pPr>
        <w:ind w:left="6550" w:hanging="360"/>
      </w:pPr>
      <w:rPr>
        <w:rFonts w:ascii="Wingdings" w:hAnsi="Wingdings" w:hint="default"/>
      </w:rPr>
    </w:lvl>
  </w:abstractNum>
  <w:abstractNum w:abstractNumId="9" w15:restartNumberingAfterBreak="0">
    <w:nsid w:val="076735CD"/>
    <w:multiLevelType w:val="hybridMultilevel"/>
    <w:tmpl w:val="8C5057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8142377"/>
    <w:multiLevelType w:val="hybridMultilevel"/>
    <w:tmpl w:val="C02C123E"/>
    <w:lvl w:ilvl="0" w:tplc="78E449E2">
      <w:start w:val="1"/>
      <w:numFmt w:val="lowerRoman"/>
      <w:lvlText w:val="%1."/>
      <w:lvlJc w:val="left"/>
      <w:pPr>
        <w:ind w:left="1440" w:hanging="720"/>
      </w:pPr>
      <w:rPr>
        <w:rFonts w:hint="default"/>
      </w:r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1" w15:restartNumberingAfterBreak="0">
    <w:nsid w:val="0B7C5035"/>
    <w:multiLevelType w:val="hybridMultilevel"/>
    <w:tmpl w:val="A6220454"/>
    <w:lvl w:ilvl="0" w:tplc="B7A48884">
      <w:numFmt w:val="bullet"/>
      <w:lvlText w:val="-"/>
      <w:lvlJc w:val="left"/>
      <w:pPr>
        <w:ind w:left="720" w:hanging="360"/>
      </w:pPr>
      <w:rPr>
        <w:rFonts w:ascii="Segoe UI" w:eastAsia="Times New Roman" w:hAnsi="Segoe UI" w:cs="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0C8C07BC"/>
    <w:multiLevelType w:val="hybridMultilevel"/>
    <w:tmpl w:val="ABA8FA9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0D8C5D5A"/>
    <w:multiLevelType w:val="multilevel"/>
    <w:tmpl w:val="2CD092E4"/>
    <w:lvl w:ilvl="0">
      <w:start w:val="1"/>
      <w:numFmt w:val="bullet"/>
      <w:lvlText w:val="o"/>
      <w:lvlJc w:val="left"/>
      <w:pPr>
        <w:ind w:left="357" w:hanging="357"/>
      </w:pPr>
      <w:rPr>
        <w:rFonts w:ascii="Courier New" w:hAnsi="Courier New" w:cs="Courier New" w:hint="default"/>
        <w:sz w:val="22"/>
      </w:rPr>
    </w:lvl>
    <w:lvl w:ilvl="1">
      <w:start w:val="1"/>
      <w:numFmt w:val="bullet"/>
      <w:lvlText w:val="o"/>
      <w:lvlJc w:val="left"/>
      <w:pPr>
        <w:tabs>
          <w:tab w:val="num" w:pos="1072"/>
        </w:tabs>
        <w:ind w:left="714" w:hanging="357"/>
      </w:pPr>
      <w:rPr>
        <w:rFonts w:ascii="Courier New" w:hAnsi="Courier New" w:cs="Courier New"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14" w15:restartNumberingAfterBreak="0">
    <w:nsid w:val="0F671241"/>
    <w:multiLevelType w:val="hybridMultilevel"/>
    <w:tmpl w:val="1314237C"/>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101946D4"/>
    <w:multiLevelType w:val="hybridMultilevel"/>
    <w:tmpl w:val="D82467AA"/>
    <w:lvl w:ilvl="0" w:tplc="97DAEE7E">
      <w:start w:val="1"/>
      <w:numFmt w:val="bullet"/>
      <w:lvlText w:val="-"/>
      <w:lvlJc w:val="left"/>
      <w:pPr>
        <w:ind w:left="720" w:hanging="360"/>
      </w:pPr>
      <w:rPr>
        <w:rFonts w:ascii="Segoe UI" w:eastAsia="Times New Roman" w:hAnsi="Segoe UI" w:cs="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2370A65"/>
    <w:multiLevelType w:val="multilevel"/>
    <w:tmpl w:val="14090029"/>
    <w:lvl w:ilvl="0">
      <w:start w:val="1"/>
      <w:numFmt w:val="decimal"/>
      <w:suff w:val="space"/>
      <w:lvlText w:val="Chapter %1"/>
      <w:lvlJc w:val="left"/>
      <w:pPr>
        <w:ind w:left="397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15:restartNumberingAfterBreak="0">
    <w:nsid w:val="1AD060F0"/>
    <w:multiLevelType w:val="multilevel"/>
    <w:tmpl w:val="8362BF2E"/>
    <w:lvl w:ilvl="0">
      <w:start w:val="1"/>
      <w:numFmt w:val="upperRoman"/>
      <w:lvlText w:val="%1."/>
      <w:lvlJc w:val="right"/>
      <w:pPr>
        <w:ind w:left="357" w:hanging="357"/>
      </w:pPr>
      <w:rPr>
        <w:rFonts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18" w15:restartNumberingAfterBreak="0">
    <w:nsid w:val="1C39728D"/>
    <w:multiLevelType w:val="hybridMultilevel"/>
    <w:tmpl w:val="FD2042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1D905CD6"/>
    <w:multiLevelType w:val="hybridMultilevel"/>
    <w:tmpl w:val="B16E54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0330A04"/>
    <w:multiLevelType w:val="hybridMultilevel"/>
    <w:tmpl w:val="62AE4B2E"/>
    <w:lvl w:ilvl="0" w:tplc="92D43D06">
      <w:numFmt w:val="bullet"/>
      <w:lvlText w:val="-"/>
      <w:lvlJc w:val="left"/>
      <w:pPr>
        <w:ind w:left="720" w:hanging="360"/>
      </w:pPr>
      <w:rPr>
        <w:rFonts w:ascii="Segoe UI" w:eastAsia="Times New Roman" w:hAnsi="Segoe UI" w:cs="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23DC7796"/>
    <w:multiLevelType w:val="multilevel"/>
    <w:tmpl w:val="AEEE7D2E"/>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EA0626C"/>
    <w:multiLevelType w:val="multilevel"/>
    <w:tmpl w:val="1422C38A"/>
    <w:lvl w:ilvl="0">
      <w:start w:val="1"/>
      <w:numFmt w:val="upperRoman"/>
      <w:lvlText w:val="%1."/>
      <w:lvlJc w:val="right"/>
      <w:pPr>
        <w:ind w:left="357" w:hanging="357"/>
      </w:pPr>
      <w:rPr>
        <w:rFonts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23" w15:restartNumberingAfterBreak="0">
    <w:nsid w:val="2F3E22D3"/>
    <w:multiLevelType w:val="multilevel"/>
    <w:tmpl w:val="758E542E"/>
    <w:lvl w:ilvl="0">
      <w:start w:val="1"/>
      <w:numFmt w:val="bullet"/>
      <w:lvlText w:val="o"/>
      <w:lvlJc w:val="left"/>
      <w:pPr>
        <w:ind w:left="357" w:hanging="357"/>
      </w:pPr>
      <w:rPr>
        <w:rFonts w:ascii="Courier New" w:hAnsi="Courier New" w:cs="Courier New"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24" w15:restartNumberingAfterBreak="0">
    <w:nsid w:val="30A971E0"/>
    <w:multiLevelType w:val="multilevel"/>
    <w:tmpl w:val="451837C8"/>
    <w:lvl w:ilvl="0">
      <w:start w:val="1"/>
      <w:numFmt w:val="decimal"/>
      <w:suff w:val="nothing"/>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4DB6753"/>
    <w:multiLevelType w:val="multilevel"/>
    <w:tmpl w:val="CFA0ECDC"/>
    <w:lvl w:ilvl="0">
      <w:start w:val="1"/>
      <w:numFmt w:val="decimal"/>
      <w:lvlText w:val="%1)"/>
      <w:lvlJc w:val="left"/>
      <w:pPr>
        <w:ind w:left="1494" w:hanging="360"/>
      </w:pPr>
      <w:rPr>
        <w:rFonts w:hint="default"/>
      </w:rPr>
    </w:lvl>
    <w:lvl w:ilvl="1" w:tentative="1">
      <w:start w:val="1"/>
      <w:numFmt w:val="lowerLetter"/>
      <w:lvlText w:val="%2."/>
      <w:lvlJc w:val="left"/>
      <w:pPr>
        <w:ind w:left="2214" w:hanging="360"/>
      </w:pPr>
    </w:lvl>
    <w:lvl w:ilvl="2" w:tentative="1">
      <w:start w:val="1"/>
      <w:numFmt w:val="lowerRoman"/>
      <w:lvlText w:val="%3."/>
      <w:lvlJc w:val="right"/>
      <w:pPr>
        <w:ind w:left="2934" w:hanging="180"/>
      </w:pPr>
    </w:lvl>
    <w:lvl w:ilvl="3" w:tentative="1">
      <w:start w:val="1"/>
      <w:numFmt w:val="decimal"/>
      <w:lvlText w:val="%4."/>
      <w:lvlJc w:val="left"/>
      <w:pPr>
        <w:ind w:left="3654" w:hanging="360"/>
      </w:pPr>
    </w:lvl>
    <w:lvl w:ilvl="4" w:tentative="1">
      <w:start w:val="1"/>
      <w:numFmt w:val="lowerLetter"/>
      <w:lvlText w:val="%5."/>
      <w:lvlJc w:val="left"/>
      <w:pPr>
        <w:ind w:left="4374" w:hanging="360"/>
      </w:pPr>
    </w:lvl>
    <w:lvl w:ilvl="5" w:tentative="1">
      <w:start w:val="1"/>
      <w:numFmt w:val="lowerRoman"/>
      <w:lvlText w:val="%6."/>
      <w:lvlJc w:val="right"/>
      <w:pPr>
        <w:ind w:left="5094" w:hanging="180"/>
      </w:pPr>
    </w:lvl>
    <w:lvl w:ilvl="6" w:tentative="1">
      <w:start w:val="1"/>
      <w:numFmt w:val="decimal"/>
      <w:lvlText w:val="%7."/>
      <w:lvlJc w:val="left"/>
      <w:pPr>
        <w:ind w:left="5814" w:hanging="360"/>
      </w:pPr>
    </w:lvl>
    <w:lvl w:ilvl="7" w:tentative="1">
      <w:start w:val="1"/>
      <w:numFmt w:val="lowerLetter"/>
      <w:lvlText w:val="%8."/>
      <w:lvlJc w:val="left"/>
      <w:pPr>
        <w:ind w:left="6534" w:hanging="360"/>
      </w:pPr>
    </w:lvl>
    <w:lvl w:ilvl="8" w:tentative="1">
      <w:start w:val="1"/>
      <w:numFmt w:val="lowerRoman"/>
      <w:lvlText w:val="%9."/>
      <w:lvlJc w:val="right"/>
      <w:pPr>
        <w:ind w:left="7254" w:hanging="180"/>
      </w:pPr>
    </w:lvl>
  </w:abstractNum>
  <w:abstractNum w:abstractNumId="26" w15:restartNumberingAfterBreak="0">
    <w:nsid w:val="35C46315"/>
    <w:multiLevelType w:val="hybridMultilevel"/>
    <w:tmpl w:val="98C66A74"/>
    <w:lvl w:ilvl="0" w:tplc="B4C469BA">
      <w:start w:val="1"/>
      <w:numFmt w:val="lowerRoman"/>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7" w15:restartNumberingAfterBreak="0">
    <w:nsid w:val="36F214BA"/>
    <w:multiLevelType w:val="multilevel"/>
    <w:tmpl w:val="9C9A3D3A"/>
    <w:lvl w:ilvl="0">
      <w:start w:val="1"/>
      <w:numFmt w:val="bullet"/>
      <w:lvlText w:val=""/>
      <w:lvlJc w:val="left"/>
      <w:pPr>
        <w:ind w:left="357" w:hanging="357"/>
      </w:pPr>
      <w:rPr>
        <w:rFonts w:ascii="Symbol" w:hAnsi="Symbol"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o"/>
      <w:lvlJc w:val="left"/>
      <w:pPr>
        <w:tabs>
          <w:tab w:val="num" w:pos="1785"/>
        </w:tabs>
        <w:ind w:left="1428" w:hanging="357"/>
      </w:pPr>
      <w:rPr>
        <w:rFonts w:ascii="Courier New" w:hAnsi="Courier New" w:cs="Courier New"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28" w15:restartNumberingAfterBreak="0">
    <w:nsid w:val="3BBE233B"/>
    <w:multiLevelType w:val="multilevel"/>
    <w:tmpl w:val="050295EA"/>
    <w:lvl w:ilvl="0">
      <w:start w:val="1"/>
      <w:numFmt w:val="bullet"/>
      <w:lvlText w:val=""/>
      <w:lvlJc w:val="left"/>
      <w:pPr>
        <w:ind w:left="357" w:hanging="357"/>
      </w:pPr>
      <w:rPr>
        <w:rFonts w:ascii="Symbol" w:hAnsi="Symbol" w:hint="default"/>
        <w:sz w:val="22"/>
        <w:szCs w:val="22"/>
        <w:vertAlign w:val="baseline"/>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29"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27264AA"/>
    <w:multiLevelType w:val="multilevel"/>
    <w:tmpl w:val="48462F1A"/>
    <w:lvl w:ilvl="0">
      <w:start w:val="1"/>
      <w:numFmt w:val="bullet"/>
      <w:lvlText w:val=""/>
      <w:lvlJc w:val="left"/>
      <w:pPr>
        <w:ind w:left="357" w:hanging="357"/>
      </w:pPr>
      <w:rPr>
        <w:rFonts w:ascii="Symbol" w:hAnsi="Symbol" w:hint="default"/>
        <w:sz w:val="22"/>
      </w:rPr>
    </w:lvl>
    <w:lvl w:ilvl="1">
      <w:start w:val="1"/>
      <w:numFmt w:val="bullet"/>
      <w:lvlText w:val="o"/>
      <w:lvlJc w:val="left"/>
      <w:pPr>
        <w:tabs>
          <w:tab w:val="num" w:pos="1072"/>
        </w:tabs>
        <w:ind w:left="714" w:hanging="357"/>
      </w:pPr>
      <w:rPr>
        <w:rFonts w:ascii="Courier New" w:hAnsi="Courier New" w:cs="Courier New"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32" w15:restartNumberingAfterBreak="0">
    <w:nsid w:val="46A02079"/>
    <w:multiLevelType w:val="multilevel"/>
    <w:tmpl w:val="F910959A"/>
    <w:lvl w:ilvl="0">
      <w:start w:val="1"/>
      <w:numFmt w:val="bullet"/>
      <w:lvlText w:val="o"/>
      <w:lvlJc w:val="left"/>
      <w:pPr>
        <w:ind w:left="357" w:hanging="357"/>
      </w:pPr>
      <w:rPr>
        <w:rFonts w:ascii="Courier New" w:hAnsi="Courier New" w:cs="Courier New" w:hint="default"/>
        <w:sz w:val="22"/>
      </w:rPr>
    </w:lvl>
    <w:lvl w:ilvl="1">
      <w:start w:val="1"/>
      <w:numFmt w:val="bullet"/>
      <w:lvlText w:val="o"/>
      <w:lvlJc w:val="left"/>
      <w:pPr>
        <w:tabs>
          <w:tab w:val="num" w:pos="1072"/>
        </w:tabs>
        <w:ind w:left="714" w:hanging="357"/>
      </w:pPr>
      <w:rPr>
        <w:rFonts w:ascii="Courier New" w:hAnsi="Courier New" w:cs="Courier New"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33" w15:restartNumberingAfterBreak="0">
    <w:nsid w:val="4A9C10FB"/>
    <w:multiLevelType w:val="multilevel"/>
    <w:tmpl w:val="D36C6188"/>
    <w:lvl w:ilvl="0">
      <w:start w:val="1"/>
      <w:numFmt w:val="decimal"/>
      <w:pStyle w:val="Heading1"/>
      <w:lvlText w:val="%1"/>
      <w:lvlJc w:val="left"/>
      <w:pPr>
        <w:ind w:left="1077" w:hanging="1077"/>
      </w:pPr>
      <w:rPr>
        <w:rFonts w:hint="default"/>
      </w:rPr>
    </w:lvl>
    <w:lvl w:ilvl="1">
      <w:start w:val="1"/>
      <w:numFmt w:val="decimal"/>
      <w:pStyle w:val="Heading2"/>
      <w:lvlText w:val="%1.%2"/>
      <w:lvlJc w:val="left"/>
      <w:pPr>
        <w:ind w:left="1077" w:hanging="1077"/>
      </w:pPr>
      <w:rPr>
        <w:rFonts w:hint="default"/>
      </w:rPr>
    </w:lvl>
    <w:lvl w:ilvl="2">
      <w:start w:val="1"/>
      <w:numFmt w:val="decimal"/>
      <w:pStyle w:val="Heading3"/>
      <w:lvlText w:val="%1.%2.%3"/>
      <w:lvlJc w:val="left"/>
      <w:pPr>
        <w:ind w:left="1077" w:hanging="1077"/>
      </w:pPr>
      <w:rPr>
        <w:rFonts w:hint="default"/>
      </w:rPr>
    </w:lvl>
    <w:lvl w:ilvl="3">
      <w:start w:val="1"/>
      <w:numFmt w:val="decimal"/>
      <w:pStyle w:val="Heading4"/>
      <w:lvlText w:val="%1.%2.%3.%4"/>
      <w:lvlJc w:val="left"/>
      <w:pPr>
        <w:ind w:left="1077" w:hanging="1077"/>
      </w:pPr>
      <w:rPr>
        <w:rFonts w:hint="default"/>
      </w:rPr>
    </w:lvl>
    <w:lvl w:ilvl="4">
      <w:start w:val="1"/>
      <w:numFmt w:val="decimal"/>
      <w:pStyle w:val="Heading5"/>
      <w:lvlText w:val="%1.%2.%3.%4.%5"/>
      <w:lvlJc w:val="left"/>
      <w:pPr>
        <w:ind w:left="1077" w:hanging="1077"/>
      </w:pPr>
      <w:rPr>
        <w:rFonts w:hint="default"/>
      </w:rPr>
    </w:lvl>
    <w:lvl w:ilvl="5">
      <w:start w:val="1"/>
      <w:numFmt w:val="decimal"/>
      <w:pStyle w:val="Heading6"/>
      <w:lvlText w:val="%1.%2.%3.%4.%5.%6"/>
      <w:lvlJc w:val="left"/>
      <w:pPr>
        <w:ind w:left="1077" w:hanging="1077"/>
      </w:pPr>
      <w:rPr>
        <w:rFonts w:hint="default"/>
      </w:rPr>
    </w:lvl>
    <w:lvl w:ilvl="6">
      <w:start w:val="1"/>
      <w:numFmt w:val="decimal"/>
      <w:pStyle w:val="Heading7"/>
      <w:lvlText w:val="%1.%2.%3.%4.%5.%6.%7"/>
      <w:lvlJc w:val="left"/>
      <w:pPr>
        <w:ind w:left="1077" w:hanging="1077"/>
      </w:pPr>
      <w:rPr>
        <w:rFonts w:hint="default"/>
      </w:rPr>
    </w:lvl>
    <w:lvl w:ilvl="7">
      <w:start w:val="1"/>
      <w:numFmt w:val="decimal"/>
      <w:pStyle w:val="Heading8"/>
      <w:lvlText w:val="%1.%2.%3.%4.%5.%6.%7.%8"/>
      <w:lvlJc w:val="left"/>
      <w:pPr>
        <w:ind w:left="1077" w:hanging="1077"/>
      </w:pPr>
      <w:rPr>
        <w:rFonts w:hint="default"/>
      </w:rPr>
    </w:lvl>
    <w:lvl w:ilvl="8">
      <w:start w:val="1"/>
      <w:numFmt w:val="decimal"/>
      <w:pStyle w:val="Heading9"/>
      <w:lvlText w:val="%1.%2.%3.%4.%5.%6.%7.%8.%9"/>
      <w:lvlJc w:val="left"/>
      <w:pPr>
        <w:ind w:left="1077" w:hanging="1077"/>
      </w:pPr>
      <w:rPr>
        <w:rFonts w:hint="default"/>
      </w:rPr>
    </w:lvl>
  </w:abstractNum>
  <w:abstractNum w:abstractNumId="34" w15:restartNumberingAfterBreak="0">
    <w:nsid w:val="4F843D9E"/>
    <w:multiLevelType w:val="multilevel"/>
    <w:tmpl w:val="68EA507E"/>
    <w:lvl w:ilvl="0">
      <w:start w:val="1"/>
      <w:numFmt w:val="decimal"/>
      <w:suff w:val="nothing"/>
      <w:lvlText w:val="Chapter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4F8D26E9"/>
    <w:multiLevelType w:val="hybridMultilevel"/>
    <w:tmpl w:val="FB3CB93A"/>
    <w:lvl w:ilvl="0" w:tplc="39B8B2EC">
      <w:start w:val="1"/>
      <w:numFmt w:val="bullet"/>
      <w:lvlText w:val=""/>
      <w:lvlJc w:val="left"/>
      <w:pPr>
        <w:tabs>
          <w:tab w:val="num" w:pos="284"/>
        </w:tabs>
        <w:ind w:left="284" w:hanging="284"/>
      </w:pPr>
      <w:rPr>
        <w:rFonts w:ascii="Symbol" w:hAnsi="Symbol" w:hint="default"/>
        <w:sz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FB51688"/>
    <w:multiLevelType w:val="hybridMultilevel"/>
    <w:tmpl w:val="204EC29E"/>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50FC17C7"/>
    <w:multiLevelType w:val="hybridMultilevel"/>
    <w:tmpl w:val="A13AAAF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55167D45"/>
    <w:multiLevelType w:val="hybridMultilevel"/>
    <w:tmpl w:val="3A80A0FC"/>
    <w:lvl w:ilvl="0" w:tplc="0E74F91C">
      <w:start w:val="1"/>
      <w:numFmt w:val="lowerRoman"/>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9" w15:restartNumberingAfterBreak="0">
    <w:nsid w:val="55E73FA0"/>
    <w:multiLevelType w:val="multilevel"/>
    <w:tmpl w:val="1AAA43B4"/>
    <w:lvl w:ilvl="0">
      <w:start w:val="1"/>
      <w:numFmt w:val="bullet"/>
      <w:lvlText w:val="o"/>
      <w:lvlJc w:val="left"/>
      <w:pPr>
        <w:ind w:left="357" w:hanging="357"/>
      </w:pPr>
      <w:rPr>
        <w:rFonts w:ascii="Courier New" w:hAnsi="Courier New" w:cs="Courier New"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40" w15:restartNumberingAfterBreak="0">
    <w:nsid w:val="565537D5"/>
    <w:multiLevelType w:val="multilevel"/>
    <w:tmpl w:val="BF78E076"/>
    <w:lvl w:ilvl="0">
      <w:start w:val="1"/>
      <w:numFmt w:val="decimal"/>
      <w:lvlText w:val="%1"/>
      <w:lvlJc w:val="left"/>
      <w:pPr>
        <w:ind w:left="992" w:hanging="992"/>
      </w:pPr>
      <w:rPr>
        <w:rFonts w:hint="default"/>
      </w:rPr>
    </w:lvl>
    <w:lvl w:ilvl="1">
      <w:start w:val="1"/>
      <w:numFmt w:val="decimal"/>
      <w:lvlText w:val="%1.%2"/>
      <w:lvlJc w:val="left"/>
      <w:pPr>
        <w:ind w:left="992" w:hanging="992"/>
      </w:pPr>
      <w:rPr>
        <w:rFonts w:hint="default"/>
      </w:rPr>
    </w:lvl>
    <w:lvl w:ilvl="2">
      <w:start w:val="1"/>
      <w:numFmt w:val="decimal"/>
      <w:lvlText w:val="%1.%2.%3"/>
      <w:lvlJc w:val="left"/>
      <w:pPr>
        <w:ind w:left="992" w:hanging="992"/>
      </w:pPr>
      <w:rPr>
        <w:rFonts w:hint="default"/>
      </w:rPr>
    </w:lvl>
    <w:lvl w:ilvl="3">
      <w:start w:val="1"/>
      <w:numFmt w:val="decimal"/>
      <w:lvlText w:val="%1.%2.%3.%4"/>
      <w:lvlJc w:val="left"/>
      <w:pPr>
        <w:ind w:left="1077" w:hanging="1077"/>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992" w:hanging="992"/>
      </w:pPr>
      <w:rPr>
        <w:rFonts w:hint="default"/>
      </w:rPr>
    </w:lvl>
    <w:lvl w:ilvl="6">
      <w:start w:val="1"/>
      <w:numFmt w:val="decimal"/>
      <w:lvlText w:val="%1.%2.%3.%4.%5.%6.%7"/>
      <w:lvlJc w:val="left"/>
      <w:pPr>
        <w:ind w:left="992" w:hanging="992"/>
      </w:pPr>
      <w:rPr>
        <w:rFonts w:hint="default"/>
      </w:rPr>
    </w:lvl>
    <w:lvl w:ilvl="7">
      <w:start w:val="1"/>
      <w:numFmt w:val="decimal"/>
      <w:lvlText w:val="%1.%2.%3.%4.%5.%6.%7.%8"/>
      <w:lvlJc w:val="left"/>
      <w:pPr>
        <w:ind w:left="992" w:hanging="992"/>
      </w:pPr>
      <w:rPr>
        <w:rFonts w:hint="default"/>
      </w:rPr>
    </w:lvl>
    <w:lvl w:ilvl="8">
      <w:start w:val="1"/>
      <w:numFmt w:val="decimal"/>
      <w:lvlText w:val="%1.%2.%3.%4.%5.%6.%7.%8.%9"/>
      <w:lvlJc w:val="left"/>
      <w:pPr>
        <w:ind w:left="992" w:hanging="992"/>
      </w:pPr>
      <w:rPr>
        <w:rFonts w:hint="default"/>
      </w:rPr>
    </w:lvl>
  </w:abstractNum>
  <w:abstractNum w:abstractNumId="41" w15:restartNumberingAfterBreak="0">
    <w:nsid w:val="59BE1EDB"/>
    <w:multiLevelType w:val="hybridMultilevel"/>
    <w:tmpl w:val="BBB6DC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5B441916"/>
    <w:multiLevelType w:val="multilevel"/>
    <w:tmpl w:val="33189EF0"/>
    <w:lvl w:ilvl="0">
      <w:start w:val="1"/>
      <w:numFmt w:val="bullet"/>
      <w:lvlText w:val="o"/>
      <w:lvlJc w:val="left"/>
      <w:pPr>
        <w:ind w:left="357" w:hanging="357"/>
      </w:pPr>
      <w:rPr>
        <w:rFonts w:ascii="Courier New" w:hAnsi="Courier New" w:cs="Courier New" w:hint="default"/>
        <w:sz w:val="22"/>
      </w:rPr>
    </w:lvl>
    <w:lvl w:ilvl="1">
      <w:start w:val="1"/>
      <w:numFmt w:val="bullet"/>
      <w:lvlText w:val="o"/>
      <w:lvlJc w:val="left"/>
      <w:pPr>
        <w:tabs>
          <w:tab w:val="num" w:pos="1072"/>
        </w:tabs>
        <w:ind w:left="714" w:hanging="357"/>
      </w:pPr>
      <w:rPr>
        <w:rFonts w:ascii="Courier New" w:hAnsi="Courier New" w:cs="Courier New"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43" w15:restartNumberingAfterBreak="0">
    <w:nsid w:val="5C44586F"/>
    <w:multiLevelType w:val="multilevel"/>
    <w:tmpl w:val="DE3893F2"/>
    <w:lvl w:ilvl="0">
      <w:start w:val="1"/>
      <w:numFmt w:val="bullet"/>
      <w:lvlText w:val="o"/>
      <w:lvlJc w:val="left"/>
      <w:pPr>
        <w:ind w:left="357" w:hanging="357"/>
      </w:pPr>
      <w:rPr>
        <w:rFonts w:ascii="Courier New" w:hAnsi="Courier New" w:cs="Courier New"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44" w15:restartNumberingAfterBreak="0">
    <w:nsid w:val="5D804CCA"/>
    <w:multiLevelType w:val="hybridMultilevel"/>
    <w:tmpl w:val="4D4EFA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5D8323CD"/>
    <w:multiLevelType w:val="multilevel"/>
    <w:tmpl w:val="419A3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63834E8"/>
    <w:multiLevelType w:val="hybridMultilevel"/>
    <w:tmpl w:val="E8DCE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E82320D"/>
    <w:multiLevelType w:val="hybridMultilevel"/>
    <w:tmpl w:val="C0029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700F2C85"/>
    <w:multiLevelType w:val="hybridMultilevel"/>
    <w:tmpl w:val="6A54B99C"/>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9" w15:restartNumberingAfterBreak="0">
    <w:nsid w:val="71272775"/>
    <w:multiLevelType w:val="hybridMultilevel"/>
    <w:tmpl w:val="FE12A6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78EA6977"/>
    <w:multiLevelType w:val="multilevel"/>
    <w:tmpl w:val="8848D1A2"/>
    <w:lvl w:ilvl="0">
      <w:start w:val="1"/>
      <w:numFmt w:val="bullet"/>
      <w:lvlText w:val="o"/>
      <w:lvlJc w:val="left"/>
      <w:pPr>
        <w:ind w:left="357" w:hanging="357"/>
      </w:pPr>
      <w:rPr>
        <w:rFonts w:ascii="Courier New" w:hAnsi="Courier New" w:cs="Courier New"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51" w15:restartNumberingAfterBreak="0">
    <w:nsid w:val="7C1218D3"/>
    <w:multiLevelType w:val="singleLevel"/>
    <w:tmpl w:val="F9C47940"/>
    <w:lvl w:ilvl="0">
      <w:start w:val="1"/>
      <w:numFmt w:val="bullet"/>
      <w:pStyle w:val="Bullet"/>
      <w:lvlText w:val=""/>
      <w:lvlJc w:val="left"/>
      <w:pPr>
        <w:tabs>
          <w:tab w:val="num" w:pos="284"/>
        </w:tabs>
        <w:ind w:left="284" w:hanging="284"/>
      </w:pPr>
      <w:rPr>
        <w:rFonts w:ascii="Symbol" w:hAnsi="Symbol" w:hint="default"/>
        <w:sz w:val="18"/>
      </w:rPr>
    </w:lvl>
  </w:abstractNum>
  <w:abstractNum w:abstractNumId="52" w15:restartNumberingAfterBreak="0">
    <w:nsid w:val="7EE56D14"/>
    <w:multiLevelType w:val="multilevel"/>
    <w:tmpl w:val="D98A295A"/>
    <w:lvl w:ilvl="0">
      <w:start w:val="1"/>
      <w:numFmt w:val="bullet"/>
      <w:lvlText w:val=""/>
      <w:lvlJc w:val="left"/>
      <w:pPr>
        <w:ind w:left="357" w:hanging="357"/>
      </w:pPr>
      <w:rPr>
        <w:rFonts w:ascii="Symbol" w:hAnsi="Symbol"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num w:numId="1" w16cid:durableId="1926986573">
    <w:abstractNumId w:val="51"/>
  </w:num>
  <w:num w:numId="2" w16cid:durableId="2098086933">
    <w:abstractNumId w:val="29"/>
  </w:num>
  <w:num w:numId="3" w16cid:durableId="282347453">
    <w:abstractNumId w:val="30"/>
  </w:num>
  <w:num w:numId="4" w16cid:durableId="218594125">
    <w:abstractNumId w:val="6"/>
  </w:num>
  <w:num w:numId="5" w16cid:durableId="259535926">
    <w:abstractNumId w:val="3"/>
  </w:num>
  <w:num w:numId="6" w16cid:durableId="1539394107">
    <w:abstractNumId w:val="35"/>
  </w:num>
  <w:num w:numId="7" w16cid:durableId="1384254231">
    <w:abstractNumId w:val="45"/>
  </w:num>
  <w:num w:numId="8" w16cid:durableId="762846720">
    <w:abstractNumId w:val="5"/>
  </w:num>
  <w:num w:numId="9" w16cid:durableId="573318835">
    <w:abstractNumId w:val="46"/>
  </w:num>
  <w:num w:numId="10" w16cid:durableId="2066443393">
    <w:abstractNumId w:val="37"/>
  </w:num>
  <w:num w:numId="11" w16cid:durableId="486090578">
    <w:abstractNumId w:val="22"/>
  </w:num>
  <w:num w:numId="12" w16cid:durableId="350224985">
    <w:abstractNumId w:val="28"/>
  </w:num>
  <w:num w:numId="13" w16cid:durableId="771781308">
    <w:abstractNumId w:val="2"/>
  </w:num>
  <w:num w:numId="14" w16cid:durableId="232207569">
    <w:abstractNumId w:val="17"/>
  </w:num>
  <w:num w:numId="15" w16cid:durableId="1516964113">
    <w:abstractNumId w:val="26"/>
  </w:num>
  <w:num w:numId="16" w16cid:durableId="1874491649">
    <w:abstractNumId w:val="38"/>
  </w:num>
  <w:num w:numId="17" w16cid:durableId="1115641131">
    <w:abstractNumId w:val="10"/>
  </w:num>
  <w:num w:numId="18" w16cid:durableId="1968274968">
    <w:abstractNumId w:val="19"/>
  </w:num>
  <w:num w:numId="19" w16cid:durableId="534196703">
    <w:abstractNumId w:val="12"/>
  </w:num>
  <w:num w:numId="20" w16cid:durableId="40831705">
    <w:abstractNumId w:val="8"/>
  </w:num>
  <w:num w:numId="21" w16cid:durableId="2032559922">
    <w:abstractNumId w:val="49"/>
  </w:num>
  <w:num w:numId="22" w16cid:durableId="801776022">
    <w:abstractNumId w:val="18"/>
  </w:num>
  <w:num w:numId="23" w16cid:durableId="729688340">
    <w:abstractNumId w:val="47"/>
  </w:num>
  <w:num w:numId="24" w16cid:durableId="175508923">
    <w:abstractNumId w:val="4"/>
  </w:num>
  <w:num w:numId="25" w16cid:durableId="1350450936">
    <w:abstractNumId w:val="9"/>
  </w:num>
  <w:num w:numId="26" w16cid:durableId="877625278">
    <w:abstractNumId w:val="7"/>
  </w:num>
  <w:num w:numId="27" w16cid:durableId="954214537">
    <w:abstractNumId w:val="41"/>
  </w:num>
  <w:num w:numId="28" w16cid:durableId="1445493748">
    <w:abstractNumId w:val="48"/>
  </w:num>
  <w:num w:numId="29" w16cid:durableId="710032011">
    <w:abstractNumId w:val="25"/>
  </w:num>
  <w:num w:numId="30" w16cid:durableId="1749837665">
    <w:abstractNumId w:val="16"/>
  </w:num>
  <w:num w:numId="31" w16cid:durableId="1544708601">
    <w:abstractNumId w:val="36"/>
  </w:num>
  <w:num w:numId="32" w16cid:durableId="1296837134">
    <w:abstractNumId w:val="27"/>
  </w:num>
  <w:num w:numId="33" w16cid:durableId="909732527">
    <w:abstractNumId w:val="52"/>
  </w:num>
  <w:num w:numId="34" w16cid:durableId="1309478967">
    <w:abstractNumId w:val="23"/>
  </w:num>
  <w:num w:numId="35" w16cid:durableId="261108552">
    <w:abstractNumId w:val="43"/>
  </w:num>
  <w:num w:numId="36" w16cid:durableId="1106269083">
    <w:abstractNumId w:val="39"/>
  </w:num>
  <w:num w:numId="37" w16cid:durableId="964651619">
    <w:abstractNumId w:val="50"/>
  </w:num>
  <w:num w:numId="38" w16cid:durableId="1199665997">
    <w:abstractNumId w:val="42"/>
  </w:num>
  <w:num w:numId="39" w16cid:durableId="1141918781">
    <w:abstractNumId w:val="31"/>
  </w:num>
  <w:num w:numId="40" w16cid:durableId="1651398377">
    <w:abstractNumId w:val="32"/>
  </w:num>
  <w:num w:numId="41" w16cid:durableId="816919279">
    <w:abstractNumId w:val="13"/>
  </w:num>
  <w:num w:numId="42" w16cid:durableId="75252829">
    <w:abstractNumId w:val="34"/>
  </w:num>
  <w:num w:numId="43" w16cid:durableId="1625652457">
    <w:abstractNumId w:val="24"/>
  </w:num>
  <w:num w:numId="44" w16cid:durableId="44075778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75402170">
    <w:abstractNumId w:val="21"/>
  </w:num>
  <w:num w:numId="46" w16cid:durableId="558789313">
    <w:abstractNumId w:val="14"/>
  </w:num>
  <w:num w:numId="47" w16cid:durableId="429281746">
    <w:abstractNumId w:val="15"/>
  </w:num>
  <w:num w:numId="48" w16cid:durableId="486090867">
    <w:abstractNumId w:val="20"/>
  </w:num>
  <w:num w:numId="49" w16cid:durableId="41945090">
    <w:abstractNumId w:val="11"/>
  </w:num>
  <w:num w:numId="50" w16cid:durableId="843085412">
    <w:abstractNumId w:val="6"/>
    <w:lvlOverride w:ilvl="0">
      <w:startOverride w:val="1"/>
    </w:lvlOverride>
  </w:num>
  <w:num w:numId="51" w16cid:durableId="1002318681">
    <w:abstractNumId w:val="1"/>
  </w:num>
  <w:num w:numId="52" w16cid:durableId="656081344">
    <w:abstractNumId w:val="0"/>
  </w:num>
  <w:num w:numId="53" w16cid:durableId="2131050047">
    <w:abstractNumId w:val="1"/>
    <w:lvlOverride w:ilvl="0">
      <w:startOverride w:val="1"/>
    </w:lvlOverride>
  </w:num>
  <w:num w:numId="54" w16cid:durableId="1724060299">
    <w:abstractNumId w:val="40"/>
  </w:num>
  <w:num w:numId="55" w16cid:durableId="1047333343">
    <w:abstractNumId w:val="1"/>
    <w:lvlOverride w:ilvl="0">
      <w:startOverride w:val="1"/>
    </w:lvlOverride>
  </w:num>
  <w:num w:numId="56" w16cid:durableId="1535580343">
    <w:abstractNumId w:val="33"/>
  </w:num>
  <w:num w:numId="57" w16cid:durableId="2099863758">
    <w:abstractNumId w:val="51"/>
  </w:num>
  <w:num w:numId="58" w16cid:durableId="485247486">
    <w:abstractNumId w:val="51"/>
  </w:num>
  <w:num w:numId="59" w16cid:durableId="862476428">
    <w:abstractNumId w:val="51"/>
  </w:num>
  <w:num w:numId="60" w16cid:durableId="1433013249">
    <w:abstractNumId w:val="51"/>
  </w:num>
  <w:num w:numId="61" w16cid:durableId="1837109236">
    <w:abstractNumId w:val="51"/>
  </w:num>
  <w:num w:numId="62" w16cid:durableId="1506245991">
    <w:abstractNumId w:val="51"/>
  </w:num>
  <w:num w:numId="63" w16cid:durableId="1559129878">
    <w:abstractNumId w:val="51"/>
  </w:num>
  <w:num w:numId="64" w16cid:durableId="1529027829">
    <w:abstractNumId w:val="51"/>
  </w:num>
  <w:num w:numId="65" w16cid:durableId="1000734812">
    <w:abstractNumId w:val="51"/>
  </w:num>
  <w:num w:numId="66" w16cid:durableId="1006323241">
    <w:abstractNumId w:val="44"/>
  </w:num>
  <w:num w:numId="67" w16cid:durableId="1714229079">
    <w:abstractNumId w:val="51"/>
  </w:num>
  <w:num w:numId="68" w16cid:durableId="1060785127">
    <w:abstractNumId w:val="51"/>
  </w:num>
  <w:num w:numId="69" w16cid:durableId="637034957">
    <w:abstractNumId w:val="29"/>
  </w:num>
  <w:num w:numId="70" w16cid:durableId="1552225841">
    <w:abstractNumId w:val="3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1254"/>
    <w:rsid w:val="00001D16"/>
    <w:rsid w:val="000025B8"/>
    <w:rsid w:val="00005BB5"/>
    <w:rsid w:val="000144DE"/>
    <w:rsid w:val="00025A6F"/>
    <w:rsid w:val="0002618D"/>
    <w:rsid w:val="00027C47"/>
    <w:rsid w:val="00030B26"/>
    <w:rsid w:val="00030E84"/>
    <w:rsid w:val="00032C0A"/>
    <w:rsid w:val="00035257"/>
    <w:rsid w:val="00035D68"/>
    <w:rsid w:val="00036027"/>
    <w:rsid w:val="00041446"/>
    <w:rsid w:val="000419A9"/>
    <w:rsid w:val="00044B60"/>
    <w:rsid w:val="000452B8"/>
    <w:rsid w:val="00045613"/>
    <w:rsid w:val="00047899"/>
    <w:rsid w:val="00053921"/>
    <w:rsid w:val="00054B44"/>
    <w:rsid w:val="000561C6"/>
    <w:rsid w:val="00056D12"/>
    <w:rsid w:val="0006006B"/>
    <w:rsid w:val="0006228D"/>
    <w:rsid w:val="0006377D"/>
    <w:rsid w:val="000645C2"/>
    <w:rsid w:val="00072BD6"/>
    <w:rsid w:val="00075B78"/>
    <w:rsid w:val="000763E9"/>
    <w:rsid w:val="00082CD6"/>
    <w:rsid w:val="0008437D"/>
    <w:rsid w:val="000858A5"/>
    <w:rsid w:val="00085AFE"/>
    <w:rsid w:val="00086392"/>
    <w:rsid w:val="00094800"/>
    <w:rsid w:val="000A0158"/>
    <w:rsid w:val="000A373D"/>
    <w:rsid w:val="000A41ED"/>
    <w:rsid w:val="000A6ECD"/>
    <w:rsid w:val="000B0730"/>
    <w:rsid w:val="000B5FAA"/>
    <w:rsid w:val="000B73CD"/>
    <w:rsid w:val="000C59EE"/>
    <w:rsid w:val="000D19F4"/>
    <w:rsid w:val="000D294A"/>
    <w:rsid w:val="000D58DD"/>
    <w:rsid w:val="000E0BD4"/>
    <w:rsid w:val="000F058B"/>
    <w:rsid w:val="000F1305"/>
    <w:rsid w:val="000F1F42"/>
    <w:rsid w:val="000F2AE2"/>
    <w:rsid w:val="000F2AF2"/>
    <w:rsid w:val="000F2BFF"/>
    <w:rsid w:val="000F534A"/>
    <w:rsid w:val="000F63D2"/>
    <w:rsid w:val="00100017"/>
    <w:rsid w:val="00102063"/>
    <w:rsid w:val="0010541C"/>
    <w:rsid w:val="00105770"/>
    <w:rsid w:val="001061FB"/>
    <w:rsid w:val="00106F93"/>
    <w:rsid w:val="00111D50"/>
    <w:rsid w:val="00113B8E"/>
    <w:rsid w:val="001164F1"/>
    <w:rsid w:val="001179C2"/>
    <w:rsid w:val="00117F59"/>
    <w:rsid w:val="0012053C"/>
    <w:rsid w:val="00120C4C"/>
    <w:rsid w:val="00122363"/>
    <w:rsid w:val="00125D45"/>
    <w:rsid w:val="00132B94"/>
    <w:rsid w:val="001342C7"/>
    <w:rsid w:val="0013585C"/>
    <w:rsid w:val="00142261"/>
    <w:rsid w:val="00142954"/>
    <w:rsid w:val="001460E0"/>
    <w:rsid w:val="001472F0"/>
    <w:rsid w:val="00147F71"/>
    <w:rsid w:val="00150432"/>
    <w:rsid w:val="00150A6E"/>
    <w:rsid w:val="00160810"/>
    <w:rsid w:val="0016304B"/>
    <w:rsid w:val="0016318F"/>
    <w:rsid w:val="0016468A"/>
    <w:rsid w:val="0017070E"/>
    <w:rsid w:val="0017227F"/>
    <w:rsid w:val="00174F02"/>
    <w:rsid w:val="00176F24"/>
    <w:rsid w:val="0018060A"/>
    <w:rsid w:val="001831D5"/>
    <w:rsid w:val="0018376C"/>
    <w:rsid w:val="00184D75"/>
    <w:rsid w:val="0018662D"/>
    <w:rsid w:val="001871AD"/>
    <w:rsid w:val="00197427"/>
    <w:rsid w:val="001A0C63"/>
    <w:rsid w:val="001A13C7"/>
    <w:rsid w:val="001A21B4"/>
    <w:rsid w:val="001A43ED"/>
    <w:rsid w:val="001A5CF5"/>
    <w:rsid w:val="001A750E"/>
    <w:rsid w:val="001B0C02"/>
    <w:rsid w:val="001B1EF5"/>
    <w:rsid w:val="001B39D2"/>
    <w:rsid w:val="001B4BF8"/>
    <w:rsid w:val="001B7B14"/>
    <w:rsid w:val="001B7F72"/>
    <w:rsid w:val="001C4326"/>
    <w:rsid w:val="001C665E"/>
    <w:rsid w:val="001D1B9A"/>
    <w:rsid w:val="001D3541"/>
    <w:rsid w:val="001D3E4E"/>
    <w:rsid w:val="001D5295"/>
    <w:rsid w:val="001E0027"/>
    <w:rsid w:val="001E12D2"/>
    <w:rsid w:val="001E254A"/>
    <w:rsid w:val="001E7386"/>
    <w:rsid w:val="001F33A3"/>
    <w:rsid w:val="001F45A7"/>
    <w:rsid w:val="001F5E27"/>
    <w:rsid w:val="0020027C"/>
    <w:rsid w:val="00200906"/>
    <w:rsid w:val="00201A01"/>
    <w:rsid w:val="00202784"/>
    <w:rsid w:val="0020754B"/>
    <w:rsid w:val="002104D3"/>
    <w:rsid w:val="00212D56"/>
    <w:rsid w:val="002137ED"/>
    <w:rsid w:val="00213A33"/>
    <w:rsid w:val="0021763B"/>
    <w:rsid w:val="00232E9F"/>
    <w:rsid w:val="00235F7F"/>
    <w:rsid w:val="002415E9"/>
    <w:rsid w:val="0024198F"/>
    <w:rsid w:val="00245748"/>
    <w:rsid w:val="00246DB1"/>
    <w:rsid w:val="002476B5"/>
    <w:rsid w:val="002520CC"/>
    <w:rsid w:val="00253ECF"/>
    <w:rsid w:val="00254044"/>
    <w:rsid w:val="002546A1"/>
    <w:rsid w:val="002575E8"/>
    <w:rsid w:val="00257EF1"/>
    <w:rsid w:val="002623BB"/>
    <w:rsid w:val="002628F4"/>
    <w:rsid w:val="0027288D"/>
    <w:rsid w:val="00272B76"/>
    <w:rsid w:val="00275D08"/>
    <w:rsid w:val="00282413"/>
    <w:rsid w:val="002839AF"/>
    <w:rsid w:val="00285080"/>
    <w:rsid w:val="002858E3"/>
    <w:rsid w:val="0029190A"/>
    <w:rsid w:val="00292C5A"/>
    <w:rsid w:val="00294EEA"/>
    <w:rsid w:val="00295241"/>
    <w:rsid w:val="00295E02"/>
    <w:rsid w:val="002967E7"/>
    <w:rsid w:val="002A1528"/>
    <w:rsid w:val="002A18C7"/>
    <w:rsid w:val="002A235E"/>
    <w:rsid w:val="002A3097"/>
    <w:rsid w:val="002A4BA9"/>
    <w:rsid w:val="002A4DFC"/>
    <w:rsid w:val="002A5AD2"/>
    <w:rsid w:val="002A7262"/>
    <w:rsid w:val="002B047D"/>
    <w:rsid w:val="002B17BB"/>
    <w:rsid w:val="002B732B"/>
    <w:rsid w:val="002B76A7"/>
    <w:rsid w:val="002B7BEC"/>
    <w:rsid w:val="002C2219"/>
    <w:rsid w:val="002C2552"/>
    <w:rsid w:val="002C380A"/>
    <w:rsid w:val="002D0A37"/>
    <w:rsid w:val="002D0DF2"/>
    <w:rsid w:val="002D23BD"/>
    <w:rsid w:val="002E0B47"/>
    <w:rsid w:val="002F3A0D"/>
    <w:rsid w:val="002F4685"/>
    <w:rsid w:val="002F5725"/>
    <w:rsid w:val="002F7213"/>
    <w:rsid w:val="00301654"/>
    <w:rsid w:val="00302F49"/>
    <w:rsid w:val="0030382F"/>
    <w:rsid w:val="0030408D"/>
    <w:rsid w:val="003060E4"/>
    <w:rsid w:val="00310A97"/>
    <w:rsid w:val="00310CB6"/>
    <w:rsid w:val="003115E2"/>
    <w:rsid w:val="003160E7"/>
    <w:rsid w:val="0031739E"/>
    <w:rsid w:val="00317DA3"/>
    <w:rsid w:val="00321381"/>
    <w:rsid w:val="003214CF"/>
    <w:rsid w:val="003235C6"/>
    <w:rsid w:val="00327E4C"/>
    <w:rsid w:val="003309CA"/>
    <w:rsid w:val="0033156B"/>
    <w:rsid w:val="003325AB"/>
    <w:rsid w:val="003332D1"/>
    <w:rsid w:val="0033412B"/>
    <w:rsid w:val="0033448B"/>
    <w:rsid w:val="00341161"/>
    <w:rsid w:val="00343365"/>
    <w:rsid w:val="00343C7C"/>
    <w:rsid w:val="003445F4"/>
    <w:rsid w:val="00347962"/>
    <w:rsid w:val="0035202B"/>
    <w:rsid w:val="00353501"/>
    <w:rsid w:val="00353734"/>
    <w:rsid w:val="003538D4"/>
    <w:rsid w:val="00354461"/>
    <w:rsid w:val="00356234"/>
    <w:rsid w:val="0036025C"/>
    <w:rsid w:val="003606F8"/>
    <w:rsid w:val="00364744"/>
    <w:rsid w:val="003648EF"/>
    <w:rsid w:val="003673E6"/>
    <w:rsid w:val="003732C6"/>
    <w:rsid w:val="00373A58"/>
    <w:rsid w:val="00377264"/>
    <w:rsid w:val="003779D2"/>
    <w:rsid w:val="00385E38"/>
    <w:rsid w:val="00386C63"/>
    <w:rsid w:val="00386D81"/>
    <w:rsid w:val="003952F9"/>
    <w:rsid w:val="003A1A37"/>
    <w:rsid w:val="003A26A5"/>
    <w:rsid w:val="003A3761"/>
    <w:rsid w:val="003A512D"/>
    <w:rsid w:val="003A5FEA"/>
    <w:rsid w:val="003A710B"/>
    <w:rsid w:val="003B130C"/>
    <w:rsid w:val="003B1D10"/>
    <w:rsid w:val="003B30DE"/>
    <w:rsid w:val="003B5DA6"/>
    <w:rsid w:val="003B63EE"/>
    <w:rsid w:val="003C310C"/>
    <w:rsid w:val="003C76D4"/>
    <w:rsid w:val="003D137D"/>
    <w:rsid w:val="003D1411"/>
    <w:rsid w:val="003D2CC5"/>
    <w:rsid w:val="003D3E5C"/>
    <w:rsid w:val="003D4160"/>
    <w:rsid w:val="003D59BB"/>
    <w:rsid w:val="003E04C1"/>
    <w:rsid w:val="003E0887"/>
    <w:rsid w:val="003E1098"/>
    <w:rsid w:val="003E65EE"/>
    <w:rsid w:val="003E74C8"/>
    <w:rsid w:val="003E74E2"/>
    <w:rsid w:val="003E7C46"/>
    <w:rsid w:val="003F2106"/>
    <w:rsid w:val="003F52A7"/>
    <w:rsid w:val="003F7013"/>
    <w:rsid w:val="003F7F6A"/>
    <w:rsid w:val="0040240C"/>
    <w:rsid w:val="004059A5"/>
    <w:rsid w:val="00413021"/>
    <w:rsid w:val="00414C35"/>
    <w:rsid w:val="004171B7"/>
    <w:rsid w:val="00424706"/>
    <w:rsid w:val="00425E93"/>
    <w:rsid w:val="004301C6"/>
    <w:rsid w:val="0043478F"/>
    <w:rsid w:val="00435A0B"/>
    <w:rsid w:val="00435B13"/>
    <w:rsid w:val="0043602B"/>
    <w:rsid w:val="004367D2"/>
    <w:rsid w:val="004374D1"/>
    <w:rsid w:val="00440BE0"/>
    <w:rsid w:val="00442A06"/>
    <w:rsid w:val="00442C1C"/>
    <w:rsid w:val="00443C1B"/>
    <w:rsid w:val="0044584B"/>
    <w:rsid w:val="00447CB7"/>
    <w:rsid w:val="00455CC9"/>
    <w:rsid w:val="00460826"/>
    <w:rsid w:val="00460B1E"/>
    <w:rsid w:val="00460EA7"/>
    <w:rsid w:val="0046195B"/>
    <w:rsid w:val="0046362D"/>
    <w:rsid w:val="0046596D"/>
    <w:rsid w:val="00466625"/>
    <w:rsid w:val="0047356F"/>
    <w:rsid w:val="00473DAB"/>
    <w:rsid w:val="00477179"/>
    <w:rsid w:val="004852AB"/>
    <w:rsid w:val="00487A34"/>
    <w:rsid w:val="00487C04"/>
    <w:rsid w:val="004907E1"/>
    <w:rsid w:val="00494C8E"/>
    <w:rsid w:val="00494E7D"/>
    <w:rsid w:val="00496B03"/>
    <w:rsid w:val="004A035B"/>
    <w:rsid w:val="004A2108"/>
    <w:rsid w:val="004A38D7"/>
    <w:rsid w:val="004A469A"/>
    <w:rsid w:val="004A4DC9"/>
    <w:rsid w:val="004A5444"/>
    <w:rsid w:val="004A778C"/>
    <w:rsid w:val="004B06DB"/>
    <w:rsid w:val="004B14DD"/>
    <w:rsid w:val="004B48C7"/>
    <w:rsid w:val="004C2E6A"/>
    <w:rsid w:val="004C64B8"/>
    <w:rsid w:val="004D2A2D"/>
    <w:rsid w:val="004D479F"/>
    <w:rsid w:val="004D6689"/>
    <w:rsid w:val="004E1D1D"/>
    <w:rsid w:val="004E40EB"/>
    <w:rsid w:val="004E7AC8"/>
    <w:rsid w:val="004F05F4"/>
    <w:rsid w:val="004F087B"/>
    <w:rsid w:val="004F0C94"/>
    <w:rsid w:val="005019AE"/>
    <w:rsid w:val="00503749"/>
    <w:rsid w:val="00503D59"/>
    <w:rsid w:val="00504CF4"/>
    <w:rsid w:val="0050635B"/>
    <w:rsid w:val="005075B3"/>
    <w:rsid w:val="005148E4"/>
    <w:rsid w:val="00514B58"/>
    <w:rsid w:val="005151C2"/>
    <w:rsid w:val="00517FB7"/>
    <w:rsid w:val="005205B8"/>
    <w:rsid w:val="005207D8"/>
    <w:rsid w:val="00524BB1"/>
    <w:rsid w:val="005275E8"/>
    <w:rsid w:val="005309FE"/>
    <w:rsid w:val="0053199F"/>
    <w:rsid w:val="00531E12"/>
    <w:rsid w:val="00533B90"/>
    <w:rsid w:val="0053642A"/>
    <w:rsid w:val="005410F8"/>
    <w:rsid w:val="00541902"/>
    <w:rsid w:val="005448EC"/>
    <w:rsid w:val="00545963"/>
    <w:rsid w:val="00550256"/>
    <w:rsid w:val="00552B1F"/>
    <w:rsid w:val="00553165"/>
    <w:rsid w:val="00553958"/>
    <w:rsid w:val="00556BB7"/>
    <w:rsid w:val="0055763D"/>
    <w:rsid w:val="00560C18"/>
    <w:rsid w:val="00561516"/>
    <w:rsid w:val="00562018"/>
    <w:rsid w:val="005621F2"/>
    <w:rsid w:val="00564C81"/>
    <w:rsid w:val="00567B58"/>
    <w:rsid w:val="00567D19"/>
    <w:rsid w:val="00571223"/>
    <w:rsid w:val="005718A6"/>
    <w:rsid w:val="00571C73"/>
    <w:rsid w:val="00573548"/>
    <w:rsid w:val="00573FF2"/>
    <w:rsid w:val="005748F9"/>
    <w:rsid w:val="005763E0"/>
    <w:rsid w:val="005801AC"/>
    <w:rsid w:val="00581136"/>
    <w:rsid w:val="00581EB8"/>
    <w:rsid w:val="005839E7"/>
    <w:rsid w:val="0058437F"/>
    <w:rsid w:val="005845DF"/>
    <w:rsid w:val="005948C9"/>
    <w:rsid w:val="00595C0E"/>
    <w:rsid w:val="005972AE"/>
    <w:rsid w:val="005A195C"/>
    <w:rsid w:val="005A27CA"/>
    <w:rsid w:val="005A32DC"/>
    <w:rsid w:val="005A40B2"/>
    <w:rsid w:val="005A43BD"/>
    <w:rsid w:val="005A73E2"/>
    <w:rsid w:val="005A79E5"/>
    <w:rsid w:val="005C0CE1"/>
    <w:rsid w:val="005C4E6F"/>
    <w:rsid w:val="005D034C"/>
    <w:rsid w:val="005D2AFD"/>
    <w:rsid w:val="005D41CC"/>
    <w:rsid w:val="005D50B6"/>
    <w:rsid w:val="005E226E"/>
    <w:rsid w:val="005E2636"/>
    <w:rsid w:val="005E373A"/>
    <w:rsid w:val="005E3B50"/>
    <w:rsid w:val="005F3981"/>
    <w:rsid w:val="005F3AB8"/>
    <w:rsid w:val="00600DC6"/>
    <w:rsid w:val="006015D7"/>
    <w:rsid w:val="00601B21"/>
    <w:rsid w:val="00601D47"/>
    <w:rsid w:val="0060264F"/>
    <w:rsid w:val="006041F0"/>
    <w:rsid w:val="00605C6D"/>
    <w:rsid w:val="006120CA"/>
    <w:rsid w:val="0061443A"/>
    <w:rsid w:val="006200F0"/>
    <w:rsid w:val="00621E74"/>
    <w:rsid w:val="00624174"/>
    <w:rsid w:val="00624682"/>
    <w:rsid w:val="00626CF8"/>
    <w:rsid w:val="00630E6F"/>
    <w:rsid w:val="006314AF"/>
    <w:rsid w:val="00634003"/>
    <w:rsid w:val="00634ED8"/>
    <w:rsid w:val="00636D7D"/>
    <w:rsid w:val="00637408"/>
    <w:rsid w:val="006427DD"/>
    <w:rsid w:val="00642868"/>
    <w:rsid w:val="00647AFE"/>
    <w:rsid w:val="00647C27"/>
    <w:rsid w:val="00650417"/>
    <w:rsid w:val="00651099"/>
    <w:rsid w:val="006512BC"/>
    <w:rsid w:val="00653A5A"/>
    <w:rsid w:val="006554AC"/>
    <w:rsid w:val="00656F28"/>
    <w:rsid w:val="00657027"/>
    <w:rsid w:val="006575F4"/>
    <w:rsid w:val="006579E6"/>
    <w:rsid w:val="00660682"/>
    <w:rsid w:val="00660F74"/>
    <w:rsid w:val="00661297"/>
    <w:rsid w:val="00663846"/>
    <w:rsid w:val="00663EDC"/>
    <w:rsid w:val="00671078"/>
    <w:rsid w:val="006758CA"/>
    <w:rsid w:val="0068088A"/>
    <w:rsid w:val="00680A04"/>
    <w:rsid w:val="00684D6A"/>
    <w:rsid w:val="00686CF2"/>
    <w:rsid w:val="00686D80"/>
    <w:rsid w:val="00694895"/>
    <w:rsid w:val="00696F63"/>
    <w:rsid w:val="00697E2E"/>
    <w:rsid w:val="006A08FA"/>
    <w:rsid w:val="006A25A2"/>
    <w:rsid w:val="006A3B87"/>
    <w:rsid w:val="006B0A88"/>
    <w:rsid w:val="006B0E73"/>
    <w:rsid w:val="006B1E3D"/>
    <w:rsid w:val="006B4A4D"/>
    <w:rsid w:val="006B5695"/>
    <w:rsid w:val="006B62E6"/>
    <w:rsid w:val="006B7B2E"/>
    <w:rsid w:val="006C78EB"/>
    <w:rsid w:val="006D1434"/>
    <w:rsid w:val="006D1547"/>
    <w:rsid w:val="006D1660"/>
    <w:rsid w:val="006D63E5"/>
    <w:rsid w:val="006E1753"/>
    <w:rsid w:val="006E2886"/>
    <w:rsid w:val="006E2E7F"/>
    <w:rsid w:val="006E3133"/>
    <w:rsid w:val="006E3911"/>
    <w:rsid w:val="006E47F4"/>
    <w:rsid w:val="006E69F4"/>
    <w:rsid w:val="006F1B67"/>
    <w:rsid w:val="006F3136"/>
    <w:rsid w:val="006F4D9C"/>
    <w:rsid w:val="006F6494"/>
    <w:rsid w:val="0070091D"/>
    <w:rsid w:val="00702854"/>
    <w:rsid w:val="0071741C"/>
    <w:rsid w:val="00721BD9"/>
    <w:rsid w:val="00722547"/>
    <w:rsid w:val="00723204"/>
    <w:rsid w:val="0072733D"/>
    <w:rsid w:val="007327B0"/>
    <w:rsid w:val="00740150"/>
    <w:rsid w:val="00740481"/>
    <w:rsid w:val="00740668"/>
    <w:rsid w:val="00742B90"/>
    <w:rsid w:val="007441BF"/>
    <w:rsid w:val="0074434D"/>
    <w:rsid w:val="007464BF"/>
    <w:rsid w:val="00752E53"/>
    <w:rsid w:val="00755A1D"/>
    <w:rsid w:val="007570C4"/>
    <w:rsid w:val="007605B8"/>
    <w:rsid w:val="00760D6B"/>
    <w:rsid w:val="007639D2"/>
    <w:rsid w:val="00771B1E"/>
    <w:rsid w:val="00773C95"/>
    <w:rsid w:val="0078171E"/>
    <w:rsid w:val="0078658E"/>
    <w:rsid w:val="007865F6"/>
    <w:rsid w:val="007920E2"/>
    <w:rsid w:val="0079566E"/>
    <w:rsid w:val="00795B34"/>
    <w:rsid w:val="007979D9"/>
    <w:rsid w:val="007A067F"/>
    <w:rsid w:val="007B1770"/>
    <w:rsid w:val="007B4D3E"/>
    <w:rsid w:val="007B53E0"/>
    <w:rsid w:val="007B6224"/>
    <w:rsid w:val="007B7C70"/>
    <w:rsid w:val="007B7DEB"/>
    <w:rsid w:val="007C0449"/>
    <w:rsid w:val="007C43B6"/>
    <w:rsid w:val="007C49E5"/>
    <w:rsid w:val="007C5F01"/>
    <w:rsid w:val="007D2151"/>
    <w:rsid w:val="007D3B90"/>
    <w:rsid w:val="007D42CC"/>
    <w:rsid w:val="007D5DE4"/>
    <w:rsid w:val="007D7230"/>
    <w:rsid w:val="007D7C3A"/>
    <w:rsid w:val="007E0777"/>
    <w:rsid w:val="007E1341"/>
    <w:rsid w:val="007E1B41"/>
    <w:rsid w:val="007E1EC4"/>
    <w:rsid w:val="007E30B9"/>
    <w:rsid w:val="007E54F1"/>
    <w:rsid w:val="007E600C"/>
    <w:rsid w:val="007E672F"/>
    <w:rsid w:val="007E74F1"/>
    <w:rsid w:val="007F0F0C"/>
    <w:rsid w:val="007F1288"/>
    <w:rsid w:val="007F3095"/>
    <w:rsid w:val="007F3E11"/>
    <w:rsid w:val="007F646F"/>
    <w:rsid w:val="008003C8"/>
    <w:rsid w:val="00800A8A"/>
    <w:rsid w:val="0080155C"/>
    <w:rsid w:val="008052E1"/>
    <w:rsid w:val="00811EEB"/>
    <w:rsid w:val="0082081A"/>
    <w:rsid w:val="00822F2C"/>
    <w:rsid w:val="00823DD4"/>
    <w:rsid w:val="00823DEE"/>
    <w:rsid w:val="008305E8"/>
    <w:rsid w:val="00836165"/>
    <w:rsid w:val="008365B2"/>
    <w:rsid w:val="0084640C"/>
    <w:rsid w:val="00852C5D"/>
    <w:rsid w:val="00855F4C"/>
    <w:rsid w:val="00856088"/>
    <w:rsid w:val="00860826"/>
    <w:rsid w:val="00860E21"/>
    <w:rsid w:val="00863117"/>
    <w:rsid w:val="0086388B"/>
    <w:rsid w:val="008642E5"/>
    <w:rsid w:val="00864488"/>
    <w:rsid w:val="00870A36"/>
    <w:rsid w:val="00872D93"/>
    <w:rsid w:val="0087333E"/>
    <w:rsid w:val="00880470"/>
    <w:rsid w:val="00880D94"/>
    <w:rsid w:val="008814E8"/>
    <w:rsid w:val="00883BB0"/>
    <w:rsid w:val="00886F64"/>
    <w:rsid w:val="008879A1"/>
    <w:rsid w:val="00887D15"/>
    <w:rsid w:val="008924DE"/>
    <w:rsid w:val="008A3755"/>
    <w:rsid w:val="008A7082"/>
    <w:rsid w:val="008B19DC"/>
    <w:rsid w:val="008B264F"/>
    <w:rsid w:val="008B51CC"/>
    <w:rsid w:val="008B6B73"/>
    <w:rsid w:val="008B6F83"/>
    <w:rsid w:val="008B7FD8"/>
    <w:rsid w:val="008C11AC"/>
    <w:rsid w:val="008C12C4"/>
    <w:rsid w:val="008C2973"/>
    <w:rsid w:val="008C6324"/>
    <w:rsid w:val="008C64C4"/>
    <w:rsid w:val="008D10F0"/>
    <w:rsid w:val="008D1D30"/>
    <w:rsid w:val="008D2CDD"/>
    <w:rsid w:val="008D41C9"/>
    <w:rsid w:val="008D74D5"/>
    <w:rsid w:val="008D7C9F"/>
    <w:rsid w:val="008E04BA"/>
    <w:rsid w:val="008E0568"/>
    <w:rsid w:val="008E0ED1"/>
    <w:rsid w:val="008E2083"/>
    <w:rsid w:val="008E3A07"/>
    <w:rsid w:val="008E537B"/>
    <w:rsid w:val="008F127D"/>
    <w:rsid w:val="008F29BE"/>
    <w:rsid w:val="008F4AE5"/>
    <w:rsid w:val="008F5184"/>
    <w:rsid w:val="008F51EB"/>
    <w:rsid w:val="008F616C"/>
    <w:rsid w:val="00900197"/>
    <w:rsid w:val="009010FC"/>
    <w:rsid w:val="00902F55"/>
    <w:rsid w:val="00905251"/>
    <w:rsid w:val="0090582B"/>
    <w:rsid w:val="009060C0"/>
    <w:rsid w:val="009133F5"/>
    <w:rsid w:val="0091756F"/>
    <w:rsid w:val="00920A27"/>
    <w:rsid w:val="00921216"/>
    <w:rsid w:val="009216CC"/>
    <w:rsid w:val="009220F3"/>
    <w:rsid w:val="00922E41"/>
    <w:rsid w:val="00925892"/>
    <w:rsid w:val="00926083"/>
    <w:rsid w:val="00926D08"/>
    <w:rsid w:val="009309B7"/>
    <w:rsid w:val="00930D08"/>
    <w:rsid w:val="00931466"/>
    <w:rsid w:val="00932D69"/>
    <w:rsid w:val="00935298"/>
    <w:rsid w:val="009354FD"/>
    <w:rsid w:val="00935589"/>
    <w:rsid w:val="00936F1A"/>
    <w:rsid w:val="00937408"/>
    <w:rsid w:val="009427FA"/>
    <w:rsid w:val="00944647"/>
    <w:rsid w:val="0094514D"/>
    <w:rsid w:val="009469E2"/>
    <w:rsid w:val="0095565C"/>
    <w:rsid w:val="0095724A"/>
    <w:rsid w:val="00964AB6"/>
    <w:rsid w:val="00966F9A"/>
    <w:rsid w:val="009732B2"/>
    <w:rsid w:val="00977B8A"/>
    <w:rsid w:val="00982971"/>
    <w:rsid w:val="009845AD"/>
    <w:rsid w:val="00984835"/>
    <w:rsid w:val="009933EF"/>
    <w:rsid w:val="009937CB"/>
    <w:rsid w:val="00995497"/>
    <w:rsid w:val="00995BA0"/>
    <w:rsid w:val="009963C5"/>
    <w:rsid w:val="00997954"/>
    <w:rsid w:val="009A418B"/>
    <w:rsid w:val="009A426F"/>
    <w:rsid w:val="009A42D5"/>
    <w:rsid w:val="009A4473"/>
    <w:rsid w:val="009A6DDC"/>
    <w:rsid w:val="009A6E11"/>
    <w:rsid w:val="009A6E8C"/>
    <w:rsid w:val="009B05C9"/>
    <w:rsid w:val="009B1F81"/>
    <w:rsid w:val="009B1F86"/>
    <w:rsid w:val="009B286C"/>
    <w:rsid w:val="009C151C"/>
    <w:rsid w:val="009C315D"/>
    <w:rsid w:val="009C440A"/>
    <w:rsid w:val="009D086E"/>
    <w:rsid w:val="009D5125"/>
    <w:rsid w:val="009D60B8"/>
    <w:rsid w:val="009D7D4B"/>
    <w:rsid w:val="009E0D16"/>
    <w:rsid w:val="009E36ED"/>
    <w:rsid w:val="009E3B47"/>
    <w:rsid w:val="009E3C8C"/>
    <w:rsid w:val="009E6B77"/>
    <w:rsid w:val="009E7127"/>
    <w:rsid w:val="009F4372"/>
    <w:rsid w:val="009F460A"/>
    <w:rsid w:val="00A01CBF"/>
    <w:rsid w:val="00A043FB"/>
    <w:rsid w:val="00A06BE4"/>
    <w:rsid w:val="00A0729C"/>
    <w:rsid w:val="00A073CF"/>
    <w:rsid w:val="00A07779"/>
    <w:rsid w:val="00A1166A"/>
    <w:rsid w:val="00A16996"/>
    <w:rsid w:val="00A20037"/>
    <w:rsid w:val="00A20B2E"/>
    <w:rsid w:val="00A24F33"/>
    <w:rsid w:val="00A25069"/>
    <w:rsid w:val="00A26E6B"/>
    <w:rsid w:val="00A271DD"/>
    <w:rsid w:val="00A27391"/>
    <w:rsid w:val="00A3068F"/>
    <w:rsid w:val="00A3145B"/>
    <w:rsid w:val="00A318F1"/>
    <w:rsid w:val="00A339D0"/>
    <w:rsid w:val="00A3415C"/>
    <w:rsid w:val="00A359A2"/>
    <w:rsid w:val="00A402E6"/>
    <w:rsid w:val="00A41002"/>
    <w:rsid w:val="00A4201A"/>
    <w:rsid w:val="00A542D0"/>
    <w:rsid w:val="00A5465D"/>
    <w:rsid w:val="00A553CE"/>
    <w:rsid w:val="00A5677A"/>
    <w:rsid w:val="00A56DCC"/>
    <w:rsid w:val="00A60D07"/>
    <w:rsid w:val="00A61B9E"/>
    <w:rsid w:val="00A625E8"/>
    <w:rsid w:val="00A63DFF"/>
    <w:rsid w:val="00A64496"/>
    <w:rsid w:val="00A6490D"/>
    <w:rsid w:val="00A67033"/>
    <w:rsid w:val="00A71D78"/>
    <w:rsid w:val="00A73E64"/>
    <w:rsid w:val="00A7415D"/>
    <w:rsid w:val="00A74F62"/>
    <w:rsid w:val="00A772A3"/>
    <w:rsid w:val="00A80363"/>
    <w:rsid w:val="00A80939"/>
    <w:rsid w:val="00A80FD0"/>
    <w:rsid w:val="00A83E9D"/>
    <w:rsid w:val="00A86E31"/>
    <w:rsid w:val="00A87C05"/>
    <w:rsid w:val="00A9169D"/>
    <w:rsid w:val="00A93432"/>
    <w:rsid w:val="00A93598"/>
    <w:rsid w:val="00A97A3A"/>
    <w:rsid w:val="00AA1BA9"/>
    <w:rsid w:val="00AA240C"/>
    <w:rsid w:val="00AA2D6A"/>
    <w:rsid w:val="00AB0332"/>
    <w:rsid w:val="00AC101C"/>
    <w:rsid w:val="00AD4CF1"/>
    <w:rsid w:val="00AD5988"/>
    <w:rsid w:val="00AD6293"/>
    <w:rsid w:val="00AE1643"/>
    <w:rsid w:val="00AE16AF"/>
    <w:rsid w:val="00AE17F1"/>
    <w:rsid w:val="00AF2DF9"/>
    <w:rsid w:val="00AF335A"/>
    <w:rsid w:val="00AF372E"/>
    <w:rsid w:val="00AF7800"/>
    <w:rsid w:val="00B00CF5"/>
    <w:rsid w:val="00B01580"/>
    <w:rsid w:val="00B032D8"/>
    <w:rsid w:val="00B05DA2"/>
    <w:rsid w:val="00B072E0"/>
    <w:rsid w:val="00B1007E"/>
    <w:rsid w:val="00B124BD"/>
    <w:rsid w:val="00B13281"/>
    <w:rsid w:val="00B13545"/>
    <w:rsid w:val="00B13C0B"/>
    <w:rsid w:val="00B13D41"/>
    <w:rsid w:val="00B155FD"/>
    <w:rsid w:val="00B253F6"/>
    <w:rsid w:val="00B26675"/>
    <w:rsid w:val="00B301B4"/>
    <w:rsid w:val="00B305DB"/>
    <w:rsid w:val="00B315BE"/>
    <w:rsid w:val="00B33071"/>
    <w:rsid w:val="00B332F8"/>
    <w:rsid w:val="00B3492B"/>
    <w:rsid w:val="00B4310A"/>
    <w:rsid w:val="00B44C72"/>
    <w:rsid w:val="00B4646F"/>
    <w:rsid w:val="00B47C82"/>
    <w:rsid w:val="00B52DE3"/>
    <w:rsid w:val="00B55C7D"/>
    <w:rsid w:val="00B56C2C"/>
    <w:rsid w:val="00B63038"/>
    <w:rsid w:val="00B64BD8"/>
    <w:rsid w:val="00B701D1"/>
    <w:rsid w:val="00B73AF2"/>
    <w:rsid w:val="00B73D79"/>
    <w:rsid w:val="00B7551A"/>
    <w:rsid w:val="00B7572D"/>
    <w:rsid w:val="00B76DFB"/>
    <w:rsid w:val="00B773F1"/>
    <w:rsid w:val="00B852AA"/>
    <w:rsid w:val="00B85F31"/>
    <w:rsid w:val="00B86AB1"/>
    <w:rsid w:val="00B87726"/>
    <w:rsid w:val="00B90A26"/>
    <w:rsid w:val="00B91B22"/>
    <w:rsid w:val="00BA5A56"/>
    <w:rsid w:val="00BA76C7"/>
    <w:rsid w:val="00BA7EBA"/>
    <w:rsid w:val="00BB1DCB"/>
    <w:rsid w:val="00BB2615"/>
    <w:rsid w:val="00BB2A06"/>
    <w:rsid w:val="00BB2CBB"/>
    <w:rsid w:val="00BB4136"/>
    <w:rsid w:val="00BB4198"/>
    <w:rsid w:val="00BB4CF4"/>
    <w:rsid w:val="00BC03EE"/>
    <w:rsid w:val="00BC59F1"/>
    <w:rsid w:val="00BC6730"/>
    <w:rsid w:val="00BC7EA2"/>
    <w:rsid w:val="00BD488E"/>
    <w:rsid w:val="00BD49A4"/>
    <w:rsid w:val="00BE0E10"/>
    <w:rsid w:val="00BF3DE1"/>
    <w:rsid w:val="00BF4843"/>
    <w:rsid w:val="00BF5205"/>
    <w:rsid w:val="00BF755B"/>
    <w:rsid w:val="00C05132"/>
    <w:rsid w:val="00C0527A"/>
    <w:rsid w:val="00C12508"/>
    <w:rsid w:val="00C222F2"/>
    <w:rsid w:val="00C23728"/>
    <w:rsid w:val="00C26443"/>
    <w:rsid w:val="00C3026C"/>
    <w:rsid w:val="00C313A9"/>
    <w:rsid w:val="00C31B1B"/>
    <w:rsid w:val="00C347C8"/>
    <w:rsid w:val="00C35289"/>
    <w:rsid w:val="00C358E4"/>
    <w:rsid w:val="00C373A5"/>
    <w:rsid w:val="00C37453"/>
    <w:rsid w:val="00C37DF7"/>
    <w:rsid w:val="00C40917"/>
    <w:rsid w:val="00C418EE"/>
    <w:rsid w:val="00C441CF"/>
    <w:rsid w:val="00C45AA2"/>
    <w:rsid w:val="00C4792C"/>
    <w:rsid w:val="00C52482"/>
    <w:rsid w:val="00C55BEF"/>
    <w:rsid w:val="00C57C00"/>
    <w:rsid w:val="00C601AF"/>
    <w:rsid w:val="00C61A63"/>
    <w:rsid w:val="00C66296"/>
    <w:rsid w:val="00C66BFB"/>
    <w:rsid w:val="00C7093C"/>
    <w:rsid w:val="00C7394D"/>
    <w:rsid w:val="00C756B7"/>
    <w:rsid w:val="00C77282"/>
    <w:rsid w:val="00C84DE5"/>
    <w:rsid w:val="00C86248"/>
    <w:rsid w:val="00C87CD4"/>
    <w:rsid w:val="00C90B31"/>
    <w:rsid w:val="00C91340"/>
    <w:rsid w:val="00C93EB3"/>
    <w:rsid w:val="00CA0D6F"/>
    <w:rsid w:val="00CA4C33"/>
    <w:rsid w:val="00CA6F4A"/>
    <w:rsid w:val="00CB3483"/>
    <w:rsid w:val="00CB3915"/>
    <w:rsid w:val="00CB6427"/>
    <w:rsid w:val="00CC0FBE"/>
    <w:rsid w:val="00CC6EA4"/>
    <w:rsid w:val="00CC711F"/>
    <w:rsid w:val="00CD077C"/>
    <w:rsid w:val="00CD2119"/>
    <w:rsid w:val="00CD237A"/>
    <w:rsid w:val="00CD36AC"/>
    <w:rsid w:val="00CD5FA6"/>
    <w:rsid w:val="00CD7344"/>
    <w:rsid w:val="00CE07BA"/>
    <w:rsid w:val="00CE13A3"/>
    <w:rsid w:val="00CE36BC"/>
    <w:rsid w:val="00CF1747"/>
    <w:rsid w:val="00CF2894"/>
    <w:rsid w:val="00CF55DC"/>
    <w:rsid w:val="00CF60ED"/>
    <w:rsid w:val="00CF678F"/>
    <w:rsid w:val="00D0350A"/>
    <w:rsid w:val="00D05D74"/>
    <w:rsid w:val="00D15ACB"/>
    <w:rsid w:val="00D20C59"/>
    <w:rsid w:val="00D23323"/>
    <w:rsid w:val="00D2392A"/>
    <w:rsid w:val="00D244AA"/>
    <w:rsid w:val="00D25FFE"/>
    <w:rsid w:val="00D27922"/>
    <w:rsid w:val="00D27A64"/>
    <w:rsid w:val="00D27F22"/>
    <w:rsid w:val="00D37D80"/>
    <w:rsid w:val="00D442F3"/>
    <w:rsid w:val="00D44483"/>
    <w:rsid w:val="00D4476F"/>
    <w:rsid w:val="00D50573"/>
    <w:rsid w:val="00D54D50"/>
    <w:rsid w:val="00D560B4"/>
    <w:rsid w:val="00D659BF"/>
    <w:rsid w:val="00D662F8"/>
    <w:rsid w:val="00D66797"/>
    <w:rsid w:val="00D7087C"/>
    <w:rsid w:val="00D70C3C"/>
    <w:rsid w:val="00D71DF7"/>
    <w:rsid w:val="00D72BE5"/>
    <w:rsid w:val="00D777E3"/>
    <w:rsid w:val="00D81462"/>
    <w:rsid w:val="00D82431"/>
    <w:rsid w:val="00D82F26"/>
    <w:rsid w:val="00D863D0"/>
    <w:rsid w:val="00D86B00"/>
    <w:rsid w:val="00D86FB9"/>
    <w:rsid w:val="00D87C87"/>
    <w:rsid w:val="00D90BB4"/>
    <w:rsid w:val="00D90E07"/>
    <w:rsid w:val="00D932C2"/>
    <w:rsid w:val="00D9631E"/>
    <w:rsid w:val="00D97832"/>
    <w:rsid w:val="00DA0232"/>
    <w:rsid w:val="00DA2182"/>
    <w:rsid w:val="00DA368E"/>
    <w:rsid w:val="00DA7F9E"/>
    <w:rsid w:val="00DB1062"/>
    <w:rsid w:val="00DB1604"/>
    <w:rsid w:val="00DB39CF"/>
    <w:rsid w:val="00DB7256"/>
    <w:rsid w:val="00DC0401"/>
    <w:rsid w:val="00DC20BD"/>
    <w:rsid w:val="00DC6B54"/>
    <w:rsid w:val="00DC7B28"/>
    <w:rsid w:val="00DC7C56"/>
    <w:rsid w:val="00DD0BCD"/>
    <w:rsid w:val="00DD390F"/>
    <w:rsid w:val="00DD447A"/>
    <w:rsid w:val="00DD5211"/>
    <w:rsid w:val="00DD5B56"/>
    <w:rsid w:val="00DE17E4"/>
    <w:rsid w:val="00DE2860"/>
    <w:rsid w:val="00DE3B20"/>
    <w:rsid w:val="00DE6C94"/>
    <w:rsid w:val="00DE6FD7"/>
    <w:rsid w:val="00DF0C7C"/>
    <w:rsid w:val="00DF28B8"/>
    <w:rsid w:val="00DF3536"/>
    <w:rsid w:val="00DF5757"/>
    <w:rsid w:val="00DF78D6"/>
    <w:rsid w:val="00E02ABC"/>
    <w:rsid w:val="00E051CF"/>
    <w:rsid w:val="00E064D9"/>
    <w:rsid w:val="00E10B18"/>
    <w:rsid w:val="00E10D51"/>
    <w:rsid w:val="00E1201F"/>
    <w:rsid w:val="00E21EA4"/>
    <w:rsid w:val="00E23271"/>
    <w:rsid w:val="00E24F80"/>
    <w:rsid w:val="00E259F3"/>
    <w:rsid w:val="00E30985"/>
    <w:rsid w:val="00E33238"/>
    <w:rsid w:val="00E33934"/>
    <w:rsid w:val="00E3634D"/>
    <w:rsid w:val="00E376B7"/>
    <w:rsid w:val="00E42F5D"/>
    <w:rsid w:val="00E4486C"/>
    <w:rsid w:val="00E45AC1"/>
    <w:rsid w:val="00E460B6"/>
    <w:rsid w:val="00E511D5"/>
    <w:rsid w:val="00E52321"/>
    <w:rsid w:val="00E53A9F"/>
    <w:rsid w:val="00E57349"/>
    <w:rsid w:val="00E60249"/>
    <w:rsid w:val="00E620CE"/>
    <w:rsid w:val="00E62238"/>
    <w:rsid w:val="00E65269"/>
    <w:rsid w:val="00E726E7"/>
    <w:rsid w:val="00E76D66"/>
    <w:rsid w:val="00E9260B"/>
    <w:rsid w:val="00E942EB"/>
    <w:rsid w:val="00E94D57"/>
    <w:rsid w:val="00EA796A"/>
    <w:rsid w:val="00EB1856"/>
    <w:rsid w:val="00EB6DBE"/>
    <w:rsid w:val="00EC50CE"/>
    <w:rsid w:val="00EC5B34"/>
    <w:rsid w:val="00ED021E"/>
    <w:rsid w:val="00ED1B9D"/>
    <w:rsid w:val="00ED323C"/>
    <w:rsid w:val="00ED3242"/>
    <w:rsid w:val="00ED4896"/>
    <w:rsid w:val="00ED7689"/>
    <w:rsid w:val="00EE2D5C"/>
    <w:rsid w:val="00EE4A33"/>
    <w:rsid w:val="00EE4ADE"/>
    <w:rsid w:val="00EE4B5B"/>
    <w:rsid w:val="00EE4DE8"/>
    <w:rsid w:val="00EE5CB7"/>
    <w:rsid w:val="00EF68B5"/>
    <w:rsid w:val="00F000BF"/>
    <w:rsid w:val="00F022BD"/>
    <w:rsid w:val="00F024FE"/>
    <w:rsid w:val="00F03480"/>
    <w:rsid w:val="00F05AD4"/>
    <w:rsid w:val="00F103BE"/>
    <w:rsid w:val="00F10EB6"/>
    <w:rsid w:val="00F10F76"/>
    <w:rsid w:val="00F12396"/>
    <w:rsid w:val="00F13F07"/>
    <w:rsid w:val="00F140B2"/>
    <w:rsid w:val="00F16595"/>
    <w:rsid w:val="00F25970"/>
    <w:rsid w:val="00F30B02"/>
    <w:rsid w:val="00F311A9"/>
    <w:rsid w:val="00F31343"/>
    <w:rsid w:val="00F37381"/>
    <w:rsid w:val="00F447C2"/>
    <w:rsid w:val="00F44D7C"/>
    <w:rsid w:val="00F47283"/>
    <w:rsid w:val="00F47624"/>
    <w:rsid w:val="00F5180D"/>
    <w:rsid w:val="00F54E74"/>
    <w:rsid w:val="00F5778C"/>
    <w:rsid w:val="00F62B4C"/>
    <w:rsid w:val="00F63781"/>
    <w:rsid w:val="00F65145"/>
    <w:rsid w:val="00F65701"/>
    <w:rsid w:val="00F67496"/>
    <w:rsid w:val="00F7421E"/>
    <w:rsid w:val="00F801BA"/>
    <w:rsid w:val="00F807AD"/>
    <w:rsid w:val="00F86028"/>
    <w:rsid w:val="00F9366A"/>
    <w:rsid w:val="00F93979"/>
    <w:rsid w:val="00F946C9"/>
    <w:rsid w:val="00F963C0"/>
    <w:rsid w:val="00FA0EA5"/>
    <w:rsid w:val="00FA5176"/>
    <w:rsid w:val="00FA68C7"/>
    <w:rsid w:val="00FA74EE"/>
    <w:rsid w:val="00FB0A5B"/>
    <w:rsid w:val="00FB1B8E"/>
    <w:rsid w:val="00FB364E"/>
    <w:rsid w:val="00FB41C1"/>
    <w:rsid w:val="00FC3711"/>
    <w:rsid w:val="00FC46E7"/>
    <w:rsid w:val="00FC5D25"/>
    <w:rsid w:val="00FD0D7E"/>
    <w:rsid w:val="00FD16C4"/>
    <w:rsid w:val="00FD19D8"/>
    <w:rsid w:val="00FD362F"/>
    <w:rsid w:val="00FD4789"/>
    <w:rsid w:val="00FD47FE"/>
    <w:rsid w:val="00FD4FFB"/>
    <w:rsid w:val="00FD560D"/>
    <w:rsid w:val="00FE022F"/>
    <w:rsid w:val="00FE6E13"/>
    <w:rsid w:val="00FE7D38"/>
    <w:rsid w:val="00FF15F6"/>
    <w:rsid w:val="00FF32D3"/>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DDDF21"/>
  <w15:docId w15:val="{B3F8DCB8-B500-49EA-8BEE-A9BFED261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1F86"/>
    <w:rPr>
      <w:rFonts w:ascii="Segoe UI" w:hAnsi="Segoe UI"/>
      <w:sz w:val="21"/>
      <w:lang w:eastAsia="en-GB"/>
    </w:rPr>
  </w:style>
  <w:style w:type="paragraph" w:styleId="Heading1">
    <w:name w:val="heading 1"/>
    <w:basedOn w:val="Normal"/>
    <w:next w:val="Normal"/>
    <w:link w:val="Heading1Char"/>
    <w:qFormat/>
    <w:rsid w:val="005E3B50"/>
    <w:pPr>
      <w:pageBreakBefore/>
      <w:numPr>
        <w:numId w:val="56"/>
      </w:numPr>
      <w:spacing w:after="360"/>
      <w:outlineLvl w:val="0"/>
    </w:pPr>
    <w:rPr>
      <w:b/>
      <w:color w:val="1B83A0" w:themeColor="text1"/>
      <w:spacing w:val="-10"/>
      <w:sz w:val="72"/>
    </w:rPr>
  </w:style>
  <w:style w:type="paragraph" w:styleId="Heading2">
    <w:name w:val="heading 2"/>
    <w:basedOn w:val="Normal"/>
    <w:next w:val="Normal"/>
    <w:link w:val="Heading2Char"/>
    <w:qFormat/>
    <w:rsid w:val="00BB4136"/>
    <w:pPr>
      <w:keepNext/>
      <w:numPr>
        <w:ilvl w:val="1"/>
        <w:numId w:val="56"/>
      </w:numPr>
      <w:spacing w:before="480" w:after="180"/>
      <w:outlineLvl w:val="1"/>
    </w:pPr>
    <w:rPr>
      <w:b/>
      <w:color w:val="1B83A0" w:themeColor="text1"/>
      <w:spacing w:val="-5"/>
      <w:sz w:val="48"/>
    </w:rPr>
  </w:style>
  <w:style w:type="paragraph" w:styleId="Heading3">
    <w:name w:val="heading 3"/>
    <w:basedOn w:val="Normal"/>
    <w:next w:val="Normal"/>
    <w:link w:val="Heading3Char"/>
    <w:qFormat/>
    <w:rsid w:val="00BB4136"/>
    <w:pPr>
      <w:keepNext/>
      <w:numPr>
        <w:ilvl w:val="2"/>
        <w:numId w:val="56"/>
      </w:numPr>
      <w:spacing w:before="360" w:after="180"/>
      <w:outlineLvl w:val="2"/>
    </w:pPr>
    <w:rPr>
      <w:color w:val="1B83A0" w:themeColor="text1"/>
      <w:spacing w:val="-5"/>
      <w:sz w:val="36"/>
    </w:rPr>
  </w:style>
  <w:style w:type="paragraph" w:styleId="Heading4">
    <w:name w:val="heading 4"/>
    <w:basedOn w:val="Normal"/>
    <w:next w:val="Normal"/>
    <w:link w:val="Heading4Char"/>
    <w:qFormat/>
    <w:rsid w:val="00BB4136"/>
    <w:pPr>
      <w:keepNext/>
      <w:numPr>
        <w:ilvl w:val="3"/>
        <w:numId w:val="56"/>
      </w:numPr>
      <w:spacing w:before="240" w:after="120"/>
      <w:outlineLvl w:val="3"/>
    </w:pPr>
    <w:rPr>
      <w:color w:val="1B83A0" w:themeColor="text1"/>
      <w:spacing w:val="-5"/>
      <w:sz w:val="28"/>
    </w:rPr>
  </w:style>
  <w:style w:type="paragraph" w:styleId="Heading5">
    <w:name w:val="heading 5"/>
    <w:basedOn w:val="Normal"/>
    <w:next w:val="Normal"/>
    <w:link w:val="Heading5Char"/>
    <w:qFormat/>
    <w:rsid w:val="00BB4136"/>
    <w:pPr>
      <w:keepNext/>
      <w:numPr>
        <w:ilvl w:val="4"/>
        <w:numId w:val="56"/>
      </w:numPr>
      <w:spacing w:before="120" w:after="120"/>
      <w:outlineLvl w:val="4"/>
    </w:pPr>
    <w:rPr>
      <w:color w:val="1B83A0" w:themeColor="text1"/>
      <w:spacing w:val="-5"/>
      <w:sz w:val="22"/>
    </w:rPr>
  </w:style>
  <w:style w:type="paragraph" w:styleId="Heading6">
    <w:name w:val="heading 6"/>
    <w:basedOn w:val="Normal"/>
    <w:next w:val="Normal"/>
    <w:link w:val="Heading6Char"/>
    <w:unhideWhenUsed/>
    <w:qFormat/>
    <w:rsid w:val="00BB4136"/>
    <w:pPr>
      <w:keepNext/>
      <w:numPr>
        <w:ilvl w:val="5"/>
        <w:numId w:val="56"/>
      </w:numPr>
      <w:spacing w:before="120" w:after="120"/>
      <w:outlineLvl w:val="5"/>
    </w:pPr>
    <w:rPr>
      <w:rFonts w:eastAsia="MS Gothic"/>
      <w:iCs/>
      <w:color w:val="1B83A0" w:themeColor="text1"/>
      <w:spacing w:val="-5"/>
      <w:szCs w:val="24"/>
      <w:lang w:eastAsia="en-US"/>
    </w:rPr>
  </w:style>
  <w:style w:type="paragraph" w:styleId="Heading7">
    <w:name w:val="heading 7"/>
    <w:basedOn w:val="Normal"/>
    <w:next w:val="Normal"/>
    <w:link w:val="Heading7Char"/>
    <w:unhideWhenUsed/>
    <w:qFormat/>
    <w:rsid w:val="00122363"/>
    <w:pPr>
      <w:keepNext/>
      <w:keepLines/>
      <w:numPr>
        <w:ilvl w:val="6"/>
        <w:numId w:val="56"/>
      </w:numPr>
      <w:spacing w:before="200" w:after="120" w:line="276" w:lineRule="auto"/>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nhideWhenUsed/>
    <w:qFormat/>
    <w:rsid w:val="00030E84"/>
    <w:pPr>
      <w:keepNext/>
      <w:keepLines/>
      <w:numPr>
        <w:ilvl w:val="7"/>
        <w:numId w:val="56"/>
      </w:numPr>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nhideWhenUsed/>
    <w:qFormat/>
    <w:rsid w:val="00122363"/>
    <w:pPr>
      <w:keepNext/>
      <w:keepLines/>
      <w:numPr>
        <w:ilvl w:val="8"/>
        <w:numId w:val="56"/>
      </w:numPr>
      <w:spacing w:before="200" w:after="120" w:line="276" w:lineRule="auto"/>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E3B50"/>
    <w:rPr>
      <w:rFonts w:ascii="Segoe UI" w:hAnsi="Segoe UI"/>
      <w:b/>
      <w:color w:val="1B83A0" w:themeColor="text1"/>
      <w:spacing w:val="-10"/>
      <w:sz w:val="72"/>
      <w:lang w:eastAsia="en-GB"/>
    </w:rPr>
  </w:style>
  <w:style w:type="character" w:customStyle="1" w:styleId="Heading2Char">
    <w:name w:val="Heading 2 Char"/>
    <w:link w:val="Heading2"/>
    <w:rsid w:val="00BB4136"/>
    <w:rPr>
      <w:rFonts w:ascii="Segoe UI" w:hAnsi="Segoe UI"/>
      <w:b/>
      <w:color w:val="1B83A0" w:themeColor="text1"/>
      <w:spacing w:val="-5"/>
      <w:sz w:val="48"/>
      <w:lang w:eastAsia="en-GB"/>
    </w:rPr>
  </w:style>
  <w:style w:type="character" w:customStyle="1" w:styleId="Heading3Char">
    <w:name w:val="Heading 3 Char"/>
    <w:link w:val="Heading3"/>
    <w:rsid w:val="00BB4136"/>
    <w:rPr>
      <w:rFonts w:ascii="Segoe UI" w:hAnsi="Segoe UI"/>
      <w:color w:val="1B83A0" w:themeColor="text1"/>
      <w:spacing w:val="-5"/>
      <w:sz w:val="36"/>
      <w:lang w:eastAsia="en-GB"/>
    </w:rPr>
  </w:style>
  <w:style w:type="character" w:customStyle="1" w:styleId="Heading4Char">
    <w:name w:val="Heading 4 Char"/>
    <w:link w:val="Heading4"/>
    <w:rsid w:val="00BB4136"/>
    <w:rPr>
      <w:rFonts w:ascii="Segoe UI" w:hAnsi="Segoe UI"/>
      <w:color w:val="1B83A0" w:themeColor="text1"/>
      <w:spacing w:val="-5"/>
      <w:sz w:val="28"/>
      <w:lang w:eastAsia="en-GB"/>
    </w:rPr>
  </w:style>
  <w:style w:type="character" w:customStyle="1" w:styleId="Heading5Char">
    <w:name w:val="Heading 5 Char"/>
    <w:link w:val="Heading5"/>
    <w:rsid w:val="00BB4136"/>
    <w:rPr>
      <w:rFonts w:ascii="Segoe UI" w:hAnsi="Segoe UI"/>
      <w:color w:val="1B83A0" w:themeColor="text1"/>
      <w:spacing w:val="-5"/>
      <w:sz w:val="22"/>
      <w:lang w:eastAsia="en-GB"/>
    </w:rPr>
  </w:style>
  <w:style w:type="character" w:customStyle="1" w:styleId="Heading6Char">
    <w:name w:val="Heading 6 Char"/>
    <w:basedOn w:val="DefaultParagraphFont"/>
    <w:link w:val="Heading6"/>
    <w:rsid w:val="00BB4136"/>
    <w:rPr>
      <w:rFonts w:ascii="Segoe UI" w:eastAsia="MS Gothic" w:hAnsi="Segoe UI"/>
      <w:iCs/>
      <w:color w:val="1B83A0" w:themeColor="text1"/>
      <w:spacing w:val="-5"/>
      <w:sz w:val="21"/>
      <w:szCs w:val="24"/>
      <w:lang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651099"/>
    <w:pPr>
      <w:tabs>
        <w:tab w:val="right" w:pos="8080"/>
      </w:tabs>
      <w:spacing w:before="300"/>
      <w:ind w:left="284" w:right="141" w:hanging="284"/>
    </w:pPr>
    <w:rPr>
      <w:sz w:val="24"/>
    </w:rPr>
  </w:style>
  <w:style w:type="paragraph" w:styleId="TOC2">
    <w:name w:val="toc 2"/>
    <w:basedOn w:val="Normal"/>
    <w:next w:val="Normal"/>
    <w:uiPriority w:val="39"/>
    <w:qFormat/>
    <w:rsid w:val="00DA368E"/>
    <w:pPr>
      <w:tabs>
        <w:tab w:val="right" w:pos="8080"/>
      </w:tabs>
      <w:spacing w:before="60"/>
      <w:ind w:left="851" w:right="141" w:hanging="567"/>
    </w:pPr>
  </w:style>
  <w:style w:type="paragraph" w:styleId="TOC3">
    <w:name w:val="toc 3"/>
    <w:basedOn w:val="Normal"/>
    <w:next w:val="Normal"/>
    <w:uiPriority w:val="39"/>
    <w:rsid w:val="00DA368E"/>
    <w:pPr>
      <w:tabs>
        <w:tab w:val="right" w:pos="8080"/>
      </w:tabs>
      <w:spacing w:before="120"/>
      <w:ind w:left="1134" w:right="141" w:hanging="1134"/>
    </w:pPr>
  </w:style>
  <w:style w:type="paragraph" w:customStyle="1" w:styleId="Bullet">
    <w:name w:val="Bullet"/>
    <w:basedOn w:val="Normal"/>
    <w:link w:val="BulletChar"/>
    <w:uiPriority w:val="99"/>
    <w:qFormat/>
    <w:rsid w:val="00FA0EA5"/>
    <w:pPr>
      <w:numPr>
        <w:numId w:val="1"/>
      </w:numPr>
      <w:spacing w:before="90"/>
    </w:pPr>
  </w:style>
  <w:style w:type="character" w:customStyle="1" w:styleId="BulletChar">
    <w:name w:val="Bullet Char"/>
    <w:link w:val="Bullet"/>
    <w:uiPriority w:val="99"/>
    <w:locked/>
    <w:rsid w:val="002B7BEC"/>
    <w:rPr>
      <w:rFonts w:ascii="Segoe UI" w:hAnsi="Segoe UI"/>
      <w:sz w:val="21"/>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rsid w:val="00285080"/>
    <w:pPr>
      <w:spacing w:after="60"/>
      <w:ind w:left="284" w:hanging="284"/>
    </w:pPr>
    <w:rPr>
      <w:sz w:val="17"/>
    </w:rPr>
  </w:style>
  <w:style w:type="character" w:customStyle="1" w:styleId="FootnoteTextChar">
    <w:name w:val="Footnote Text Char"/>
    <w:link w:val="FootnoteText"/>
    <w:rsid w:val="00285080"/>
    <w:rPr>
      <w:rFonts w:ascii="Fira Sans" w:hAnsi="Fira Sans"/>
      <w:sz w:val="17"/>
      <w:lang w:eastAsia="en-GB"/>
    </w:rPr>
  </w:style>
  <w:style w:type="paragraph" w:styleId="Header">
    <w:name w:val="header"/>
    <w:basedOn w:val="Normal"/>
    <w:link w:val="HeaderChar"/>
    <w:qFormat/>
    <w:rsid w:val="00D25FFE"/>
  </w:style>
  <w:style w:type="character" w:customStyle="1" w:styleId="HeaderChar">
    <w:name w:val="Header Char"/>
    <w:link w:val="Header"/>
    <w:rsid w:val="0086388B"/>
    <w:rPr>
      <w:rFonts w:ascii="Georgia" w:hAnsi="Georgia"/>
      <w:sz w:val="22"/>
      <w:lang w:eastAsia="en-GB"/>
    </w:rPr>
  </w:style>
  <w:style w:type="paragraph" w:styleId="Title">
    <w:name w:val="Title"/>
    <w:basedOn w:val="Normal"/>
    <w:next w:val="Normal"/>
    <w:link w:val="TitleChar"/>
    <w:qFormat/>
    <w:rsid w:val="005D50B6"/>
    <w:pPr>
      <w:spacing w:line="216" w:lineRule="auto"/>
      <w:ind w:left="709" w:right="567"/>
    </w:pPr>
    <w:rPr>
      <w:rFonts w:cs="Lucida Sans Unicode"/>
      <w:b/>
      <w:caps/>
      <w:color w:val="1B83A0" w:themeColor="text1"/>
      <w:sz w:val="72"/>
      <w:szCs w:val="72"/>
    </w:rPr>
  </w:style>
  <w:style w:type="character" w:customStyle="1" w:styleId="TitleChar">
    <w:name w:val="Title Char"/>
    <w:link w:val="Title"/>
    <w:rsid w:val="005D50B6"/>
    <w:rPr>
      <w:rFonts w:ascii="Segoe UI" w:hAnsi="Segoe UI" w:cs="Lucida Sans Unicode"/>
      <w:b/>
      <w:caps/>
      <w:color w:val="1B83A0" w:themeColor="text1"/>
      <w:sz w:val="72"/>
      <w:szCs w:val="72"/>
      <w:lang w:eastAsia="en-GB"/>
    </w:rPr>
  </w:style>
  <w:style w:type="paragraph" w:customStyle="1" w:styleId="Imprint">
    <w:name w:val="Imprint"/>
    <w:basedOn w:val="Normal"/>
    <w:next w:val="Normal"/>
    <w:qFormat/>
    <w:rsid w:val="00C05132"/>
    <w:pPr>
      <w:spacing w:after="240"/>
    </w:p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rsid w:val="00A359A2"/>
    <w:rPr>
      <w:rFonts w:ascii="Fira Sans SemiBold" w:hAnsi="Fira Sans SemiBold"/>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rPr>
      <w:vertAlign w:val="superscript"/>
    </w:rPr>
  </w:style>
  <w:style w:type="paragraph" w:customStyle="1" w:styleId="Table">
    <w:name w:val="Table"/>
    <w:basedOn w:val="Figure"/>
    <w:next w:val="Normal"/>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uiPriority w:val="99"/>
    <w:qFormat/>
    <w:rsid w:val="00925892"/>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rsid w:val="000144DE"/>
    <w:pPr>
      <w:pBdr>
        <w:top w:val="single" w:sz="4" w:space="12" w:color="2C463B"/>
        <w:left w:val="single" w:sz="4" w:space="12" w:color="2C463B"/>
        <w:bottom w:val="single" w:sz="4" w:space="12" w:color="2C463B"/>
        <w:right w:val="single" w:sz="4" w:space="12" w:color="2C463B"/>
      </w:pBdr>
      <w:spacing w:before="120"/>
      <w:ind w:left="284" w:right="284"/>
    </w:pPr>
  </w:style>
  <w:style w:type="paragraph" w:customStyle="1" w:styleId="BoxHeading">
    <w:name w:val="BoxHeading"/>
    <w:basedOn w:val="Normal"/>
    <w:next w:val="Box"/>
    <w:qFormat/>
    <w:rsid w:val="000144DE"/>
    <w:pPr>
      <w:keepNext/>
      <w:pBdr>
        <w:top w:val="single" w:sz="4" w:space="12" w:color="2C463B"/>
        <w:left w:val="single" w:sz="4" w:space="12" w:color="2C463B"/>
        <w:bottom w:val="single" w:sz="4" w:space="12" w:color="2C463B"/>
        <w:right w:val="single" w:sz="4" w:space="12" w:color="2C463B"/>
      </w:pBdr>
      <w:spacing w:before="240"/>
      <w:ind w:left="284" w:right="284"/>
    </w:pPr>
    <w:rPr>
      <w:b/>
      <w:sz w:val="24"/>
      <w:szCs w:val="24"/>
    </w:rPr>
  </w:style>
  <w:style w:type="paragraph" w:customStyle="1" w:styleId="BoxBullet">
    <w:name w:val="BoxBullet"/>
    <w:basedOn w:val="Bullet"/>
    <w:qFormat/>
    <w:rsid w:val="000144DE"/>
    <w:pPr>
      <w:pBdr>
        <w:top w:val="single" w:sz="4" w:space="12" w:color="2C463B"/>
        <w:left w:val="single" w:sz="4" w:space="12" w:color="2C463B"/>
        <w:bottom w:val="single" w:sz="4" w:space="12" w:color="2C463B"/>
        <w:right w:val="single" w:sz="4" w:space="12" w:color="2C463B"/>
      </w:pBdr>
      <w:ind w:left="568" w:right="284"/>
    </w:pPr>
  </w:style>
  <w:style w:type="paragraph" w:customStyle="1" w:styleId="IntroHead">
    <w:name w:val="IntroHead"/>
    <w:basedOn w:val="Heading1"/>
    <w:next w:val="Normal"/>
    <w:qFormat/>
    <w:rsid w:val="00F54E74"/>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4A469A"/>
    <w:pPr>
      <w:spacing w:before="360"/>
      <w:ind w:left="709"/>
    </w:pPr>
    <w:rPr>
      <w:rFonts w:cs="Segoe UI Semibold"/>
      <w:b/>
      <w:color w:val="1B83A0" w:themeColor="text1"/>
      <w:sz w:val="48"/>
      <w:szCs w:val="26"/>
    </w:rPr>
  </w:style>
  <w:style w:type="paragraph" w:customStyle="1" w:styleId="Year">
    <w:name w:val="Year"/>
    <w:basedOn w:val="Subhead"/>
    <w:next w:val="Subhead"/>
    <w:qFormat/>
    <w:rsid w:val="00D659BF"/>
    <w:pPr>
      <w:spacing w:before="720"/>
    </w:pPr>
    <w:rPr>
      <w:sz w:val="36"/>
    </w:rPr>
  </w:style>
  <w:style w:type="character" w:styleId="Hyperlink">
    <w:name w:val="Hyperlink"/>
    <w:uiPriority w:val="99"/>
    <w:rsid w:val="007327B0"/>
    <w:rPr>
      <w:b/>
      <w:color w:val="595959"/>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BB4136"/>
    <w:pPr>
      <w:numPr>
        <w:numId w:val="3"/>
      </w:numPr>
      <w:spacing w:before="0"/>
      <w:ind w:left="568" w:hanging="284"/>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F140B2"/>
    <w:pPr>
      <w:numPr>
        <w:ilvl w:val="3"/>
        <w:numId w:val="5"/>
      </w:numPr>
      <w:spacing w:before="180"/>
    </w:pPr>
    <w:rPr>
      <w:szCs w:val="24"/>
    </w:rPr>
  </w:style>
  <w:style w:type="paragraph" w:customStyle="1" w:styleId="Letter">
    <w:name w:val="Letter"/>
    <w:basedOn w:val="Normal"/>
    <w:qFormat/>
    <w:rsid w:val="00F140B2"/>
    <w:pPr>
      <w:numPr>
        <w:ilvl w:val="4"/>
        <w:numId w:val="5"/>
      </w:numPr>
      <w:spacing w:before="120"/>
    </w:pPr>
  </w:style>
  <w:style w:type="paragraph" w:customStyle="1" w:styleId="Roman">
    <w:name w:val="Roman"/>
    <w:basedOn w:val="Normal"/>
    <w:qFormat/>
    <w:rsid w:val="00AD6293"/>
    <w:pPr>
      <w:numPr>
        <w:ilvl w:val="5"/>
        <w:numId w:val="5"/>
      </w:numPr>
      <w:spacing w:before="90"/>
    </w:pPr>
    <w:rPr>
      <w:rFonts w:eastAsia="Arial Unicode MS"/>
    </w:rPr>
  </w:style>
  <w:style w:type="character" w:styleId="CommentReference">
    <w:name w:val="annotation reference"/>
    <w:basedOn w:val="DefaultParagraphFont"/>
    <w:uiPriority w:val="99"/>
    <w:semiHidden/>
    <w:unhideWhenUsed/>
    <w:rsid w:val="0082081A"/>
    <w:rPr>
      <w:sz w:val="16"/>
      <w:szCs w:val="16"/>
    </w:rPr>
  </w:style>
  <w:style w:type="paragraph" w:styleId="CommentText">
    <w:name w:val="annotation text"/>
    <w:basedOn w:val="Normal"/>
    <w:link w:val="CommentTextChar"/>
    <w:uiPriority w:val="99"/>
    <w:unhideWhenUsed/>
    <w:rsid w:val="0082081A"/>
    <w:rPr>
      <w:sz w:val="48"/>
    </w:rPr>
  </w:style>
  <w:style w:type="character" w:customStyle="1" w:styleId="CommentTextChar">
    <w:name w:val="Comment Text Char"/>
    <w:basedOn w:val="DefaultParagraphFont"/>
    <w:link w:val="CommentText"/>
    <w:uiPriority w:val="99"/>
    <w:rsid w:val="0082081A"/>
    <w:rPr>
      <w:rFonts w:ascii="Segoe UI" w:hAnsi="Segoe UI"/>
      <w:sz w:val="48"/>
      <w:lang w:eastAsia="en-GB"/>
    </w:rPr>
  </w:style>
  <w:style w:type="paragraph" w:styleId="CommentSubject">
    <w:name w:val="annotation subject"/>
    <w:basedOn w:val="CommentText"/>
    <w:next w:val="CommentText"/>
    <w:link w:val="CommentSubjectChar"/>
    <w:semiHidden/>
    <w:unhideWhenUsed/>
    <w:rsid w:val="0082081A"/>
    <w:rPr>
      <w:b/>
      <w:bCs/>
    </w:rPr>
  </w:style>
  <w:style w:type="character" w:customStyle="1" w:styleId="CommentSubjectChar">
    <w:name w:val="Comment Subject Char"/>
    <w:basedOn w:val="CommentTextChar"/>
    <w:link w:val="CommentSubject"/>
    <w:semiHidden/>
    <w:rsid w:val="0082081A"/>
    <w:rPr>
      <w:rFonts w:ascii="Segoe UI" w:hAnsi="Segoe UI"/>
      <w:b/>
      <w:bCs/>
      <w:sz w:val="48"/>
      <w:lang w:eastAsia="en-GB"/>
    </w:rPr>
  </w:style>
  <w:style w:type="table" w:styleId="TableGrid">
    <w:name w:val="Table Grid"/>
    <w:basedOn w:val="TableNormal"/>
    <w:uiPriority w:val="39"/>
    <w:rsid w:val="003D59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1">
    <w:name w:val="Appendix Heading 1"/>
    <w:basedOn w:val="Heading1"/>
    <w:next w:val="Normal"/>
    <w:qFormat/>
    <w:rsid w:val="009220F3"/>
    <w:rPr>
      <w:lang w:eastAsia="en-US"/>
    </w:rPr>
  </w:style>
  <w:style w:type="paragraph" w:customStyle="1" w:styleId="Introductoryparagraph">
    <w:name w:val="Introductory paragraph"/>
    <w:basedOn w:val="Normal"/>
    <w:next w:val="Normal"/>
    <w:qFormat/>
    <w:rsid w:val="00386D81"/>
    <w:pPr>
      <w:spacing w:after="240" w:line="216" w:lineRule="auto"/>
      <w:ind w:right="1134"/>
    </w:pPr>
    <w:rPr>
      <w:rFonts w:ascii="Segoe UI Light" w:hAnsi="Segoe UI Light"/>
      <w:color w:val="2FB6DC" w:themeColor="text1" w:themeTint="BF"/>
      <w:sz w:val="44"/>
    </w:rPr>
  </w:style>
  <w:style w:type="paragraph" w:customStyle="1" w:styleId="Shadedboxheading">
    <w:name w:val="Shaded box heading"/>
    <w:basedOn w:val="BoxHeading"/>
    <w:next w:val="Shadedboxtext"/>
    <w:qFormat/>
    <w:rsid w:val="00386D81"/>
    <w:pPr>
      <w:pBdr>
        <w:top w:val="single" w:sz="4" w:space="12" w:color="4BAFB0" w:themeColor="background1"/>
        <w:left w:val="single" w:sz="4" w:space="12" w:color="4BAFB0" w:themeColor="background1"/>
        <w:bottom w:val="single" w:sz="4" w:space="12" w:color="4BAFB0" w:themeColor="background1"/>
        <w:right w:val="single" w:sz="4" w:space="12" w:color="4BAFB0" w:themeColor="background1"/>
      </w:pBdr>
      <w:shd w:val="clear" w:color="auto" w:fill="3F9495" w:themeFill="background1" w:themeFillShade="D9"/>
      <w:spacing w:after="120"/>
    </w:pPr>
    <w:rPr>
      <w:rFonts w:eastAsia="Arial Unicode MS"/>
    </w:rPr>
  </w:style>
  <w:style w:type="paragraph" w:customStyle="1" w:styleId="Shadedboxtext">
    <w:name w:val="Shaded box text"/>
    <w:basedOn w:val="Normal"/>
    <w:qFormat/>
    <w:rsid w:val="00386D81"/>
    <w:pPr>
      <w:pBdr>
        <w:top w:val="single" w:sz="4" w:space="12" w:color="4BAFB0" w:themeColor="background1"/>
        <w:left w:val="single" w:sz="4" w:space="12" w:color="4BAFB0" w:themeColor="background1"/>
        <w:bottom w:val="single" w:sz="4" w:space="12" w:color="4BAFB0" w:themeColor="background1"/>
        <w:right w:val="single" w:sz="4" w:space="12" w:color="4BAFB0" w:themeColor="background1"/>
      </w:pBdr>
      <w:shd w:val="clear" w:color="auto" w:fill="3F9495" w:themeFill="background1" w:themeFillShade="D9"/>
      <w:spacing w:line="264" w:lineRule="auto"/>
      <w:ind w:left="284" w:right="284"/>
    </w:pPr>
    <w:rPr>
      <w:rFonts w:eastAsia="Arial Unicode MS"/>
    </w:rPr>
  </w:style>
  <w:style w:type="character" w:styleId="PlaceholderText">
    <w:name w:val="Placeholder Text"/>
    <w:basedOn w:val="DefaultParagraphFont"/>
    <w:uiPriority w:val="99"/>
    <w:semiHidden/>
    <w:rsid w:val="00386D81"/>
    <w:rPr>
      <w:color w:val="808080"/>
    </w:rPr>
  </w:style>
  <w:style w:type="paragraph" w:styleId="ListParagraph">
    <w:name w:val="List Paragraph"/>
    <w:aliases w:val="Bullet List Paragraph,Bullet point,Bullets,CV text,Dot pt,F5 List Paragraph,FooterText,L,List Paragraph1,List Paragraph11,List Paragraph111,List Paragraph2,Medium Grid 1 - Accent 21,NAST Quote,NFP GP Bulleted List,Numbered Paragraph,列,lp1"/>
    <w:basedOn w:val="Normal"/>
    <w:link w:val="ListParagraphChar"/>
    <w:uiPriority w:val="34"/>
    <w:qFormat/>
    <w:rsid w:val="00386D81"/>
    <w:pPr>
      <w:ind w:left="720"/>
      <w:contextualSpacing/>
    </w:pPr>
  </w:style>
  <w:style w:type="character" w:customStyle="1" w:styleId="ListParagraphChar">
    <w:name w:val="List Paragraph Char"/>
    <w:aliases w:val="Bullet List Paragraph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386D81"/>
    <w:rPr>
      <w:rFonts w:ascii="Segoe UI" w:hAnsi="Segoe UI"/>
      <w:sz w:val="21"/>
      <w:lang w:eastAsia="en-GB"/>
    </w:rPr>
  </w:style>
  <w:style w:type="character" w:styleId="UnresolvedMention">
    <w:name w:val="Unresolved Mention"/>
    <w:basedOn w:val="DefaultParagraphFont"/>
    <w:uiPriority w:val="99"/>
    <w:unhideWhenUsed/>
    <w:rsid w:val="00386D81"/>
    <w:rPr>
      <w:color w:val="605E5C"/>
      <w:shd w:val="clear" w:color="auto" w:fill="E1DFDD"/>
    </w:rPr>
  </w:style>
  <w:style w:type="character" w:styleId="Mention">
    <w:name w:val="Mention"/>
    <w:basedOn w:val="DefaultParagraphFont"/>
    <w:uiPriority w:val="99"/>
    <w:unhideWhenUsed/>
    <w:rsid w:val="00386D81"/>
    <w:rPr>
      <w:color w:val="2B579A"/>
      <w:shd w:val="clear" w:color="auto" w:fill="E1DFDD"/>
    </w:rPr>
  </w:style>
  <w:style w:type="character" w:styleId="Emphasis">
    <w:name w:val="Emphasis"/>
    <w:basedOn w:val="DefaultParagraphFont"/>
    <w:uiPriority w:val="20"/>
    <w:qFormat/>
    <w:rsid w:val="00386D81"/>
    <w:rPr>
      <w:i/>
      <w:iCs/>
    </w:rPr>
  </w:style>
  <w:style w:type="paragraph" w:styleId="NormalWeb">
    <w:name w:val="Normal (Web)"/>
    <w:basedOn w:val="Normal"/>
    <w:uiPriority w:val="99"/>
    <w:semiHidden/>
    <w:unhideWhenUsed/>
    <w:rsid w:val="00386D81"/>
    <w:pPr>
      <w:spacing w:before="100" w:beforeAutospacing="1" w:after="100" w:afterAutospacing="1"/>
    </w:pPr>
    <w:rPr>
      <w:rFonts w:ascii="Times New Roman" w:hAnsi="Times New Roman"/>
      <w:sz w:val="24"/>
      <w:szCs w:val="24"/>
      <w:lang w:eastAsia="en-NZ"/>
    </w:rPr>
  </w:style>
  <w:style w:type="paragraph" w:styleId="Caption">
    <w:name w:val="caption"/>
    <w:basedOn w:val="Normal"/>
    <w:next w:val="Normal"/>
    <w:unhideWhenUsed/>
    <w:qFormat/>
    <w:rsid w:val="00386D81"/>
    <w:pPr>
      <w:spacing w:after="200"/>
    </w:pPr>
    <w:rPr>
      <w:i/>
      <w:iCs/>
      <w:color w:val="23305D" w:themeColor="text2"/>
      <w:sz w:val="18"/>
      <w:szCs w:val="18"/>
    </w:rPr>
  </w:style>
  <w:style w:type="paragraph" w:customStyle="1" w:styleId="paragraph">
    <w:name w:val="paragraph"/>
    <w:basedOn w:val="Normal"/>
    <w:rsid w:val="00386D81"/>
    <w:pPr>
      <w:spacing w:before="100" w:beforeAutospacing="1" w:after="100" w:afterAutospacing="1"/>
    </w:pPr>
    <w:rPr>
      <w:rFonts w:ascii="Times New Roman" w:eastAsiaTheme="minorHAnsi" w:hAnsi="Times New Roman"/>
      <w:sz w:val="24"/>
      <w:szCs w:val="24"/>
      <w:lang w:eastAsia="en-NZ"/>
    </w:rPr>
  </w:style>
  <w:style w:type="character" w:customStyle="1" w:styleId="normaltextrun">
    <w:name w:val="normaltextrun"/>
    <w:basedOn w:val="DefaultParagraphFont"/>
    <w:rsid w:val="00386D81"/>
  </w:style>
  <w:style w:type="character" w:customStyle="1" w:styleId="eop">
    <w:name w:val="eop"/>
    <w:basedOn w:val="DefaultParagraphFont"/>
    <w:rsid w:val="00386D81"/>
  </w:style>
  <w:style w:type="character" w:styleId="FollowedHyperlink">
    <w:name w:val="FollowedHyperlink"/>
    <w:basedOn w:val="DefaultParagraphFont"/>
    <w:uiPriority w:val="99"/>
    <w:semiHidden/>
    <w:unhideWhenUsed/>
    <w:rsid w:val="00386D81"/>
    <w:rPr>
      <w:color w:val="595959" w:themeColor="followedHyperlink"/>
      <w:u w:val="single"/>
    </w:rPr>
  </w:style>
  <w:style w:type="table" w:customStyle="1" w:styleId="TableGrid1">
    <w:name w:val="Table Grid1"/>
    <w:basedOn w:val="TableNormal"/>
    <w:next w:val="TableGrid"/>
    <w:uiPriority w:val="59"/>
    <w:rsid w:val="00A93432"/>
    <w:rPr>
      <w:rFonts w:ascii="Segoe UI" w:eastAsia="Calibri" w:hAnsi="Segoe UI" w:cs="Arial"/>
      <w:sz w:val="18"/>
      <w:szCs w:val="22"/>
      <w:lang w:eastAsia="en-US"/>
    </w:rPr>
    <w:tblPr>
      <w:tblBorders>
        <w:top w:val="single" w:sz="4" w:space="0" w:color="B6DFE0"/>
        <w:bottom w:val="single" w:sz="4" w:space="0" w:color="B6DFE0"/>
        <w:insideH w:val="single" w:sz="4" w:space="0" w:color="B6DFE0"/>
      </w:tblBorders>
    </w:tblPr>
    <w:tblStylePr w:type="firstRow">
      <w:rPr>
        <w:rFonts w:ascii="Segoe UI" w:hAnsi="Segoe UI"/>
      </w:rPr>
      <w:tblPr/>
      <w:tcPr>
        <w:shd w:val="clear" w:color="auto" w:fill="B6DFE0"/>
      </w:tcPr>
    </w:tblStylePr>
  </w:style>
  <w:style w:type="table" w:customStyle="1" w:styleId="MoH">
    <w:name w:val="MoH"/>
    <w:basedOn w:val="TableNormal"/>
    <w:uiPriority w:val="99"/>
    <w:rsid w:val="00386D81"/>
    <w:rPr>
      <w:rFonts w:ascii="Segoe UI" w:hAnsi="Segoe UI"/>
      <w:sz w:val="18"/>
    </w:rPr>
    <w:tblPr>
      <w:tblBorders>
        <w:top w:val="single" w:sz="4" w:space="0" w:color="317172" w:themeColor="background1" w:themeShade="A6"/>
        <w:bottom w:val="single" w:sz="4" w:space="0" w:color="317172" w:themeColor="background1" w:themeShade="A6"/>
        <w:insideH w:val="single" w:sz="4" w:space="0" w:color="317172" w:themeColor="background1" w:themeShade="A6"/>
      </w:tblBorders>
    </w:tblPr>
    <w:tblStylePr w:type="firstRow">
      <w:tblPr/>
      <w:tcPr>
        <w:tcBorders>
          <w:top w:val="single" w:sz="4" w:space="0" w:color="317172" w:themeColor="background1" w:themeShade="A6"/>
          <w:left w:val="nil"/>
          <w:bottom w:val="nil"/>
          <w:right w:val="nil"/>
          <w:insideH w:val="nil"/>
          <w:insideV w:val="nil"/>
          <w:tl2br w:val="nil"/>
          <w:tr2bl w:val="nil"/>
        </w:tcBorders>
        <w:shd w:val="clear" w:color="auto" w:fill="3F9495" w:themeFill="background1" w:themeFillShade="D9"/>
      </w:tcPr>
    </w:tblStylePr>
  </w:style>
  <w:style w:type="paragraph" w:styleId="ListNumber">
    <w:name w:val="List Number"/>
    <w:basedOn w:val="Normal"/>
    <w:uiPriority w:val="99"/>
    <w:unhideWhenUsed/>
    <w:rsid w:val="00386D81"/>
    <w:pPr>
      <w:numPr>
        <w:numId w:val="51"/>
      </w:numPr>
      <w:spacing w:before="90"/>
    </w:pPr>
  </w:style>
  <w:style w:type="paragraph" w:styleId="ListNumber2">
    <w:name w:val="List Number 2"/>
    <w:basedOn w:val="Normal"/>
    <w:uiPriority w:val="99"/>
    <w:unhideWhenUsed/>
    <w:rsid w:val="00386D81"/>
    <w:pPr>
      <w:numPr>
        <w:numId w:val="52"/>
      </w:numPr>
      <w:spacing w:before="90"/>
      <w:ind w:left="714" w:hanging="357"/>
    </w:pPr>
  </w:style>
  <w:style w:type="paragraph" w:styleId="BodyText">
    <w:name w:val="Body Text"/>
    <w:basedOn w:val="Normal"/>
    <w:link w:val="BodyTextChar"/>
    <w:uiPriority w:val="1"/>
    <w:unhideWhenUsed/>
    <w:qFormat/>
    <w:rsid w:val="00386D81"/>
    <w:pPr>
      <w:spacing w:after="120"/>
    </w:pPr>
  </w:style>
  <w:style w:type="character" w:customStyle="1" w:styleId="BodyTextChar">
    <w:name w:val="Body Text Char"/>
    <w:basedOn w:val="DefaultParagraphFont"/>
    <w:link w:val="BodyText"/>
    <w:uiPriority w:val="1"/>
    <w:rsid w:val="00386D81"/>
    <w:rPr>
      <w:rFonts w:ascii="Segoe UI" w:hAnsi="Segoe UI"/>
      <w:sz w:val="21"/>
      <w:lang w:eastAsia="en-GB"/>
    </w:rPr>
  </w:style>
  <w:style w:type="table" w:customStyle="1" w:styleId="TableGrid2">
    <w:name w:val="Table Grid2"/>
    <w:basedOn w:val="TableNormal"/>
    <w:next w:val="TableGrid"/>
    <w:uiPriority w:val="39"/>
    <w:rsid w:val="00202784"/>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4.xml"/><Relationship Id="rId26" Type="http://schemas.openxmlformats.org/officeDocument/2006/relationships/image" Target="media/image7.png"/><Relationship Id="rId39" Type="http://schemas.openxmlformats.org/officeDocument/2006/relationships/footer" Target="footer18.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footer" Target="footer15.xml"/><Relationship Id="rId42" Type="http://schemas.openxmlformats.org/officeDocument/2006/relationships/footer" Target="footer21.xm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health.govt.nz" TargetMode="External"/><Relationship Id="rId17" Type="http://schemas.openxmlformats.org/officeDocument/2006/relationships/header" Target="header3.xml"/><Relationship Id="rId25" Type="http://schemas.openxmlformats.org/officeDocument/2006/relationships/footer" Target="footer9.xml"/><Relationship Id="rId33" Type="http://schemas.openxmlformats.org/officeDocument/2006/relationships/footer" Target="footer14.xml"/><Relationship Id="rId38" Type="http://schemas.openxmlformats.org/officeDocument/2006/relationships/footer" Target="footer17.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6.xml"/><Relationship Id="rId29" Type="http://schemas.openxmlformats.org/officeDocument/2006/relationships/hyperlink" Target="https://www.tewhatuora.govt.nz/about-us/publications/communicable-disease-control-manual/" TargetMode="External"/><Relationship Id="rId41"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8.xml"/><Relationship Id="rId32" Type="http://schemas.openxmlformats.org/officeDocument/2006/relationships/image" Target="media/image8.png"/><Relationship Id="rId37" Type="http://schemas.openxmlformats.org/officeDocument/2006/relationships/footer" Target="footer16.xml"/><Relationship Id="rId40" Type="http://schemas.openxmlformats.org/officeDocument/2006/relationships/footer" Target="footer19.xml"/><Relationship Id="rId45" Type="http://schemas.openxmlformats.org/officeDocument/2006/relationships/footer" Target="footer2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footer" Target="footer11.xml"/><Relationship Id="rId36" Type="http://schemas.openxmlformats.org/officeDocument/2006/relationships/hyperlink" Target="https://www.tewhatuora.govt.nz/about-us/publications/communicable-disease-control-manual/" TargetMode="Externa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footer" Target="footer13.xml"/><Relationship Id="rId44" Type="http://schemas.openxmlformats.org/officeDocument/2006/relationships/footer" Target="footer2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yperlink" Target="https://polioeradication.org/where-we-work/polio-outbreak-countries/" TargetMode="Externa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hyperlink" Target="https://www.immunise.health.nz/" TargetMode="External"/><Relationship Id="rId43" Type="http://schemas.openxmlformats.org/officeDocument/2006/relationships/image" Target="media/image9.png"/><Relationship Id="rId48" Type="http://schemas.openxmlformats.org/officeDocument/2006/relationships/theme" Target="theme/theme1.xml"/></Relationships>
</file>

<file path=word/_rels/footer10.xml.rels><?xml version="1.0" encoding="UTF-8" standalone="yes"?>
<Relationships xmlns="http://schemas.openxmlformats.org/package/2006/relationships"><Relationship Id="rId1" Type="http://schemas.openxmlformats.org/officeDocument/2006/relationships/image" Target="media/image6.png"/></Relationships>
</file>

<file path=word/_rels/footer11.xml.rels><?xml version="1.0" encoding="UTF-8" standalone="yes"?>
<Relationships xmlns="http://schemas.openxmlformats.org/package/2006/relationships"><Relationship Id="rId1" Type="http://schemas.openxmlformats.org/officeDocument/2006/relationships/image" Target="media/image6.png"/></Relationships>
</file>

<file path=word/_rels/footer12.xml.rels><?xml version="1.0" encoding="UTF-8" standalone="yes"?>
<Relationships xmlns="http://schemas.openxmlformats.org/package/2006/relationships"><Relationship Id="rId1" Type="http://schemas.openxmlformats.org/officeDocument/2006/relationships/image" Target="media/image6.png"/></Relationships>
</file>

<file path=word/_rels/footer13.xml.rels><?xml version="1.0" encoding="UTF-8" standalone="yes"?>
<Relationships xmlns="http://schemas.openxmlformats.org/package/2006/relationships"><Relationship Id="rId1" Type="http://schemas.openxmlformats.org/officeDocument/2006/relationships/image" Target="media/image6.png"/></Relationships>
</file>

<file path=word/_rels/footer14.xml.rels><?xml version="1.0" encoding="UTF-8" standalone="yes"?>
<Relationships xmlns="http://schemas.openxmlformats.org/package/2006/relationships"><Relationship Id="rId1" Type="http://schemas.openxmlformats.org/officeDocument/2006/relationships/image" Target="media/image6.png"/></Relationships>
</file>

<file path=word/_rels/footer15.xml.rels><?xml version="1.0" encoding="UTF-8" standalone="yes"?>
<Relationships xmlns="http://schemas.openxmlformats.org/package/2006/relationships"><Relationship Id="rId1" Type="http://schemas.openxmlformats.org/officeDocument/2006/relationships/image" Target="media/image6.png"/></Relationships>
</file>

<file path=word/_rels/footer16.xml.rels><?xml version="1.0" encoding="UTF-8" standalone="yes"?>
<Relationships xmlns="http://schemas.openxmlformats.org/package/2006/relationships"><Relationship Id="rId1" Type="http://schemas.openxmlformats.org/officeDocument/2006/relationships/image" Target="media/image6.png"/></Relationships>
</file>

<file path=word/_rels/footer17.xml.rels><?xml version="1.0" encoding="UTF-8" standalone="yes"?>
<Relationships xmlns="http://schemas.openxmlformats.org/package/2006/relationships"><Relationship Id="rId1" Type="http://schemas.openxmlformats.org/officeDocument/2006/relationships/image" Target="media/image6.png"/></Relationships>
</file>

<file path=word/_rels/footer18.xml.rels><?xml version="1.0" encoding="UTF-8" standalone="yes"?>
<Relationships xmlns="http://schemas.openxmlformats.org/package/2006/relationships"><Relationship Id="rId1" Type="http://schemas.openxmlformats.org/officeDocument/2006/relationships/image" Target="media/image6.png"/></Relationships>
</file>

<file path=word/_rels/footer19.xml.rels><?xml version="1.0" encoding="UTF-8" standalone="yes"?>
<Relationships xmlns="http://schemas.openxmlformats.org/package/2006/relationships"><Relationship Id="rId1" Type="http://schemas.openxmlformats.org/officeDocument/2006/relationships/image" Target="media/image6.png"/></Relationships>
</file>

<file path=word/_rels/footer20.xml.rels><?xml version="1.0" encoding="UTF-8" standalone="yes"?>
<Relationships xmlns="http://schemas.openxmlformats.org/package/2006/relationships"><Relationship Id="rId1" Type="http://schemas.openxmlformats.org/officeDocument/2006/relationships/image" Target="media/image6.png"/></Relationships>
</file>

<file path=word/_rels/footer21.xml.rels><?xml version="1.0" encoding="UTF-8" standalone="yes"?>
<Relationships xmlns="http://schemas.openxmlformats.org/package/2006/relationships"><Relationship Id="rId1" Type="http://schemas.openxmlformats.org/officeDocument/2006/relationships/image" Target="media/image6.png"/></Relationships>
</file>

<file path=word/_rels/footer22.xml.rels><?xml version="1.0" encoding="UTF-8" standalone="yes"?>
<Relationships xmlns="http://schemas.openxmlformats.org/package/2006/relationships"><Relationship Id="rId1" Type="http://schemas.openxmlformats.org/officeDocument/2006/relationships/image" Target="media/image6.png"/></Relationships>
</file>

<file path=word/_rels/footer2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er8.xml.rels><?xml version="1.0" encoding="UTF-8" standalone="yes"?>
<Relationships xmlns="http://schemas.openxmlformats.org/package/2006/relationships"><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www.otago.ac.nz/nzpsu/reports" TargetMode="External"/><Relationship Id="rId13" Type="http://schemas.openxmlformats.org/officeDocument/2006/relationships/hyperlink" Target="https://www.tewhatuora.govt.nz/for-the-health-sector/health-sector-guidance/communicable-disease-control-manual/" TargetMode="External"/><Relationship Id="rId18" Type="http://schemas.openxmlformats.org/officeDocument/2006/relationships/hyperlink" Target="https://assets.publishing.service.gov.uk/government/uploads/system/uploads/attachment_data/file/833211/National_polio_guidelines_2019.pdf" TargetMode="External"/><Relationship Id="rId3" Type="http://schemas.openxmlformats.org/officeDocument/2006/relationships/hyperlink" Target="https://polioeradication.org/polio-today/polio-now/public-health-emergency-status/" TargetMode="External"/><Relationship Id="rId7" Type="http://schemas.openxmlformats.org/officeDocument/2006/relationships/hyperlink" Target="https://www.who.int/publications/m/item/vaccine-preventable-diseases-surveillance-standards-polio" TargetMode="External"/><Relationship Id="rId12" Type="http://schemas.openxmlformats.org/officeDocument/2006/relationships/hyperlink" Target="https://iris.who.int/handle/10665/61626" TargetMode="External"/><Relationship Id="rId17" Type="http://schemas.openxmlformats.org/officeDocument/2006/relationships/hyperlink" Target="https://polioeradication.org/wp-content/uploads/2017/03/SL2-investigation-guide_WHO-HQ09032017.pdf" TargetMode="External"/><Relationship Id="rId2" Type="http://schemas.openxmlformats.org/officeDocument/2006/relationships/hyperlink" Target="http://dx.doi.org/10.15585/mmwr.mm6710a4" TargetMode="External"/><Relationship Id="rId16" Type="http://schemas.openxmlformats.org/officeDocument/2006/relationships/hyperlink" Target="https://polioeradication.org/polio-today/polio-now/public-health-emergency-status/" TargetMode="External"/><Relationship Id="rId20" Type="http://schemas.openxmlformats.org/officeDocument/2006/relationships/hyperlink" Target="https://polioeradication.org/wp-content/uploads/2021/05/Public-Health-Management-of-Facility-related-Exposure-to-Live-Polioviruses-EN-20210520.pdf" TargetMode="External"/><Relationship Id="rId1" Type="http://schemas.openxmlformats.org/officeDocument/2006/relationships/hyperlink" Target="https://polioeradication.org/wp-content/uploads/2016/09/Reporting-and-Classification-of-VDPVs_Aug2016_EN.pdf" TargetMode="External"/><Relationship Id="rId6" Type="http://schemas.openxmlformats.org/officeDocument/2006/relationships/hyperlink" Target="https://www.tewhatuora.govt.nz/for-the-health-sector/health-sector-guidance/communicable-disease-control-manual/poliomyelitis/" TargetMode="External"/><Relationship Id="rId11" Type="http://schemas.openxmlformats.org/officeDocument/2006/relationships/hyperlink" Target="https://www.uptodate.com/contents/poliomyelitis-and-post-polio-syndrome" TargetMode="External"/><Relationship Id="rId5" Type="http://schemas.openxmlformats.org/officeDocument/2006/relationships/hyperlink" Target="https://www.tewhatuora.govt.nz/for-the-health-sector/health-sector-guidance/communicable-disease-control-manual/" TargetMode="External"/><Relationship Id="rId15" Type="http://schemas.openxmlformats.org/officeDocument/2006/relationships/hyperlink" Target="https://www.health.govt.nz/our-work/immunisation-handbook-2020" TargetMode="External"/><Relationship Id="rId10" Type="http://schemas.openxmlformats.org/officeDocument/2006/relationships/hyperlink" Target="https://www.health.govt.nz/our-work/immunisation-handbook-2020" TargetMode="External"/><Relationship Id="rId19" Type="http://schemas.openxmlformats.org/officeDocument/2006/relationships/hyperlink" Target="https://www.tewhatuora.govt.nz/for-the-health-sector/health-sector-guidance/communicable-disease-control-manual/" TargetMode="External"/><Relationship Id="rId4" Type="http://schemas.openxmlformats.org/officeDocument/2006/relationships/hyperlink" Target="https://polioeradication.org/where-we-work/polio-outbreak-countries/" TargetMode="External"/><Relationship Id="rId9" Type="http://schemas.openxmlformats.org/officeDocument/2006/relationships/hyperlink" Target="https://d.docs.live.net/a33dc6213b8fa61c/Documents/_In%20Progress/MoH/Polio/polioeradication.org/wp-content/uploads/2020/03/AFP-contact-sampling-and-targeted-healthy-children-stool-sampling-20200327.pdf" TargetMode="External"/><Relationship Id="rId14" Type="http://schemas.openxmlformats.org/officeDocument/2006/relationships/hyperlink" Target="https://apps.who.int/iris/bitstream/handle/10665/363627/9789240049154-eng.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BB2111A5E32427AADAB3B6DD45D1133"/>
        <w:category>
          <w:name w:val="General"/>
          <w:gallery w:val="placeholder"/>
        </w:category>
        <w:types>
          <w:type w:val="bbPlcHdr"/>
        </w:types>
        <w:behaviors>
          <w:behavior w:val="content"/>
        </w:behaviors>
        <w:guid w:val="{08E43872-0521-4B4F-B46F-AC28F27133CC}"/>
      </w:docPartPr>
      <w:docPartBody>
        <w:p w:rsidR="00AF5813" w:rsidRDefault="00AF5813">
          <w:r w:rsidRPr="003575E4">
            <w:rPr>
              <w:rStyle w:val="PlaceholderText"/>
            </w:rPr>
            <w:t>[Title]</w:t>
          </w:r>
        </w:p>
      </w:docPartBody>
    </w:docPart>
    <w:docPart>
      <w:docPartPr>
        <w:name w:val="1D60B9BF7CD24544B354237081258670"/>
        <w:category>
          <w:name w:val="General"/>
          <w:gallery w:val="placeholder"/>
        </w:category>
        <w:types>
          <w:type w:val="bbPlcHdr"/>
        </w:types>
        <w:behaviors>
          <w:behavior w:val="content"/>
        </w:behaviors>
        <w:guid w:val="{7177A749-5246-46C1-AB82-A577C1461CFB}"/>
      </w:docPartPr>
      <w:docPartBody>
        <w:p w:rsidR="00AF5813" w:rsidRDefault="00AF5813">
          <w:r w:rsidRPr="003575E4">
            <w:rPr>
              <w:rStyle w:val="PlaceholderText"/>
            </w:rPr>
            <w:t>[Title]</w:t>
          </w:r>
        </w:p>
      </w:docPartBody>
    </w:docPart>
    <w:docPart>
      <w:docPartPr>
        <w:name w:val="E48966CEE8C74FBCA9D22944AF6436E0"/>
        <w:category>
          <w:name w:val="General"/>
          <w:gallery w:val="placeholder"/>
        </w:category>
        <w:types>
          <w:type w:val="bbPlcHdr"/>
        </w:types>
        <w:behaviors>
          <w:behavior w:val="content"/>
        </w:behaviors>
        <w:guid w:val="{D8366241-0E2B-4D17-A2ED-3214479791FE}"/>
      </w:docPartPr>
      <w:docPartBody>
        <w:p w:rsidR="00AF5813" w:rsidRDefault="00AF5813" w:rsidP="00AF5813">
          <w:pPr>
            <w:pStyle w:val="E48966CEE8C74FBCA9D22944AF6436E0"/>
          </w:pPr>
          <w:r w:rsidRPr="003575E4">
            <w:rPr>
              <w:rStyle w:val="PlaceholderText"/>
            </w:rPr>
            <w:t>[Title]</w:t>
          </w:r>
        </w:p>
      </w:docPartBody>
    </w:docPart>
    <w:docPart>
      <w:docPartPr>
        <w:name w:val="D1DE3A2524C54B04A8BD4E79E27401ED"/>
        <w:category>
          <w:name w:val="General"/>
          <w:gallery w:val="placeholder"/>
        </w:category>
        <w:types>
          <w:type w:val="bbPlcHdr"/>
        </w:types>
        <w:behaviors>
          <w:behavior w:val="content"/>
        </w:behaviors>
        <w:guid w:val="{4C929239-3AC2-4E9A-9FDE-805758A6D01C}"/>
      </w:docPartPr>
      <w:docPartBody>
        <w:p w:rsidR="00AF5813" w:rsidRDefault="00AF5813" w:rsidP="00AF5813">
          <w:pPr>
            <w:pStyle w:val="D1DE3A2524C54B04A8BD4E79E27401ED"/>
          </w:pPr>
          <w:r w:rsidRPr="003575E4">
            <w:rPr>
              <w:rStyle w:val="PlaceholderText"/>
            </w:rPr>
            <w:t>[Title]</w:t>
          </w:r>
        </w:p>
      </w:docPartBody>
    </w:docPart>
    <w:docPart>
      <w:docPartPr>
        <w:name w:val="83A01F874FF3451BA91F4B8838A82895"/>
        <w:category>
          <w:name w:val="General"/>
          <w:gallery w:val="placeholder"/>
        </w:category>
        <w:types>
          <w:type w:val="bbPlcHdr"/>
        </w:types>
        <w:behaviors>
          <w:behavior w:val="content"/>
        </w:behaviors>
        <w:guid w:val="{A302F9D0-F809-4B92-8E96-6B416F518859}"/>
      </w:docPartPr>
      <w:docPartBody>
        <w:p w:rsidR="00AF5813" w:rsidRDefault="00AF5813" w:rsidP="00AF5813">
          <w:pPr>
            <w:pStyle w:val="83A01F874FF3451BA91F4B8838A82895"/>
          </w:pPr>
          <w:r w:rsidRPr="003575E4">
            <w:rPr>
              <w:rStyle w:val="PlaceholderText"/>
            </w:rPr>
            <w:t>[Title]</w:t>
          </w:r>
        </w:p>
      </w:docPartBody>
    </w:docPart>
    <w:docPart>
      <w:docPartPr>
        <w:name w:val="DA922C733FB748C7860A4F289B027D6A"/>
        <w:category>
          <w:name w:val="General"/>
          <w:gallery w:val="placeholder"/>
        </w:category>
        <w:types>
          <w:type w:val="bbPlcHdr"/>
        </w:types>
        <w:behaviors>
          <w:behavior w:val="content"/>
        </w:behaviors>
        <w:guid w:val="{0C5DDCF9-DC4C-4EB8-BDC9-033A595C1EC9}"/>
      </w:docPartPr>
      <w:docPartBody>
        <w:p w:rsidR="00AF5813" w:rsidRDefault="00AF5813" w:rsidP="00AF5813">
          <w:pPr>
            <w:pStyle w:val="DA922C733FB748C7860A4F289B027D6A"/>
          </w:pPr>
          <w:r w:rsidRPr="003575E4">
            <w:rPr>
              <w:rStyle w:val="PlaceholderText"/>
            </w:rPr>
            <w:t>[Title]</w:t>
          </w:r>
        </w:p>
      </w:docPartBody>
    </w:docPart>
    <w:docPart>
      <w:docPartPr>
        <w:name w:val="C6787BC2FA184E76BE6F6D0D50625DC3"/>
        <w:category>
          <w:name w:val="General"/>
          <w:gallery w:val="placeholder"/>
        </w:category>
        <w:types>
          <w:type w:val="bbPlcHdr"/>
        </w:types>
        <w:behaviors>
          <w:behavior w:val="content"/>
        </w:behaviors>
        <w:guid w:val="{5F74D7EB-BB45-472C-BDB0-2CE61CE06919}"/>
      </w:docPartPr>
      <w:docPartBody>
        <w:p w:rsidR="00AF5813" w:rsidRDefault="00AF5813" w:rsidP="00AF5813">
          <w:pPr>
            <w:pStyle w:val="C6787BC2FA184E76BE6F6D0D50625DC3"/>
          </w:pPr>
          <w:r w:rsidRPr="003575E4">
            <w:rPr>
              <w:rStyle w:val="PlaceholderText"/>
            </w:rPr>
            <w:t>[Title]</w:t>
          </w:r>
        </w:p>
      </w:docPartBody>
    </w:docPart>
    <w:docPart>
      <w:docPartPr>
        <w:name w:val="70972453C68F44C9AA7B4C0774E319C0"/>
        <w:category>
          <w:name w:val="General"/>
          <w:gallery w:val="placeholder"/>
        </w:category>
        <w:types>
          <w:type w:val="bbPlcHdr"/>
        </w:types>
        <w:behaviors>
          <w:behavior w:val="content"/>
        </w:behaviors>
        <w:guid w:val="{D11E480F-57D1-49B8-80A9-A2298D16EF7B}"/>
      </w:docPartPr>
      <w:docPartBody>
        <w:p w:rsidR="00AF5813" w:rsidRDefault="00AF5813" w:rsidP="00AF5813">
          <w:pPr>
            <w:pStyle w:val="70972453C68F44C9AA7B4C0774E319C0"/>
          </w:pPr>
          <w:r w:rsidRPr="003575E4">
            <w:rPr>
              <w:rStyle w:val="PlaceholderText"/>
            </w:rPr>
            <w:t>[Title]</w:t>
          </w:r>
        </w:p>
      </w:docPartBody>
    </w:docPart>
    <w:docPart>
      <w:docPartPr>
        <w:name w:val="6CACCD981BB140618A3C1F7AD8E24CF8"/>
        <w:category>
          <w:name w:val="General"/>
          <w:gallery w:val="placeholder"/>
        </w:category>
        <w:types>
          <w:type w:val="bbPlcHdr"/>
        </w:types>
        <w:behaviors>
          <w:behavior w:val="content"/>
        </w:behaviors>
        <w:guid w:val="{BF8740B2-A2C4-4180-B038-3924CA597AE6}"/>
      </w:docPartPr>
      <w:docPartBody>
        <w:p w:rsidR="00AF5813" w:rsidRDefault="00AF5813" w:rsidP="00AF5813">
          <w:pPr>
            <w:pStyle w:val="6CACCD981BB140618A3C1F7AD8E24CF8"/>
          </w:pPr>
          <w:r w:rsidRPr="003575E4">
            <w:rPr>
              <w:rStyle w:val="PlaceholderText"/>
            </w:rPr>
            <w:t>[Title]</w:t>
          </w:r>
        </w:p>
      </w:docPartBody>
    </w:docPart>
    <w:docPart>
      <w:docPartPr>
        <w:name w:val="40889352744F45AA835DD63ECC62A4D7"/>
        <w:category>
          <w:name w:val="General"/>
          <w:gallery w:val="placeholder"/>
        </w:category>
        <w:types>
          <w:type w:val="bbPlcHdr"/>
        </w:types>
        <w:behaviors>
          <w:behavior w:val="content"/>
        </w:behaviors>
        <w:guid w:val="{827864C8-15AD-4CBC-88F9-5C424FD69B5E}"/>
      </w:docPartPr>
      <w:docPartBody>
        <w:p w:rsidR="00AF5813" w:rsidRDefault="00AF5813" w:rsidP="00AF5813">
          <w:pPr>
            <w:pStyle w:val="40889352744F45AA835DD63ECC62A4D7"/>
          </w:pPr>
          <w:r w:rsidRPr="003575E4">
            <w:rPr>
              <w:rStyle w:val="PlaceholderText"/>
            </w:rPr>
            <w:t>[Title]</w:t>
          </w:r>
        </w:p>
      </w:docPartBody>
    </w:docPart>
    <w:docPart>
      <w:docPartPr>
        <w:name w:val="C9AD685917794F2EAC4E4B53BD175180"/>
        <w:category>
          <w:name w:val="General"/>
          <w:gallery w:val="placeholder"/>
        </w:category>
        <w:types>
          <w:type w:val="bbPlcHdr"/>
        </w:types>
        <w:behaviors>
          <w:behavior w:val="content"/>
        </w:behaviors>
        <w:guid w:val="{C0B15B7D-1FE1-47F7-AD93-F37813335BA8}"/>
      </w:docPartPr>
      <w:docPartBody>
        <w:p w:rsidR="00AF5813" w:rsidRDefault="00AF5813" w:rsidP="00AF5813">
          <w:pPr>
            <w:pStyle w:val="C9AD685917794F2EAC4E4B53BD175180"/>
          </w:pPr>
          <w:r w:rsidRPr="003575E4">
            <w:rPr>
              <w:rStyle w:val="PlaceholderText"/>
            </w:rPr>
            <w:t>[Title]</w:t>
          </w:r>
        </w:p>
      </w:docPartBody>
    </w:docPart>
    <w:docPart>
      <w:docPartPr>
        <w:name w:val="D389517331E141E492B8FD31B752E9F0"/>
        <w:category>
          <w:name w:val="General"/>
          <w:gallery w:val="placeholder"/>
        </w:category>
        <w:types>
          <w:type w:val="bbPlcHdr"/>
        </w:types>
        <w:behaviors>
          <w:behavior w:val="content"/>
        </w:behaviors>
        <w:guid w:val="{8376BB61-7B5D-48FA-A266-3192955903F1}"/>
      </w:docPartPr>
      <w:docPartBody>
        <w:p w:rsidR="00AF5813" w:rsidRDefault="00AF5813" w:rsidP="00AF5813">
          <w:pPr>
            <w:pStyle w:val="D389517331E141E492B8FD31B752E9F0"/>
          </w:pPr>
          <w:r w:rsidRPr="003575E4">
            <w:rPr>
              <w:rStyle w:val="PlaceholderText"/>
            </w:rPr>
            <w:t>[Title]</w:t>
          </w:r>
        </w:p>
      </w:docPartBody>
    </w:docPart>
    <w:docPart>
      <w:docPartPr>
        <w:name w:val="4FD9833FFFF6475D834717251AD04A20"/>
        <w:category>
          <w:name w:val="General"/>
          <w:gallery w:val="placeholder"/>
        </w:category>
        <w:types>
          <w:type w:val="bbPlcHdr"/>
        </w:types>
        <w:behaviors>
          <w:behavior w:val="content"/>
        </w:behaviors>
        <w:guid w:val="{B23104C6-2ACA-43E4-9B5C-C912E69B5632}"/>
      </w:docPartPr>
      <w:docPartBody>
        <w:p w:rsidR="00AF5813" w:rsidRDefault="00AF5813" w:rsidP="00AF5813">
          <w:pPr>
            <w:pStyle w:val="4FD9833FFFF6475D834717251AD04A20"/>
          </w:pPr>
          <w:r w:rsidRPr="003575E4">
            <w:rPr>
              <w:rStyle w:val="PlaceholderText"/>
            </w:rPr>
            <w:t>[Title]</w:t>
          </w:r>
        </w:p>
      </w:docPartBody>
    </w:docPart>
    <w:docPart>
      <w:docPartPr>
        <w:name w:val="DB73B371574B4EED9775D67FF155DA5F"/>
        <w:category>
          <w:name w:val="General"/>
          <w:gallery w:val="placeholder"/>
        </w:category>
        <w:types>
          <w:type w:val="bbPlcHdr"/>
        </w:types>
        <w:behaviors>
          <w:behavior w:val="content"/>
        </w:behaviors>
        <w:guid w:val="{7DC519D9-A42E-4A75-B59C-B1903296E005}"/>
      </w:docPartPr>
      <w:docPartBody>
        <w:p w:rsidR="00AF5813" w:rsidRDefault="00AF5813" w:rsidP="00AF5813">
          <w:pPr>
            <w:pStyle w:val="DB73B371574B4EED9775D67FF155DA5F"/>
          </w:pPr>
          <w:r w:rsidRPr="003575E4">
            <w:rPr>
              <w:rStyle w:val="PlaceholderText"/>
            </w:rPr>
            <w:t>[Title]</w:t>
          </w:r>
        </w:p>
      </w:docPartBody>
    </w:docPart>
    <w:docPart>
      <w:docPartPr>
        <w:name w:val="B808D0EA71A447F0A24402D519C43409"/>
        <w:category>
          <w:name w:val="General"/>
          <w:gallery w:val="placeholder"/>
        </w:category>
        <w:types>
          <w:type w:val="bbPlcHdr"/>
        </w:types>
        <w:behaviors>
          <w:behavior w:val="content"/>
        </w:behaviors>
        <w:guid w:val="{1798DF80-2EA9-4143-8469-D66F051D60B4}"/>
      </w:docPartPr>
      <w:docPartBody>
        <w:p w:rsidR="00AF5813" w:rsidRDefault="00AF5813" w:rsidP="00AF5813">
          <w:pPr>
            <w:pStyle w:val="B808D0EA71A447F0A24402D519C43409"/>
          </w:pPr>
          <w:r w:rsidRPr="003575E4">
            <w:rPr>
              <w:rStyle w:val="PlaceholderText"/>
            </w:rPr>
            <w:t>[Title]</w:t>
          </w:r>
        </w:p>
      </w:docPartBody>
    </w:docPart>
    <w:docPart>
      <w:docPartPr>
        <w:name w:val="119917C917B64776973F684C7F65994E"/>
        <w:category>
          <w:name w:val="General"/>
          <w:gallery w:val="placeholder"/>
        </w:category>
        <w:types>
          <w:type w:val="bbPlcHdr"/>
        </w:types>
        <w:behaviors>
          <w:behavior w:val="content"/>
        </w:behaviors>
        <w:guid w:val="{462B5CE8-0605-404F-A3F3-E12AECEB4774}"/>
      </w:docPartPr>
      <w:docPartBody>
        <w:p w:rsidR="00AF5813" w:rsidRDefault="00AF5813" w:rsidP="00AF5813">
          <w:pPr>
            <w:pStyle w:val="119917C917B64776973F684C7F65994E"/>
          </w:pPr>
          <w:r w:rsidRPr="003575E4">
            <w:rPr>
              <w:rStyle w:val="PlaceholderText"/>
            </w:rPr>
            <w:t>[Title]</w:t>
          </w:r>
        </w:p>
      </w:docPartBody>
    </w:docPart>
    <w:docPart>
      <w:docPartPr>
        <w:name w:val="EBDDAE95A7194F1C8F4095EB3CF607F5"/>
        <w:category>
          <w:name w:val="General"/>
          <w:gallery w:val="placeholder"/>
        </w:category>
        <w:types>
          <w:type w:val="bbPlcHdr"/>
        </w:types>
        <w:behaviors>
          <w:behavior w:val="content"/>
        </w:behaviors>
        <w:guid w:val="{1EF8B8A9-415D-48D1-BF49-5C1DB20A116A}"/>
      </w:docPartPr>
      <w:docPartBody>
        <w:p w:rsidR="00AF5813" w:rsidRDefault="00AF5813" w:rsidP="00AF5813">
          <w:pPr>
            <w:pStyle w:val="EBDDAE95A7194F1C8F4095EB3CF607F5"/>
          </w:pPr>
          <w:r w:rsidRPr="003575E4">
            <w:rPr>
              <w:rStyle w:val="PlaceholderText"/>
            </w:rPr>
            <w:t>[Title]</w:t>
          </w:r>
        </w:p>
      </w:docPartBody>
    </w:docPart>
    <w:docPart>
      <w:docPartPr>
        <w:name w:val="0E2A2E0F1DD141D68BCFADF2854547CC"/>
        <w:category>
          <w:name w:val="General"/>
          <w:gallery w:val="placeholder"/>
        </w:category>
        <w:types>
          <w:type w:val="bbPlcHdr"/>
        </w:types>
        <w:behaviors>
          <w:behavior w:val="content"/>
        </w:behaviors>
        <w:guid w:val="{D37716AE-4E1C-454D-AF46-C290C0A44C30}"/>
      </w:docPartPr>
      <w:docPartBody>
        <w:p w:rsidR="00AF5813" w:rsidRDefault="00AF5813" w:rsidP="00AF5813">
          <w:pPr>
            <w:pStyle w:val="0E2A2E0F1DD141D68BCFADF2854547CC"/>
          </w:pPr>
          <w:r w:rsidRPr="003575E4">
            <w:rPr>
              <w:rStyle w:val="PlaceholderText"/>
            </w:rPr>
            <w:t>[Title]</w:t>
          </w:r>
        </w:p>
      </w:docPartBody>
    </w:docPart>
    <w:docPart>
      <w:docPartPr>
        <w:name w:val="11A69BC81A6749DE93D4611701CEFA37"/>
        <w:category>
          <w:name w:val="General"/>
          <w:gallery w:val="placeholder"/>
        </w:category>
        <w:types>
          <w:type w:val="bbPlcHdr"/>
        </w:types>
        <w:behaviors>
          <w:behavior w:val="content"/>
        </w:behaviors>
        <w:guid w:val="{73BA6CD4-4B4E-45E2-8D36-4D3E66B3E6A7}"/>
      </w:docPartPr>
      <w:docPartBody>
        <w:p w:rsidR="00AF5813" w:rsidRDefault="00AF5813" w:rsidP="00AF5813">
          <w:pPr>
            <w:pStyle w:val="11A69BC81A6749DE93D4611701CEFA37"/>
          </w:pPr>
          <w:r w:rsidRPr="003575E4">
            <w:rPr>
              <w:rStyle w:val="PlaceholderText"/>
            </w:rPr>
            <w:t>[Title]</w:t>
          </w:r>
        </w:p>
      </w:docPartBody>
    </w:docPart>
    <w:docPart>
      <w:docPartPr>
        <w:name w:val="0A098FF3A0E640529366E8C28D29C745"/>
        <w:category>
          <w:name w:val="General"/>
          <w:gallery w:val="placeholder"/>
        </w:category>
        <w:types>
          <w:type w:val="bbPlcHdr"/>
        </w:types>
        <w:behaviors>
          <w:behavior w:val="content"/>
        </w:behaviors>
        <w:guid w:val="{6A2FE6C8-ED3B-4F41-9E4E-4D077C74C4F0}"/>
      </w:docPartPr>
      <w:docPartBody>
        <w:p w:rsidR="00AF5813" w:rsidRDefault="00AF5813" w:rsidP="00AF5813">
          <w:pPr>
            <w:pStyle w:val="0A098FF3A0E640529366E8C28D29C745"/>
          </w:pPr>
          <w:r w:rsidRPr="003575E4">
            <w:rPr>
              <w:rStyle w:val="PlaceholderText"/>
            </w:rPr>
            <w:t>[Title]</w:t>
          </w:r>
        </w:p>
      </w:docPartBody>
    </w:docPart>
    <w:docPart>
      <w:docPartPr>
        <w:name w:val="06C81F1853834FDC9E20B1CE2525AB96"/>
        <w:category>
          <w:name w:val="General"/>
          <w:gallery w:val="placeholder"/>
        </w:category>
        <w:types>
          <w:type w:val="bbPlcHdr"/>
        </w:types>
        <w:behaviors>
          <w:behavior w:val="content"/>
        </w:behaviors>
        <w:guid w:val="{A9F1A9B6-0F69-4B14-A867-2FB660CE388B}"/>
      </w:docPartPr>
      <w:docPartBody>
        <w:p w:rsidR="00AF5813" w:rsidRDefault="00AF5813" w:rsidP="00AF5813">
          <w:pPr>
            <w:pStyle w:val="06C81F1853834FDC9E20B1CE2525AB96"/>
          </w:pPr>
          <w:r w:rsidRPr="003575E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äori">
    <w:altName w:val="Arial"/>
    <w:charset w:val="00"/>
    <w:family w:val="auto"/>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Fira Sans">
    <w:charset w:val="00"/>
    <w:family w:val="swiss"/>
    <w:pitch w:val="variable"/>
    <w:sig w:usb0="600002FF" w:usb1="00000001"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Fira Sans SemiBold">
    <w:charset w:val="00"/>
    <w:family w:val="swiss"/>
    <w:pitch w:val="variable"/>
    <w:sig w:usb0="600002FF" w:usb1="00000001"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813"/>
    <w:rsid w:val="00213955"/>
    <w:rsid w:val="00535963"/>
    <w:rsid w:val="008920E1"/>
    <w:rsid w:val="009C483C"/>
    <w:rsid w:val="00AF5813"/>
    <w:rsid w:val="00D048ED"/>
    <w:rsid w:val="00D6096C"/>
    <w:rsid w:val="00D73038"/>
    <w:rsid w:val="00F82C2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NZ" w:eastAsia="en-NZ"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5813"/>
    <w:rPr>
      <w:color w:val="808080"/>
    </w:rPr>
  </w:style>
  <w:style w:type="paragraph" w:customStyle="1" w:styleId="E48966CEE8C74FBCA9D22944AF6436E0">
    <w:name w:val="E48966CEE8C74FBCA9D22944AF6436E0"/>
    <w:rsid w:val="00AF5813"/>
  </w:style>
  <w:style w:type="paragraph" w:customStyle="1" w:styleId="D1DE3A2524C54B04A8BD4E79E27401ED">
    <w:name w:val="D1DE3A2524C54B04A8BD4E79E27401ED"/>
    <w:rsid w:val="00AF5813"/>
  </w:style>
  <w:style w:type="paragraph" w:customStyle="1" w:styleId="83A01F874FF3451BA91F4B8838A82895">
    <w:name w:val="83A01F874FF3451BA91F4B8838A82895"/>
    <w:rsid w:val="00AF5813"/>
  </w:style>
  <w:style w:type="paragraph" w:customStyle="1" w:styleId="DA922C733FB748C7860A4F289B027D6A">
    <w:name w:val="DA922C733FB748C7860A4F289B027D6A"/>
    <w:rsid w:val="00AF5813"/>
  </w:style>
  <w:style w:type="paragraph" w:customStyle="1" w:styleId="C6787BC2FA184E76BE6F6D0D50625DC3">
    <w:name w:val="C6787BC2FA184E76BE6F6D0D50625DC3"/>
    <w:rsid w:val="00AF5813"/>
  </w:style>
  <w:style w:type="paragraph" w:customStyle="1" w:styleId="70972453C68F44C9AA7B4C0774E319C0">
    <w:name w:val="70972453C68F44C9AA7B4C0774E319C0"/>
    <w:rsid w:val="00AF5813"/>
  </w:style>
  <w:style w:type="paragraph" w:customStyle="1" w:styleId="6CACCD981BB140618A3C1F7AD8E24CF8">
    <w:name w:val="6CACCD981BB140618A3C1F7AD8E24CF8"/>
    <w:rsid w:val="00AF5813"/>
  </w:style>
  <w:style w:type="paragraph" w:customStyle="1" w:styleId="40889352744F45AA835DD63ECC62A4D7">
    <w:name w:val="40889352744F45AA835DD63ECC62A4D7"/>
    <w:rsid w:val="00AF5813"/>
  </w:style>
  <w:style w:type="paragraph" w:customStyle="1" w:styleId="C9AD685917794F2EAC4E4B53BD175180">
    <w:name w:val="C9AD685917794F2EAC4E4B53BD175180"/>
    <w:rsid w:val="00AF5813"/>
  </w:style>
  <w:style w:type="paragraph" w:customStyle="1" w:styleId="D389517331E141E492B8FD31B752E9F0">
    <w:name w:val="D389517331E141E492B8FD31B752E9F0"/>
    <w:rsid w:val="00AF5813"/>
  </w:style>
  <w:style w:type="paragraph" w:customStyle="1" w:styleId="4FD9833FFFF6475D834717251AD04A20">
    <w:name w:val="4FD9833FFFF6475D834717251AD04A20"/>
    <w:rsid w:val="00AF5813"/>
  </w:style>
  <w:style w:type="paragraph" w:customStyle="1" w:styleId="DB73B371574B4EED9775D67FF155DA5F">
    <w:name w:val="DB73B371574B4EED9775D67FF155DA5F"/>
    <w:rsid w:val="00AF5813"/>
  </w:style>
  <w:style w:type="paragraph" w:customStyle="1" w:styleId="B808D0EA71A447F0A24402D519C43409">
    <w:name w:val="B808D0EA71A447F0A24402D519C43409"/>
    <w:rsid w:val="00AF5813"/>
  </w:style>
  <w:style w:type="paragraph" w:customStyle="1" w:styleId="119917C917B64776973F684C7F65994E">
    <w:name w:val="119917C917B64776973F684C7F65994E"/>
    <w:rsid w:val="00AF5813"/>
  </w:style>
  <w:style w:type="paragraph" w:customStyle="1" w:styleId="EBDDAE95A7194F1C8F4095EB3CF607F5">
    <w:name w:val="EBDDAE95A7194F1C8F4095EB3CF607F5"/>
    <w:rsid w:val="00AF5813"/>
  </w:style>
  <w:style w:type="paragraph" w:customStyle="1" w:styleId="0E2A2E0F1DD141D68BCFADF2854547CC">
    <w:name w:val="0E2A2E0F1DD141D68BCFADF2854547CC"/>
    <w:rsid w:val="00AF5813"/>
  </w:style>
  <w:style w:type="paragraph" w:customStyle="1" w:styleId="11A69BC81A6749DE93D4611701CEFA37">
    <w:name w:val="11A69BC81A6749DE93D4611701CEFA37"/>
    <w:rsid w:val="00AF5813"/>
  </w:style>
  <w:style w:type="paragraph" w:customStyle="1" w:styleId="0A098FF3A0E640529366E8C28D29C745">
    <w:name w:val="0A098FF3A0E640529366E8C28D29C745"/>
    <w:rsid w:val="00AF5813"/>
  </w:style>
  <w:style w:type="paragraph" w:customStyle="1" w:styleId="06C81F1853834FDC9E20B1CE2525AB96">
    <w:name w:val="06C81F1853834FDC9E20B1CE2525AB96"/>
    <w:rsid w:val="00AF58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HA">
      <a:dk1>
        <a:srgbClr val="1B83A0"/>
      </a:dk1>
      <a:lt1>
        <a:srgbClr val="4BAFB0"/>
      </a:lt1>
      <a:dk2>
        <a:srgbClr val="23305D"/>
      </a:dk2>
      <a:lt2>
        <a:srgbClr val="1F806A"/>
      </a:lt2>
      <a:accent1>
        <a:srgbClr val="ED6C77"/>
      </a:accent1>
      <a:accent2>
        <a:srgbClr val="181F1B"/>
      </a:accent2>
      <a:accent3>
        <a:srgbClr val="00A870"/>
      </a:accent3>
      <a:accent4>
        <a:srgbClr val="F7D345"/>
      </a:accent4>
      <a:accent5>
        <a:srgbClr val="E9D1C0"/>
      </a:accent5>
      <a:accent6>
        <a:srgbClr val="1B83A0"/>
      </a:accent6>
      <a:hlink>
        <a:srgbClr val="595959"/>
      </a:hlink>
      <a:folHlink>
        <a:srgbClr val="59595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9F726-5FE5-445D-9EFF-165F64AD6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2</TotalTime>
  <Pages>52</Pages>
  <Words>13628</Words>
  <Characters>77684</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National Polio Outbreak Preparedness and Response Framework for Aotearoa New Zealand</vt:lpstr>
    </vt:vector>
  </TitlesOfParts>
  <Company>Microsoft</Company>
  <LinksUpToDate>false</LinksUpToDate>
  <CharactersWithSpaces>91130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Polio Outbreak Preparedness and Response Framework for Aotearoa New Zealand</dc:title>
  <dc:creator>Ministry of Health</dc:creator>
  <cp:lastModifiedBy>Ministry of Health</cp:lastModifiedBy>
  <cp:revision>4</cp:revision>
  <cp:lastPrinted>2023-10-10T01:49:00Z</cp:lastPrinted>
  <dcterms:created xsi:type="dcterms:W3CDTF">2023-10-10T01:48:00Z</dcterms:created>
  <dcterms:modified xsi:type="dcterms:W3CDTF">2023-10-10T01:49:00Z</dcterms:modified>
</cp:coreProperties>
</file>