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5443DA" w:rsidRDefault="00D435C9" w:rsidP="00D54D50">
      <w:pPr>
        <w:pStyle w:val="Title"/>
      </w:pPr>
      <w:bookmarkStart w:id="0" w:name="_GoBack"/>
      <w:r w:rsidRPr="005443DA">
        <w:t>National Maternity Monitoring Group</w:t>
      </w:r>
    </w:p>
    <w:p w:rsidR="00343365" w:rsidRPr="005443DA" w:rsidRDefault="00D435C9" w:rsidP="00343365">
      <w:pPr>
        <w:pStyle w:val="Year"/>
      </w:pPr>
      <w:r w:rsidRPr="005443DA">
        <w:t>Annual Report 201</w:t>
      </w:r>
      <w:r w:rsidR="00851829">
        <w:t>4</w:t>
      </w:r>
    </w:p>
    <w:bookmarkEnd w:id="0"/>
    <w:p w:rsidR="00C86248" w:rsidRPr="005443DA" w:rsidRDefault="00C86248" w:rsidP="0039224D"/>
    <w:p w:rsidR="00142954" w:rsidRPr="005443DA" w:rsidRDefault="00142954" w:rsidP="00142954">
      <w:pPr>
        <w:sectPr w:rsidR="00142954" w:rsidRPr="005443DA" w:rsidSect="00C4353A">
          <w:headerReference w:type="default" r:id="rId9"/>
          <w:footerReference w:type="default" r:id="rId10"/>
          <w:pgSz w:w="11907" w:h="16834" w:code="9"/>
          <w:pgMar w:top="3402" w:right="851" w:bottom="851" w:left="3119" w:header="851" w:footer="851" w:gutter="0"/>
          <w:cols w:space="720"/>
        </w:sectPr>
      </w:pPr>
    </w:p>
    <w:p w:rsidR="00116F31" w:rsidRPr="005443DA" w:rsidRDefault="00116F31" w:rsidP="00EE341A">
      <w:pPr>
        <w:pStyle w:val="Heading3"/>
      </w:pPr>
      <w:r w:rsidRPr="005443DA">
        <w:lastRenderedPageBreak/>
        <w:t>Disclaimer</w:t>
      </w:r>
    </w:p>
    <w:p w:rsidR="00F1385A" w:rsidRPr="00865E37" w:rsidRDefault="00F1385A" w:rsidP="00F1385A">
      <w:pPr>
        <w:rPr>
          <w:rFonts w:eastAsia="Arial"/>
        </w:rPr>
      </w:pPr>
      <w:r w:rsidRPr="00865E37">
        <w:rPr>
          <w:rFonts w:eastAsia="Arial"/>
        </w:rPr>
        <w:t>The purpose of this publication is to inform discussion and assist policy development. The opinions expressed in the publication do not necessarily reflect the official views of the Ministry of Health.</w:t>
      </w:r>
    </w:p>
    <w:p w:rsidR="00F1385A" w:rsidRPr="00865E37" w:rsidRDefault="00F1385A" w:rsidP="00F1385A"/>
    <w:p w:rsidR="00F1385A" w:rsidRPr="00865E37" w:rsidRDefault="00F1385A" w:rsidP="00F1385A">
      <w:pPr>
        <w:rPr>
          <w:rFonts w:eastAsia="Arial"/>
        </w:rPr>
      </w:pPr>
      <w:r w:rsidRPr="00865E37">
        <w:rPr>
          <w:rFonts w:eastAsia="Arial"/>
        </w:rPr>
        <w:t>All care has been taken in the production of this publication. The data was deemed to be accurate at the time of release, but may be subject to slight changes over time as more information is received. It is advisable to check the current status of figures given here with the National Maternity Monitoring Group before quoting or using them in further analysis.</w:t>
      </w:r>
    </w:p>
    <w:p w:rsidR="00F1385A" w:rsidRPr="00865E37" w:rsidRDefault="00F1385A" w:rsidP="00F1385A"/>
    <w:p w:rsidR="00F1385A" w:rsidRPr="00865E37" w:rsidRDefault="00F1385A" w:rsidP="00F1385A">
      <w:pPr>
        <w:rPr>
          <w:rFonts w:eastAsia="Arial"/>
        </w:rPr>
      </w:pPr>
      <w:r w:rsidRPr="00865E37">
        <w:rPr>
          <w:rFonts w:eastAsia="Arial"/>
        </w:rPr>
        <w:t>The National Maternity Monitoring Group makes no warranty, expressed or implied, nor assumes any legal liability or responsibility for the accuracy, correctness, completeness or use of the information or data in this publication. Further, the National Maternity Monitoring Group shall not be liable for any loss or damage arising directly or indirectly from the information or data presented in this publication.</w:t>
      </w:r>
    </w:p>
    <w:p w:rsidR="00F1385A" w:rsidRPr="00865E37" w:rsidRDefault="00F1385A" w:rsidP="00F1385A"/>
    <w:p w:rsidR="00F1385A" w:rsidRPr="00865E37" w:rsidRDefault="00F1385A" w:rsidP="00F1385A">
      <w:pPr>
        <w:rPr>
          <w:rFonts w:eastAsia="Arial"/>
        </w:rPr>
      </w:pPr>
      <w:r w:rsidRPr="00865E37">
        <w:rPr>
          <w:rFonts w:eastAsia="Arial"/>
        </w:rPr>
        <w:t>The National Maternity Monitoring Group welcomes comments and suggestions about this publication.</w:t>
      </w:r>
    </w:p>
    <w:p w:rsidR="00116F31" w:rsidRPr="005443DA" w:rsidRDefault="00116F31" w:rsidP="00F1385A"/>
    <w:p w:rsidR="00A80363" w:rsidRPr="005443DA" w:rsidRDefault="00A80363" w:rsidP="00560F96">
      <w:pPr>
        <w:pStyle w:val="Imprint"/>
        <w:spacing w:before="5000"/>
        <w:jc w:val="center"/>
      </w:pPr>
      <w:r w:rsidRPr="005443DA">
        <w:t xml:space="preserve">Citation: </w:t>
      </w:r>
      <w:r w:rsidR="00D435C9" w:rsidRPr="005443DA">
        <w:t>National Maternity Monitoring Group. 201</w:t>
      </w:r>
      <w:r w:rsidR="00F1385A">
        <w:t>4</w:t>
      </w:r>
      <w:r w:rsidR="00D435C9" w:rsidRPr="005443DA">
        <w:t xml:space="preserve">. </w:t>
      </w:r>
      <w:r w:rsidR="00D435C9" w:rsidRPr="005443DA">
        <w:rPr>
          <w:i/>
        </w:rPr>
        <w:t>Annual Report 201</w:t>
      </w:r>
      <w:r w:rsidR="00851829">
        <w:rPr>
          <w:i/>
        </w:rPr>
        <w:t>4</w:t>
      </w:r>
      <w:r w:rsidR="00D435C9" w:rsidRPr="005443DA">
        <w:t>. Wellington.</w:t>
      </w:r>
    </w:p>
    <w:p w:rsidR="00C86248" w:rsidRPr="005443DA" w:rsidRDefault="00C86248" w:rsidP="00560F96">
      <w:pPr>
        <w:pStyle w:val="Imprint"/>
        <w:jc w:val="center"/>
      </w:pPr>
      <w:r w:rsidRPr="005443DA">
        <w:t xml:space="preserve">Published in </w:t>
      </w:r>
      <w:r w:rsidR="00D435C9" w:rsidRPr="005443DA">
        <w:t>November 201</w:t>
      </w:r>
      <w:r w:rsidR="00F1385A">
        <w:t>4</w:t>
      </w:r>
    </w:p>
    <w:p w:rsidR="00C86248" w:rsidRPr="005443DA" w:rsidRDefault="00082CD6" w:rsidP="00560F96">
      <w:pPr>
        <w:pStyle w:val="Imprint"/>
        <w:jc w:val="center"/>
      </w:pPr>
      <w:r w:rsidRPr="005443DA">
        <w:t xml:space="preserve">ISBN: </w:t>
      </w:r>
      <w:r w:rsidR="00C47651" w:rsidRPr="00C47651">
        <w:t xml:space="preserve">978-0-478-44461-2 </w:t>
      </w:r>
      <w:r w:rsidRPr="005443DA">
        <w:t>(online</w:t>
      </w:r>
      <w:proofErr w:type="gramStart"/>
      <w:r w:rsidRPr="005443DA">
        <w:t>)</w:t>
      </w:r>
      <w:proofErr w:type="gramEnd"/>
      <w:r w:rsidRPr="005443DA">
        <w:br/>
        <w:t>HP</w:t>
      </w:r>
      <w:r w:rsidR="00C47651">
        <w:t xml:space="preserve"> </w:t>
      </w:r>
      <w:r w:rsidR="00C47651" w:rsidRPr="00C47651">
        <w:t>6091</w:t>
      </w:r>
    </w:p>
    <w:p w:rsidR="00C86248" w:rsidRPr="005443DA" w:rsidRDefault="00C86248">
      <w:pPr>
        <w:jc w:val="center"/>
      </w:pPr>
    </w:p>
    <w:p w:rsidR="00C86248" w:rsidRPr="005443DA" w:rsidRDefault="00C86248">
      <w:pPr>
        <w:jc w:val="center"/>
        <w:sectPr w:rsidR="00C86248" w:rsidRPr="005443DA" w:rsidSect="00CB4046">
          <w:footerReference w:type="even" r:id="rId11"/>
          <w:footerReference w:type="default" r:id="rId12"/>
          <w:pgSz w:w="11907" w:h="16834" w:code="9"/>
          <w:pgMar w:top="1418" w:right="1701" w:bottom="1134" w:left="1701" w:header="284" w:footer="567" w:gutter="0"/>
          <w:cols w:space="720"/>
        </w:sectPr>
      </w:pPr>
    </w:p>
    <w:p w:rsidR="00C86248" w:rsidRPr="005443DA" w:rsidRDefault="00C86248">
      <w:pPr>
        <w:pStyle w:val="IntroHead"/>
      </w:pPr>
      <w:bookmarkStart w:id="1" w:name="_Toc405792991"/>
      <w:bookmarkStart w:id="2" w:name="_Toc405793224"/>
      <w:r w:rsidRPr="005443DA">
        <w:lastRenderedPageBreak/>
        <w:t>Contents</w:t>
      </w:r>
      <w:bookmarkEnd w:id="1"/>
      <w:bookmarkEnd w:id="2"/>
    </w:p>
    <w:p w:rsidR="00D23192" w:rsidRDefault="00C86248">
      <w:pPr>
        <w:pStyle w:val="TOC1"/>
        <w:rPr>
          <w:rFonts w:asciiTheme="minorHAnsi" w:eastAsiaTheme="minorEastAsia" w:hAnsiTheme="minorHAnsi" w:cstheme="minorBidi"/>
          <w:b w:val="0"/>
          <w:noProof/>
          <w:szCs w:val="22"/>
          <w:lang w:eastAsia="en-NZ"/>
        </w:rPr>
      </w:pPr>
      <w:r w:rsidRPr="005443DA">
        <w:rPr>
          <w:b w:val="0"/>
        </w:rPr>
        <w:fldChar w:fldCharType="begin"/>
      </w:r>
      <w:r w:rsidRPr="005443DA">
        <w:instrText xml:space="preserve"> TOC \o "1-2" </w:instrText>
      </w:r>
      <w:r w:rsidRPr="005443DA">
        <w:rPr>
          <w:b w:val="0"/>
        </w:rPr>
        <w:fldChar w:fldCharType="separate"/>
      </w:r>
      <w:r w:rsidR="00D23192">
        <w:rPr>
          <w:noProof/>
        </w:rPr>
        <w:t>Chair’s Introduction</w:t>
      </w:r>
      <w:r w:rsidR="00D23192">
        <w:rPr>
          <w:noProof/>
        </w:rPr>
        <w:tab/>
      </w:r>
      <w:r w:rsidR="00D23192">
        <w:rPr>
          <w:noProof/>
        </w:rPr>
        <w:fldChar w:fldCharType="begin"/>
      </w:r>
      <w:r w:rsidR="00D23192">
        <w:rPr>
          <w:noProof/>
        </w:rPr>
        <w:instrText xml:space="preserve"> PAGEREF _Toc404355647 \h </w:instrText>
      </w:r>
      <w:r w:rsidR="00D23192">
        <w:rPr>
          <w:noProof/>
        </w:rPr>
      </w:r>
      <w:r w:rsidR="00D23192">
        <w:rPr>
          <w:noProof/>
        </w:rPr>
        <w:fldChar w:fldCharType="separate"/>
      </w:r>
      <w:r w:rsidR="00710F45">
        <w:rPr>
          <w:noProof/>
        </w:rPr>
        <w:t>3</w:t>
      </w:r>
      <w:r w:rsidR="00D23192">
        <w:rPr>
          <w:noProof/>
        </w:rPr>
        <w:fldChar w:fldCharType="end"/>
      </w:r>
    </w:p>
    <w:p w:rsidR="00D23192" w:rsidRDefault="00D23192">
      <w:pPr>
        <w:pStyle w:val="TOC1"/>
        <w:rPr>
          <w:rFonts w:asciiTheme="minorHAnsi" w:eastAsiaTheme="minorEastAsia" w:hAnsiTheme="minorHAnsi" w:cstheme="minorBidi"/>
          <w:b w:val="0"/>
          <w:noProof/>
          <w:szCs w:val="22"/>
          <w:lang w:eastAsia="en-NZ"/>
        </w:rPr>
      </w:pPr>
      <w:r w:rsidRPr="00A013EA">
        <w:rPr>
          <w:rFonts w:eastAsia="Arial"/>
          <w:noProof/>
        </w:rPr>
        <w:t>About the National Maternity Monitoring Group (NMMG)</w:t>
      </w:r>
      <w:r>
        <w:rPr>
          <w:noProof/>
        </w:rPr>
        <w:tab/>
      </w:r>
      <w:r>
        <w:rPr>
          <w:noProof/>
        </w:rPr>
        <w:fldChar w:fldCharType="begin"/>
      </w:r>
      <w:r>
        <w:rPr>
          <w:noProof/>
        </w:rPr>
        <w:instrText xml:space="preserve"> PAGEREF _Toc404355648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Background</w:t>
      </w:r>
      <w:r>
        <w:rPr>
          <w:noProof/>
        </w:rPr>
        <w:tab/>
      </w:r>
      <w:r>
        <w:rPr>
          <w:noProof/>
        </w:rPr>
        <w:fldChar w:fldCharType="begin"/>
      </w:r>
      <w:r>
        <w:rPr>
          <w:noProof/>
        </w:rPr>
        <w:instrText xml:space="preserve"> PAGEREF _Toc404355649 \h </w:instrText>
      </w:r>
      <w:r>
        <w:rPr>
          <w:noProof/>
        </w:rPr>
      </w:r>
      <w:r>
        <w:rPr>
          <w:noProof/>
        </w:rPr>
        <w:fldChar w:fldCharType="separate"/>
      </w:r>
      <w:r w:rsidR="00710F45">
        <w:rPr>
          <w:noProof/>
        </w:rPr>
        <w:t>3</w:t>
      </w:r>
      <w:r>
        <w:rPr>
          <w:noProof/>
        </w:rPr>
        <w:fldChar w:fldCharType="end"/>
      </w:r>
    </w:p>
    <w:p w:rsidR="00D23192" w:rsidRDefault="00D23192">
      <w:pPr>
        <w:pStyle w:val="TOC1"/>
        <w:rPr>
          <w:rFonts w:asciiTheme="minorHAnsi" w:eastAsiaTheme="minorEastAsia" w:hAnsiTheme="minorHAnsi" w:cstheme="minorBidi"/>
          <w:b w:val="0"/>
          <w:noProof/>
          <w:szCs w:val="22"/>
          <w:lang w:eastAsia="en-NZ"/>
        </w:rPr>
      </w:pPr>
      <w:r w:rsidRPr="00A013EA">
        <w:rPr>
          <w:rFonts w:eastAsia="Arial"/>
          <w:noProof/>
        </w:rPr>
        <w:t>NMMG members</w:t>
      </w:r>
      <w:r>
        <w:rPr>
          <w:noProof/>
        </w:rPr>
        <w:tab/>
      </w:r>
      <w:r>
        <w:rPr>
          <w:noProof/>
        </w:rPr>
        <w:fldChar w:fldCharType="begin"/>
      </w:r>
      <w:r>
        <w:rPr>
          <w:noProof/>
        </w:rPr>
        <w:instrText xml:space="preserve"> PAGEREF _Toc404355650 \h </w:instrText>
      </w:r>
      <w:r>
        <w:rPr>
          <w:noProof/>
        </w:rPr>
      </w:r>
      <w:r>
        <w:rPr>
          <w:noProof/>
        </w:rPr>
        <w:fldChar w:fldCharType="separate"/>
      </w:r>
      <w:r w:rsidR="00710F45">
        <w:rPr>
          <w:noProof/>
        </w:rPr>
        <w:t>3</w:t>
      </w:r>
      <w:r>
        <w:rPr>
          <w:noProof/>
        </w:rPr>
        <w:fldChar w:fldCharType="end"/>
      </w:r>
    </w:p>
    <w:p w:rsidR="00D23192" w:rsidRDefault="00D23192">
      <w:pPr>
        <w:pStyle w:val="TOC1"/>
        <w:rPr>
          <w:rFonts w:asciiTheme="minorHAnsi" w:eastAsiaTheme="minorEastAsia" w:hAnsiTheme="minorHAnsi" w:cstheme="minorBidi"/>
          <w:b w:val="0"/>
          <w:noProof/>
          <w:szCs w:val="22"/>
          <w:lang w:eastAsia="en-NZ"/>
        </w:rPr>
      </w:pPr>
      <w:r w:rsidRPr="00A013EA">
        <w:rPr>
          <w:rFonts w:eastAsia="Arial"/>
          <w:noProof/>
        </w:rPr>
        <w:t>The NMMG Work Programme for 2012/13</w:t>
      </w:r>
      <w:r>
        <w:rPr>
          <w:noProof/>
        </w:rPr>
        <w:tab/>
      </w:r>
      <w:r>
        <w:rPr>
          <w:noProof/>
        </w:rPr>
        <w:fldChar w:fldCharType="begin"/>
      </w:r>
      <w:r>
        <w:rPr>
          <w:noProof/>
        </w:rPr>
        <w:instrText xml:space="preserve"> PAGEREF _Toc404355651 \h </w:instrText>
      </w:r>
      <w:r>
        <w:rPr>
          <w:noProof/>
        </w:rPr>
      </w:r>
      <w:r>
        <w:rPr>
          <w:noProof/>
        </w:rPr>
        <w:fldChar w:fldCharType="separate"/>
      </w:r>
      <w:r w:rsidR="00710F45">
        <w:rPr>
          <w:noProof/>
        </w:rPr>
        <w:t>3</w:t>
      </w:r>
      <w:r>
        <w:rPr>
          <w:noProof/>
        </w:rPr>
        <w:fldChar w:fldCharType="end"/>
      </w:r>
    </w:p>
    <w:p w:rsidR="00D23192" w:rsidRDefault="00D23192">
      <w:pPr>
        <w:pStyle w:val="TOC1"/>
        <w:rPr>
          <w:rFonts w:asciiTheme="minorHAnsi" w:eastAsiaTheme="minorEastAsia" w:hAnsiTheme="minorHAnsi" w:cstheme="minorBidi"/>
          <w:b w:val="0"/>
          <w:noProof/>
          <w:szCs w:val="22"/>
          <w:lang w:eastAsia="en-NZ"/>
        </w:rPr>
      </w:pPr>
      <w:r w:rsidRPr="00A013EA">
        <w:rPr>
          <w:rFonts w:eastAsia="Arial"/>
          <w:noProof/>
        </w:rPr>
        <w:t>An Overview of NMMG Recommendations</w:t>
      </w:r>
      <w:r>
        <w:rPr>
          <w:noProof/>
        </w:rPr>
        <w:tab/>
      </w:r>
      <w:r>
        <w:rPr>
          <w:noProof/>
        </w:rPr>
        <w:fldChar w:fldCharType="begin"/>
      </w:r>
      <w:r>
        <w:rPr>
          <w:noProof/>
        </w:rPr>
        <w:instrText xml:space="preserve"> PAGEREF _Toc404355652 \h </w:instrText>
      </w:r>
      <w:r>
        <w:rPr>
          <w:noProof/>
        </w:rPr>
      </w:r>
      <w:r>
        <w:rPr>
          <w:noProof/>
        </w:rPr>
        <w:fldChar w:fldCharType="separate"/>
      </w:r>
      <w:r w:rsidR="00710F45">
        <w:rPr>
          <w:noProof/>
        </w:rPr>
        <w:t>3</w:t>
      </w:r>
      <w:r>
        <w:rPr>
          <w:noProof/>
        </w:rPr>
        <w:fldChar w:fldCharType="end"/>
      </w:r>
    </w:p>
    <w:p w:rsidR="00D23192" w:rsidRDefault="00D23192">
      <w:pPr>
        <w:pStyle w:val="TOC1"/>
        <w:rPr>
          <w:rFonts w:asciiTheme="minorHAnsi" w:eastAsiaTheme="minorEastAsia" w:hAnsiTheme="minorHAnsi" w:cstheme="minorBidi"/>
          <w:b w:val="0"/>
          <w:noProof/>
          <w:szCs w:val="22"/>
          <w:lang w:eastAsia="en-NZ"/>
        </w:rPr>
      </w:pPr>
      <w:r w:rsidRPr="00A013EA">
        <w:rPr>
          <w:rFonts w:eastAsia="Arial"/>
          <w:noProof/>
        </w:rPr>
        <w:t>The Second Annual Report of the National Maternity Monitoring Group</w:t>
      </w:r>
      <w:r>
        <w:rPr>
          <w:noProof/>
        </w:rPr>
        <w:tab/>
      </w:r>
      <w:r>
        <w:rPr>
          <w:noProof/>
        </w:rPr>
        <w:fldChar w:fldCharType="begin"/>
      </w:r>
      <w:r>
        <w:rPr>
          <w:noProof/>
        </w:rPr>
        <w:instrText xml:space="preserve"> PAGEREF _Toc404355653 \h </w:instrText>
      </w:r>
      <w:r>
        <w:rPr>
          <w:noProof/>
        </w:rPr>
      </w:r>
      <w:r>
        <w:rPr>
          <w:noProof/>
        </w:rPr>
        <w:fldChar w:fldCharType="separate"/>
      </w:r>
      <w:r w:rsidR="00710F45">
        <w:rPr>
          <w:noProof/>
        </w:rPr>
        <w:t>3</w:t>
      </w:r>
      <w:r>
        <w:rPr>
          <w:noProof/>
        </w:rPr>
        <w:fldChar w:fldCharType="end"/>
      </w:r>
    </w:p>
    <w:p w:rsidR="00D23192" w:rsidRDefault="00D23192">
      <w:pPr>
        <w:pStyle w:val="TOC1"/>
        <w:rPr>
          <w:rFonts w:asciiTheme="minorHAnsi" w:eastAsiaTheme="minorEastAsia" w:hAnsiTheme="minorHAnsi" w:cstheme="minorBidi"/>
          <w:b w:val="0"/>
          <w:noProof/>
          <w:szCs w:val="22"/>
          <w:lang w:eastAsia="en-NZ"/>
        </w:rPr>
      </w:pPr>
      <w:r w:rsidRPr="00A013EA">
        <w:rPr>
          <w:rFonts w:eastAsia="Arial"/>
          <w:noProof/>
        </w:rPr>
        <w:t>Registration with a Lead Maternity Carer</w:t>
      </w:r>
      <w:r>
        <w:rPr>
          <w:noProof/>
        </w:rPr>
        <w:tab/>
      </w:r>
      <w:r>
        <w:rPr>
          <w:noProof/>
        </w:rPr>
        <w:fldChar w:fldCharType="begin"/>
      </w:r>
      <w:r>
        <w:rPr>
          <w:noProof/>
        </w:rPr>
        <w:instrText xml:space="preserve"> PAGEREF _Toc404355654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Pr>
          <w:noProof/>
        </w:rPr>
        <w:t>Our focus</w:t>
      </w:r>
      <w:r>
        <w:rPr>
          <w:noProof/>
        </w:rPr>
        <w:tab/>
      </w:r>
      <w:r>
        <w:rPr>
          <w:noProof/>
        </w:rPr>
        <w:fldChar w:fldCharType="begin"/>
      </w:r>
      <w:r>
        <w:rPr>
          <w:noProof/>
        </w:rPr>
        <w:instrText xml:space="preserve"> PAGEREF _Toc404355655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What we’ve done this year</w:t>
      </w:r>
      <w:r>
        <w:rPr>
          <w:noProof/>
        </w:rPr>
        <w:tab/>
      </w:r>
      <w:r>
        <w:rPr>
          <w:noProof/>
        </w:rPr>
        <w:fldChar w:fldCharType="begin"/>
      </w:r>
      <w:r>
        <w:rPr>
          <w:noProof/>
        </w:rPr>
        <w:instrText xml:space="preserve"> PAGEREF _Toc404355656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In 2013 we recommended ...</w:t>
      </w:r>
      <w:r>
        <w:rPr>
          <w:noProof/>
        </w:rPr>
        <w:tab/>
      </w:r>
      <w:r>
        <w:rPr>
          <w:noProof/>
        </w:rPr>
        <w:fldChar w:fldCharType="begin"/>
      </w:r>
      <w:r>
        <w:rPr>
          <w:noProof/>
        </w:rPr>
        <w:instrText xml:space="preserve"> PAGEREF _Toc404355657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What has changed since then?</w:t>
      </w:r>
      <w:r>
        <w:rPr>
          <w:noProof/>
        </w:rPr>
        <w:tab/>
      </w:r>
      <w:r>
        <w:rPr>
          <w:noProof/>
        </w:rPr>
        <w:fldChar w:fldCharType="begin"/>
      </w:r>
      <w:r>
        <w:rPr>
          <w:noProof/>
        </w:rPr>
        <w:instrText xml:space="preserve"> PAGEREF _Toc404355658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Good examples of promoting timely LMC registration</w:t>
      </w:r>
      <w:r>
        <w:rPr>
          <w:noProof/>
        </w:rPr>
        <w:tab/>
      </w:r>
      <w:r>
        <w:rPr>
          <w:noProof/>
        </w:rPr>
        <w:fldChar w:fldCharType="begin"/>
      </w:r>
      <w:r>
        <w:rPr>
          <w:noProof/>
        </w:rPr>
        <w:instrText xml:space="preserve"> PAGEREF _Toc404355659 \h </w:instrText>
      </w:r>
      <w:r>
        <w:rPr>
          <w:noProof/>
        </w:rPr>
      </w:r>
      <w:r>
        <w:rPr>
          <w:noProof/>
        </w:rPr>
        <w:fldChar w:fldCharType="separate"/>
      </w:r>
      <w:r w:rsidR="00710F45">
        <w:rPr>
          <w:noProof/>
        </w:rPr>
        <w:t>3</w:t>
      </w:r>
      <w:r>
        <w:rPr>
          <w:noProof/>
        </w:rPr>
        <w:fldChar w:fldCharType="end"/>
      </w:r>
    </w:p>
    <w:p w:rsidR="00D23192" w:rsidRDefault="00D23192">
      <w:pPr>
        <w:pStyle w:val="TOC1"/>
        <w:rPr>
          <w:rFonts w:asciiTheme="minorHAnsi" w:eastAsiaTheme="minorEastAsia" w:hAnsiTheme="minorHAnsi" w:cstheme="minorBidi"/>
          <w:b w:val="0"/>
          <w:noProof/>
          <w:szCs w:val="22"/>
          <w:lang w:eastAsia="en-NZ"/>
        </w:rPr>
      </w:pPr>
      <w:r w:rsidRPr="00A013EA">
        <w:rPr>
          <w:rFonts w:eastAsia="Arial"/>
          <w:noProof/>
        </w:rPr>
        <w:t>Variation in Gestation at Birth</w:t>
      </w:r>
      <w:r>
        <w:rPr>
          <w:noProof/>
        </w:rPr>
        <w:tab/>
      </w:r>
      <w:r>
        <w:rPr>
          <w:noProof/>
        </w:rPr>
        <w:fldChar w:fldCharType="begin"/>
      </w:r>
      <w:r>
        <w:rPr>
          <w:noProof/>
        </w:rPr>
        <w:instrText xml:space="preserve"> PAGEREF _Toc404355660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Our focus</w:t>
      </w:r>
      <w:r>
        <w:rPr>
          <w:noProof/>
        </w:rPr>
        <w:tab/>
      </w:r>
      <w:r>
        <w:rPr>
          <w:noProof/>
        </w:rPr>
        <w:fldChar w:fldCharType="begin"/>
      </w:r>
      <w:r>
        <w:rPr>
          <w:noProof/>
        </w:rPr>
        <w:instrText xml:space="preserve"> PAGEREF _Toc404355661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What we’ve done this year</w:t>
      </w:r>
      <w:r>
        <w:rPr>
          <w:noProof/>
        </w:rPr>
        <w:tab/>
      </w:r>
      <w:r>
        <w:rPr>
          <w:noProof/>
        </w:rPr>
        <w:fldChar w:fldCharType="begin"/>
      </w:r>
      <w:r>
        <w:rPr>
          <w:noProof/>
        </w:rPr>
        <w:instrText xml:space="preserve"> PAGEREF _Toc404355662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In 2013 we recommended ...</w:t>
      </w:r>
      <w:r>
        <w:rPr>
          <w:noProof/>
        </w:rPr>
        <w:tab/>
      </w:r>
      <w:r>
        <w:rPr>
          <w:noProof/>
        </w:rPr>
        <w:fldChar w:fldCharType="begin"/>
      </w:r>
      <w:r>
        <w:rPr>
          <w:noProof/>
        </w:rPr>
        <w:instrText xml:space="preserve"> PAGEREF _Toc404355663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Pr>
          <w:noProof/>
        </w:rPr>
        <w:t>What has changed since then?</w:t>
      </w:r>
      <w:r>
        <w:rPr>
          <w:noProof/>
        </w:rPr>
        <w:tab/>
      </w:r>
      <w:r>
        <w:rPr>
          <w:noProof/>
        </w:rPr>
        <w:fldChar w:fldCharType="begin"/>
      </w:r>
      <w:r>
        <w:rPr>
          <w:noProof/>
        </w:rPr>
        <w:instrText xml:space="preserve"> PAGEREF _Toc404355664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Good examples of investigating variation in gestation</w:t>
      </w:r>
      <w:r>
        <w:rPr>
          <w:noProof/>
        </w:rPr>
        <w:tab/>
      </w:r>
      <w:r>
        <w:rPr>
          <w:noProof/>
        </w:rPr>
        <w:fldChar w:fldCharType="begin"/>
      </w:r>
      <w:r>
        <w:rPr>
          <w:noProof/>
        </w:rPr>
        <w:instrText xml:space="preserve"> PAGEREF _Toc404355665 \h </w:instrText>
      </w:r>
      <w:r>
        <w:rPr>
          <w:noProof/>
        </w:rPr>
      </w:r>
      <w:r>
        <w:rPr>
          <w:noProof/>
        </w:rPr>
        <w:fldChar w:fldCharType="separate"/>
      </w:r>
      <w:r w:rsidR="00710F45">
        <w:rPr>
          <w:noProof/>
        </w:rPr>
        <w:t>3</w:t>
      </w:r>
      <w:r>
        <w:rPr>
          <w:noProof/>
        </w:rPr>
        <w:fldChar w:fldCharType="end"/>
      </w:r>
    </w:p>
    <w:p w:rsidR="00D23192" w:rsidRDefault="00D23192">
      <w:pPr>
        <w:pStyle w:val="TOC1"/>
        <w:rPr>
          <w:rFonts w:asciiTheme="minorHAnsi" w:eastAsiaTheme="minorEastAsia" w:hAnsiTheme="minorHAnsi" w:cstheme="minorBidi"/>
          <w:b w:val="0"/>
          <w:noProof/>
          <w:szCs w:val="22"/>
          <w:lang w:eastAsia="en-NZ"/>
        </w:rPr>
      </w:pPr>
      <w:r w:rsidRPr="00A013EA">
        <w:rPr>
          <w:rFonts w:eastAsia="Arial"/>
          <w:noProof/>
        </w:rPr>
        <w:t>National Consistency in Provision of Coordinated Maternal Mental Health Services</w:t>
      </w:r>
      <w:r>
        <w:rPr>
          <w:noProof/>
        </w:rPr>
        <w:tab/>
      </w:r>
      <w:r>
        <w:rPr>
          <w:noProof/>
        </w:rPr>
        <w:fldChar w:fldCharType="begin"/>
      </w:r>
      <w:r>
        <w:rPr>
          <w:noProof/>
        </w:rPr>
        <w:instrText xml:space="preserve"> PAGEREF _Toc404355666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Our focus</w:t>
      </w:r>
      <w:r>
        <w:rPr>
          <w:noProof/>
        </w:rPr>
        <w:tab/>
      </w:r>
      <w:r>
        <w:rPr>
          <w:noProof/>
        </w:rPr>
        <w:fldChar w:fldCharType="begin"/>
      </w:r>
      <w:r>
        <w:rPr>
          <w:noProof/>
        </w:rPr>
        <w:instrText xml:space="preserve"> PAGEREF _Toc404355667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What we’ve done this year</w:t>
      </w:r>
      <w:r>
        <w:rPr>
          <w:noProof/>
        </w:rPr>
        <w:tab/>
      </w:r>
      <w:r>
        <w:rPr>
          <w:noProof/>
        </w:rPr>
        <w:fldChar w:fldCharType="begin"/>
      </w:r>
      <w:r>
        <w:rPr>
          <w:noProof/>
        </w:rPr>
        <w:instrText xml:space="preserve"> PAGEREF _Toc404355668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What we recommended in 2013</w:t>
      </w:r>
      <w:r>
        <w:rPr>
          <w:noProof/>
        </w:rPr>
        <w:tab/>
      </w:r>
      <w:r>
        <w:rPr>
          <w:noProof/>
        </w:rPr>
        <w:fldChar w:fldCharType="begin"/>
      </w:r>
      <w:r>
        <w:rPr>
          <w:noProof/>
        </w:rPr>
        <w:instrText xml:space="preserve"> PAGEREF _Toc404355669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What has changed since then?</w:t>
      </w:r>
      <w:r>
        <w:rPr>
          <w:noProof/>
        </w:rPr>
        <w:tab/>
      </w:r>
      <w:r>
        <w:rPr>
          <w:noProof/>
        </w:rPr>
        <w:fldChar w:fldCharType="begin"/>
      </w:r>
      <w:r>
        <w:rPr>
          <w:noProof/>
        </w:rPr>
        <w:instrText xml:space="preserve"> PAGEREF _Toc404355670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Good examples of promoting maternal mental health</w:t>
      </w:r>
      <w:r>
        <w:rPr>
          <w:noProof/>
        </w:rPr>
        <w:tab/>
      </w:r>
      <w:r>
        <w:rPr>
          <w:noProof/>
        </w:rPr>
        <w:fldChar w:fldCharType="begin"/>
      </w:r>
      <w:r>
        <w:rPr>
          <w:noProof/>
        </w:rPr>
        <w:instrText xml:space="preserve"> PAGEREF _Toc404355671 \h </w:instrText>
      </w:r>
      <w:r>
        <w:rPr>
          <w:noProof/>
        </w:rPr>
      </w:r>
      <w:r>
        <w:rPr>
          <w:noProof/>
        </w:rPr>
        <w:fldChar w:fldCharType="separate"/>
      </w:r>
      <w:r w:rsidR="00710F45">
        <w:rPr>
          <w:noProof/>
        </w:rPr>
        <w:t>3</w:t>
      </w:r>
      <w:r>
        <w:rPr>
          <w:noProof/>
        </w:rPr>
        <w:fldChar w:fldCharType="end"/>
      </w:r>
    </w:p>
    <w:p w:rsidR="00D23192" w:rsidRDefault="00D23192">
      <w:pPr>
        <w:pStyle w:val="TOC1"/>
        <w:rPr>
          <w:rFonts w:asciiTheme="minorHAnsi" w:eastAsiaTheme="minorEastAsia" w:hAnsiTheme="minorHAnsi" w:cstheme="minorBidi"/>
          <w:b w:val="0"/>
          <w:noProof/>
          <w:szCs w:val="22"/>
          <w:lang w:eastAsia="en-NZ"/>
        </w:rPr>
      </w:pPr>
      <w:r w:rsidRPr="00A013EA">
        <w:rPr>
          <w:rFonts w:eastAsia="Arial"/>
          <w:noProof/>
        </w:rPr>
        <w:t>Maternity Ultrasounds</w:t>
      </w:r>
      <w:r>
        <w:rPr>
          <w:noProof/>
        </w:rPr>
        <w:tab/>
      </w:r>
      <w:r>
        <w:rPr>
          <w:noProof/>
        </w:rPr>
        <w:fldChar w:fldCharType="begin"/>
      </w:r>
      <w:r>
        <w:rPr>
          <w:noProof/>
        </w:rPr>
        <w:instrText xml:space="preserve"> PAGEREF _Toc404355672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Our focus</w:t>
      </w:r>
      <w:r>
        <w:rPr>
          <w:noProof/>
        </w:rPr>
        <w:tab/>
      </w:r>
      <w:r>
        <w:rPr>
          <w:noProof/>
        </w:rPr>
        <w:fldChar w:fldCharType="begin"/>
      </w:r>
      <w:r>
        <w:rPr>
          <w:noProof/>
        </w:rPr>
        <w:instrText xml:space="preserve"> PAGEREF _Toc404355673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What we’ve done this year</w:t>
      </w:r>
      <w:r>
        <w:rPr>
          <w:noProof/>
        </w:rPr>
        <w:tab/>
      </w:r>
      <w:r>
        <w:rPr>
          <w:noProof/>
        </w:rPr>
        <w:fldChar w:fldCharType="begin"/>
      </w:r>
      <w:r>
        <w:rPr>
          <w:noProof/>
        </w:rPr>
        <w:instrText xml:space="preserve"> PAGEREF _Toc404355674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In-depth feedback from care providers</w:t>
      </w:r>
      <w:r>
        <w:rPr>
          <w:noProof/>
        </w:rPr>
        <w:tab/>
      </w:r>
      <w:r>
        <w:rPr>
          <w:noProof/>
        </w:rPr>
        <w:fldChar w:fldCharType="begin"/>
      </w:r>
      <w:r>
        <w:rPr>
          <w:noProof/>
        </w:rPr>
        <w:instrText xml:space="preserve"> PAGEREF _Toc404355675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Good example of investing in ultrasounds</w:t>
      </w:r>
      <w:r>
        <w:rPr>
          <w:noProof/>
        </w:rPr>
        <w:tab/>
      </w:r>
      <w:r>
        <w:rPr>
          <w:noProof/>
        </w:rPr>
        <w:fldChar w:fldCharType="begin"/>
      </w:r>
      <w:r>
        <w:rPr>
          <w:noProof/>
        </w:rPr>
        <w:instrText xml:space="preserve"> PAGEREF _Toc404355676 \h </w:instrText>
      </w:r>
      <w:r>
        <w:rPr>
          <w:noProof/>
        </w:rPr>
      </w:r>
      <w:r>
        <w:rPr>
          <w:noProof/>
        </w:rPr>
        <w:fldChar w:fldCharType="separate"/>
      </w:r>
      <w:r w:rsidR="00710F45">
        <w:rPr>
          <w:noProof/>
        </w:rPr>
        <w:t>3</w:t>
      </w:r>
      <w:r>
        <w:rPr>
          <w:noProof/>
        </w:rPr>
        <w:fldChar w:fldCharType="end"/>
      </w:r>
    </w:p>
    <w:p w:rsidR="00D23192" w:rsidRDefault="00D23192">
      <w:pPr>
        <w:pStyle w:val="TOC1"/>
        <w:rPr>
          <w:rFonts w:asciiTheme="minorHAnsi" w:eastAsiaTheme="minorEastAsia" w:hAnsiTheme="minorHAnsi" w:cstheme="minorBidi"/>
          <w:b w:val="0"/>
          <w:noProof/>
          <w:szCs w:val="22"/>
          <w:lang w:eastAsia="en-NZ"/>
        </w:rPr>
      </w:pPr>
      <w:r w:rsidRPr="00A013EA">
        <w:rPr>
          <w:rFonts w:eastAsia="Arial"/>
          <w:noProof/>
        </w:rPr>
        <w:t>Connecting and Supporting Maternity Consumer Members of the Maternity Quality and Safety Programmes</w:t>
      </w:r>
      <w:r>
        <w:rPr>
          <w:noProof/>
        </w:rPr>
        <w:tab/>
      </w:r>
      <w:r>
        <w:rPr>
          <w:noProof/>
        </w:rPr>
        <w:fldChar w:fldCharType="begin"/>
      </w:r>
      <w:r>
        <w:rPr>
          <w:noProof/>
        </w:rPr>
        <w:instrText xml:space="preserve"> PAGEREF _Toc404355677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Our focus</w:t>
      </w:r>
      <w:r>
        <w:rPr>
          <w:noProof/>
        </w:rPr>
        <w:tab/>
      </w:r>
      <w:r>
        <w:rPr>
          <w:noProof/>
        </w:rPr>
        <w:fldChar w:fldCharType="begin"/>
      </w:r>
      <w:r>
        <w:rPr>
          <w:noProof/>
        </w:rPr>
        <w:instrText xml:space="preserve"> PAGEREF _Toc404355678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What we’ve done this year</w:t>
      </w:r>
      <w:r>
        <w:rPr>
          <w:noProof/>
        </w:rPr>
        <w:tab/>
      </w:r>
      <w:r>
        <w:rPr>
          <w:noProof/>
        </w:rPr>
        <w:fldChar w:fldCharType="begin"/>
      </w:r>
      <w:r>
        <w:rPr>
          <w:noProof/>
        </w:rPr>
        <w:instrText xml:space="preserve"> PAGEREF _Toc404355679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Good example of promoting consumer engagement</w:t>
      </w:r>
      <w:r>
        <w:rPr>
          <w:noProof/>
        </w:rPr>
        <w:tab/>
      </w:r>
      <w:r>
        <w:rPr>
          <w:noProof/>
        </w:rPr>
        <w:fldChar w:fldCharType="begin"/>
      </w:r>
      <w:r>
        <w:rPr>
          <w:noProof/>
        </w:rPr>
        <w:instrText xml:space="preserve"> PAGEREF _Toc404355680 \h </w:instrText>
      </w:r>
      <w:r>
        <w:rPr>
          <w:noProof/>
        </w:rPr>
      </w:r>
      <w:r>
        <w:rPr>
          <w:noProof/>
        </w:rPr>
        <w:fldChar w:fldCharType="separate"/>
      </w:r>
      <w:r w:rsidR="00710F45">
        <w:rPr>
          <w:noProof/>
        </w:rPr>
        <w:t>3</w:t>
      </w:r>
      <w:r>
        <w:rPr>
          <w:noProof/>
        </w:rPr>
        <w:fldChar w:fldCharType="end"/>
      </w:r>
    </w:p>
    <w:p w:rsidR="00D23192" w:rsidRDefault="00D23192">
      <w:pPr>
        <w:pStyle w:val="TOC1"/>
        <w:rPr>
          <w:rFonts w:asciiTheme="minorHAnsi" w:eastAsiaTheme="minorEastAsia" w:hAnsiTheme="minorHAnsi" w:cstheme="minorBidi"/>
          <w:b w:val="0"/>
          <w:noProof/>
          <w:szCs w:val="22"/>
          <w:lang w:eastAsia="en-NZ"/>
        </w:rPr>
      </w:pPr>
      <w:r w:rsidRPr="00A013EA">
        <w:rPr>
          <w:rFonts w:eastAsia="Arial"/>
          <w:noProof/>
        </w:rPr>
        <w:lastRenderedPageBreak/>
        <w:t>The New Zealand Maternity Clinical Indicators</w:t>
      </w:r>
      <w:r>
        <w:rPr>
          <w:noProof/>
        </w:rPr>
        <w:tab/>
      </w:r>
      <w:r>
        <w:rPr>
          <w:noProof/>
        </w:rPr>
        <w:fldChar w:fldCharType="begin"/>
      </w:r>
      <w:r>
        <w:rPr>
          <w:noProof/>
        </w:rPr>
        <w:instrText xml:space="preserve"> PAGEREF _Toc404355681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Our focus</w:t>
      </w:r>
      <w:r>
        <w:rPr>
          <w:noProof/>
        </w:rPr>
        <w:tab/>
      </w:r>
      <w:r>
        <w:rPr>
          <w:noProof/>
        </w:rPr>
        <w:fldChar w:fldCharType="begin"/>
      </w:r>
      <w:r>
        <w:rPr>
          <w:noProof/>
        </w:rPr>
        <w:instrText xml:space="preserve"> PAGEREF _Toc404355682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What we’ve done this year</w:t>
      </w:r>
      <w:r>
        <w:rPr>
          <w:noProof/>
        </w:rPr>
        <w:tab/>
      </w:r>
      <w:r>
        <w:rPr>
          <w:noProof/>
        </w:rPr>
        <w:fldChar w:fldCharType="begin"/>
      </w:r>
      <w:r>
        <w:rPr>
          <w:noProof/>
        </w:rPr>
        <w:instrText xml:space="preserve"> PAGEREF _Toc404355683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In 2013 we recommended ...</w:t>
      </w:r>
      <w:r>
        <w:rPr>
          <w:noProof/>
        </w:rPr>
        <w:tab/>
      </w:r>
      <w:r>
        <w:rPr>
          <w:noProof/>
        </w:rPr>
        <w:fldChar w:fldCharType="begin"/>
      </w:r>
      <w:r>
        <w:rPr>
          <w:noProof/>
        </w:rPr>
        <w:instrText xml:space="preserve"> PAGEREF _Toc404355684 \h </w:instrText>
      </w:r>
      <w:r>
        <w:rPr>
          <w:noProof/>
        </w:rPr>
      </w:r>
      <w:r>
        <w:rPr>
          <w:noProof/>
        </w:rPr>
        <w:fldChar w:fldCharType="separate"/>
      </w:r>
      <w:r w:rsidR="00710F45">
        <w:rPr>
          <w:noProof/>
        </w:rPr>
        <w:t>3</w:t>
      </w:r>
      <w:r>
        <w:rPr>
          <w:noProof/>
        </w:rPr>
        <w:fldChar w:fldCharType="end"/>
      </w:r>
    </w:p>
    <w:p w:rsidR="00D23192" w:rsidRDefault="00D23192">
      <w:pPr>
        <w:pStyle w:val="TOC1"/>
        <w:rPr>
          <w:rFonts w:asciiTheme="minorHAnsi" w:eastAsiaTheme="minorEastAsia" w:hAnsiTheme="minorHAnsi" w:cstheme="minorBidi"/>
          <w:b w:val="0"/>
          <w:noProof/>
          <w:szCs w:val="22"/>
          <w:lang w:eastAsia="en-NZ"/>
        </w:rPr>
      </w:pPr>
      <w:r w:rsidRPr="00A013EA">
        <w:rPr>
          <w:rFonts w:eastAsia="Arial"/>
          <w:noProof/>
        </w:rPr>
        <w:t>Ministry of Health Report on Maternity</w:t>
      </w:r>
      <w:r>
        <w:rPr>
          <w:noProof/>
        </w:rPr>
        <w:tab/>
      </w:r>
      <w:r>
        <w:rPr>
          <w:noProof/>
        </w:rPr>
        <w:fldChar w:fldCharType="begin"/>
      </w:r>
      <w:r>
        <w:rPr>
          <w:noProof/>
        </w:rPr>
        <w:instrText xml:space="preserve"> PAGEREF _Toc404355685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Our focus</w:t>
      </w:r>
      <w:r>
        <w:rPr>
          <w:noProof/>
        </w:rPr>
        <w:tab/>
      </w:r>
      <w:r>
        <w:rPr>
          <w:noProof/>
        </w:rPr>
        <w:fldChar w:fldCharType="begin"/>
      </w:r>
      <w:r>
        <w:rPr>
          <w:noProof/>
        </w:rPr>
        <w:instrText xml:space="preserve"> PAGEREF _Toc404355686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What we’ve done this year</w:t>
      </w:r>
      <w:r>
        <w:rPr>
          <w:noProof/>
        </w:rPr>
        <w:tab/>
      </w:r>
      <w:r>
        <w:rPr>
          <w:noProof/>
        </w:rPr>
        <w:fldChar w:fldCharType="begin"/>
      </w:r>
      <w:r>
        <w:rPr>
          <w:noProof/>
        </w:rPr>
        <w:instrText xml:space="preserve"> PAGEREF _Toc404355687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In 2013 we recommended ...</w:t>
      </w:r>
      <w:r>
        <w:rPr>
          <w:noProof/>
        </w:rPr>
        <w:tab/>
      </w:r>
      <w:r>
        <w:rPr>
          <w:noProof/>
        </w:rPr>
        <w:fldChar w:fldCharType="begin"/>
      </w:r>
      <w:r>
        <w:rPr>
          <w:noProof/>
        </w:rPr>
        <w:instrText xml:space="preserve"> PAGEREF _Toc404355688 \h </w:instrText>
      </w:r>
      <w:r>
        <w:rPr>
          <w:noProof/>
        </w:rPr>
      </w:r>
      <w:r>
        <w:rPr>
          <w:noProof/>
        </w:rPr>
        <w:fldChar w:fldCharType="separate"/>
      </w:r>
      <w:r w:rsidR="00710F45">
        <w:rPr>
          <w:noProof/>
        </w:rPr>
        <w:t>3</w:t>
      </w:r>
      <w:r>
        <w:rPr>
          <w:noProof/>
        </w:rPr>
        <w:fldChar w:fldCharType="end"/>
      </w:r>
    </w:p>
    <w:p w:rsidR="00D23192" w:rsidRDefault="00D23192">
      <w:pPr>
        <w:pStyle w:val="TOC1"/>
        <w:rPr>
          <w:rFonts w:asciiTheme="minorHAnsi" w:eastAsiaTheme="minorEastAsia" w:hAnsiTheme="minorHAnsi" w:cstheme="minorBidi"/>
          <w:b w:val="0"/>
          <w:noProof/>
          <w:szCs w:val="22"/>
          <w:lang w:eastAsia="en-NZ"/>
        </w:rPr>
      </w:pPr>
      <w:r w:rsidRPr="00A013EA">
        <w:rPr>
          <w:rFonts w:eastAsia="Arial"/>
          <w:noProof/>
        </w:rPr>
        <w:t>District Health Board Maternity Quality and Safety Programme Annual Reports</w:t>
      </w:r>
      <w:r>
        <w:rPr>
          <w:noProof/>
        </w:rPr>
        <w:tab/>
      </w:r>
      <w:r>
        <w:rPr>
          <w:noProof/>
        </w:rPr>
        <w:fldChar w:fldCharType="begin"/>
      </w:r>
      <w:r>
        <w:rPr>
          <w:noProof/>
        </w:rPr>
        <w:instrText xml:space="preserve"> PAGEREF _Toc404355689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Our focus</w:t>
      </w:r>
      <w:r>
        <w:rPr>
          <w:noProof/>
        </w:rPr>
        <w:tab/>
      </w:r>
      <w:r>
        <w:rPr>
          <w:noProof/>
        </w:rPr>
        <w:fldChar w:fldCharType="begin"/>
      </w:r>
      <w:r>
        <w:rPr>
          <w:noProof/>
        </w:rPr>
        <w:instrText xml:space="preserve"> PAGEREF _Toc404355690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What we’ve done this year</w:t>
      </w:r>
      <w:r>
        <w:rPr>
          <w:noProof/>
        </w:rPr>
        <w:tab/>
      </w:r>
      <w:r>
        <w:rPr>
          <w:noProof/>
        </w:rPr>
        <w:fldChar w:fldCharType="begin"/>
      </w:r>
      <w:r>
        <w:rPr>
          <w:noProof/>
        </w:rPr>
        <w:instrText xml:space="preserve"> PAGEREF _Toc404355691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In 2013 we recommended ...</w:t>
      </w:r>
      <w:r>
        <w:rPr>
          <w:noProof/>
        </w:rPr>
        <w:tab/>
      </w:r>
      <w:r>
        <w:rPr>
          <w:noProof/>
        </w:rPr>
        <w:fldChar w:fldCharType="begin"/>
      </w:r>
      <w:r>
        <w:rPr>
          <w:noProof/>
        </w:rPr>
        <w:instrText xml:space="preserve"> PAGEREF _Toc404355692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What has changed since then?</w:t>
      </w:r>
      <w:r>
        <w:rPr>
          <w:noProof/>
        </w:rPr>
        <w:tab/>
      </w:r>
      <w:r>
        <w:rPr>
          <w:noProof/>
        </w:rPr>
        <w:fldChar w:fldCharType="begin"/>
      </w:r>
      <w:r>
        <w:rPr>
          <w:noProof/>
        </w:rPr>
        <w:instrText xml:space="preserve"> PAGEREF _Toc404355693 \h </w:instrText>
      </w:r>
      <w:r>
        <w:rPr>
          <w:noProof/>
        </w:rPr>
      </w:r>
      <w:r>
        <w:rPr>
          <w:noProof/>
        </w:rPr>
        <w:fldChar w:fldCharType="separate"/>
      </w:r>
      <w:r w:rsidR="00710F45">
        <w:rPr>
          <w:noProof/>
        </w:rPr>
        <w:t>3</w:t>
      </w:r>
      <w:r>
        <w:rPr>
          <w:noProof/>
        </w:rPr>
        <w:fldChar w:fldCharType="end"/>
      </w:r>
    </w:p>
    <w:p w:rsidR="00D23192" w:rsidRDefault="00D23192">
      <w:pPr>
        <w:pStyle w:val="TOC1"/>
        <w:rPr>
          <w:rFonts w:asciiTheme="minorHAnsi" w:eastAsiaTheme="minorEastAsia" w:hAnsiTheme="minorHAnsi" w:cstheme="minorBidi"/>
          <w:b w:val="0"/>
          <w:noProof/>
          <w:szCs w:val="22"/>
          <w:lang w:eastAsia="en-NZ"/>
        </w:rPr>
      </w:pPr>
      <w:r w:rsidRPr="00A013EA">
        <w:rPr>
          <w:rFonts w:eastAsia="Arial"/>
          <w:noProof/>
        </w:rPr>
        <w:t>Update on Previous NMMG Work</w:t>
      </w:r>
      <w:r>
        <w:rPr>
          <w:noProof/>
        </w:rPr>
        <w:tab/>
      </w:r>
      <w:r>
        <w:rPr>
          <w:noProof/>
        </w:rPr>
        <w:fldChar w:fldCharType="begin"/>
      </w:r>
      <w:r>
        <w:rPr>
          <w:noProof/>
        </w:rPr>
        <w:instrText xml:space="preserve"> PAGEREF _Toc404355694 \h </w:instrText>
      </w:r>
      <w:r>
        <w:rPr>
          <w:noProof/>
        </w:rPr>
      </w:r>
      <w:r>
        <w:rPr>
          <w:noProof/>
        </w:rPr>
        <w:fldChar w:fldCharType="separate"/>
      </w:r>
      <w:r w:rsidR="00710F45">
        <w:rPr>
          <w:noProof/>
        </w:rPr>
        <w:t>3</w:t>
      </w:r>
      <w:r>
        <w:rPr>
          <w:noProof/>
        </w:rPr>
        <w:fldChar w:fldCharType="end"/>
      </w:r>
    </w:p>
    <w:p w:rsidR="00D23192" w:rsidRDefault="00D23192">
      <w:pPr>
        <w:pStyle w:val="TOC2"/>
        <w:rPr>
          <w:rFonts w:asciiTheme="minorHAnsi" w:eastAsiaTheme="minorEastAsia" w:hAnsiTheme="minorHAnsi" w:cstheme="minorBidi"/>
          <w:noProof/>
          <w:szCs w:val="22"/>
          <w:lang w:eastAsia="en-NZ"/>
        </w:rPr>
      </w:pPr>
      <w:r w:rsidRPr="00A013EA">
        <w:rPr>
          <w:rFonts w:eastAsia="Arial"/>
          <w:noProof/>
        </w:rPr>
        <w:t>2013 work streams</w:t>
      </w:r>
      <w:r>
        <w:rPr>
          <w:noProof/>
        </w:rPr>
        <w:tab/>
      </w:r>
      <w:r>
        <w:rPr>
          <w:noProof/>
        </w:rPr>
        <w:fldChar w:fldCharType="begin"/>
      </w:r>
      <w:r>
        <w:rPr>
          <w:noProof/>
        </w:rPr>
        <w:instrText xml:space="preserve"> PAGEREF _Toc404355695 \h </w:instrText>
      </w:r>
      <w:r>
        <w:rPr>
          <w:noProof/>
        </w:rPr>
      </w:r>
      <w:r>
        <w:rPr>
          <w:noProof/>
        </w:rPr>
        <w:fldChar w:fldCharType="separate"/>
      </w:r>
      <w:r w:rsidR="00710F45">
        <w:rPr>
          <w:noProof/>
        </w:rPr>
        <w:t>3</w:t>
      </w:r>
      <w:r>
        <w:rPr>
          <w:noProof/>
        </w:rPr>
        <w:fldChar w:fldCharType="end"/>
      </w:r>
    </w:p>
    <w:p w:rsidR="00D23192" w:rsidRDefault="00D23192">
      <w:pPr>
        <w:pStyle w:val="TOC1"/>
        <w:rPr>
          <w:rFonts w:asciiTheme="minorHAnsi" w:eastAsiaTheme="minorEastAsia" w:hAnsiTheme="minorHAnsi" w:cstheme="minorBidi"/>
          <w:b w:val="0"/>
          <w:noProof/>
          <w:szCs w:val="22"/>
          <w:lang w:eastAsia="en-NZ"/>
        </w:rPr>
      </w:pPr>
      <w:r w:rsidRPr="00A013EA">
        <w:rPr>
          <w:rFonts w:eastAsia="Arial"/>
          <w:noProof/>
        </w:rPr>
        <w:t>The NMMG Going Forward</w:t>
      </w:r>
      <w:r>
        <w:rPr>
          <w:noProof/>
        </w:rPr>
        <w:tab/>
      </w:r>
      <w:r>
        <w:rPr>
          <w:noProof/>
        </w:rPr>
        <w:fldChar w:fldCharType="begin"/>
      </w:r>
      <w:r>
        <w:rPr>
          <w:noProof/>
        </w:rPr>
        <w:instrText xml:space="preserve"> PAGEREF _Toc404355696 \h </w:instrText>
      </w:r>
      <w:r>
        <w:rPr>
          <w:noProof/>
        </w:rPr>
      </w:r>
      <w:r>
        <w:rPr>
          <w:noProof/>
        </w:rPr>
        <w:fldChar w:fldCharType="separate"/>
      </w:r>
      <w:r w:rsidR="00710F45">
        <w:rPr>
          <w:noProof/>
        </w:rPr>
        <w:t>3</w:t>
      </w:r>
      <w:r>
        <w:rPr>
          <w:noProof/>
        </w:rPr>
        <w:fldChar w:fldCharType="end"/>
      </w:r>
    </w:p>
    <w:p w:rsidR="00D23192" w:rsidRDefault="00D23192">
      <w:pPr>
        <w:pStyle w:val="TOC1"/>
        <w:rPr>
          <w:rFonts w:asciiTheme="minorHAnsi" w:eastAsiaTheme="minorEastAsia" w:hAnsiTheme="minorHAnsi" w:cstheme="minorBidi"/>
          <w:b w:val="0"/>
          <w:noProof/>
          <w:szCs w:val="22"/>
          <w:lang w:eastAsia="en-NZ"/>
        </w:rPr>
      </w:pPr>
      <w:r w:rsidRPr="00A013EA">
        <w:rPr>
          <w:rFonts w:eastAsia="Arial"/>
          <w:noProof/>
        </w:rPr>
        <w:t>Acknowledgements</w:t>
      </w:r>
      <w:r>
        <w:rPr>
          <w:noProof/>
        </w:rPr>
        <w:tab/>
      </w:r>
      <w:r>
        <w:rPr>
          <w:noProof/>
        </w:rPr>
        <w:fldChar w:fldCharType="begin"/>
      </w:r>
      <w:r>
        <w:rPr>
          <w:noProof/>
        </w:rPr>
        <w:instrText xml:space="preserve"> PAGEREF _Toc404355697 \h </w:instrText>
      </w:r>
      <w:r>
        <w:rPr>
          <w:noProof/>
        </w:rPr>
      </w:r>
      <w:r>
        <w:rPr>
          <w:noProof/>
        </w:rPr>
        <w:fldChar w:fldCharType="separate"/>
      </w:r>
      <w:r w:rsidR="00710F45">
        <w:rPr>
          <w:noProof/>
        </w:rPr>
        <w:t>3</w:t>
      </w:r>
      <w:r>
        <w:rPr>
          <w:noProof/>
        </w:rPr>
        <w:fldChar w:fldCharType="end"/>
      </w:r>
    </w:p>
    <w:p w:rsidR="00D23192" w:rsidRDefault="00D23192">
      <w:pPr>
        <w:pStyle w:val="TOC1"/>
        <w:rPr>
          <w:rFonts w:eastAsia="Arial"/>
          <w:noProof/>
        </w:rPr>
      </w:pPr>
      <w:r>
        <w:rPr>
          <w:rFonts w:eastAsia="Arial"/>
          <w:noProof/>
        </w:rPr>
        <w:t>Appendices</w:t>
      </w:r>
    </w:p>
    <w:p w:rsidR="00D23192" w:rsidRDefault="00D23192" w:rsidP="00D23192">
      <w:pPr>
        <w:pStyle w:val="TOC2"/>
        <w:tabs>
          <w:tab w:val="left" w:pos="1985"/>
        </w:tabs>
        <w:ind w:left="1985" w:hanging="1701"/>
        <w:rPr>
          <w:rFonts w:asciiTheme="minorHAnsi" w:eastAsiaTheme="minorEastAsia" w:hAnsiTheme="minorHAnsi" w:cstheme="minorBidi"/>
          <w:b/>
          <w:noProof/>
          <w:szCs w:val="22"/>
          <w:lang w:eastAsia="en-NZ"/>
        </w:rPr>
      </w:pPr>
      <w:r w:rsidRPr="00A013EA">
        <w:rPr>
          <w:rFonts w:eastAsia="Arial"/>
          <w:noProof/>
        </w:rPr>
        <w:t>Appendix One</w:t>
      </w:r>
      <w:r>
        <w:rPr>
          <w:rFonts w:eastAsia="Arial"/>
          <w:noProof/>
        </w:rPr>
        <w:t>:</w:t>
      </w:r>
      <w:r>
        <w:rPr>
          <w:rFonts w:eastAsia="Arial"/>
          <w:noProof/>
        </w:rPr>
        <w:tab/>
      </w:r>
      <w:r w:rsidRPr="00A013EA">
        <w:rPr>
          <w:rFonts w:eastAsia="Arial"/>
          <w:noProof/>
        </w:rPr>
        <w:t>Terms of Reference for the National Maternity Monitoring Group, 2013–2016</w:t>
      </w:r>
      <w:r>
        <w:rPr>
          <w:noProof/>
        </w:rPr>
        <w:tab/>
      </w:r>
      <w:r>
        <w:rPr>
          <w:noProof/>
        </w:rPr>
        <w:fldChar w:fldCharType="begin"/>
      </w:r>
      <w:r>
        <w:rPr>
          <w:noProof/>
        </w:rPr>
        <w:instrText xml:space="preserve"> PAGEREF _Toc404355698 \h </w:instrText>
      </w:r>
      <w:r>
        <w:rPr>
          <w:noProof/>
        </w:rPr>
      </w:r>
      <w:r>
        <w:rPr>
          <w:noProof/>
        </w:rPr>
        <w:fldChar w:fldCharType="separate"/>
      </w:r>
      <w:r w:rsidR="00710F45">
        <w:rPr>
          <w:noProof/>
        </w:rPr>
        <w:t>3</w:t>
      </w:r>
      <w:r>
        <w:rPr>
          <w:noProof/>
        </w:rPr>
        <w:fldChar w:fldCharType="end"/>
      </w:r>
    </w:p>
    <w:p w:rsidR="00D23192" w:rsidRDefault="00D23192" w:rsidP="00D23192">
      <w:pPr>
        <w:pStyle w:val="TOC2"/>
        <w:tabs>
          <w:tab w:val="left" w:pos="1985"/>
        </w:tabs>
        <w:ind w:left="1985" w:hanging="1701"/>
        <w:rPr>
          <w:rFonts w:asciiTheme="minorHAnsi" w:eastAsiaTheme="minorEastAsia" w:hAnsiTheme="minorHAnsi" w:cstheme="minorBidi"/>
          <w:b/>
          <w:noProof/>
          <w:szCs w:val="22"/>
          <w:lang w:eastAsia="en-NZ"/>
        </w:rPr>
      </w:pPr>
      <w:r w:rsidRPr="00A013EA">
        <w:rPr>
          <w:rFonts w:eastAsia="Arial"/>
          <w:noProof/>
        </w:rPr>
        <w:t>Appendix Two:</w:t>
      </w:r>
      <w:r>
        <w:rPr>
          <w:rFonts w:eastAsia="Arial"/>
          <w:noProof/>
        </w:rPr>
        <w:tab/>
      </w:r>
      <w:r w:rsidRPr="00A013EA">
        <w:rPr>
          <w:rFonts w:eastAsia="Arial"/>
          <w:noProof/>
        </w:rPr>
        <w:t>NMMG Year Two Work Programme</w:t>
      </w:r>
      <w:r>
        <w:rPr>
          <w:noProof/>
        </w:rPr>
        <w:tab/>
      </w:r>
      <w:r>
        <w:rPr>
          <w:noProof/>
        </w:rPr>
        <w:fldChar w:fldCharType="begin"/>
      </w:r>
      <w:r>
        <w:rPr>
          <w:noProof/>
        </w:rPr>
        <w:instrText xml:space="preserve"> PAGEREF _Toc404355699 \h </w:instrText>
      </w:r>
      <w:r>
        <w:rPr>
          <w:noProof/>
        </w:rPr>
      </w:r>
      <w:r>
        <w:rPr>
          <w:noProof/>
        </w:rPr>
        <w:fldChar w:fldCharType="separate"/>
      </w:r>
      <w:r w:rsidR="00710F45">
        <w:rPr>
          <w:noProof/>
        </w:rPr>
        <w:t>3</w:t>
      </w:r>
      <w:r>
        <w:rPr>
          <w:noProof/>
        </w:rPr>
        <w:fldChar w:fldCharType="end"/>
      </w:r>
    </w:p>
    <w:p w:rsidR="00D23192" w:rsidRDefault="00D23192" w:rsidP="00D23192">
      <w:pPr>
        <w:pStyle w:val="TOC2"/>
        <w:tabs>
          <w:tab w:val="left" w:pos="1985"/>
        </w:tabs>
        <w:ind w:left="1985" w:hanging="1701"/>
        <w:rPr>
          <w:rFonts w:asciiTheme="minorHAnsi" w:eastAsiaTheme="minorEastAsia" w:hAnsiTheme="minorHAnsi" w:cstheme="minorBidi"/>
          <w:b/>
          <w:noProof/>
          <w:szCs w:val="22"/>
          <w:lang w:eastAsia="en-NZ"/>
        </w:rPr>
      </w:pPr>
      <w:r w:rsidRPr="00A013EA">
        <w:rPr>
          <w:rFonts w:eastAsia="Arial"/>
          <w:noProof/>
        </w:rPr>
        <w:t>Appendix Three:</w:t>
      </w:r>
      <w:r>
        <w:rPr>
          <w:rFonts w:eastAsia="Arial"/>
          <w:noProof/>
        </w:rPr>
        <w:tab/>
      </w:r>
      <w:r w:rsidRPr="00A013EA">
        <w:rPr>
          <w:rFonts w:eastAsia="Arial"/>
          <w:noProof/>
        </w:rPr>
        <w:t>Map of NZ DHBs</w:t>
      </w:r>
      <w:r>
        <w:rPr>
          <w:noProof/>
        </w:rPr>
        <w:tab/>
      </w:r>
      <w:r>
        <w:rPr>
          <w:noProof/>
        </w:rPr>
        <w:fldChar w:fldCharType="begin"/>
      </w:r>
      <w:r>
        <w:rPr>
          <w:noProof/>
        </w:rPr>
        <w:instrText xml:space="preserve"> PAGEREF _Toc404355700 \h </w:instrText>
      </w:r>
      <w:r>
        <w:rPr>
          <w:noProof/>
        </w:rPr>
      </w:r>
      <w:r>
        <w:rPr>
          <w:noProof/>
        </w:rPr>
        <w:fldChar w:fldCharType="separate"/>
      </w:r>
      <w:r w:rsidR="00710F45">
        <w:rPr>
          <w:noProof/>
        </w:rPr>
        <w:t>3</w:t>
      </w:r>
      <w:r>
        <w:rPr>
          <w:noProof/>
        </w:rPr>
        <w:fldChar w:fldCharType="end"/>
      </w:r>
    </w:p>
    <w:p w:rsidR="00D23192" w:rsidRDefault="00D23192">
      <w:pPr>
        <w:pStyle w:val="TOC1"/>
        <w:rPr>
          <w:rFonts w:asciiTheme="minorHAnsi" w:eastAsiaTheme="minorEastAsia" w:hAnsiTheme="minorHAnsi" w:cstheme="minorBidi"/>
          <w:b w:val="0"/>
          <w:noProof/>
          <w:szCs w:val="22"/>
          <w:lang w:eastAsia="en-NZ"/>
        </w:rPr>
      </w:pPr>
      <w:r w:rsidRPr="00A013EA">
        <w:rPr>
          <w:rFonts w:ascii="Arial" w:eastAsia="Arial" w:hAnsi="Arial" w:cs="Arial"/>
          <w:noProof/>
        </w:rPr>
        <w:t xml:space="preserve">List of </w:t>
      </w:r>
      <w:r>
        <w:rPr>
          <w:noProof/>
        </w:rPr>
        <w:t>Definitions</w:t>
      </w:r>
      <w:r>
        <w:rPr>
          <w:noProof/>
        </w:rPr>
        <w:tab/>
      </w:r>
      <w:r>
        <w:rPr>
          <w:noProof/>
        </w:rPr>
        <w:fldChar w:fldCharType="begin"/>
      </w:r>
      <w:r>
        <w:rPr>
          <w:noProof/>
        </w:rPr>
        <w:instrText xml:space="preserve"> PAGEREF _Toc404355701 \h </w:instrText>
      </w:r>
      <w:r>
        <w:rPr>
          <w:noProof/>
        </w:rPr>
      </w:r>
      <w:r>
        <w:rPr>
          <w:noProof/>
        </w:rPr>
        <w:fldChar w:fldCharType="separate"/>
      </w:r>
      <w:r w:rsidR="00710F45">
        <w:rPr>
          <w:noProof/>
        </w:rPr>
        <w:t>3</w:t>
      </w:r>
      <w:r>
        <w:rPr>
          <w:noProof/>
        </w:rPr>
        <w:fldChar w:fldCharType="end"/>
      </w:r>
    </w:p>
    <w:p w:rsidR="00D23192" w:rsidRDefault="00D23192">
      <w:pPr>
        <w:pStyle w:val="TOC1"/>
        <w:rPr>
          <w:rFonts w:asciiTheme="minorHAnsi" w:eastAsiaTheme="minorEastAsia" w:hAnsiTheme="minorHAnsi" w:cstheme="minorBidi"/>
          <w:b w:val="0"/>
          <w:noProof/>
          <w:szCs w:val="22"/>
          <w:lang w:eastAsia="en-NZ"/>
        </w:rPr>
      </w:pPr>
      <w:r w:rsidRPr="00A013EA">
        <w:rPr>
          <w:rFonts w:eastAsia="Arial"/>
          <w:noProof/>
        </w:rPr>
        <w:t>List of Abbreviations</w:t>
      </w:r>
      <w:r>
        <w:rPr>
          <w:noProof/>
        </w:rPr>
        <w:tab/>
      </w:r>
      <w:r>
        <w:rPr>
          <w:noProof/>
        </w:rPr>
        <w:fldChar w:fldCharType="begin"/>
      </w:r>
      <w:r>
        <w:rPr>
          <w:noProof/>
        </w:rPr>
        <w:instrText xml:space="preserve"> PAGEREF _Toc404355702 \h </w:instrText>
      </w:r>
      <w:r>
        <w:rPr>
          <w:noProof/>
        </w:rPr>
      </w:r>
      <w:r>
        <w:rPr>
          <w:noProof/>
        </w:rPr>
        <w:fldChar w:fldCharType="separate"/>
      </w:r>
      <w:r w:rsidR="00710F45">
        <w:rPr>
          <w:noProof/>
        </w:rPr>
        <w:t>3</w:t>
      </w:r>
      <w:r>
        <w:rPr>
          <w:noProof/>
        </w:rPr>
        <w:fldChar w:fldCharType="end"/>
      </w:r>
    </w:p>
    <w:p w:rsidR="00D23192" w:rsidRDefault="00D23192">
      <w:pPr>
        <w:pStyle w:val="TOC1"/>
        <w:rPr>
          <w:rFonts w:asciiTheme="minorHAnsi" w:eastAsiaTheme="minorEastAsia" w:hAnsiTheme="minorHAnsi" w:cstheme="minorBidi"/>
          <w:b w:val="0"/>
          <w:noProof/>
          <w:szCs w:val="22"/>
          <w:lang w:eastAsia="en-NZ"/>
        </w:rPr>
      </w:pPr>
      <w:r w:rsidRPr="00A013EA">
        <w:rPr>
          <w:rFonts w:eastAsia="Arial"/>
          <w:noProof/>
        </w:rPr>
        <w:t>Data Sources Used</w:t>
      </w:r>
      <w:r>
        <w:rPr>
          <w:noProof/>
        </w:rPr>
        <w:tab/>
      </w:r>
      <w:r>
        <w:rPr>
          <w:noProof/>
        </w:rPr>
        <w:fldChar w:fldCharType="begin"/>
      </w:r>
      <w:r>
        <w:rPr>
          <w:noProof/>
        </w:rPr>
        <w:instrText xml:space="preserve"> PAGEREF _Toc404355703 \h </w:instrText>
      </w:r>
      <w:r>
        <w:rPr>
          <w:noProof/>
        </w:rPr>
      </w:r>
      <w:r>
        <w:rPr>
          <w:noProof/>
        </w:rPr>
        <w:fldChar w:fldCharType="separate"/>
      </w:r>
      <w:r w:rsidR="00710F45">
        <w:rPr>
          <w:noProof/>
        </w:rPr>
        <w:t>3</w:t>
      </w:r>
      <w:r>
        <w:rPr>
          <w:noProof/>
        </w:rPr>
        <w:fldChar w:fldCharType="end"/>
      </w:r>
    </w:p>
    <w:p w:rsidR="00C86248" w:rsidRPr="005443DA" w:rsidRDefault="00C86248" w:rsidP="00D435C9">
      <w:r w:rsidRPr="005443DA">
        <w:rPr>
          <w:b/>
        </w:rPr>
        <w:fldChar w:fldCharType="end"/>
      </w:r>
    </w:p>
    <w:p w:rsidR="00C86248" w:rsidRPr="005443DA" w:rsidRDefault="00C86248">
      <w:pPr>
        <w:sectPr w:rsidR="00C86248" w:rsidRPr="005443DA" w:rsidSect="00524F86">
          <w:headerReference w:type="even" r:id="rId13"/>
          <w:headerReference w:type="default" r:id="rId14"/>
          <w:footerReference w:type="even" r:id="rId15"/>
          <w:footerReference w:type="default" r:id="rId16"/>
          <w:pgSz w:w="11907" w:h="16840" w:code="9"/>
          <w:pgMar w:top="1134" w:right="1701" w:bottom="851" w:left="1701" w:header="284" w:footer="567" w:gutter="0"/>
          <w:cols w:space="720"/>
        </w:sectPr>
      </w:pPr>
    </w:p>
    <w:p w:rsidR="008C2973" w:rsidRPr="00667BCF" w:rsidRDefault="00D435C9" w:rsidP="00D60EFF">
      <w:pPr>
        <w:pStyle w:val="Heading1"/>
      </w:pPr>
      <w:bookmarkStart w:id="3" w:name="_Toc404355647"/>
      <w:r w:rsidRPr="00667BCF">
        <w:lastRenderedPageBreak/>
        <w:t>Chair</w:t>
      </w:r>
      <w:r w:rsidR="00F71BF6">
        <w:t>’</w:t>
      </w:r>
      <w:r w:rsidRPr="00667BCF">
        <w:t>s Introduction</w:t>
      </w:r>
      <w:bookmarkEnd w:id="3"/>
    </w:p>
    <w:p w:rsidR="00D435C9" w:rsidRPr="00237CBD" w:rsidRDefault="00237CBD" w:rsidP="001B113F">
      <w:pPr>
        <w:pStyle w:val="Introparagraph"/>
      </w:pPr>
      <w:r>
        <w:rPr>
          <w:rFonts w:ascii="Arial" w:hAnsi="Arial" w:cs="Arial"/>
        </w:rPr>
        <w:t xml:space="preserve">Over </w:t>
      </w:r>
      <w:r w:rsidR="00F1385A" w:rsidRPr="00237CBD">
        <w:rPr>
          <w:rFonts w:ascii="Arial" w:hAnsi="Arial" w:cs="Arial"/>
        </w:rPr>
        <w:t xml:space="preserve">the past year, I have been delighted </w:t>
      </w:r>
      <w:r>
        <w:rPr>
          <w:rFonts w:ascii="Arial" w:hAnsi="Arial" w:cs="Arial"/>
        </w:rPr>
        <w:t xml:space="preserve">with </w:t>
      </w:r>
      <w:r w:rsidR="00F1385A" w:rsidRPr="00237CBD">
        <w:rPr>
          <w:rFonts w:ascii="Arial" w:hAnsi="Arial" w:cs="Arial"/>
        </w:rPr>
        <w:t>the progress made in New Zealand</w:t>
      </w:r>
      <w:r w:rsidR="00F71BF6" w:rsidRPr="00237CBD">
        <w:rPr>
          <w:rFonts w:ascii="Arial" w:hAnsi="Arial" w:cs="Arial"/>
        </w:rPr>
        <w:t>’</w:t>
      </w:r>
      <w:r w:rsidR="00F1385A" w:rsidRPr="00237CBD">
        <w:rPr>
          <w:rFonts w:ascii="Arial" w:hAnsi="Arial" w:cs="Arial"/>
        </w:rPr>
        <w:t>s m</w:t>
      </w:r>
      <w:r>
        <w:rPr>
          <w:rFonts w:ascii="Arial" w:hAnsi="Arial" w:cs="Arial"/>
        </w:rPr>
        <w:t>a</w:t>
      </w:r>
      <w:r w:rsidR="00F1385A" w:rsidRPr="00237CBD">
        <w:rPr>
          <w:rFonts w:ascii="Arial" w:hAnsi="Arial" w:cs="Arial"/>
        </w:rPr>
        <w:t xml:space="preserve">ternity sector. Not only are we seeing </w:t>
      </w:r>
      <w:r>
        <w:rPr>
          <w:rFonts w:ascii="Arial" w:hAnsi="Arial" w:cs="Arial"/>
        </w:rPr>
        <w:t>ch</w:t>
      </w:r>
      <w:r w:rsidR="00F1385A" w:rsidRPr="00237CBD">
        <w:rPr>
          <w:rFonts w:ascii="Arial" w:hAnsi="Arial" w:cs="Arial"/>
        </w:rPr>
        <w:t xml:space="preserve">anges in how services are delivered to </w:t>
      </w:r>
      <w:r>
        <w:rPr>
          <w:rFonts w:ascii="Arial" w:hAnsi="Arial" w:cs="Arial"/>
        </w:rPr>
        <w:t>w</w:t>
      </w:r>
      <w:r w:rsidR="00F1385A" w:rsidRPr="00237CBD">
        <w:rPr>
          <w:rFonts w:ascii="Arial" w:hAnsi="Arial" w:cs="Arial"/>
        </w:rPr>
        <w:t xml:space="preserve">omen, but we are also entering a new </w:t>
      </w:r>
      <w:r>
        <w:rPr>
          <w:rFonts w:ascii="Arial" w:hAnsi="Arial" w:cs="Arial"/>
        </w:rPr>
        <w:t>p</w:t>
      </w:r>
      <w:r w:rsidR="00F1385A" w:rsidRPr="00237CBD">
        <w:rPr>
          <w:rFonts w:ascii="Arial" w:hAnsi="Arial" w:cs="Arial"/>
        </w:rPr>
        <w:t>hase of collaboration.</w:t>
      </w:r>
    </w:p>
    <w:p w:rsidR="00D435C9" w:rsidRPr="00237CBD" w:rsidRDefault="00D435C9" w:rsidP="00237CBD"/>
    <w:p w:rsidR="00F1385A" w:rsidRPr="00237CBD" w:rsidRDefault="00237CBD" w:rsidP="00237CBD">
      <w:pPr>
        <w:rPr>
          <w:rFonts w:eastAsia="Arial"/>
        </w:rPr>
      </w:pPr>
      <w:r>
        <w:rPr>
          <w:rFonts w:eastAsia="Arial"/>
        </w:rPr>
        <w:t>W</w:t>
      </w:r>
      <w:r w:rsidR="00F1385A" w:rsidRPr="00237CBD">
        <w:rPr>
          <w:rFonts w:eastAsia="Arial"/>
        </w:rPr>
        <w:t xml:space="preserve">ith the National Maternity Monitoring Group </w:t>
      </w:r>
      <w:r>
        <w:rPr>
          <w:rFonts w:eastAsia="Arial"/>
        </w:rPr>
        <w:t>(</w:t>
      </w:r>
      <w:r w:rsidR="00F1385A" w:rsidRPr="00237CBD">
        <w:rPr>
          <w:rFonts w:eastAsia="Arial"/>
        </w:rPr>
        <w:t xml:space="preserve">NMMG) regularly raising questions and seeking </w:t>
      </w:r>
      <w:r>
        <w:rPr>
          <w:rFonts w:eastAsia="Arial"/>
        </w:rPr>
        <w:t>in</w:t>
      </w:r>
      <w:r w:rsidR="00F1385A" w:rsidRPr="00237CBD">
        <w:rPr>
          <w:rFonts w:eastAsia="Arial"/>
        </w:rPr>
        <w:t xml:space="preserve">formation, we have been able to spark an </w:t>
      </w:r>
      <w:r>
        <w:rPr>
          <w:rFonts w:eastAsia="Arial"/>
        </w:rPr>
        <w:t>o</w:t>
      </w:r>
      <w:r w:rsidR="00F1385A" w:rsidRPr="00237CBD">
        <w:rPr>
          <w:rFonts w:eastAsia="Arial"/>
        </w:rPr>
        <w:t>ngoing state of enquiry within the maternity</w:t>
      </w:r>
      <w:r>
        <w:rPr>
          <w:rFonts w:eastAsia="Arial"/>
        </w:rPr>
        <w:t xml:space="preserve"> sec</w:t>
      </w:r>
      <w:r w:rsidR="00F1385A" w:rsidRPr="00237CBD">
        <w:rPr>
          <w:rFonts w:eastAsia="Arial"/>
        </w:rPr>
        <w:t>tor. These requests are not being seen as</w:t>
      </w:r>
      <w:r>
        <w:rPr>
          <w:rFonts w:eastAsia="Arial"/>
        </w:rPr>
        <w:t xml:space="preserve"> neg</w:t>
      </w:r>
      <w:r w:rsidR="00F1385A" w:rsidRPr="00237CBD">
        <w:rPr>
          <w:rFonts w:eastAsia="Arial"/>
        </w:rPr>
        <w:t>ative by DHBs, GPs and other service providers</w:t>
      </w:r>
      <w:r>
        <w:rPr>
          <w:rFonts w:eastAsia="Arial"/>
        </w:rPr>
        <w:t xml:space="preserve"> –quit</w:t>
      </w:r>
      <w:r w:rsidR="00F1385A" w:rsidRPr="00237CBD">
        <w:rPr>
          <w:rFonts w:eastAsia="Arial"/>
        </w:rPr>
        <w:t>e the opposite in fact. We are uncovering a</w:t>
      </w:r>
      <w:r>
        <w:rPr>
          <w:rFonts w:eastAsia="Arial"/>
        </w:rPr>
        <w:t xml:space="preserve"> genui</w:t>
      </w:r>
      <w:r w:rsidR="00F1385A" w:rsidRPr="00237CBD">
        <w:rPr>
          <w:rFonts w:eastAsia="Arial"/>
        </w:rPr>
        <w:t xml:space="preserve">ne desire by all parties who provide maternity </w:t>
      </w:r>
      <w:r>
        <w:rPr>
          <w:rFonts w:eastAsia="Arial"/>
        </w:rPr>
        <w:t xml:space="preserve">services </w:t>
      </w:r>
      <w:r w:rsidR="00F1385A" w:rsidRPr="00237CBD">
        <w:rPr>
          <w:rFonts w:eastAsia="Arial"/>
        </w:rPr>
        <w:t>to engage and contribute to finding new,</w:t>
      </w:r>
      <w:r>
        <w:rPr>
          <w:rFonts w:eastAsia="Arial"/>
        </w:rPr>
        <w:t xml:space="preserve"> improved </w:t>
      </w:r>
      <w:r w:rsidR="00F1385A" w:rsidRPr="00237CBD">
        <w:rPr>
          <w:rFonts w:eastAsia="Arial"/>
        </w:rPr>
        <w:t xml:space="preserve">ways of working together to improve the quality </w:t>
      </w:r>
      <w:r>
        <w:rPr>
          <w:rFonts w:eastAsia="Arial"/>
        </w:rPr>
        <w:t xml:space="preserve">of maternity </w:t>
      </w:r>
      <w:r w:rsidR="00F1385A" w:rsidRPr="00237CBD">
        <w:rPr>
          <w:rFonts w:eastAsia="Arial"/>
        </w:rPr>
        <w:t>care for women and their babies.</w:t>
      </w:r>
    </w:p>
    <w:p w:rsidR="00F1385A" w:rsidRPr="00237CBD" w:rsidRDefault="00F1385A" w:rsidP="00237CBD"/>
    <w:p w:rsidR="00F1385A" w:rsidRPr="00237CBD" w:rsidRDefault="00237CBD" w:rsidP="00237CBD">
      <w:pPr>
        <w:rPr>
          <w:rFonts w:eastAsia="Arial"/>
        </w:rPr>
      </w:pPr>
      <w:r>
        <w:rPr>
          <w:rFonts w:eastAsia="Arial"/>
        </w:rPr>
        <w:t>This high level of in</w:t>
      </w:r>
      <w:r w:rsidR="00F1385A" w:rsidRPr="00237CBD">
        <w:rPr>
          <w:rFonts w:eastAsia="Arial"/>
        </w:rPr>
        <w:t xml:space="preserve">teraction can be seen in many of the work </w:t>
      </w:r>
      <w:r>
        <w:rPr>
          <w:rFonts w:eastAsia="Arial"/>
        </w:rPr>
        <w:t>streams we have continu</w:t>
      </w:r>
      <w:r w:rsidR="00F1385A" w:rsidRPr="00237CBD">
        <w:rPr>
          <w:rFonts w:eastAsia="Arial"/>
        </w:rPr>
        <w:t xml:space="preserve">ed with, or initiated, in 2014. You will see </w:t>
      </w:r>
      <w:r>
        <w:rPr>
          <w:rFonts w:eastAsia="Arial"/>
        </w:rPr>
        <w:t>from this report that the infor</w:t>
      </w:r>
      <w:r w:rsidR="00F1385A" w:rsidRPr="00237CBD">
        <w:rPr>
          <w:rFonts w:eastAsia="Arial"/>
        </w:rPr>
        <w:t>mation we have provided to DHBs in relation</w:t>
      </w:r>
      <w:r>
        <w:rPr>
          <w:rFonts w:eastAsia="Arial"/>
        </w:rPr>
        <w:t xml:space="preserve"> </w:t>
      </w:r>
      <w:r w:rsidR="00F1385A" w:rsidRPr="00237CBD">
        <w:rPr>
          <w:rFonts w:eastAsia="Arial"/>
        </w:rPr>
        <w:t>to variability in gestation at time of birth has been particularly</w:t>
      </w:r>
      <w:r w:rsidR="00F71BF6" w:rsidRPr="00237CBD">
        <w:rPr>
          <w:rFonts w:eastAsia="Arial"/>
        </w:rPr>
        <w:t xml:space="preserve"> </w:t>
      </w:r>
      <w:r w:rsidR="00F1385A" w:rsidRPr="00237CBD">
        <w:rPr>
          <w:rFonts w:eastAsia="Arial"/>
        </w:rPr>
        <w:t>robust, because of improved data capture by the DHBs. The NMMG has then been able to utilise that and ask questions</w:t>
      </w:r>
      <w:r w:rsidR="00F71BF6" w:rsidRPr="00237CBD">
        <w:rPr>
          <w:rFonts w:eastAsia="Arial"/>
        </w:rPr>
        <w:t xml:space="preserve"> </w:t>
      </w:r>
      <w:r w:rsidR="00F1385A" w:rsidRPr="00237CBD">
        <w:rPr>
          <w:rFonts w:eastAsia="Arial"/>
        </w:rPr>
        <w:t>of the DHBs. Their responses</w:t>
      </w:r>
      <w:r w:rsidR="00F71BF6" w:rsidRPr="00237CBD">
        <w:rPr>
          <w:rFonts w:eastAsia="Arial"/>
        </w:rPr>
        <w:t xml:space="preserve"> </w:t>
      </w:r>
      <w:r w:rsidR="00F1385A" w:rsidRPr="00237CBD">
        <w:rPr>
          <w:rFonts w:eastAsia="Arial"/>
        </w:rPr>
        <w:t>in this area in particular have generated some considerable debate, and we are encouraged by their openness and response to our requests for information about actions they have taken now they have that data.</w:t>
      </w:r>
    </w:p>
    <w:p w:rsidR="00F1385A" w:rsidRPr="00237CBD" w:rsidRDefault="00F1385A" w:rsidP="00237CBD"/>
    <w:p w:rsidR="00F1385A" w:rsidRPr="00237CBD" w:rsidRDefault="00F1385A" w:rsidP="00237CBD">
      <w:pPr>
        <w:rPr>
          <w:rFonts w:eastAsia="Arial"/>
        </w:rPr>
      </w:pPr>
      <w:r w:rsidRPr="00237CBD">
        <w:rPr>
          <w:rFonts w:eastAsia="Arial"/>
        </w:rPr>
        <w:t>The NMMG remit allows us to observe the sector in its entirety. The collective work by all members of the NMMG, together with the maternity sector, demonstrates the benefits of having specialist groups like this.</w:t>
      </w:r>
      <w:r w:rsidR="00F71BF6" w:rsidRPr="00237CBD">
        <w:rPr>
          <w:rFonts w:eastAsia="Arial"/>
        </w:rPr>
        <w:t xml:space="preserve"> </w:t>
      </w:r>
      <w:r w:rsidRPr="00237CBD">
        <w:rPr>
          <w:rFonts w:eastAsia="Arial"/>
        </w:rPr>
        <w:t>Such a group is able to delve into information, asking questions about what may be occurring and about the evidence underpinning the data. This allows us to make recommendations for improvement. This year we have started to increase our focus on</w:t>
      </w:r>
      <w:r w:rsidR="00237CBD">
        <w:rPr>
          <w:rFonts w:eastAsia="Arial"/>
        </w:rPr>
        <w:t xml:space="preserve"> </w:t>
      </w:r>
      <w:r w:rsidRPr="00237CBD">
        <w:rPr>
          <w:rFonts w:eastAsia="Arial"/>
        </w:rPr>
        <w:t>the monitoring role of the NMMG and identifying areas of weakness in the sector that need addressing. In this annual report, as we enter our third year, we have been much clearer about where we expect the Ministry of Health and DHBs to introduce changes.</w:t>
      </w:r>
    </w:p>
    <w:p w:rsidR="00237CBD" w:rsidRPr="00237CBD" w:rsidRDefault="00237CBD" w:rsidP="00237CBD"/>
    <w:p w:rsidR="00F1385A" w:rsidRPr="00237CBD" w:rsidRDefault="00F1385A" w:rsidP="00237CBD">
      <w:pPr>
        <w:rPr>
          <w:rFonts w:eastAsia="Arial"/>
        </w:rPr>
      </w:pPr>
      <w:r w:rsidRPr="00237CBD">
        <w:rPr>
          <w:rFonts w:eastAsia="Arial"/>
        </w:rPr>
        <w:t>The work of the members of the NMMG, through the framework of the Maternity Quality and Safety Programme (MQSP), are giving the maternity sector the focus it deserves. We now need the Ministry of Health and service providers to consider our findings, and through the MQSP and the wider quality frameworks in DHBs, consider</w:t>
      </w:r>
      <w:r w:rsidR="00F71BF6" w:rsidRPr="00237CBD">
        <w:rPr>
          <w:rFonts w:eastAsia="Arial"/>
        </w:rPr>
        <w:t xml:space="preserve"> </w:t>
      </w:r>
      <w:r w:rsidRPr="00237CBD">
        <w:rPr>
          <w:rFonts w:eastAsia="Arial"/>
        </w:rPr>
        <w:t>how best to act on</w:t>
      </w:r>
      <w:r w:rsidR="00237CBD">
        <w:rPr>
          <w:rFonts w:eastAsia="Arial"/>
        </w:rPr>
        <w:t xml:space="preserve"> </w:t>
      </w:r>
      <w:r w:rsidRPr="00237CBD">
        <w:rPr>
          <w:rFonts w:eastAsia="Arial"/>
        </w:rPr>
        <w:t xml:space="preserve">our recommendations. These discussions are also being initiated to ensure that the overview of the NMMG and the work within the MQSP has had three years of establishment funding and needs to now be incorporated within each </w:t>
      </w:r>
      <w:proofErr w:type="gramStart"/>
      <w:r w:rsidRPr="00237CBD">
        <w:rPr>
          <w:rFonts w:eastAsia="Arial"/>
        </w:rPr>
        <w:t>DHBs</w:t>
      </w:r>
      <w:r w:rsidR="00F71BF6" w:rsidRPr="00237CBD">
        <w:rPr>
          <w:rFonts w:eastAsia="Arial"/>
        </w:rPr>
        <w:t>’</w:t>
      </w:r>
      <w:proofErr w:type="gramEnd"/>
      <w:r w:rsidRPr="00237CBD">
        <w:rPr>
          <w:rFonts w:eastAsia="Arial"/>
        </w:rPr>
        <w:t xml:space="preserve"> quality </w:t>
      </w:r>
      <w:proofErr w:type="spellStart"/>
      <w:r w:rsidRPr="00237CBD">
        <w:rPr>
          <w:rFonts w:eastAsia="Arial"/>
        </w:rPr>
        <w:t>workstream</w:t>
      </w:r>
      <w:proofErr w:type="spellEnd"/>
      <w:r w:rsidRPr="00237CBD">
        <w:rPr>
          <w:rFonts w:eastAsia="Arial"/>
        </w:rPr>
        <w:t>. In this way we can continue to further strengthen the maternity system for New Zealand</w:t>
      </w:r>
      <w:r w:rsidR="00F71BF6" w:rsidRPr="00237CBD">
        <w:rPr>
          <w:rFonts w:eastAsia="Arial"/>
        </w:rPr>
        <w:t>’</w:t>
      </w:r>
      <w:r w:rsidRPr="00237CBD">
        <w:rPr>
          <w:rFonts w:eastAsia="Arial"/>
        </w:rPr>
        <w:t>s women and babies.</w:t>
      </w:r>
    </w:p>
    <w:p w:rsidR="00F1385A" w:rsidRPr="00237CBD" w:rsidRDefault="00F1385A" w:rsidP="00237CBD"/>
    <w:p w:rsidR="00F1385A" w:rsidRPr="00237CBD" w:rsidRDefault="00F1385A" w:rsidP="00237CBD">
      <w:pPr>
        <w:rPr>
          <w:sz w:val="20"/>
        </w:rPr>
      </w:pPr>
      <w:r w:rsidRPr="00237CBD">
        <w:rPr>
          <w:rFonts w:eastAsia="Arial"/>
        </w:rPr>
        <w:t>With this plea for continued support and integration of the quality framework</w:t>
      </w:r>
      <w:r w:rsidR="00F71BF6" w:rsidRPr="00237CBD">
        <w:rPr>
          <w:rFonts w:eastAsia="Arial"/>
        </w:rPr>
        <w:t xml:space="preserve"> </w:t>
      </w:r>
      <w:r w:rsidRPr="00237CBD">
        <w:rPr>
          <w:rFonts w:eastAsia="Arial"/>
        </w:rPr>
        <w:t>across the maternity sector, from policy development to service delivery and consumer groups, it is with great pride that I present the second annual report of the NMMG.</w:t>
      </w:r>
    </w:p>
    <w:p w:rsidR="005B726C" w:rsidRPr="00237CBD" w:rsidRDefault="005B726C" w:rsidP="00237CBD">
      <w:pPr>
        <w:rPr>
          <w:rFonts w:eastAsia="Arial"/>
        </w:rPr>
      </w:pPr>
    </w:p>
    <w:p w:rsidR="00D435C9" w:rsidRPr="00237CBD" w:rsidRDefault="00991887" w:rsidP="00884C0E">
      <w:pPr>
        <w:pStyle w:val="Heading1"/>
        <w:rPr>
          <w:rFonts w:eastAsia="Arial"/>
        </w:rPr>
      </w:pPr>
      <w:r w:rsidRPr="00237CBD">
        <w:rPr>
          <w:rFonts w:eastAsia="Arial"/>
        </w:rPr>
        <w:br w:type="page"/>
      </w:r>
      <w:bookmarkStart w:id="4" w:name="_Toc404355648"/>
      <w:r w:rsidR="00D435C9" w:rsidRPr="00237CBD">
        <w:rPr>
          <w:rFonts w:eastAsia="Arial"/>
        </w:rPr>
        <w:lastRenderedPageBreak/>
        <w:t>About the</w:t>
      </w:r>
      <w:r w:rsidR="0010299F" w:rsidRPr="00237CBD">
        <w:rPr>
          <w:rFonts w:eastAsia="Arial"/>
        </w:rPr>
        <w:br/>
      </w:r>
      <w:r w:rsidR="00D435C9" w:rsidRPr="00237CBD">
        <w:rPr>
          <w:rFonts w:eastAsia="Arial"/>
        </w:rPr>
        <w:t>National Maternity Monitoring</w:t>
      </w:r>
      <w:r w:rsidR="005B726C" w:rsidRPr="00237CBD">
        <w:rPr>
          <w:rFonts w:eastAsia="Arial"/>
        </w:rPr>
        <w:t xml:space="preserve"> </w:t>
      </w:r>
      <w:r w:rsidR="00D435C9" w:rsidRPr="00237CBD">
        <w:rPr>
          <w:rFonts w:eastAsia="Arial"/>
        </w:rPr>
        <w:t>Group (NMMG)</w:t>
      </w:r>
      <w:bookmarkEnd w:id="4"/>
    </w:p>
    <w:p w:rsidR="00D435C9" w:rsidRPr="00237CBD" w:rsidRDefault="00F1385A" w:rsidP="00237CBD">
      <w:pPr>
        <w:pStyle w:val="Introparagraph"/>
      </w:pPr>
      <w:r w:rsidRPr="00237CBD">
        <w:t>The National Maternity Monitoring Group (NMMG) was established in 2012 by the New Zealand Ministry of Health (the Ministry). The Group</w:t>
      </w:r>
      <w:r w:rsidR="00F71BF6" w:rsidRPr="00237CBD">
        <w:t>’</w:t>
      </w:r>
      <w:r w:rsidRPr="00237CBD">
        <w:t>s remit is to oversee the maternity system in general and, more specifically, the implementation of the New Zealand National Maternity Standards (2011).</w:t>
      </w:r>
      <w:r w:rsidR="00237CBD">
        <w:rPr>
          <w:rStyle w:val="FootnoteReference"/>
          <w:rFonts w:ascii="Arial" w:hAnsi="Arial" w:cs="Arial"/>
          <w:color w:val="55575A"/>
        </w:rPr>
        <w:footnoteReference w:id="1"/>
      </w:r>
    </w:p>
    <w:p w:rsidR="00D435C9" w:rsidRPr="00237CBD" w:rsidRDefault="00D435C9" w:rsidP="00237CBD"/>
    <w:p w:rsidR="00F1385A" w:rsidRPr="00237CBD" w:rsidRDefault="00F1385A" w:rsidP="00237CBD">
      <w:pPr>
        <w:rPr>
          <w:rFonts w:eastAsia="Arial"/>
        </w:rPr>
      </w:pPr>
      <w:r w:rsidRPr="00237CBD">
        <w:rPr>
          <w:rFonts w:eastAsia="Arial"/>
        </w:rPr>
        <w:t>Ultimately, the NMMG acts as a strategic adviser to the Ministry on areas for improvement in the maternity sector. We provide a national overview of the quality and safety of New Zealand</w:t>
      </w:r>
      <w:r w:rsidR="00F71BF6" w:rsidRPr="00237CBD">
        <w:rPr>
          <w:rFonts w:eastAsia="Arial"/>
        </w:rPr>
        <w:t>’</w:t>
      </w:r>
      <w:r w:rsidRPr="00237CBD">
        <w:rPr>
          <w:rFonts w:eastAsia="Arial"/>
        </w:rPr>
        <w:t>s maternity services.</w:t>
      </w:r>
    </w:p>
    <w:p w:rsidR="00F1385A" w:rsidRPr="00237CBD" w:rsidRDefault="00F1385A" w:rsidP="00237CBD"/>
    <w:p w:rsidR="00F1385A" w:rsidRPr="00237CBD" w:rsidRDefault="00F1385A" w:rsidP="00237CBD">
      <w:pPr>
        <w:rPr>
          <w:rFonts w:eastAsia="Arial"/>
        </w:rPr>
      </w:pPr>
      <w:r w:rsidRPr="00237CBD">
        <w:rPr>
          <w:rFonts w:eastAsia="Arial"/>
        </w:rPr>
        <w:t>This is our second full year of operation.</w:t>
      </w:r>
    </w:p>
    <w:p w:rsidR="00F1385A" w:rsidRPr="00237CBD" w:rsidRDefault="00F1385A" w:rsidP="00237CBD"/>
    <w:p w:rsidR="00F1385A" w:rsidRPr="00237CBD" w:rsidRDefault="00F1385A" w:rsidP="00237CBD">
      <w:pPr>
        <w:pStyle w:val="Heading2"/>
        <w:rPr>
          <w:rFonts w:eastAsia="Arial"/>
        </w:rPr>
      </w:pPr>
      <w:bookmarkStart w:id="5" w:name="_Toc404355649"/>
      <w:r w:rsidRPr="00237CBD">
        <w:rPr>
          <w:rFonts w:eastAsia="Arial"/>
        </w:rPr>
        <w:t>Background</w:t>
      </w:r>
      <w:bookmarkEnd w:id="5"/>
    </w:p>
    <w:p w:rsidR="00F1385A" w:rsidRPr="00237CBD" w:rsidRDefault="00F1385A" w:rsidP="00237CBD">
      <w:pPr>
        <w:rPr>
          <w:rFonts w:eastAsia="Arial"/>
        </w:rPr>
      </w:pPr>
      <w:r w:rsidRPr="00237CBD">
        <w:rPr>
          <w:rFonts w:eastAsia="Arial"/>
        </w:rPr>
        <w:t>The NMMG was created as part of the Maternity Quality Initiative, which is made up of:</w:t>
      </w:r>
    </w:p>
    <w:p w:rsidR="00F1385A" w:rsidRPr="00237CBD" w:rsidRDefault="00237CBD" w:rsidP="00237CBD">
      <w:pPr>
        <w:pStyle w:val="Bullet"/>
        <w:rPr>
          <w:rFonts w:eastAsia="Arial"/>
        </w:rPr>
      </w:pPr>
      <w:r>
        <w:rPr>
          <w:rFonts w:eastAsia="Arial"/>
        </w:rPr>
        <w:t>a</w:t>
      </w:r>
      <w:r w:rsidR="00F1385A" w:rsidRPr="00237CBD">
        <w:rPr>
          <w:rFonts w:eastAsia="Arial"/>
        </w:rPr>
        <w:t xml:space="preserve"> national Maternity Quality and Safety Programme, including maternity standards and clinical indicators</w:t>
      </w:r>
    </w:p>
    <w:p w:rsidR="00F1385A" w:rsidRPr="00237CBD" w:rsidRDefault="00237CBD" w:rsidP="00237CBD">
      <w:pPr>
        <w:pStyle w:val="Bullet"/>
        <w:rPr>
          <w:rFonts w:eastAsia="Arial"/>
        </w:rPr>
      </w:pPr>
      <w:r>
        <w:rPr>
          <w:rFonts w:eastAsia="Arial"/>
        </w:rPr>
        <w:t>r</w:t>
      </w:r>
      <w:r w:rsidR="00F1385A" w:rsidRPr="00237CBD">
        <w:rPr>
          <w:rFonts w:eastAsia="Arial"/>
        </w:rPr>
        <w:t>evised Maternity Referral Guidelines, which set out processes for transfer of care, including in an emergency</w:t>
      </w:r>
    </w:p>
    <w:p w:rsidR="00F1385A" w:rsidRPr="00237CBD" w:rsidRDefault="00237CBD" w:rsidP="00237CBD">
      <w:pPr>
        <w:pStyle w:val="Bullet"/>
        <w:rPr>
          <w:rFonts w:eastAsia="Arial"/>
        </w:rPr>
      </w:pPr>
      <w:r>
        <w:rPr>
          <w:rFonts w:eastAsia="Arial"/>
        </w:rPr>
        <w:t>s</w:t>
      </w:r>
      <w:r w:rsidR="00F1385A" w:rsidRPr="00237CBD">
        <w:rPr>
          <w:rFonts w:eastAsia="Arial"/>
        </w:rPr>
        <w:t>tandardised, electronic maternity information management to improve communication and sharing of health information among health practitioners, and</w:t>
      </w:r>
    </w:p>
    <w:p w:rsidR="00F1385A" w:rsidRPr="00237CBD" w:rsidRDefault="00237CBD" w:rsidP="00237CBD">
      <w:pPr>
        <w:pStyle w:val="Bullet"/>
        <w:rPr>
          <w:rFonts w:eastAsia="Arial"/>
        </w:rPr>
      </w:pPr>
      <w:proofErr w:type="gramStart"/>
      <w:r>
        <w:rPr>
          <w:rFonts w:eastAsia="Arial"/>
        </w:rPr>
        <w:t>i</w:t>
      </w:r>
      <w:r w:rsidR="00F1385A" w:rsidRPr="00237CBD">
        <w:rPr>
          <w:rFonts w:eastAsia="Arial"/>
        </w:rPr>
        <w:t>mproved</w:t>
      </w:r>
      <w:proofErr w:type="gramEnd"/>
      <w:r w:rsidR="00F1385A" w:rsidRPr="00237CBD">
        <w:rPr>
          <w:rFonts w:eastAsia="Arial"/>
        </w:rPr>
        <w:t xml:space="preserve"> maternity information systems and analysis so that there is better reporting and monitoring of maternity services.</w:t>
      </w:r>
    </w:p>
    <w:p w:rsidR="00F1385A" w:rsidRPr="00237CBD" w:rsidRDefault="00F1385A" w:rsidP="00237CBD"/>
    <w:p w:rsidR="00F1385A" w:rsidRPr="00237CBD" w:rsidRDefault="00F1385A" w:rsidP="00237CBD">
      <w:pPr>
        <w:rPr>
          <w:rFonts w:eastAsia="Arial"/>
        </w:rPr>
      </w:pPr>
      <w:r w:rsidRPr="00237CBD">
        <w:rPr>
          <w:rFonts w:eastAsia="Arial"/>
        </w:rPr>
        <w:t>The New Zealand Maternity Standards, as part of the Maternity Quality and Safety Programme (MQSP), consist of three high-level strategic statements to guide the planning, funding, provision and monitoring of maternity services:</w:t>
      </w:r>
    </w:p>
    <w:p w:rsidR="00F1385A" w:rsidRPr="00237CBD" w:rsidRDefault="00F1385A" w:rsidP="00237CBD">
      <w:pPr>
        <w:pStyle w:val="Bullet"/>
        <w:rPr>
          <w:rFonts w:eastAsia="Arial"/>
        </w:rPr>
      </w:pPr>
      <w:r w:rsidRPr="00237CBD">
        <w:rPr>
          <w:rFonts w:eastAsia="Arial"/>
        </w:rPr>
        <w:t>Standard 1: Maternity services provide</w:t>
      </w:r>
      <w:r w:rsidR="00F71BF6" w:rsidRPr="00237CBD">
        <w:rPr>
          <w:rFonts w:eastAsia="Arial"/>
        </w:rPr>
        <w:t xml:space="preserve"> </w:t>
      </w:r>
      <w:r w:rsidRPr="00237CBD">
        <w:rPr>
          <w:rFonts w:eastAsia="Arial"/>
        </w:rPr>
        <w:t>safe, high-quality services that are nationally consistent and achieve optimal health outcomes for mothers and babies</w:t>
      </w:r>
    </w:p>
    <w:p w:rsidR="00F1385A" w:rsidRPr="00237CBD" w:rsidRDefault="00F1385A" w:rsidP="00237CBD">
      <w:pPr>
        <w:pStyle w:val="Bullet"/>
        <w:rPr>
          <w:rFonts w:eastAsia="Arial"/>
        </w:rPr>
      </w:pPr>
      <w:r w:rsidRPr="00237CBD">
        <w:rPr>
          <w:rFonts w:eastAsia="Arial"/>
        </w:rPr>
        <w:t>Standard 2: Maternity services ensure a woman-centred approach that acknowledges pregnancy and childbirth as a normal life stage, and</w:t>
      </w:r>
    </w:p>
    <w:p w:rsidR="00F1385A" w:rsidRPr="00237CBD" w:rsidRDefault="00F1385A" w:rsidP="00237CBD">
      <w:pPr>
        <w:pStyle w:val="Bullet"/>
        <w:rPr>
          <w:rFonts w:eastAsia="Arial"/>
        </w:rPr>
      </w:pPr>
      <w:r w:rsidRPr="00237CBD">
        <w:rPr>
          <w:rFonts w:eastAsia="Arial"/>
        </w:rPr>
        <w:t>Standard 3: All women have access to a nationally consistent, comprehensive range of maternity services that are funded and provided appropriately to ensure there are no financial barriers to access for eligible women.</w:t>
      </w:r>
    </w:p>
    <w:p w:rsidR="00F1385A" w:rsidRPr="00237CBD" w:rsidRDefault="00F1385A" w:rsidP="00237CBD"/>
    <w:p w:rsidR="00F1385A" w:rsidRPr="00237CBD" w:rsidRDefault="00F1385A" w:rsidP="00237CBD">
      <w:pPr>
        <w:rPr>
          <w:rFonts w:eastAsia="Arial"/>
        </w:rPr>
      </w:pPr>
      <w:r w:rsidRPr="00237CBD">
        <w:rPr>
          <w:rFonts w:eastAsia="Arial"/>
        </w:rPr>
        <w:lastRenderedPageBreak/>
        <w:t>These high-level</w:t>
      </w:r>
      <w:r w:rsidR="00F71BF6" w:rsidRPr="00237CBD">
        <w:rPr>
          <w:rFonts w:eastAsia="Arial"/>
        </w:rPr>
        <w:t xml:space="preserve"> </w:t>
      </w:r>
      <w:r w:rsidRPr="00237CBD">
        <w:rPr>
          <w:rFonts w:eastAsia="Arial"/>
        </w:rPr>
        <w:t>statements are accompanied by specific audit criteria and measurements of these criteria. One of the criteria is that a National Monitoring Group be established to oversee the maternity system and the implementation of the New Zealand Maternity Standards.</w:t>
      </w:r>
    </w:p>
    <w:p w:rsidR="00F1385A" w:rsidRPr="00237CBD" w:rsidRDefault="00F1385A" w:rsidP="00237CBD"/>
    <w:p w:rsidR="00F1385A" w:rsidRPr="00237CBD" w:rsidRDefault="00F1385A" w:rsidP="00237CBD">
      <w:pPr>
        <w:rPr>
          <w:rFonts w:eastAsia="Arial"/>
        </w:rPr>
      </w:pPr>
      <w:r w:rsidRPr="00237CBD">
        <w:rPr>
          <w:rFonts w:eastAsia="Arial"/>
        </w:rPr>
        <w:t>The National Maternity Monitoring Group</w:t>
      </w:r>
      <w:r w:rsidR="00F71BF6" w:rsidRPr="00237CBD">
        <w:rPr>
          <w:rFonts w:eastAsia="Arial"/>
        </w:rPr>
        <w:t>’</w:t>
      </w:r>
      <w:r w:rsidRPr="00237CBD">
        <w:rPr>
          <w:rFonts w:eastAsia="Arial"/>
        </w:rPr>
        <w:t>s (NMMG) role is to provide advice to the Ministry on priorities for national improvement based on a number of key publications, and to provide advice to DHBs on priorities for local improvement. There are a number of more specific activities outlined in our Terms of Reference (please see Appendix One).</w:t>
      </w:r>
    </w:p>
    <w:p w:rsidR="00D435C9" w:rsidRPr="00237CBD" w:rsidRDefault="00D435C9" w:rsidP="00237CBD"/>
    <w:p w:rsidR="00D435C9" w:rsidRPr="00237CBD" w:rsidRDefault="00B17D9E" w:rsidP="00237CBD">
      <w:pPr>
        <w:pStyle w:val="Heading1"/>
        <w:rPr>
          <w:rFonts w:eastAsia="Arial"/>
        </w:rPr>
      </w:pPr>
      <w:r w:rsidRPr="00237CBD">
        <w:rPr>
          <w:rFonts w:eastAsia="Arial"/>
          <w:color w:val="auto"/>
          <w:sz w:val="64"/>
          <w:szCs w:val="64"/>
        </w:rPr>
        <w:br w:type="page"/>
      </w:r>
      <w:bookmarkStart w:id="6" w:name="_Toc404355650"/>
      <w:r w:rsidR="00D435C9" w:rsidRPr="00237CBD">
        <w:rPr>
          <w:rFonts w:eastAsia="Arial"/>
        </w:rPr>
        <w:lastRenderedPageBreak/>
        <w:t>NMMG members</w:t>
      </w:r>
      <w:bookmarkEnd w:id="6"/>
    </w:p>
    <w:p w:rsidR="00D435C9" w:rsidRPr="00237CBD" w:rsidRDefault="00F1385A" w:rsidP="00237CBD">
      <w:pPr>
        <w:pStyle w:val="Introparagraph"/>
      </w:pPr>
      <w:r w:rsidRPr="00237CBD">
        <w:t>The NMMG consists of clinical sector experts and a consumer representative.</w:t>
      </w:r>
      <w:r w:rsidR="00F71BF6" w:rsidRPr="00237CBD">
        <w:t xml:space="preserve"> </w:t>
      </w:r>
      <w:r w:rsidRPr="00237CBD">
        <w:t>Members have been brought together to represent different skill sets and expertise, covering</w:t>
      </w:r>
      <w:r w:rsidR="00F71BF6" w:rsidRPr="00237CBD">
        <w:t xml:space="preserve"> </w:t>
      </w:r>
      <w:r w:rsidRPr="00237CBD">
        <w:t>areas such as midwifery, obstetrics, clinical research, primary</w:t>
      </w:r>
      <w:r w:rsidR="00F71BF6" w:rsidRPr="00237CBD">
        <w:t xml:space="preserve"> </w:t>
      </w:r>
      <w:r w:rsidRPr="00237CBD">
        <w:t>care, obstetric anaesthesia, neonatal paediatrics and the perspective of service users. The members</w:t>
      </w:r>
      <w:r w:rsidR="00F71BF6" w:rsidRPr="00237CBD">
        <w:t xml:space="preserve"> </w:t>
      </w:r>
      <w:r w:rsidRPr="00237CBD">
        <w:t>are:</w:t>
      </w:r>
    </w:p>
    <w:p w:rsidR="00D435C9" w:rsidRDefault="00D435C9" w:rsidP="00EE0279"/>
    <w:tbl>
      <w:tblPr>
        <w:tblStyle w:val="TableGrid"/>
        <w:tblW w:w="8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7161"/>
      </w:tblGrid>
      <w:tr w:rsidR="00C90587" w:rsidTr="00C525AF">
        <w:trPr>
          <w:cantSplit/>
        </w:trPr>
        <w:tc>
          <w:tcPr>
            <w:tcW w:w="1560" w:type="dxa"/>
          </w:tcPr>
          <w:p w:rsidR="00C90587" w:rsidRDefault="00B92AA0" w:rsidP="00C525AF">
            <w:pPr>
              <w:spacing w:before="240"/>
            </w:pPr>
            <w:r>
              <w:rPr>
                <w:noProof/>
                <w:lang w:eastAsia="en-NZ"/>
              </w:rPr>
              <w:drawing>
                <wp:inline distT="0" distB="0" distL="0" distR="0" wp14:anchorId="5972E563" wp14:editId="27D6E321">
                  <wp:extent cx="992639" cy="98090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2597" cy="980861"/>
                          </a:xfrm>
                          <a:prstGeom prst="rect">
                            <a:avLst/>
                          </a:prstGeom>
                          <a:noFill/>
                          <a:ln>
                            <a:noFill/>
                          </a:ln>
                        </pic:spPr>
                      </pic:pic>
                    </a:graphicData>
                  </a:graphic>
                </wp:inline>
              </w:drawing>
            </w:r>
          </w:p>
        </w:tc>
        <w:tc>
          <w:tcPr>
            <w:tcW w:w="7161" w:type="dxa"/>
          </w:tcPr>
          <w:p w:rsidR="00C90587" w:rsidRPr="00237CBD" w:rsidRDefault="00C90587" w:rsidP="00C90587">
            <w:pPr>
              <w:pStyle w:val="Heading3"/>
              <w:spacing w:before="120"/>
              <w:outlineLvl w:val="2"/>
            </w:pPr>
            <w:r w:rsidRPr="00237CBD">
              <w:t>Norma Campbell (Chair)</w:t>
            </w:r>
          </w:p>
          <w:p w:rsidR="00C90587" w:rsidRDefault="00C90587" w:rsidP="00C525AF">
            <w:r w:rsidRPr="00237CBD">
              <w:rPr>
                <w:rFonts w:eastAsia="Arial"/>
              </w:rPr>
              <w:t>Norma is a Midwifery Advisor – Quality and Sector Liaison for the New Zealand College of Midwives and a member of the International Confederation of Midwives Council for the past six years. She has been involved in a number of expert advisory groups for maternity including developing and supporting the MQSP. She was the Chair of the National Breastfeeding</w:t>
            </w:r>
            <w:r>
              <w:rPr>
                <w:rFonts w:eastAsia="Arial"/>
              </w:rPr>
              <w:t xml:space="preserve"> </w:t>
            </w:r>
            <w:r w:rsidRPr="00237CBD">
              <w:rPr>
                <w:rFonts w:eastAsia="Arial"/>
              </w:rPr>
              <w:t>Advisory Committee. Norma also practises as a casual core midwife at Lincoln Maternity Unit, Canterbury DHB.</w:t>
            </w:r>
          </w:p>
        </w:tc>
      </w:tr>
      <w:tr w:rsidR="00C90587" w:rsidTr="00C525AF">
        <w:trPr>
          <w:cantSplit/>
        </w:trPr>
        <w:tc>
          <w:tcPr>
            <w:tcW w:w="1560" w:type="dxa"/>
          </w:tcPr>
          <w:p w:rsidR="00C90587" w:rsidRDefault="00B92AA0" w:rsidP="00C525AF">
            <w:pPr>
              <w:spacing w:before="240"/>
            </w:pPr>
            <w:r>
              <w:rPr>
                <w:noProof/>
                <w:lang w:eastAsia="en-NZ"/>
              </w:rPr>
              <w:drawing>
                <wp:inline distT="0" distB="0" distL="0" distR="0" wp14:anchorId="28689CBC" wp14:editId="50519D3B">
                  <wp:extent cx="991013" cy="914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968" cy="914359"/>
                          </a:xfrm>
                          <a:prstGeom prst="rect">
                            <a:avLst/>
                          </a:prstGeom>
                          <a:noFill/>
                          <a:ln>
                            <a:noFill/>
                          </a:ln>
                        </pic:spPr>
                      </pic:pic>
                    </a:graphicData>
                  </a:graphic>
                </wp:inline>
              </w:drawing>
            </w:r>
          </w:p>
        </w:tc>
        <w:tc>
          <w:tcPr>
            <w:tcW w:w="7161" w:type="dxa"/>
          </w:tcPr>
          <w:p w:rsidR="00C90587" w:rsidRPr="00237CBD" w:rsidRDefault="00C90587" w:rsidP="00C525AF">
            <w:pPr>
              <w:pStyle w:val="Heading3"/>
              <w:outlineLvl w:val="2"/>
              <w:rPr>
                <w:rFonts w:eastAsia="Arial"/>
              </w:rPr>
            </w:pPr>
            <w:r w:rsidRPr="00237CBD">
              <w:rPr>
                <w:rFonts w:eastAsia="Arial"/>
              </w:rPr>
              <w:t xml:space="preserve">John </w:t>
            </w:r>
            <w:proofErr w:type="spellStart"/>
            <w:r w:rsidRPr="00237CBD">
              <w:rPr>
                <w:rFonts w:eastAsia="Arial"/>
              </w:rPr>
              <w:t>Tait</w:t>
            </w:r>
            <w:proofErr w:type="spellEnd"/>
            <w:r w:rsidRPr="00237CBD">
              <w:rPr>
                <w:rFonts w:eastAsia="Arial"/>
              </w:rPr>
              <w:t xml:space="preserve"> (Vice-Chair)</w:t>
            </w:r>
          </w:p>
          <w:p w:rsidR="00C90587" w:rsidRDefault="00C90587" w:rsidP="00C525AF">
            <w:r w:rsidRPr="00237CBD">
              <w:rPr>
                <w:rFonts w:eastAsia="Arial"/>
              </w:rPr>
              <w:t>John is a consultant obstetrician and New Zealand Councillor on the Royal Australian and New Zealand College of Obstetricians and Gynaecologists. He is also the Executive Director Clinical Surgery, Women and Children’s Directorate at Capital and Coast DHB. He works in public obstetric practice and privately in gynaecology and reproductive medicine. John has</w:t>
            </w:r>
            <w:r>
              <w:rPr>
                <w:rFonts w:eastAsia="Arial"/>
              </w:rPr>
              <w:t xml:space="preserve"> </w:t>
            </w:r>
            <w:r w:rsidRPr="00237CBD">
              <w:rPr>
                <w:rFonts w:eastAsia="Arial"/>
              </w:rPr>
              <w:t>been involved in a number of expert advisory groups including developing and supporting the</w:t>
            </w:r>
            <w:r>
              <w:rPr>
                <w:rFonts w:eastAsia="Arial"/>
              </w:rPr>
              <w:t xml:space="preserve"> </w:t>
            </w:r>
            <w:r w:rsidRPr="00237CBD">
              <w:rPr>
                <w:rFonts w:eastAsia="Arial"/>
              </w:rPr>
              <w:t>Maternity Quality and Safety Programme.</w:t>
            </w:r>
          </w:p>
        </w:tc>
      </w:tr>
      <w:tr w:rsidR="00C90587" w:rsidTr="00C525AF">
        <w:trPr>
          <w:cantSplit/>
        </w:trPr>
        <w:tc>
          <w:tcPr>
            <w:tcW w:w="1560" w:type="dxa"/>
          </w:tcPr>
          <w:p w:rsidR="00C90587" w:rsidRDefault="00B92AA0" w:rsidP="00C525AF">
            <w:pPr>
              <w:spacing w:before="240"/>
            </w:pPr>
            <w:r>
              <w:rPr>
                <w:noProof/>
                <w:lang w:eastAsia="en-NZ"/>
              </w:rPr>
              <w:drawing>
                <wp:inline distT="0" distB="0" distL="0" distR="0" wp14:anchorId="311B72A5" wp14:editId="050A019B">
                  <wp:extent cx="989214" cy="930284"/>
                  <wp:effectExtent l="0" t="0" r="190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9091" cy="930169"/>
                          </a:xfrm>
                          <a:prstGeom prst="rect">
                            <a:avLst/>
                          </a:prstGeom>
                          <a:noFill/>
                          <a:ln>
                            <a:noFill/>
                          </a:ln>
                        </pic:spPr>
                      </pic:pic>
                    </a:graphicData>
                  </a:graphic>
                </wp:inline>
              </w:drawing>
            </w:r>
          </w:p>
        </w:tc>
        <w:tc>
          <w:tcPr>
            <w:tcW w:w="7161" w:type="dxa"/>
          </w:tcPr>
          <w:p w:rsidR="00C90587" w:rsidRPr="00237CBD" w:rsidRDefault="00C90587" w:rsidP="00C525AF">
            <w:pPr>
              <w:pStyle w:val="Heading3"/>
              <w:outlineLvl w:val="2"/>
              <w:rPr>
                <w:rFonts w:eastAsia="Arial"/>
              </w:rPr>
            </w:pPr>
            <w:r w:rsidRPr="00237CBD">
              <w:rPr>
                <w:rFonts w:eastAsia="Arial"/>
              </w:rPr>
              <w:t>Beverley Lawton (</w:t>
            </w:r>
            <w:proofErr w:type="spellStart"/>
            <w:r w:rsidRPr="00237CBD">
              <w:rPr>
                <w:rFonts w:eastAsia="Arial"/>
              </w:rPr>
              <w:t>Ngati</w:t>
            </w:r>
            <w:proofErr w:type="spellEnd"/>
            <w:r w:rsidRPr="00237CBD">
              <w:rPr>
                <w:rFonts w:eastAsia="Arial"/>
              </w:rPr>
              <w:t xml:space="preserve"> </w:t>
            </w:r>
            <w:proofErr w:type="spellStart"/>
            <w:r w:rsidRPr="00237CBD">
              <w:rPr>
                <w:rFonts w:eastAsia="Arial"/>
              </w:rPr>
              <w:t>Porou</w:t>
            </w:r>
            <w:proofErr w:type="spellEnd"/>
            <w:r w:rsidRPr="00237CBD">
              <w:rPr>
                <w:rFonts w:eastAsia="Arial"/>
              </w:rPr>
              <w:t>)</w:t>
            </w:r>
          </w:p>
          <w:p w:rsidR="00C90587" w:rsidRDefault="00C90587" w:rsidP="00C525AF">
            <w:r w:rsidRPr="00237CBD">
              <w:rPr>
                <w:rFonts w:eastAsia="Arial"/>
              </w:rPr>
              <w:t xml:space="preserve">Beverley is the Director of the Women’s Health Research Centre and an Associate Professor, University of </w:t>
            </w:r>
            <w:proofErr w:type="spellStart"/>
            <w:r w:rsidRPr="00237CBD">
              <w:rPr>
                <w:rFonts w:eastAsia="Arial"/>
              </w:rPr>
              <w:t>Otago</w:t>
            </w:r>
            <w:proofErr w:type="spellEnd"/>
            <w:r w:rsidRPr="00237CBD">
              <w:rPr>
                <w:rFonts w:eastAsia="Arial"/>
              </w:rPr>
              <w:t xml:space="preserve">. She is a member of </w:t>
            </w:r>
            <w:proofErr w:type="spellStart"/>
            <w:r w:rsidRPr="00237CBD">
              <w:rPr>
                <w:rFonts w:eastAsia="Arial"/>
              </w:rPr>
              <w:t>Te</w:t>
            </w:r>
            <w:proofErr w:type="spellEnd"/>
            <w:r w:rsidRPr="00237CBD">
              <w:rPr>
                <w:rFonts w:eastAsia="Arial"/>
              </w:rPr>
              <w:t xml:space="preserve"> </w:t>
            </w:r>
            <w:proofErr w:type="spellStart"/>
            <w:r w:rsidRPr="00237CBD">
              <w:rPr>
                <w:rFonts w:eastAsia="Arial"/>
              </w:rPr>
              <w:t>Ohu</w:t>
            </w:r>
            <w:proofErr w:type="spellEnd"/>
            <w:r w:rsidRPr="00237CBD">
              <w:rPr>
                <w:rFonts w:eastAsia="Arial"/>
              </w:rPr>
              <w:t xml:space="preserve"> Rata O </w:t>
            </w:r>
            <w:proofErr w:type="spellStart"/>
            <w:r w:rsidRPr="00237CBD">
              <w:rPr>
                <w:rFonts w:eastAsia="Arial"/>
              </w:rPr>
              <w:t>Aotearoa</w:t>
            </w:r>
            <w:proofErr w:type="spellEnd"/>
            <w:r w:rsidRPr="00237CBD">
              <w:rPr>
                <w:rFonts w:eastAsia="Arial"/>
              </w:rPr>
              <w:t xml:space="preserve"> (Māori Medical Practitioners Association) and </w:t>
            </w:r>
            <w:proofErr w:type="spellStart"/>
            <w:r w:rsidRPr="00237CBD">
              <w:rPr>
                <w:rFonts w:eastAsia="Arial"/>
              </w:rPr>
              <w:t>Te</w:t>
            </w:r>
            <w:proofErr w:type="spellEnd"/>
            <w:r>
              <w:rPr>
                <w:rFonts w:eastAsia="Arial"/>
              </w:rPr>
              <w:t> </w:t>
            </w:r>
            <w:proofErr w:type="spellStart"/>
            <w:r w:rsidRPr="00237CBD">
              <w:rPr>
                <w:rFonts w:eastAsia="Arial"/>
              </w:rPr>
              <w:t>Akoranga</w:t>
            </w:r>
            <w:proofErr w:type="spellEnd"/>
            <w:r w:rsidRPr="00237CBD">
              <w:rPr>
                <w:rFonts w:eastAsia="Arial"/>
              </w:rPr>
              <w:t xml:space="preserve"> a Maui (Māori faculty of the Royal New Zealand College of General Practitioners). Beverley is currently leading the national Severe Acute Maternal Morbidity research project, which is reviewing “near miss” maternity events.</w:t>
            </w:r>
          </w:p>
        </w:tc>
      </w:tr>
      <w:tr w:rsidR="00C90587" w:rsidTr="00C525AF">
        <w:trPr>
          <w:cantSplit/>
        </w:trPr>
        <w:tc>
          <w:tcPr>
            <w:tcW w:w="1560" w:type="dxa"/>
          </w:tcPr>
          <w:p w:rsidR="00C90587" w:rsidRDefault="00B92AA0" w:rsidP="00C525AF">
            <w:pPr>
              <w:spacing w:before="240"/>
            </w:pPr>
            <w:r>
              <w:rPr>
                <w:noProof/>
                <w:lang w:eastAsia="en-NZ"/>
              </w:rPr>
              <w:drawing>
                <wp:inline distT="0" distB="0" distL="0" distR="0" wp14:anchorId="060F5879" wp14:editId="15C1DD8C">
                  <wp:extent cx="947650" cy="947650"/>
                  <wp:effectExtent l="0" t="0" r="508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l="3571" r="3568"/>
                          <a:stretch/>
                        </pic:blipFill>
                        <pic:spPr bwMode="auto">
                          <a:xfrm>
                            <a:off x="0" y="0"/>
                            <a:ext cx="947566" cy="94756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61" w:type="dxa"/>
          </w:tcPr>
          <w:p w:rsidR="00C90587" w:rsidRPr="00237CBD" w:rsidRDefault="00C90587" w:rsidP="00C525AF">
            <w:pPr>
              <w:pStyle w:val="Heading3"/>
              <w:outlineLvl w:val="2"/>
              <w:rPr>
                <w:rFonts w:eastAsia="Arial"/>
              </w:rPr>
            </w:pPr>
            <w:r w:rsidRPr="00237CBD">
              <w:rPr>
                <w:rFonts w:eastAsia="Arial"/>
              </w:rPr>
              <w:t>Elaine Langton</w:t>
            </w:r>
          </w:p>
          <w:p w:rsidR="00C90587" w:rsidRDefault="00C90587" w:rsidP="00C525AF">
            <w:r w:rsidRPr="00237CBD">
              <w:rPr>
                <w:rFonts w:eastAsia="Arial"/>
              </w:rPr>
              <w:t>Elaine is a specialist anaesthetist and, until recently, was the Clinical Leader of Obstetric Anaesthesia at Capital and Coast DHB is a member of the New Zealand Society of Anaesthetists and a fellow of the Australian and New Zealand College of Anaesthetists. She has specialised</w:t>
            </w:r>
            <w:r>
              <w:rPr>
                <w:rFonts w:eastAsia="Arial"/>
              </w:rPr>
              <w:t xml:space="preserve"> </w:t>
            </w:r>
            <w:r w:rsidRPr="00237CBD">
              <w:rPr>
                <w:rFonts w:eastAsia="Arial"/>
              </w:rPr>
              <w:t>in obstetric anaesthesia for more than 20</w:t>
            </w:r>
            <w:r>
              <w:rPr>
                <w:rFonts w:eastAsia="Arial"/>
              </w:rPr>
              <w:t> </w:t>
            </w:r>
            <w:r w:rsidRPr="00237CBD">
              <w:rPr>
                <w:rFonts w:eastAsia="Arial"/>
              </w:rPr>
              <w:t>years and has represented obstetric anaesthesia on a number of maternity advisory groups. Elaine is currently involved in the Severe Acute Maternal Morbidity research project, which is reviewing “near miss” maternity events.</w:t>
            </w:r>
          </w:p>
        </w:tc>
      </w:tr>
      <w:tr w:rsidR="00C90587" w:rsidTr="00C525AF">
        <w:trPr>
          <w:cantSplit/>
        </w:trPr>
        <w:tc>
          <w:tcPr>
            <w:tcW w:w="1560" w:type="dxa"/>
          </w:tcPr>
          <w:p w:rsidR="00C90587" w:rsidRDefault="00B92AA0" w:rsidP="00C525AF">
            <w:pPr>
              <w:spacing w:before="240"/>
            </w:pPr>
            <w:r>
              <w:rPr>
                <w:noProof/>
                <w:lang w:eastAsia="en-NZ"/>
              </w:rPr>
              <w:lastRenderedPageBreak/>
              <w:drawing>
                <wp:inline distT="0" distB="0" distL="0" distR="0" wp14:anchorId="4FC86909" wp14:editId="567256E9">
                  <wp:extent cx="971173" cy="947651"/>
                  <wp:effectExtent l="0" t="0" r="635"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1383" cy="947856"/>
                          </a:xfrm>
                          <a:prstGeom prst="rect">
                            <a:avLst/>
                          </a:prstGeom>
                          <a:noFill/>
                          <a:ln>
                            <a:noFill/>
                          </a:ln>
                        </pic:spPr>
                      </pic:pic>
                    </a:graphicData>
                  </a:graphic>
                </wp:inline>
              </w:drawing>
            </w:r>
          </w:p>
        </w:tc>
        <w:tc>
          <w:tcPr>
            <w:tcW w:w="7161" w:type="dxa"/>
          </w:tcPr>
          <w:p w:rsidR="00C90587" w:rsidRPr="00237CBD" w:rsidRDefault="00C90587" w:rsidP="00C525AF">
            <w:pPr>
              <w:pStyle w:val="Heading3"/>
              <w:outlineLvl w:val="2"/>
            </w:pPr>
            <w:r w:rsidRPr="00237CBD">
              <w:t>Frank Bloomfield</w:t>
            </w:r>
          </w:p>
          <w:p w:rsidR="00C90587" w:rsidRDefault="00C90587" w:rsidP="00C525AF">
            <w:r w:rsidRPr="00237CBD">
              <w:rPr>
                <w:rFonts w:eastAsia="Arial"/>
              </w:rPr>
              <w:t xml:space="preserve">Frank is a neonatal paediatrician at National Women’s Health, Auckland City Hospital and Professor of Neonatology at the University of Auckland. He is currently President of the Perinatal Society of Australia and New Zealand and a corresponding member of the New Zealand Paediatric and Child Health Division Committee of the Royal Australasian College of Physicians. Frank also leads a large research group investigating perinatal care at the </w:t>
            </w:r>
            <w:proofErr w:type="spellStart"/>
            <w:r w:rsidRPr="00237CBD">
              <w:rPr>
                <w:rFonts w:eastAsia="Arial"/>
              </w:rPr>
              <w:t>Liggins</w:t>
            </w:r>
            <w:proofErr w:type="spellEnd"/>
            <w:r>
              <w:rPr>
                <w:rFonts w:eastAsia="Arial"/>
              </w:rPr>
              <w:t xml:space="preserve"> </w:t>
            </w:r>
            <w:r w:rsidRPr="00237CBD">
              <w:rPr>
                <w:rFonts w:eastAsia="Arial"/>
              </w:rPr>
              <w:t>Institute, University of Auckland. He contributed to the Working Group on Maternity Standards.</w:t>
            </w:r>
          </w:p>
        </w:tc>
      </w:tr>
      <w:tr w:rsidR="00C90587" w:rsidTr="00C525AF">
        <w:trPr>
          <w:cantSplit/>
        </w:trPr>
        <w:tc>
          <w:tcPr>
            <w:tcW w:w="1560" w:type="dxa"/>
          </w:tcPr>
          <w:p w:rsidR="00C90587" w:rsidRDefault="00B92AA0" w:rsidP="00C525AF">
            <w:pPr>
              <w:spacing w:before="240"/>
            </w:pPr>
            <w:r>
              <w:rPr>
                <w:noProof/>
                <w:lang w:eastAsia="en-NZ"/>
              </w:rPr>
              <w:drawing>
                <wp:inline distT="0" distB="0" distL="0" distR="0" wp14:anchorId="6D20B0C9" wp14:editId="1A2AF42D">
                  <wp:extent cx="972589" cy="97847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2630" cy="978520"/>
                          </a:xfrm>
                          <a:prstGeom prst="rect">
                            <a:avLst/>
                          </a:prstGeom>
                          <a:noFill/>
                          <a:ln>
                            <a:noFill/>
                          </a:ln>
                        </pic:spPr>
                      </pic:pic>
                    </a:graphicData>
                  </a:graphic>
                </wp:inline>
              </w:drawing>
            </w:r>
          </w:p>
        </w:tc>
        <w:tc>
          <w:tcPr>
            <w:tcW w:w="7161" w:type="dxa"/>
          </w:tcPr>
          <w:p w:rsidR="00C90587" w:rsidRPr="00237CBD" w:rsidRDefault="00C90587" w:rsidP="00C90587">
            <w:pPr>
              <w:pStyle w:val="Heading3"/>
              <w:outlineLvl w:val="2"/>
              <w:rPr>
                <w:rFonts w:eastAsia="Arial"/>
              </w:rPr>
            </w:pPr>
            <w:r w:rsidRPr="00237CBD">
              <w:rPr>
                <w:rFonts w:eastAsia="Arial"/>
              </w:rPr>
              <w:t xml:space="preserve">Judith </w:t>
            </w:r>
            <w:proofErr w:type="spellStart"/>
            <w:r w:rsidRPr="00237CBD">
              <w:rPr>
                <w:rFonts w:eastAsia="Arial"/>
              </w:rPr>
              <w:t>McAra-Couper</w:t>
            </w:r>
            <w:proofErr w:type="spellEnd"/>
          </w:p>
          <w:p w:rsidR="00C90587" w:rsidRDefault="00C90587" w:rsidP="00C525AF">
            <w:r w:rsidRPr="00237CBD">
              <w:rPr>
                <w:rFonts w:eastAsia="Arial"/>
              </w:rPr>
              <w:t>Judith is Chair of the Midwifery Council and the Head of Midwifery at Auckland University</w:t>
            </w:r>
            <w:r>
              <w:rPr>
                <w:rFonts w:eastAsia="Arial"/>
              </w:rPr>
              <w:t xml:space="preserve"> </w:t>
            </w:r>
            <w:r w:rsidRPr="00237CBD">
              <w:rPr>
                <w:rFonts w:eastAsia="Arial"/>
              </w:rPr>
              <w:t>of Technology. Judith is an Associate Professor and Director of the centre for Midwifery and Women’s Health Research and is involved in a number of research projects including maternal mental health, sustainability of midwifery practice and place of birth. Judith regularly works</w:t>
            </w:r>
            <w:r>
              <w:rPr>
                <w:rFonts w:eastAsia="Arial"/>
              </w:rPr>
              <w:t xml:space="preserve"> </w:t>
            </w:r>
            <w:r w:rsidRPr="00237CBD">
              <w:rPr>
                <w:rFonts w:eastAsia="Arial"/>
              </w:rPr>
              <w:t>for the World Health Organi</w:t>
            </w:r>
            <w:r>
              <w:rPr>
                <w:rFonts w:eastAsia="Arial"/>
              </w:rPr>
              <w:t>z</w:t>
            </w:r>
            <w:r w:rsidRPr="00237CBD">
              <w:rPr>
                <w:rFonts w:eastAsia="Arial"/>
              </w:rPr>
              <w:t>ation in Bangladesh in Midwifery education. She has worked in</w:t>
            </w:r>
            <w:r>
              <w:rPr>
                <w:rFonts w:eastAsia="Arial"/>
              </w:rPr>
              <w:t xml:space="preserve"> </w:t>
            </w:r>
            <w:r w:rsidRPr="00237CBD">
              <w:rPr>
                <w:rFonts w:eastAsia="Arial"/>
              </w:rPr>
              <w:t xml:space="preserve">Counties </w:t>
            </w:r>
            <w:proofErr w:type="spellStart"/>
            <w:r w:rsidRPr="00237CBD">
              <w:rPr>
                <w:rFonts w:eastAsia="Arial"/>
              </w:rPr>
              <w:t>Manukau</w:t>
            </w:r>
            <w:proofErr w:type="spellEnd"/>
            <w:r w:rsidRPr="00237CBD">
              <w:rPr>
                <w:rFonts w:eastAsia="Arial"/>
              </w:rPr>
              <w:t xml:space="preserve"> Health for many years and continues to be involved in this community.</w:t>
            </w:r>
          </w:p>
        </w:tc>
      </w:tr>
      <w:tr w:rsidR="00C90587" w:rsidTr="00C525AF">
        <w:trPr>
          <w:cantSplit/>
        </w:trPr>
        <w:tc>
          <w:tcPr>
            <w:tcW w:w="1560" w:type="dxa"/>
          </w:tcPr>
          <w:p w:rsidR="00C90587" w:rsidRDefault="00B92AA0" w:rsidP="00C525AF">
            <w:pPr>
              <w:spacing w:before="240"/>
            </w:pPr>
            <w:r>
              <w:rPr>
                <w:noProof/>
                <w:lang w:eastAsia="en-NZ"/>
              </w:rPr>
              <w:drawing>
                <wp:inline distT="0" distB="0" distL="0" distR="0" wp14:anchorId="122AC304" wp14:editId="0D882DAC">
                  <wp:extent cx="972589" cy="925024"/>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2630" cy="925063"/>
                          </a:xfrm>
                          <a:prstGeom prst="rect">
                            <a:avLst/>
                          </a:prstGeom>
                          <a:noFill/>
                          <a:ln>
                            <a:noFill/>
                          </a:ln>
                        </pic:spPr>
                      </pic:pic>
                    </a:graphicData>
                  </a:graphic>
                </wp:inline>
              </w:drawing>
            </w:r>
          </w:p>
        </w:tc>
        <w:tc>
          <w:tcPr>
            <w:tcW w:w="7161" w:type="dxa"/>
          </w:tcPr>
          <w:p w:rsidR="00C90587" w:rsidRPr="00237CBD" w:rsidRDefault="00C90587" w:rsidP="00C90587">
            <w:pPr>
              <w:pStyle w:val="Heading3"/>
              <w:outlineLvl w:val="2"/>
              <w:rPr>
                <w:rFonts w:eastAsia="Arial"/>
              </w:rPr>
            </w:pPr>
            <w:r w:rsidRPr="00237CBD">
              <w:rPr>
                <w:rFonts w:eastAsia="Arial"/>
              </w:rPr>
              <w:t>Margret Norris</w:t>
            </w:r>
          </w:p>
          <w:p w:rsidR="00C90587" w:rsidRDefault="00C90587" w:rsidP="00C525AF">
            <w:r w:rsidRPr="00237CBD">
              <w:rPr>
                <w:rFonts w:eastAsia="Arial"/>
              </w:rPr>
              <w:t>Margret is the Midwifery Leader for Bay of Plenty DHB. She has had various roles in the Midwifery Profession as an employed midwife working in the DHB and as a</w:t>
            </w:r>
            <w:r>
              <w:rPr>
                <w:rFonts w:eastAsia="Arial"/>
              </w:rPr>
              <w:t xml:space="preserve"> </w:t>
            </w:r>
            <w:r w:rsidRPr="00237CBD">
              <w:rPr>
                <w:rFonts w:eastAsia="Arial"/>
              </w:rPr>
              <w:t>lead maternity carer (LMC) midwife working in the rural areas. Margret continues to be a practising midwife.</w:t>
            </w:r>
          </w:p>
        </w:tc>
      </w:tr>
      <w:tr w:rsidR="00C90587" w:rsidTr="00C525AF">
        <w:trPr>
          <w:cantSplit/>
        </w:trPr>
        <w:tc>
          <w:tcPr>
            <w:tcW w:w="1560" w:type="dxa"/>
          </w:tcPr>
          <w:p w:rsidR="00C90587" w:rsidRDefault="00B92AA0" w:rsidP="00C525AF">
            <w:pPr>
              <w:spacing w:before="240"/>
            </w:pPr>
            <w:r>
              <w:rPr>
                <w:noProof/>
                <w:lang w:eastAsia="en-NZ"/>
              </w:rPr>
              <w:drawing>
                <wp:inline distT="0" distB="0" distL="0" distR="0" wp14:anchorId="4B0C5259" wp14:editId="32C0026A">
                  <wp:extent cx="968604" cy="897774"/>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8693" cy="897856"/>
                          </a:xfrm>
                          <a:prstGeom prst="rect">
                            <a:avLst/>
                          </a:prstGeom>
                          <a:noFill/>
                          <a:ln>
                            <a:noFill/>
                          </a:ln>
                        </pic:spPr>
                      </pic:pic>
                    </a:graphicData>
                  </a:graphic>
                </wp:inline>
              </w:drawing>
            </w:r>
          </w:p>
        </w:tc>
        <w:tc>
          <w:tcPr>
            <w:tcW w:w="7161" w:type="dxa"/>
          </w:tcPr>
          <w:p w:rsidR="00C90587" w:rsidRPr="00237CBD" w:rsidRDefault="00C90587" w:rsidP="00C90587">
            <w:pPr>
              <w:pStyle w:val="Heading3"/>
              <w:outlineLvl w:val="2"/>
              <w:rPr>
                <w:rFonts w:eastAsia="Arial"/>
              </w:rPr>
            </w:pPr>
            <w:r w:rsidRPr="00237CBD">
              <w:rPr>
                <w:rFonts w:eastAsia="Arial"/>
              </w:rPr>
              <w:t xml:space="preserve">Rose </w:t>
            </w:r>
            <w:proofErr w:type="spellStart"/>
            <w:r w:rsidRPr="00237CBD">
              <w:rPr>
                <w:rFonts w:eastAsia="Arial"/>
              </w:rPr>
              <w:t>Swindells</w:t>
            </w:r>
            <w:proofErr w:type="spellEnd"/>
          </w:p>
          <w:p w:rsidR="00C90587" w:rsidRDefault="00C90587" w:rsidP="00C525AF">
            <w:r w:rsidRPr="00237CBD">
              <w:rPr>
                <w:rFonts w:eastAsia="Arial"/>
              </w:rPr>
              <w:t xml:space="preserve">Rose is a mother with a passion for community development. Before having children she managed community centres in Wellington and family learning projects at historic sites in London. She is currently actively involved in the Wellington Time Bank and the Newtown Breastfeeding Support Centre and Houghton Valley </w:t>
            </w:r>
            <w:proofErr w:type="spellStart"/>
            <w:r w:rsidRPr="00237CBD">
              <w:rPr>
                <w:rFonts w:eastAsia="Arial"/>
              </w:rPr>
              <w:t>Playcentre</w:t>
            </w:r>
            <w:proofErr w:type="spellEnd"/>
            <w:r w:rsidRPr="00237CBD">
              <w:rPr>
                <w:rFonts w:eastAsia="Arial"/>
              </w:rPr>
              <w:t>. Since she has become a mother she has enjoyed using her community networking and advocacy skills as a Consumer</w:t>
            </w:r>
            <w:r>
              <w:rPr>
                <w:rFonts w:eastAsia="Arial"/>
              </w:rPr>
              <w:t xml:space="preserve"> </w:t>
            </w:r>
            <w:r w:rsidRPr="00237CBD">
              <w:rPr>
                <w:rFonts w:eastAsia="Arial"/>
              </w:rPr>
              <w:t>Representative on the Capital and Coast DHB’s Maternity Quality and Safety Panel.</w:t>
            </w:r>
          </w:p>
        </w:tc>
      </w:tr>
      <w:tr w:rsidR="00C90587" w:rsidTr="00C525AF">
        <w:trPr>
          <w:cantSplit/>
        </w:trPr>
        <w:tc>
          <w:tcPr>
            <w:tcW w:w="1560" w:type="dxa"/>
          </w:tcPr>
          <w:p w:rsidR="00C90587" w:rsidRDefault="00B92AA0" w:rsidP="00C525AF">
            <w:pPr>
              <w:spacing w:before="240"/>
            </w:pPr>
            <w:r>
              <w:rPr>
                <w:noProof/>
                <w:lang w:eastAsia="en-NZ"/>
              </w:rPr>
              <w:drawing>
                <wp:inline distT="0" distB="0" distL="0" distR="0" wp14:anchorId="079FA768" wp14:editId="12E5FE73">
                  <wp:extent cx="966943" cy="906087"/>
                  <wp:effectExtent l="0" t="0" r="5080" b="8890"/>
                  <wp:docPr id="1568" name="Picture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965963" cy="905168"/>
                          </a:xfrm>
                          <a:prstGeom prst="rect">
                            <a:avLst/>
                          </a:prstGeom>
                        </pic:spPr>
                      </pic:pic>
                    </a:graphicData>
                  </a:graphic>
                </wp:inline>
              </w:drawing>
            </w:r>
          </w:p>
        </w:tc>
        <w:tc>
          <w:tcPr>
            <w:tcW w:w="7161" w:type="dxa"/>
          </w:tcPr>
          <w:p w:rsidR="00C90587" w:rsidRPr="00237CBD" w:rsidRDefault="00C90587" w:rsidP="00C90587">
            <w:pPr>
              <w:pStyle w:val="Heading3"/>
              <w:outlineLvl w:val="2"/>
            </w:pPr>
            <w:r w:rsidRPr="00237CBD">
              <w:t xml:space="preserve">Sue </w:t>
            </w:r>
            <w:proofErr w:type="spellStart"/>
            <w:r w:rsidRPr="00237CBD">
              <w:t>Belgrave</w:t>
            </w:r>
            <w:proofErr w:type="spellEnd"/>
            <w:r w:rsidRPr="00237CBD">
              <w:t xml:space="preserve"> (ex officio)</w:t>
            </w:r>
          </w:p>
          <w:p w:rsidR="00C90587" w:rsidRDefault="00C90587" w:rsidP="00C525AF">
            <w:r w:rsidRPr="00237CBD">
              <w:rPr>
                <w:rFonts w:eastAsia="Arial"/>
              </w:rPr>
              <w:t xml:space="preserve">Sue is the current Chair of the Perinatal and Maternal Mortality Review Committee (PMMRC). She is a consultant obstetrician and gynaecologist at North Shore and National Women’s Hospitals; Clinical Director of Obstetrics, </w:t>
            </w:r>
            <w:proofErr w:type="spellStart"/>
            <w:r w:rsidRPr="00237CBD">
              <w:rPr>
                <w:rFonts w:eastAsia="Arial"/>
              </w:rPr>
              <w:t>Waitemata</w:t>
            </w:r>
            <w:proofErr w:type="spellEnd"/>
            <w:r w:rsidRPr="00237CBD">
              <w:rPr>
                <w:rFonts w:eastAsia="Arial"/>
              </w:rPr>
              <w:t xml:space="preserve"> DHB, and a private gynaecologist at</w:t>
            </w:r>
            <w:r>
              <w:rPr>
                <w:rFonts w:eastAsia="Arial"/>
              </w:rPr>
              <w:t xml:space="preserve"> </w:t>
            </w:r>
            <w:r w:rsidRPr="00237CBD">
              <w:rPr>
                <w:rFonts w:eastAsia="Arial"/>
              </w:rPr>
              <w:t xml:space="preserve">Shore Women. She is a RANZCOG training supervisor and is the Chair of the Auckland training committee. Sue is a local coordinator at </w:t>
            </w:r>
            <w:proofErr w:type="spellStart"/>
            <w:r w:rsidRPr="00237CBD">
              <w:rPr>
                <w:rFonts w:eastAsia="Arial"/>
              </w:rPr>
              <w:t>Waitemata</w:t>
            </w:r>
            <w:proofErr w:type="spellEnd"/>
            <w:r w:rsidRPr="00237CBD">
              <w:rPr>
                <w:rFonts w:eastAsia="Arial"/>
              </w:rPr>
              <w:t xml:space="preserve"> for the PMMRC and is an advisor on ultrasound in Obstetrics and Gynaecology.</w:t>
            </w:r>
          </w:p>
        </w:tc>
      </w:tr>
      <w:tr w:rsidR="00C90587" w:rsidTr="00C525AF">
        <w:trPr>
          <w:cantSplit/>
        </w:trPr>
        <w:tc>
          <w:tcPr>
            <w:tcW w:w="1560" w:type="dxa"/>
          </w:tcPr>
          <w:p w:rsidR="00C90587" w:rsidRDefault="00B92AA0" w:rsidP="00C525AF">
            <w:pPr>
              <w:spacing w:before="240"/>
            </w:pPr>
            <w:r>
              <w:rPr>
                <w:noProof/>
                <w:lang w:eastAsia="en-NZ"/>
              </w:rPr>
              <w:lastRenderedPageBreak/>
              <w:drawing>
                <wp:inline distT="0" distB="0" distL="0" distR="0" wp14:anchorId="3C0D97D9" wp14:editId="7087322D">
                  <wp:extent cx="964276" cy="950694"/>
                  <wp:effectExtent l="0" t="0" r="7620" b="1905"/>
                  <wp:docPr id="1569" name="Picture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966666" cy="953051"/>
                          </a:xfrm>
                          <a:prstGeom prst="rect">
                            <a:avLst/>
                          </a:prstGeom>
                        </pic:spPr>
                      </pic:pic>
                    </a:graphicData>
                  </a:graphic>
                </wp:inline>
              </w:drawing>
            </w:r>
          </w:p>
        </w:tc>
        <w:tc>
          <w:tcPr>
            <w:tcW w:w="7161" w:type="dxa"/>
          </w:tcPr>
          <w:p w:rsidR="00C90587" w:rsidRPr="00237CBD" w:rsidRDefault="00C90587" w:rsidP="00C90587">
            <w:pPr>
              <w:pStyle w:val="Heading3"/>
              <w:outlineLvl w:val="2"/>
            </w:pPr>
            <w:proofErr w:type="spellStart"/>
            <w:r w:rsidRPr="00237CBD">
              <w:t>Bronwen</w:t>
            </w:r>
            <w:proofErr w:type="spellEnd"/>
            <w:r w:rsidRPr="00237CBD">
              <w:t xml:space="preserve"> </w:t>
            </w:r>
            <w:proofErr w:type="spellStart"/>
            <w:r w:rsidRPr="00237CBD">
              <w:t>Pelvin</w:t>
            </w:r>
            <w:proofErr w:type="spellEnd"/>
            <w:r w:rsidRPr="00237CBD">
              <w:t xml:space="preserve"> (ex officio)</w:t>
            </w:r>
          </w:p>
          <w:p w:rsidR="00C90587" w:rsidRDefault="00C90587" w:rsidP="00C525AF">
            <w:proofErr w:type="spellStart"/>
            <w:r w:rsidRPr="00237CBD">
              <w:rPr>
                <w:rFonts w:eastAsia="Arial"/>
              </w:rPr>
              <w:t>Bronwen</w:t>
            </w:r>
            <w:proofErr w:type="spellEnd"/>
            <w:r w:rsidRPr="00237CBD">
              <w:rPr>
                <w:rFonts w:eastAsia="Arial"/>
              </w:rPr>
              <w:t xml:space="preserve"> is the Ministry’s Principal Advisor on Maternity. A midwife with more</w:t>
            </w:r>
            <w:r>
              <w:rPr>
                <w:rFonts w:eastAsia="Arial"/>
              </w:rPr>
              <w:t xml:space="preserve"> </w:t>
            </w:r>
            <w:r w:rsidRPr="00237CBD">
              <w:rPr>
                <w:rFonts w:eastAsia="Arial"/>
              </w:rPr>
              <w:t>than 30</w:t>
            </w:r>
            <w:r>
              <w:rPr>
                <w:rFonts w:eastAsia="Arial"/>
              </w:rPr>
              <w:t> </w:t>
            </w:r>
            <w:r w:rsidRPr="00237CBD">
              <w:rPr>
                <w:rFonts w:eastAsia="Arial"/>
              </w:rPr>
              <w:t xml:space="preserve">years of experience, </w:t>
            </w:r>
            <w:proofErr w:type="spellStart"/>
            <w:r w:rsidRPr="00237CBD">
              <w:rPr>
                <w:rFonts w:eastAsia="Arial"/>
              </w:rPr>
              <w:t>Bronwen</w:t>
            </w:r>
            <w:proofErr w:type="spellEnd"/>
            <w:r w:rsidRPr="00237CBD">
              <w:rPr>
                <w:rFonts w:eastAsia="Arial"/>
              </w:rPr>
              <w:t xml:space="preserve"> has worked as a domiciliary midwife, a community- based LMC, a core midwife and a maternity manager. She worked as the national Midwifery Advisor for the New Zealand College of Midwives and was also the</w:t>
            </w:r>
            <w:r>
              <w:rPr>
                <w:rFonts w:eastAsia="Arial"/>
              </w:rPr>
              <w:t xml:space="preserve"> </w:t>
            </w:r>
            <w:r w:rsidRPr="00237CBD">
              <w:rPr>
                <w:rFonts w:eastAsia="Arial"/>
              </w:rPr>
              <w:t>Professional Midwifery Advisor for Nelson Marlborough DHB before moving into her current role.</w:t>
            </w:r>
          </w:p>
        </w:tc>
      </w:tr>
      <w:tr w:rsidR="00B92AA0" w:rsidTr="00C525AF">
        <w:trPr>
          <w:cantSplit/>
        </w:trPr>
        <w:tc>
          <w:tcPr>
            <w:tcW w:w="1560" w:type="dxa"/>
          </w:tcPr>
          <w:p w:rsidR="00B92AA0" w:rsidRDefault="00B92AA0" w:rsidP="00C525AF">
            <w:pPr>
              <w:spacing w:before="240"/>
            </w:pPr>
            <w:r>
              <w:rPr>
                <w:noProof/>
                <w:lang w:eastAsia="en-NZ"/>
              </w:rPr>
              <w:drawing>
                <wp:inline distT="0" distB="0" distL="0" distR="0" wp14:anchorId="0768E936" wp14:editId="5EC75FE8">
                  <wp:extent cx="969718" cy="955964"/>
                  <wp:effectExtent l="0" t="0" r="1905" b="0"/>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972984" cy="959184"/>
                          </a:xfrm>
                          <a:prstGeom prst="rect">
                            <a:avLst/>
                          </a:prstGeom>
                        </pic:spPr>
                      </pic:pic>
                    </a:graphicData>
                  </a:graphic>
                </wp:inline>
              </w:drawing>
            </w:r>
          </w:p>
        </w:tc>
        <w:tc>
          <w:tcPr>
            <w:tcW w:w="7161" w:type="dxa"/>
          </w:tcPr>
          <w:p w:rsidR="00B92AA0" w:rsidRDefault="00B92AA0" w:rsidP="00C90587">
            <w:pPr>
              <w:pStyle w:val="Heading3"/>
              <w:outlineLvl w:val="2"/>
              <w:rPr>
                <w:rFonts w:eastAsia="Arial"/>
              </w:rPr>
            </w:pPr>
            <w:r w:rsidRPr="00237CBD">
              <w:rPr>
                <w:rFonts w:eastAsia="Arial"/>
              </w:rPr>
              <w:t>ONZL (secretariat)</w:t>
            </w:r>
          </w:p>
          <w:p w:rsidR="00B92AA0" w:rsidRPr="00B92AA0" w:rsidRDefault="00B92AA0" w:rsidP="00B92AA0">
            <w:pPr>
              <w:rPr>
                <w:rFonts w:eastAsia="Arial"/>
              </w:rPr>
            </w:pPr>
            <w:r w:rsidRPr="00237CBD">
              <w:rPr>
                <w:rFonts w:eastAsia="Arial"/>
              </w:rPr>
              <w:t>ONZL provides secretariat and support services to the NMMG. It works across a range of sectors including health, education, ICT and telecommunications. ONZL has extensive experience working with New Zealand industry associations and government departments to deliver their organisational goals by providing board and governance support, meeting facilitation, analysis services, project management,</w:t>
            </w:r>
            <w:r>
              <w:rPr>
                <w:rFonts w:eastAsia="Arial"/>
              </w:rPr>
              <w:t xml:space="preserve"> </w:t>
            </w:r>
            <w:r w:rsidRPr="00237CBD">
              <w:rPr>
                <w:rFonts w:eastAsia="Arial"/>
              </w:rPr>
              <w:t>finance management and administrative support</w:t>
            </w:r>
            <w:r>
              <w:rPr>
                <w:rFonts w:eastAsia="Arial"/>
              </w:rPr>
              <w:t>.</w:t>
            </w:r>
          </w:p>
          <w:p w:rsidR="00B92AA0" w:rsidRDefault="00692CA1" w:rsidP="00C90587">
            <w:r>
              <w:rPr>
                <w:noProof/>
                <w:lang w:eastAsia="en-NZ"/>
              </w:rPr>
              <w:drawing>
                <wp:anchor distT="0" distB="0" distL="114300" distR="0" simplePos="0" relativeHeight="251884544" behindDoc="0" locked="0" layoutInCell="1" allowOverlap="1" wp14:anchorId="0785FBA3" wp14:editId="3A1361D3">
                  <wp:simplePos x="0" y="0"/>
                  <wp:positionH relativeFrom="column">
                    <wp:posOffset>3489960</wp:posOffset>
                  </wp:positionH>
                  <wp:positionV relativeFrom="paragraph">
                    <wp:posOffset>-708660</wp:posOffset>
                  </wp:positionV>
                  <wp:extent cx="1036320" cy="1022350"/>
                  <wp:effectExtent l="0" t="0" r="0" b="6350"/>
                  <wp:wrapSquare wrapText="left"/>
                  <wp:docPr id="1571" name="Picture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036320" cy="1022350"/>
                          </a:xfrm>
                          <a:prstGeom prst="rect">
                            <a:avLst/>
                          </a:prstGeom>
                        </pic:spPr>
                      </pic:pic>
                    </a:graphicData>
                  </a:graphic>
                  <wp14:sizeRelH relativeFrom="margin">
                    <wp14:pctWidth>0</wp14:pctWidth>
                  </wp14:sizeRelH>
                  <wp14:sizeRelV relativeFrom="margin">
                    <wp14:pctHeight>0</wp14:pctHeight>
                  </wp14:sizeRelV>
                </wp:anchor>
              </w:drawing>
            </w:r>
          </w:p>
        </w:tc>
      </w:tr>
    </w:tbl>
    <w:p w:rsidR="00F1385A" w:rsidRPr="00237CBD" w:rsidRDefault="00F1385A" w:rsidP="00481352"/>
    <w:p w:rsidR="00F1385A" w:rsidRPr="00237CBD" w:rsidRDefault="00F1385A" w:rsidP="00481352">
      <w:pPr>
        <w:rPr>
          <w:rFonts w:eastAsia="Arial"/>
        </w:rPr>
      </w:pPr>
    </w:p>
    <w:p w:rsidR="004538C8" w:rsidRPr="00237CBD" w:rsidRDefault="004538C8" w:rsidP="00BD046E">
      <w:pPr>
        <w:pStyle w:val="Heading1"/>
        <w:rPr>
          <w:rFonts w:eastAsia="Arial"/>
          <w:color w:val="auto"/>
          <w:sz w:val="64"/>
          <w:szCs w:val="64"/>
        </w:rPr>
        <w:sectPr w:rsidR="004538C8" w:rsidRPr="00237CBD" w:rsidSect="00C90587">
          <w:footerReference w:type="even" r:id="rId29"/>
          <w:pgSz w:w="11907" w:h="16834" w:code="9"/>
          <w:pgMar w:top="1418" w:right="1701" w:bottom="1134" w:left="1701" w:header="284" w:footer="567" w:gutter="0"/>
          <w:cols w:space="720"/>
        </w:sectPr>
      </w:pPr>
    </w:p>
    <w:p w:rsidR="00D435C9" w:rsidRPr="00237CBD" w:rsidRDefault="00D435C9" w:rsidP="00D13565">
      <w:pPr>
        <w:pStyle w:val="Heading1"/>
        <w:rPr>
          <w:rFonts w:eastAsia="Arial"/>
        </w:rPr>
      </w:pPr>
      <w:bookmarkStart w:id="7" w:name="_Toc404355651"/>
      <w:r w:rsidRPr="00237CBD">
        <w:rPr>
          <w:rFonts w:eastAsia="Arial"/>
        </w:rPr>
        <w:lastRenderedPageBreak/>
        <w:t>The NMMG Work Programme</w:t>
      </w:r>
      <w:r w:rsidR="00921724" w:rsidRPr="00237CBD">
        <w:rPr>
          <w:rFonts w:eastAsia="Arial"/>
        </w:rPr>
        <w:br/>
      </w:r>
      <w:r w:rsidRPr="00237CBD">
        <w:rPr>
          <w:rFonts w:eastAsia="Arial"/>
        </w:rPr>
        <w:t>for 2012/13</w:t>
      </w:r>
      <w:bookmarkEnd w:id="7"/>
    </w:p>
    <w:p w:rsidR="00D13565" w:rsidRDefault="00D435C9" w:rsidP="00D13565">
      <w:pPr>
        <w:pStyle w:val="Introparagraph"/>
      </w:pPr>
      <w:r w:rsidRPr="00237CBD">
        <w:t xml:space="preserve">Taking into account our remit and Terms of Reference, the 12-month work programme </w:t>
      </w:r>
      <w:r w:rsidR="00F1385A" w:rsidRPr="00237CBD">
        <w:t xml:space="preserve">of the NMMG during 2013/14 </w:t>
      </w:r>
      <w:r w:rsidRPr="00237CBD">
        <w:t>included the following:</w:t>
      </w:r>
    </w:p>
    <w:p w:rsidR="00802E5C" w:rsidRPr="00802E5C" w:rsidRDefault="00802E5C" w:rsidP="00802E5C"/>
    <w:p w:rsidR="004538C8" w:rsidRPr="00237CBD" w:rsidRDefault="004538C8" w:rsidP="00EC0298">
      <w:pPr>
        <w:spacing w:before="180"/>
        <w:ind w:left="567" w:hanging="567"/>
        <w:rPr>
          <w:rFonts w:eastAsia="Arial"/>
        </w:rPr>
        <w:sectPr w:rsidR="004538C8" w:rsidRPr="00237CBD" w:rsidSect="00C45DF7">
          <w:pgSz w:w="11907" w:h="16834" w:code="9"/>
          <w:pgMar w:top="1418" w:right="1701" w:bottom="1134" w:left="1701" w:header="284" w:footer="567" w:gutter="0"/>
          <w:cols w:space="720"/>
        </w:sectPr>
      </w:pPr>
    </w:p>
    <w:p w:rsidR="00F1385A" w:rsidRPr="00237CBD" w:rsidRDefault="00F1385A" w:rsidP="00D13565">
      <w:pPr>
        <w:spacing w:before="240"/>
        <w:ind w:left="425" w:hanging="425"/>
        <w:rPr>
          <w:rFonts w:eastAsia="Arial"/>
        </w:rPr>
      </w:pPr>
      <w:r w:rsidRPr="00237CBD">
        <w:rPr>
          <w:rFonts w:eastAsia="Arial"/>
        </w:rPr>
        <w:lastRenderedPageBreak/>
        <w:t>1</w:t>
      </w:r>
      <w:r w:rsidR="00D13565">
        <w:rPr>
          <w:rFonts w:eastAsia="Arial"/>
        </w:rPr>
        <w:tab/>
      </w:r>
      <w:r w:rsidRPr="00237CBD">
        <w:rPr>
          <w:rFonts w:eastAsia="Arial"/>
        </w:rPr>
        <w:t xml:space="preserve">Continuing to review the </w:t>
      </w:r>
      <w:r w:rsidRPr="00237CBD">
        <w:rPr>
          <w:rFonts w:eastAsia="Arial"/>
          <w:b/>
          <w:bCs/>
        </w:rPr>
        <w:t>timing of registration with a Lead Maternity Carer (LMC)</w:t>
      </w:r>
      <w:r w:rsidRPr="00D13565">
        <w:rPr>
          <w:rFonts w:eastAsia="Arial"/>
        </w:rPr>
        <w:t xml:space="preserve"> </w:t>
      </w:r>
      <w:r w:rsidRPr="00237CBD">
        <w:rPr>
          <w:rFonts w:eastAsia="Arial"/>
        </w:rPr>
        <w:t>and particularly how to increase the proportion of women who register with an LMC before 12 weeks</w:t>
      </w:r>
      <w:r w:rsidR="00F71BF6" w:rsidRPr="00237CBD">
        <w:rPr>
          <w:rFonts w:eastAsia="Arial"/>
        </w:rPr>
        <w:t>’</w:t>
      </w:r>
      <w:r w:rsidRPr="00237CBD">
        <w:rPr>
          <w:rFonts w:eastAsia="Arial"/>
        </w:rPr>
        <w:t xml:space="preserve"> gestation</w:t>
      </w:r>
      <w:r w:rsidR="00D13565">
        <w:rPr>
          <w:rFonts w:eastAsia="Arial"/>
        </w:rPr>
        <w:t>.</w:t>
      </w:r>
    </w:p>
    <w:p w:rsidR="00F1385A" w:rsidRPr="00237CBD" w:rsidRDefault="00F1385A" w:rsidP="00D13565">
      <w:pPr>
        <w:spacing w:before="240"/>
        <w:ind w:left="425" w:hanging="425"/>
        <w:rPr>
          <w:rFonts w:eastAsia="Arial"/>
        </w:rPr>
      </w:pPr>
      <w:r w:rsidRPr="00237CBD">
        <w:rPr>
          <w:rFonts w:eastAsia="Arial"/>
        </w:rPr>
        <w:t>2</w:t>
      </w:r>
      <w:r w:rsidR="00D13565">
        <w:rPr>
          <w:rFonts w:eastAsia="Arial"/>
        </w:rPr>
        <w:tab/>
      </w:r>
      <w:r w:rsidRPr="00237CBD">
        <w:rPr>
          <w:rFonts w:eastAsia="Arial"/>
        </w:rPr>
        <w:t xml:space="preserve">Assessing </w:t>
      </w:r>
      <w:r w:rsidRPr="00D13565">
        <w:rPr>
          <w:rFonts w:eastAsia="Arial"/>
          <w:b/>
        </w:rPr>
        <w:t>variation</w:t>
      </w:r>
      <w:r w:rsidR="00F71BF6" w:rsidRPr="00D13565">
        <w:rPr>
          <w:rFonts w:eastAsia="Arial"/>
          <w:b/>
        </w:rPr>
        <w:t xml:space="preserve"> </w:t>
      </w:r>
      <w:r w:rsidRPr="00D13565">
        <w:rPr>
          <w:rFonts w:eastAsia="Arial"/>
          <w:b/>
        </w:rPr>
        <w:t>in gestation at birth</w:t>
      </w:r>
      <w:r w:rsidRPr="00237CBD">
        <w:rPr>
          <w:rFonts w:eastAsia="Arial"/>
        </w:rPr>
        <w:t xml:space="preserve"> across New Zealand</w:t>
      </w:r>
      <w:r w:rsidR="00D13565">
        <w:rPr>
          <w:rFonts w:eastAsia="Arial"/>
        </w:rPr>
        <w:t>.</w:t>
      </w:r>
    </w:p>
    <w:p w:rsidR="00F1385A" w:rsidRPr="00237CBD" w:rsidRDefault="00F1385A" w:rsidP="00D13565">
      <w:pPr>
        <w:spacing w:before="240"/>
        <w:ind w:left="425" w:hanging="425"/>
        <w:rPr>
          <w:rFonts w:eastAsia="Arial"/>
        </w:rPr>
      </w:pPr>
      <w:r w:rsidRPr="00237CBD">
        <w:rPr>
          <w:rFonts w:eastAsia="Arial"/>
        </w:rPr>
        <w:t>3</w:t>
      </w:r>
      <w:r w:rsidR="00D13565">
        <w:rPr>
          <w:rFonts w:eastAsia="Arial"/>
        </w:rPr>
        <w:tab/>
      </w:r>
      <w:r w:rsidRPr="00237CBD">
        <w:rPr>
          <w:rFonts w:eastAsia="Arial"/>
        </w:rPr>
        <w:t xml:space="preserve">Understanding national consistency in the provision of </w:t>
      </w:r>
      <w:r w:rsidRPr="00D13565">
        <w:rPr>
          <w:rFonts w:eastAsia="Arial"/>
          <w:b/>
        </w:rPr>
        <w:t>coordinated maternal mental health services</w:t>
      </w:r>
      <w:r w:rsidR="00D13565">
        <w:rPr>
          <w:rFonts w:eastAsia="Arial"/>
        </w:rPr>
        <w:t>.</w:t>
      </w:r>
    </w:p>
    <w:p w:rsidR="00F1385A" w:rsidRPr="00237CBD" w:rsidRDefault="00F1385A" w:rsidP="00D13565">
      <w:pPr>
        <w:spacing w:before="240"/>
        <w:ind w:left="425" w:hanging="425"/>
        <w:rPr>
          <w:rFonts w:eastAsia="Arial"/>
        </w:rPr>
      </w:pPr>
      <w:r w:rsidRPr="00237CBD">
        <w:rPr>
          <w:rFonts w:eastAsia="Arial"/>
        </w:rPr>
        <w:t>4</w:t>
      </w:r>
      <w:r w:rsidR="00D13565">
        <w:rPr>
          <w:rFonts w:eastAsia="Arial"/>
        </w:rPr>
        <w:tab/>
      </w:r>
      <w:r w:rsidRPr="00237CBD">
        <w:rPr>
          <w:rFonts w:eastAsia="Arial"/>
        </w:rPr>
        <w:t xml:space="preserve">Reviewing national variability in the access to, and quality of, </w:t>
      </w:r>
      <w:r w:rsidRPr="00D13565">
        <w:rPr>
          <w:rFonts w:eastAsia="Arial"/>
          <w:b/>
        </w:rPr>
        <w:t>prima</w:t>
      </w:r>
      <w:r w:rsidR="00D13565" w:rsidRPr="00D13565">
        <w:rPr>
          <w:rFonts w:eastAsia="Arial"/>
          <w:b/>
        </w:rPr>
        <w:t>ry maternity ultrasounds</w:t>
      </w:r>
      <w:r w:rsidR="00D13565">
        <w:rPr>
          <w:rFonts w:eastAsia="Arial"/>
        </w:rPr>
        <w:t>.</w:t>
      </w:r>
    </w:p>
    <w:p w:rsidR="00F1385A" w:rsidRPr="00D13565" w:rsidRDefault="00F1385A" w:rsidP="00D13565">
      <w:pPr>
        <w:spacing w:before="240"/>
        <w:ind w:left="425" w:hanging="425"/>
        <w:rPr>
          <w:rFonts w:eastAsia="Arial"/>
        </w:rPr>
      </w:pPr>
      <w:r w:rsidRPr="00237CBD">
        <w:rPr>
          <w:rFonts w:eastAsia="Arial"/>
        </w:rPr>
        <w:t>5</w:t>
      </w:r>
      <w:r w:rsidR="00D13565">
        <w:rPr>
          <w:rFonts w:eastAsia="Arial"/>
        </w:rPr>
        <w:tab/>
      </w:r>
      <w:r w:rsidRPr="00237CBD">
        <w:rPr>
          <w:rFonts w:eastAsia="Arial"/>
        </w:rPr>
        <w:t xml:space="preserve">Aiming to better </w:t>
      </w:r>
      <w:r w:rsidRPr="00D13565">
        <w:rPr>
          <w:rFonts w:eastAsia="Arial"/>
          <w:b/>
        </w:rPr>
        <w:t>connect and support maternity consumer representatives</w:t>
      </w:r>
      <w:r w:rsidR="00D13565">
        <w:rPr>
          <w:rFonts w:eastAsia="Arial"/>
        </w:rPr>
        <w:t>.</w:t>
      </w:r>
    </w:p>
    <w:p w:rsidR="00F1385A" w:rsidRPr="00237CBD" w:rsidRDefault="00F1385A" w:rsidP="00D13565">
      <w:pPr>
        <w:spacing w:before="240"/>
        <w:ind w:left="425" w:hanging="425"/>
        <w:rPr>
          <w:rFonts w:eastAsia="Arial"/>
        </w:rPr>
      </w:pPr>
      <w:r w:rsidRPr="00237CBD">
        <w:rPr>
          <w:rFonts w:eastAsia="Arial"/>
        </w:rPr>
        <w:t>6</w:t>
      </w:r>
      <w:r w:rsidR="00D13565">
        <w:rPr>
          <w:rFonts w:eastAsia="Arial"/>
        </w:rPr>
        <w:tab/>
      </w:r>
      <w:r w:rsidRPr="00237CBD">
        <w:rPr>
          <w:rFonts w:eastAsia="Arial"/>
        </w:rPr>
        <w:t xml:space="preserve">Reviewing and advising on the </w:t>
      </w:r>
      <w:r w:rsidRPr="00D13565">
        <w:rPr>
          <w:rFonts w:eastAsia="Arial"/>
          <w:b/>
        </w:rPr>
        <w:t>New Zealand Maternity</w:t>
      </w:r>
      <w:r w:rsidR="00F71BF6" w:rsidRPr="00D13565">
        <w:rPr>
          <w:rFonts w:eastAsia="Arial"/>
          <w:b/>
        </w:rPr>
        <w:t xml:space="preserve"> </w:t>
      </w:r>
      <w:r w:rsidRPr="00D13565">
        <w:rPr>
          <w:rFonts w:eastAsia="Arial"/>
          <w:b/>
        </w:rPr>
        <w:t>Clinical Indicators</w:t>
      </w:r>
      <w:r w:rsidR="00D13565">
        <w:rPr>
          <w:rFonts w:eastAsia="Arial"/>
        </w:rPr>
        <w:t>.</w:t>
      </w:r>
    </w:p>
    <w:p w:rsidR="00F1385A" w:rsidRPr="00237CBD" w:rsidRDefault="00F1385A" w:rsidP="00D13565">
      <w:pPr>
        <w:spacing w:before="240"/>
        <w:ind w:left="425" w:hanging="425"/>
        <w:rPr>
          <w:rFonts w:eastAsia="Arial"/>
        </w:rPr>
      </w:pPr>
      <w:r w:rsidRPr="00237CBD">
        <w:rPr>
          <w:rFonts w:eastAsia="Arial"/>
        </w:rPr>
        <w:lastRenderedPageBreak/>
        <w:t>7</w:t>
      </w:r>
      <w:r w:rsidR="00D13565">
        <w:rPr>
          <w:rFonts w:eastAsia="Arial"/>
        </w:rPr>
        <w:tab/>
      </w:r>
      <w:r w:rsidRPr="00237CBD">
        <w:rPr>
          <w:rFonts w:eastAsia="Arial"/>
        </w:rPr>
        <w:t xml:space="preserve">Reviewing the Ministry of Health </w:t>
      </w:r>
      <w:r w:rsidRPr="00D13565">
        <w:rPr>
          <w:rFonts w:eastAsia="Arial"/>
          <w:b/>
        </w:rPr>
        <w:t>Annual Report on Maternity</w:t>
      </w:r>
      <w:r w:rsidR="00D13565">
        <w:rPr>
          <w:rFonts w:eastAsia="Arial"/>
        </w:rPr>
        <w:t>.</w:t>
      </w:r>
    </w:p>
    <w:p w:rsidR="00F1385A" w:rsidRPr="00237CBD" w:rsidRDefault="00F1385A" w:rsidP="00D13565">
      <w:pPr>
        <w:spacing w:before="240"/>
        <w:ind w:left="425" w:hanging="425"/>
        <w:rPr>
          <w:rFonts w:eastAsia="Arial"/>
        </w:rPr>
      </w:pPr>
      <w:r w:rsidRPr="00237CBD">
        <w:rPr>
          <w:rFonts w:eastAsia="Arial"/>
        </w:rPr>
        <w:t>8</w:t>
      </w:r>
      <w:r w:rsidR="00D13565">
        <w:rPr>
          <w:rFonts w:eastAsia="Arial"/>
        </w:rPr>
        <w:tab/>
      </w:r>
      <w:r w:rsidRPr="00237CBD">
        <w:rPr>
          <w:rFonts w:eastAsia="Arial"/>
        </w:rPr>
        <w:t xml:space="preserve">Reviewing, and potentially providing expert advice on, the DHB </w:t>
      </w:r>
      <w:r w:rsidRPr="00D13565">
        <w:rPr>
          <w:rFonts w:eastAsia="Arial"/>
          <w:b/>
        </w:rPr>
        <w:t>Maternity Quality and Safety Programme (MQSP) annual reports</w:t>
      </w:r>
      <w:r w:rsidRPr="00237CBD">
        <w:rPr>
          <w:rFonts w:eastAsia="Arial"/>
        </w:rPr>
        <w:t>, including their progress since the previous year</w:t>
      </w:r>
      <w:r w:rsidR="00F71BF6" w:rsidRPr="00237CBD">
        <w:rPr>
          <w:rFonts w:eastAsia="Arial"/>
        </w:rPr>
        <w:t>’</w:t>
      </w:r>
      <w:r w:rsidRPr="00237CBD">
        <w:rPr>
          <w:rFonts w:eastAsia="Arial"/>
        </w:rPr>
        <w:t>s reports</w:t>
      </w:r>
      <w:r w:rsidR="00D13565">
        <w:rPr>
          <w:rFonts w:eastAsia="Arial"/>
        </w:rPr>
        <w:t>.</w:t>
      </w:r>
    </w:p>
    <w:p w:rsidR="00F1385A" w:rsidRPr="00237CBD" w:rsidRDefault="00F1385A" w:rsidP="00D13565">
      <w:pPr>
        <w:spacing w:before="240"/>
        <w:ind w:left="425" w:hanging="425"/>
        <w:rPr>
          <w:rFonts w:eastAsia="Arial"/>
        </w:rPr>
      </w:pPr>
      <w:r w:rsidRPr="00237CBD">
        <w:rPr>
          <w:rFonts w:eastAsia="Arial"/>
        </w:rPr>
        <w:t>9</w:t>
      </w:r>
      <w:r w:rsidR="00D13565">
        <w:rPr>
          <w:rFonts w:eastAsia="Arial"/>
        </w:rPr>
        <w:tab/>
      </w:r>
      <w:r w:rsidRPr="00237CBD">
        <w:rPr>
          <w:rFonts w:eastAsia="Arial"/>
        </w:rPr>
        <w:t xml:space="preserve">Production of an </w:t>
      </w:r>
      <w:r w:rsidRPr="00D13565">
        <w:rPr>
          <w:rFonts w:eastAsia="Arial"/>
          <w:b/>
        </w:rPr>
        <w:t>NMMG Annual Report</w:t>
      </w:r>
      <w:r w:rsidRPr="00237CBD">
        <w:rPr>
          <w:rFonts w:eastAsia="Arial"/>
        </w:rPr>
        <w:t>.</w:t>
      </w:r>
    </w:p>
    <w:p w:rsidR="00F1385A" w:rsidRPr="00237CBD" w:rsidRDefault="00F1385A" w:rsidP="00D13565"/>
    <w:p w:rsidR="00F1385A" w:rsidRPr="00237CBD" w:rsidRDefault="00F1385A" w:rsidP="00D13565">
      <w:pPr>
        <w:rPr>
          <w:rFonts w:eastAsia="Arial"/>
        </w:rPr>
      </w:pPr>
      <w:r w:rsidRPr="00237CBD">
        <w:rPr>
          <w:rFonts w:eastAsia="Arial"/>
        </w:rPr>
        <w:t>In this report we outline our findings and recommendations relating to this year</w:t>
      </w:r>
      <w:r w:rsidR="00F71BF6" w:rsidRPr="00237CBD">
        <w:rPr>
          <w:rFonts w:eastAsia="Arial"/>
        </w:rPr>
        <w:t>’</w:t>
      </w:r>
      <w:r w:rsidRPr="00237CBD">
        <w:rPr>
          <w:rFonts w:eastAsia="Arial"/>
        </w:rPr>
        <w:t>s work programme. A number of supporting documents can be found in the appendices, including a table illustrating the work programme</w:t>
      </w:r>
      <w:r w:rsidR="00F71BF6" w:rsidRPr="00237CBD">
        <w:rPr>
          <w:rFonts w:eastAsia="Arial"/>
        </w:rPr>
        <w:t xml:space="preserve"> </w:t>
      </w:r>
      <w:r w:rsidRPr="00237CBD">
        <w:rPr>
          <w:rFonts w:eastAsia="Arial"/>
        </w:rPr>
        <w:t>(Appendix Two). A map of New</w:t>
      </w:r>
      <w:r w:rsidR="00D13565">
        <w:rPr>
          <w:rFonts w:eastAsia="Arial"/>
        </w:rPr>
        <w:t> </w:t>
      </w:r>
      <w:r w:rsidRPr="00237CBD">
        <w:rPr>
          <w:rFonts w:eastAsia="Arial"/>
        </w:rPr>
        <w:t>Zealand DHBs can also be seen in Appendix</w:t>
      </w:r>
      <w:r w:rsidR="00D13565">
        <w:rPr>
          <w:rFonts w:eastAsia="Arial"/>
        </w:rPr>
        <w:t> </w:t>
      </w:r>
      <w:r w:rsidRPr="00237CBD">
        <w:rPr>
          <w:rFonts w:eastAsia="Arial"/>
        </w:rPr>
        <w:t>Three.</w:t>
      </w:r>
    </w:p>
    <w:p w:rsidR="00A202CE" w:rsidRPr="00237CBD" w:rsidRDefault="00A202CE" w:rsidP="002916A9">
      <w:pPr>
        <w:rPr>
          <w:rFonts w:eastAsia="Arial"/>
        </w:rPr>
      </w:pPr>
    </w:p>
    <w:p w:rsidR="004538C8" w:rsidRPr="00237CBD" w:rsidRDefault="004538C8" w:rsidP="002916A9">
      <w:pPr>
        <w:rPr>
          <w:rFonts w:eastAsia="Arial"/>
        </w:rPr>
        <w:sectPr w:rsidR="004538C8" w:rsidRPr="00237CBD" w:rsidSect="00C45DF7">
          <w:type w:val="continuous"/>
          <w:pgSz w:w="11907" w:h="16834" w:code="9"/>
          <w:pgMar w:top="1418" w:right="1701" w:bottom="1134" w:left="1701" w:header="284" w:footer="567" w:gutter="0"/>
          <w:cols w:num="2" w:space="567" w:equalWidth="0">
            <w:col w:w="3969" w:space="567"/>
            <w:col w:w="3969"/>
          </w:cols>
        </w:sectPr>
      </w:pPr>
    </w:p>
    <w:p w:rsidR="002916A9" w:rsidRPr="00237CBD" w:rsidRDefault="002916A9" w:rsidP="002916A9">
      <w:pPr>
        <w:rPr>
          <w:rFonts w:eastAsia="Arial"/>
        </w:rPr>
      </w:pPr>
    </w:p>
    <w:p w:rsidR="004538C8" w:rsidRPr="00237CBD" w:rsidRDefault="004538C8" w:rsidP="00541EE3">
      <w:pPr>
        <w:pStyle w:val="Heading1"/>
        <w:rPr>
          <w:rFonts w:eastAsia="Arial"/>
          <w:color w:val="auto"/>
          <w:sz w:val="64"/>
          <w:szCs w:val="64"/>
        </w:rPr>
        <w:sectPr w:rsidR="004538C8" w:rsidRPr="00237CBD" w:rsidSect="00A202CE">
          <w:type w:val="continuous"/>
          <w:pgSz w:w="11907" w:h="16834" w:code="9"/>
          <w:pgMar w:top="1418" w:right="1701" w:bottom="1134" w:left="1701" w:header="284" w:footer="567" w:gutter="0"/>
          <w:cols w:space="720"/>
        </w:sectPr>
      </w:pPr>
    </w:p>
    <w:p w:rsidR="00D435C9" w:rsidRPr="00237CBD" w:rsidRDefault="00D435C9" w:rsidP="00D13565">
      <w:pPr>
        <w:pStyle w:val="Heading1"/>
        <w:rPr>
          <w:rFonts w:eastAsia="Arial"/>
        </w:rPr>
      </w:pPr>
      <w:bookmarkStart w:id="8" w:name="_Toc404355652"/>
      <w:r w:rsidRPr="00237CBD">
        <w:rPr>
          <w:rFonts w:eastAsia="Arial"/>
        </w:rPr>
        <w:lastRenderedPageBreak/>
        <w:t xml:space="preserve">An </w:t>
      </w:r>
      <w:r w:rsidR="00541EE3" w:rsidRPr="00237CBD">
        <w:rPr>
          <w:rFonts w:eastAsia="Arial"/>
        </w:rPr>
        <w:t>O</w:t>
      </w:r>
      <w:r w:rsidRPr="00237CBD">
        <w:rPr>
          <w:rFonts w:eastAsia="Arial"/>
        </w:rPr>
        <w:t>verview of NMMG</w:t>
      </w:r>
      <w:r w:rsidR="002916A9" w:rsidRPr="00237CBD">
        <w:rPr>
          <w:rFonts w:eastAsia="Arial"/>
        </w:rPr>
        <w:t xml:space="preserve"> </w:t>
      </w:r>
      <w:r w:rsidR="00541EE3" w:rsidRPr="00237CBD">
        <w:rPr>
          <w:rFonts w:eastAsia="Arial"/>
        </w:rPr>
        <w:t>R</w:t>
      </w:r>
      <w:r w:rsidRPr="00237CBD">
        <w:rPr>
          <w:rFonts w:eastAsia="Arial"/>
        </w:rPr>
        <w:t>ecommendations</w:t>
      </w:r>
      <w:bookmarkEnd w:id="8"/>
    </w:p>
    <w:p w:rsidR="00D435C9" w:rsidRPr="00237CBD" w:rsidRDefault="00F1385A" w:rsidP="0023515C">
      <w:pPr>
        <w:pStyle w:val="Introparagraph"/>
        <w:spacing w:after="180"/>
      </w:pPr>
      <w:r w:rsidRPr="00237CBD">
        <w:t>There are a number of things that must happen to ensure improvements are made in the provision of maternity services in New Zealand. Below we have outlined those areas where we expect action from key maternity stakeholders:</w:t>
      </w:r>
    </w:p>
    <w:p w:rsidR="00F1385A" w:rsidRPr="00237CBD" w:rsidRDefault="00F1385A" w:rsidP="0023515C">
      <w:pPr>
        <w:pStyle w:val="Bullet"/>
        <w:spacing w:before="70"/>
        <w:rPr>
          <w:rFonts w:eastAsia="Arial"/>
        </w:rPr>
      </w:pPr>
      <w:r w:rsidRPr="00237CBD">
        <w:rPr>
          <w:rFonts w:eastAsia="Arial"/>
          <w:b/>
          <w:bCs/>
        </w:rPr>
        <w:t>Registration</w:t>
      </w:r>
      <w:r w:rsidR="00F71BF6" w:rsidRPr="00237CBD">
        <w:rPr>
          <w:rFonts w:eastAsia="Arial"/>
          <w:b/>
          <w:bCs/>
        </w:rPr>
        <w:t xml:space="preserve"> </w:t>
      </w:r>
      <w:r w:rsidRPr="00237CBD">
        <w:rPr>
          <w:rFonts w:eastAsia="Arial"/>
          <w:b/>
          <w:bCs/>
        </w:rPr>
        <w:t>with an LMC</w:t>
      </w:r>
      <w:r w:rsidR="00F71BF6" w:rsidRPr="00237CBD">
        <w:rPr>
          <w:rFonts w:eastAsia="Arial"/>
          <w:b/>
          <w:bCs/>
        </w:rPr>
        <w:t xml:space="preserve"> – </w:t>
      </w:r>
      <w:r w:rsidRPr="00237CBD">
        <w:rPr>
          <w:rFonts w:eastAsia="Arial"/>
        </w:rPr>
        <w:t>we want to see continued focus on first trimester registration and expect to see clear outcomes</w:t>
      </w:r>
      <w:r w:rsidR="00F71BF6" w:rsidRPr="00237CBD">
        <w:rPr>
          <w:rFonts w:eastAsia="Arial"/>
        </w:rPr>
        <w:t xml:space="preserve"> </w:t>
      </w:r>
      <w:r w:rsidRPr="00237CBD">
        <w:rPr>
          <w:rFonts w:eastAsia="Arial"/>
        </w:rPr>
        <w:t>from relevant initiatives over the coming</w:t>
      </w:r>
      <w:r w:rsidR="00F71BF6" w:rsidRPr="00237CBD">
        <w:rPr>
          <w:rFonts w:eastAsia="Arial"/>
        </w:rPr>
        <w:t xml:space="preserve"> </w:t>
      </w:r>
      <w:r w:rsidRPr="00237CBD">
        <w:rPr>
          <w:rFonts w:eastAsia="Arial"/>
        </w:rPr>
        <w:t>year. To ensure national consistency, specific cultural needs must be met and it is essential that DHBs support and improve rel</w:t>
      </w:r>
      <w:r w:rsidR="00D13565">
        <w:rPr>
          <w:rFonts w:eastAsia="Arial"/>
        </w:rPr>
        <w:t>ationships between LMCs and GPs.</w:t>
      </w:r>
    </w:p>
    <w:p w:rsidR="00F1385A" w:rsidRPr="00D13565" w:rsidRDefault="00F1385A" w:rsidP="0023515C">
      <w:pPr>
        <w:pStyle w:val="Bullet"/>
        <w:spacing w:before="70"/>
        <w:rPr>
          <w:rFonts w:eastAsia="Arial"/>
          <w:spacing w:val="-2"/>
        </w:rPr>
      </w:pPr>
      <w:r w:rsidRPr="00D13565">
        <w:rPr>
          <w:rFonts w:eastAsia="Arial"/>
          <w:b/>
          <w:bCs/>
          <w:spacing w:val="-2"/>
        </w:rPr>
        <w:t>Variation in Gestation at Birth</w:t>
      </w:r>
      <w:r w:rsidR="00F71BF6" w:rsidRPr="00D13565">
        <w:rPr>
          <w:rFonts w:eastAsia="Arial"/>
          <w:b/>
          <w:bCs/>
          <w:spacing w:val="-2"/>
        </w:rPr>
        <w:t xml:space="preserve"> – </w:t>
      </w:r>
      <w:r w:rsidRPr="00D13565">
        <w:rPr>
          <w:rFonts w:eastAsia="Arial"/>
          <w:spacing w:val="-2"/>
        </w:rPr>
        <w:t>we want rates of induction of labour and caesarean sections to be monitored carefully by DHBs and progress fed through to the NMMG. It is essential that health care providers, DHBs and other stakeholders use consistent terminology</w:t>
      </w:r>
      <w:r w:rsidR="00D13565" w:rsidRPr="00D13565">
        <w:rPr>
          <w:rFonts w:eastAsia="Arial"/>
          <w:spacing w:val="-2"/>
        </w:rPr>
        <w:t>.</w:t>
      </w:r>
    </w:p>
    <w:p w:rsidR="00F1385A" w:rsidRPr="00237CBD" w:rsidRDefault="00F1385A" w:rsidP="0023515C">
      <w:pPr>
        <w:pStyle w:val="Bullet"/>
        <w:spacing w:before="70"/>
        <w:rPr>
          <w:rFonts w:eastAsia="Arial"/>
        </w:rPr>
      </w:pPr>
      <w:r w:rsidRPr="00237CBD">
        <w:rPr>
          <w:rFonts w:eastAsia="Arial"/>
          <w:b/>
          <w:bCs/>
        </w:rPr>
        <w:t>National Consistency in Provision of Coordinated Maternal Mental Health Services</w:t>
      </w:r>
      <w:r w:rsidR="00F71BF6" w:rsidRPr="00237CBD">
        <w:rPr>
          <w:rFonts w:eastAsia="Arial"/>
          <w:b/>
          <w:bCs/>
        </w:rPr>
        <w:t xml:space="preserve"> – </w:t>
      </w:r>
      <w:r w:rsidRPr="00237CBD">
        <w:rPr>
          <w:rFonts w:eastAsia="Arial"/>
        </w:rPr>
        <w:t>each DHB must include a formal maternal mental health referral pathway in its next MQSP annual report</w:t>
      </w:r>
      <w:r w:rsidR="00D13565">
        <w:rPr>
          <w:rFonts w:eastAsia="Arial"/>
        </w:rPr>
        <w:t>.</w:t>
      </w:r>
    </w:p>
    <w:p w:rsidR="00F1385A" w:rsidRPr="00237CBD" w:rsidRDefault="00F1385A" w:rsidP="0023515C">
      <w:pPr>
        <w:pStyle w:val="Bullet"/>
        <w:spacing w:before="70"/>
        <w:rPr>
          <w:rFonts w:eastAsia="Arial"/>
        </w:rPr>
      </w:pPr>
      <w:r w:rsidRPr="00237CBD">
        <w:rPr>
          <w:rFonts w:eastAsia="Arial"/>
          <w:b/>
          <w:bCs/>
        </w:rPr>
        <w:t>Maternity Ultrasounds</w:t>
      </w:r>
      <w:r w:rsidR="00F71BF6" w:rsidRPr="00237CBD">
        <w:rPr>
          <w:rFonts w:eastAsia="Arial"/>
          <w:b/>
          <w:bCs/>
        </w:rPr>
        <w:t xml:space="preserve"> – </w:t>
      </w:r>
      <w:r w:rsidRPr="00237CBD">
        <w:rPr>
          <w:rFonts w:eastAsia="Arial"/>
        </w:rPr>
        <w:t>we want more effort from professionals, the Ministry and DHBs to understand and act on the rising number of primary ultrasound scans. This is a priority for the NMMG</w:t>
      </w:r>
      <w:r w:rsidR="00D13565">
        <w:rPr>
          <w:rFonts w:eastAsia="Arial"/>
        </w:rPr>
        <w:t>.</w:t>
      </w:r>
    </w:p>
    <w:p w:rsidR="00F1385A" w:rsidRPr="00D13565" w:rsidRDefault="00F1385A" w:rsidP="0023515C">
      <w:pPr>
        <w:pStyle w:val="Bullet"/>
        <w:spacing w:before="70"/>
        <w:rPr>
          <w:rFonts w:eastAsia="Arial"/>
        </w:rPr>
      </w:pPr>
      <w:r w:rsidRPr="00D13565">
        <w:rPr>
          <w:rFonts w:eastAsia="Arial"/>
          <w:b/>
          <w:bCs/>
        </w:rPr>
        <w:t>Connecting and Supporting Maternity Consumer Representatives</w:t>
      </w:r>
      <w:r w:rsidR="00F71BF6" w:rsidRPr="00D13565">
        <w:rPr>
          <w:rFonts w:eastAsia="Arial"/>
          <w:b/>
          <w:bCs/>
        </w:rPr>
        <w:t xml:space="preserve"> – </w:t>
      </w:r>
      <w:r w:rsidRPr="00D13565">
        <w:rPr>
          <w:rFonts w:eastAsia="Arial"/>
        </w:rPr>
        <w:t>support for consumer representatives is lacking. DHBs and the Ministry have a role in addressing this. Support</w:t>
      </w:r>
      <w:r w:rsidR="00D13565" w:rsidRPr="00D13565">
        <w:rPr>
          <w:rFonts w:eastAsia="Arial"/>
        </w:rPr>
        <w:t xml:space="preserve"> </w:t>
      </w:r>
      <w:r w:rsidRPr="00D13565">
        <w:rPr>
          <w:rFonts w:eastAsia="Arial"/>
        </w:rPr>
        <w:t>must include role clarification, financial reimbursement, access to their community, proper mechanisms to report into the MQSP and opportunities to connect at the national level</w:t>
      </w:r>
      <w:r w:rsidR="00D13565">
        <w:rPr>
          <w:rFonts w:eastAsia="Arial"/>
        </w:rPr>
        <w:t>.</w:t>
      </w:r>
    </w:p>
    <w:p w:rsidR="00F1385A" w:rsidRPr="00D13565" w:rsidRDefault="00F1385A" w:rsidP="0023515C">
      <w:pPr>
        <w:pStyle w:val="Bullet"/>
        <w:spacing w:before="70"/>
        <w:ind w:right="-142"/>
        <w:rPr>
          <w:rFonts w:eastAsia="Arial"/>
          <w:spacing w:val="-2"/>
        </w:rPr>
      </w:pPr>
      <w:r w:rsidRPr="00D13565">
        <w:rPr>
          <w:rFonts w:eastAsia="Arial"/>
          <w:b/>
          <w:bCs/>
          <w:spacing w:val="-2"/>
        </w:rPr>
        <w:t>The New Zealand Maternity</w:t>
      </w:r>
      <w:r w:rsidR="00F71BF6" w:rsidRPr="00D13565">
        <w:rPr>
          <w:rFonts w:eastAsia="Arial"/>
          <w:b/>
          <w:bCs/>
          <w:spacing w:val="-2"/>
        </w:rPr>
        <w:t xml:space="preserve"> </w:t>
      </w:r>
      <w:r w:rsidRPr="00D13565">
        <w:rPr>
          <w:rFonts w:eastAsia="Arial"/>
          <w:b/>
          <w:bCs/>
          <w:spacing w:val="-2"/>
        </w:rPr>
        <w:t>Clinical Indicators</w:t>
      </w:r>
      <w:r w:rsidR="00F71BF6" w:rsidRPr="00D13565">
        <w:rPr>
          <w:rFonts w:eastAsia="Arial"/>
          <w:b/>
          <w:bCs/>
          <w:spacing w:val="-2"/>
        </w:rPr>
        <w:t xml:space="preserve"> – </w:t>
      </w:r>
      <w:r w:rsidRPr="00D13565">
        <w:rPr>
          <w:rFonts w:eastAsia="Arial"/>
          <w:spacing w:val="-2"/>
        </w:rPr>
        <w:t>clinical maternity coders are under-supported which is hampering national consistency. The Ministry and the DHBs must address this</w:t>
      </w:r>
      <w:r w:rsidR="00D13565" w:rsidRPr="00D13565">
        <w:rPr>
          <w:rFonts w:eastAsia="Arial"/>
          <w:spacing w:val="-2"/>
        </w:rPr>
        <w:t>.</w:t>
      </w:r>
    </w:p>
    <w:p w:rsidR="00F1385A" w:rsidRPr="00237CBD" w:rsidRDefault="00F1385A" w:rsidP="0023515C">
      <w:pPr>
        <w:pStyle w:val="Bullet"/>
        <w:spacing w:before="70"/>
        <w:rPr>
          <w:rFonts w:eastAsia="Arial"/>
        </w:rPr>
      </w:pPr>
      <w:r w:rsidRPr="00237CBD">
        <w:rPr>
          <w:rFonts w:eastAsia="Arial"/>
          <w:b/>
          <w:bCs/>
        </w:rPr>
        <w:t>Ministry of Health Annual Report on Maternity</w:t>
      </w:r>
      <w:r w:rsidR="00F71BF6" w:rsidRPr="00237CBD">
        <w:rPr>
          <w:rFonts w:eastAsia="Arial"/>
          <w:b/>
          <w:bCs/>
        </w:rPr>
        <w:t xml:space="preserve"> – </w:t>
      </w:r>
      <w:r w:rsidRPr="00237CBD">
        <w:rPr>
          <w:rFonts w:eastAsia="Arial"/>
        </w:rPr>
        <w:t>this report is valuable and must be presented annually. We recommended a number of areas for improvement last year</w:t>
      </w:r>
      <w:r w:rsidR="00D13565">
        <w:rPr>
          <w:rFonts w:eastAsia="Arial"/>
        </w:rPr>
        <w:t>.</w:t>
      </w:r>
    </w:p>
    <w:p w:rsidR="00F1385A" w:rsidRPr="00237CBD" w:rsidRDefault="00F1385A" w:rsidP="0023515C">
      <w:pPr>
        <w:pStyle w:val="Bullet"/>
        <w:spacing w:before="70"/>
        <w:rPr>
          <w:rFonts w:eastAsia="Arial"/>
        </w:rPr>
      </w:pPr>
      <w:r w:rsidRPr="00237CBD">
        <w:rPr>
          <w:rFonts w:eastAsia="Arial"/>
          <w:b/>
          <w:bCs/>
        </w:rPr>
        <w:t>District Health Board Maternity Quality and Safety Programme Annual Reports</w:t>
      </w:r>
      <w:r w:rsidR="00F71BF6" w:rsidRPr="00237CBD">
        <w:rPr>
          <w:rFonts w:eastAsia="Arial"/>
          <w:b/>
          <w:bCs/>
        </w:rPr>
        <w:t xml:space="preserve"> – </w:t>
      </w:r>
      <w:r w:rsidRPr="00237CBD">
        <w:rPr>
          <w:rFonts w:eastAsia="Arial"/>
        </w:rPr>
        <w:t>work to improve the quality of maternity services needs to be aligned with wider quality initiatives at the DHB level.</w:t>
      </w:r>
    </w:p>
    <w:p w:rsidR="00F1385A" w:rsidRPr="00237CBD" w:rsidRDefault="00F1385A" w:rsidP="0023515C">
      <w:pPr>
        <w:spacing w:before="180"/>
        <w:rPr>
          <w:rFonts w:eastAsia="Arial"/>
        </w:rPr>
      </w:pPr>
      <w:r w:rsidRPr="00237CBD">
        <w:rPr>
          <w:rFonts w:eastAsia="Arial"/>
        </w:rPr>
        <w:t>We also expect continued action in many of the areas covered in the NMMG 2013 Annual Report. This includes:</w:t>
      </w:r>
    </w:p>
    <w:p w:rsidR="00F1385A" w:rsidRPr="00237CBD" w:rsidRDefault="00F1385A" w:rsidP="0023515C">
      <w:pPr>
        <w:pStyle w:val="Bullet"/>
        <w:spacing w:before="70"/>
        <w:rPr>
          <w:rFonts w:eastAsia="Arial"/>
        </w:rPr>
      </w:pPr>
      <w:r w:rsidRPr="00237CBD">
        <w:rPr>
          <w:rFonts w:eastAsia="Arial"/>
          <w:b/>
          <w:bCs/>
        </w:rPr>
        <w:t>The 2012 Guidelines for Consultation with Obstetric and Related Medical Services (Referral Guidelines</w:t>
      </w:r>
      <w:r w:rsidRPr="00237CBD">
        <w:rPr>
          <w:rFonts w:eastAsia="Arial"/>
        </w:rPr>
        <w:t>)</w:t>
      </w:r>
      <w:r w:rsidR="00F71BF6" w:rsidRPr="00237CBD">
        <w:rPr>
          <w:rFonts w:eastAsia="Arial"/>
        </w:rPr>
        <w:t xml:space="preserve"> – </w:t>
      </w:r>
      <w:r w:rsidRPr="00237CBD">
        <w:rPr>
          <w:rFonts w:eastAsia="Arial"/>
        </w:rPr>
        <w:t>clinical leadership and integration between community maternity service provision and maternity facilities must be discussed in DHBs so that the Referral Guidelines can be properly implemented</w:t>
      </w:r>
      <w:r w:rsidR="00D13565">
        <w:rPr>
          <w:rFonts w:eastAsia="Arial"/>
        </w:rPr>
        <w:t>.</w:t>
      </w:r>
    </w:p>
    <w:p w:rsidR="00F1385A" w:rsidRPr="00237CBD" w:rsidRDefault="00F1385A" w:rsidP="0023515C">
      <w:pPr>
        <w:pStyle w:val="Bullet"/>
        <w:spacing w:before="70"/>
        <w:rPr>
          <w:rFonts w:eastAsia="Arial"/>
        </w:rPr>
      </w:pPr>
      <w:r w:rsidRPr="00237CBD">
        <w:rPr>
          <w:rFonts w:eastAsia="Arial"/>
          <w:b/>
          <w:bCs/>
        </w:rPr>
        <w:t>Smoking among pregnant women</w:t>
      </w:r>
      <w:r w:rsidR="00F71BF6" w:rsidRPr="00237CBD">
        <w:rPr>
          <w:rFonts w:eastAsia="Arial"/>
          <w:b/>
          <w:bCs/>
        </w:rPr>
        <w:t xml:space="preserve"> – </w:t>
      </w:r>
      <w:r w:rsidRPr="00237CBD">
        <w:rPr>
          <w:rFonts w:eastAsia="Arial"/>
        </w:rPr>
        <w:t>the Ministry should consider requiring PHOs to record and report on the smoking cessation (ABC) advice given</w:t>
      </w:r>
      <w:r w:rsidR="00F71BF6" w:rsidRPr="00237CBD">
        <w:rPr>
          <w:rFonts w:eastAsia="Arial"/>
        </w:rPr>
        <w:t xml:space="preserve"> </w:t>
      </w:r>
      <w:r w:rsidRPr="00237CBD">
        <w:rPr>
          <w:rFonts w:eastAsia="Arial"/>
        </w:rPr>
        <w:t>to pregnant women in their general practices.</w:t>
      </w:r>
    </w:p>
    <w:p w:rsidR="00F1385A" w:rsidRPr="00D13565" w:rsidRDefault="00F1385A" w:rsidP="0023515C">
      <w:pPr>
        <w:spacing w:before="180"/>
        <w:rPr>
          <w:rFonts w:eastAsia="Arial"/>
          <w:b/>
        </w:rPr>
      </w:pPr>
      <w:r w:rsidRPr="00D13565">
        <w:rPr>
          <w:rFonts w:eastAsia="Arial"/>
          <w:b/>
        </w:rPr>
        <w:t>You can read more details of all these recommendations in the appropriate sections of this annual report.</w:t>
      </w:r>
    </w:p>
    <w:p w:rsidR="00D435C9" w:rsidRPr="00237CBD" w:rsidRDefault="002916A9" w:rsidP="00011384">
      <w:pPr>
        <w:pStyle w:val="Heading1"/>
        <w:rPr>
          <w:rFonts w:eastAsia="Arial"/>
        </w:rPr>
      </w:pPr>
      <w:r w:rsidRPr="00237CBD">
        <w:rPr>
          <w:rFonts w:eastAsia="Arial"/>
          <w:color w:val="68686A"/>
          <w:szCs w:val="60"/>
        </w:rPr>
        <w:br w:type="page"/>
      </w:r>
      <w:bookmarkStart w:id="9" w:name="_Toc404355653"/>
      <w:r w:rsidR="00D435C9" w:rsidRPr="00237CBD">
        <w:rPr>
          <w:rFonts w:eastAsia="Arial"/>
        </w:rPr>
        <w:lastRenderedPageBreak/>
        <w:t xml:space="preserve">The </w:t>
      </w:r>
      <w:r w:rsidR="00F1385A" w:rsidRPr="00237CBD">
        <w:rPr>
          <w:rFonts w:eastAsia="Arial"/>
        </w:rPr>
        <w:t>Second</w:t>
      </w:r>
      <w:r w:rsidR="00D435C9" w:rsidRPr="00237CBD">
        <w:rPr>
          <w:rFonts w:eastAsia="Arial"/>
        </w:rPr>
        <w:t xml:space="preserve"> Annual Report of</w:t>
      </w:r>
      <w:r w:rsidR="00BA111E" w:rsidRPr="00237CBD">
        <w:rPr>
          <w:rFonts w:eastAsia="Arial"/>
        </w:rPr>
        <w:t xml:space="preserve"> </w:t>
      </w:r>
      <w:r w:rsidR="00D435C9" w:rsidRPr="00237CBD">
        <w:rPr>
          <w:rFonts w:eastAsia="Arial"/>
        </w:rPr>
        <w:t>the National Maternity Monitoring Group</w:t>
      </w:r>
      <w:bookmarkEnd w:id="9"/>
    </w:p>
    <w:p w:rsidR="00D435C9" w:rsidRPr="00237CBD" w:rsidRDefault="00D435C9" w:rsidP="00011384">
      <w:pPr>
        <w:pStyle w:val="Introparagraph"/>
        <w:ind w:right="1985"/>
      </w:pPr>
      <w:r w:rsidRPr="00237CBD">
        <w:t>Over the following pages we outline our work over the year 201</w:t>
      </w:r>
      <w:r w:rsidR="00F1385A" w:rsidRPr="00237CBD">
        <w:t>3</w:t>
      </w:r>
      <w:r w:rsidRPr="00237CBD">
        <w:t>/201</w:t>
      </w:r>
      <w:r w:rsidR="00F1385A" w:rsidRPr="00237CBD">
        <w:t>4</w:t>
      </w:r>
      <w:r w:rsidRPr="00237CBD">
        <w:t>. We talk about our remit, findings and give areas for improvement. We also share examples of good practice and useful statistics.</w:t>
      </w:r>
    </w:p>
    <w:p w:rsidR="00D435C9" w:rsidRPr="00237CBD" w:rsidRDefault="00D435C9" w:rsidP="00E8224F"/>
    <w:p w:rsidR="00D435C9" w:rsidRPr="00237CBD" w:rsidRDefault="00E8224F" w:rsidP="00011384">
      <w:pPr>
        <w:pStyle w:val="Heading1"/>
        <w:rPr>
          <w:rFonts w:eastAsia="Arial"/>
        </w:rPr>
      </w:pPr>
      <w:r w:rsidRPr="00237CBD">
        <w:rPr>
          <w:rFonts w:eastAsia="Arial"/>
        </w:rPr>
        <w:br w:type="page"/>
      </w:r>
      <w:bookmarkStart w:id="10" w:name="_Toc404355654"/>
      <w:r w:rsidR="00D435C9" w:rsidRPr="00237CBD">
        <w:rPr>
          <w:rFonts w:eastAsia="Arial"/>
        </w:rPr>
        <w:lastRenderedPageBreak/>
        <w:t>Registration with a</w:t>
      </w:r>
      <w:r w:rsidR="002B5686" w:rsidRPr="00237CBD">
        <w:rPr>
          <w:rFonts w:eastAsia="Arial"/>
        </w:rPr>
        <w:br/>
      </w:r>
      <w:r w:rsidR="00D435C9" w:rsidRPr="00237CBD">
        <w:rPr>
          <w:rFonts w:eastAsia="Arial"/>
        </w:rPr>
        <w:t>Lead Maternity Carer</w:t>
      </w:r>
      <w:bookmarkEnd w:id="10"/>
    </w:p>
    <w:p w:rsidR="00D435C9" w:rsidRPr="00237CBD" w:rsidRDefault="00D435C9" w:rsidP="00011384">
      <w:pPr>
        <w:pStyle w:val="Heading2"/>
      </w:pPr>
      <w:bookmarkStart w:id="11" w:name="_Toc404355655"/>
      <w:r w:rsidRPr="00237CBD">
        <w:t>Our focus</w:t>
      </w:r>
      <w:bookmarkEnd w:id="11"/>
    </w:p>
    <w:p w:rsidR="00E06EC4" w:rsidRPr="00237CBD" w:rsidRDefault="00E06EC4" w:rsidP="00011384">
      <w:pPr>
        <w:pStyle w:val="Introparagraph"/>
      </w:pPr>
      <w:proofErr w:type="gramStart"/>
      <w:r w:rsidRPr="00237CBD">
        <w:t>To investigate the timing of registration with Lead Maternity Carers (LMCs), paying particular attention to those women not registering before 12</w:t>
      </w:r>
      <w:r w:rsidR="00011384">
        <w:t> </w:t>
      </w:r>
      <w:r w:rsidRPr="00237CBD">
        <w:t>weeks</w:t>
      </w:r>
      <w:r w:rsidR="00F71BF6" w:rsidRPr="00237CBD">
        <w:t>’</w:t>
      </w:r>
      <w:r w:rsidRPr="00237CBD">
        <w:t xml:space="preserve"> gestation.</w:t>
      </w:r>
      <w:proofErr w:type="gramEnd"/>
      <w:r w:rsidRPr="00237CBD">
        <w:t xml:space="preserve"> We selected a 12 week cut-off as this signifies the end of the first trimester and the data capture for this period can be obtained through the National Maternity Collection as a result of claims against the Section 88</w:t>
      </w:r>
      <w:r w:rsidR="00011384">
        <w:t xml:space="preserve"> </w:t>
      </w:r>
      <w:r w:rsidRPr="00237CBD">
        <w:t>Notice. In addition, we wanted to explore how each DHB might improve the level of, and access to, LMC registration.</w:t>
      </w:r>
    </w:p>
    <w:p w:rsidR="00E06EC4" w:rsidRPr="00237CBD" w:rsidRDefault="00E06EC4" w:rsidP="00011384"/>
    <w:p w:rsidR="00E06EC4" w:rsidRPr="00237CBD" w:rsidRDefault="00E06EC4" w:rsidP="00011384">
      <w:pPr>
        <w:rPr>
          <w:rFonts w:eastAsia="Arial"/>
        </w:rPr>
      </w:pPr>
      <w:r w:rsidRPr="00237CBD">
        <w:rPr>
          <w:rFonts w:eastAsia="Arial"/>
        </w:rPr>
        <w:t>We began our work in this area in 2012. We originally</w:t>
      </w:r>
      <w:r w:rsidR="00F71BF6" w:rsidRPr="00237CBD">
        <w:rPr>
          <w:rFonts w:eastAsia="Arial"/>
        </w:rPr>
        <w:t xml:space="preserve"> </w:t>
      </w:r>
      <w:r w:rsidRPr="00237CBD">
        <w:rPr>
          <w:rFonts w:eastAsia="Arial"/>
        </w:rPr>
        <w:t>chose this work stream to reflect a recommendation discussed in the Sixth Annual Report of the PMMRC</w:t>
      </w:r>
      <w:r w:rsidR="00011384">
        <w:rPr>
          <w:rFonts w:eastAsia="Arial"/>
        </w:rPr>
        <w:t>.</w:t>
      </w:r>
      <w:r w:rsidR="00011384">
        <w:rPr>
          <w:rStyle w:val="FootnoteReference"/>
          <w:rFonts w:eastAsia="Arial"/>
        </w:rPr>
        <w:footnoteReference w:id="2"/>
      </w:r>
      <w:r w:rsidRPr="00237CBD">
        <w:rPr>
          <w:rFonts w:eastAsia="Arial"/>
        </w:rPr>
        <w:t xml:space="preserve"> On page six of that report, it was identified that:</w:t>
      </w:r>
    </w:p>
    <w:p w:rsidR="00E06EC4" w:rsidRPr="00237CBD" w:rsidRDefault="00F71BF6" w:rsidP="00011384">
      <w:pPr>
        <w:pStyle w:val="Quote"/>
        <w:rPr>
          <w:rFonts w:eastAsia="Arial"/>
        </w:rPr>
      </w:pPr>
      <w:r w:rsidRPr="00237CBD">
        <w:rPr>
          <w:rFonts w:eastAsia="Arial"/>
        </w:rPr>
        <w:t>“</w:t>
      </w:r>
      <w:r w:rsidR="00E06EC4" w:rsidRPr="00237CBD">
        <w:rPr>
          <w:rFonts w:eastAsia="Arial"/>
        </w:rPr>
        <w:t>All women should commence maternity care before 10 weeks, which enables:</w:t>
      </w:r>
    </w:p>
    <w:p w:rsidR="00F71BF6" w:rsidRPr="00011384" w:rsidRDefault="00011384" w:rsidP="00011384">
      <w:pPr>
        <w:pStyle w:val="Bullet"/>
        <w:ind w:left="568" w:right="284"/>
        <w:rPr>
          <w:rFonts w:eastAsia="Arial"/>
          <w:i/>
        </w:rPr>
      </w:pPr>
      <w:r>
        <w:rPr>
          <w:rFonts w:eastAsia="Arial"/>
          <w:i/>
        </w:rPr>
        <w:t>o</w:t>
      </w:r>
      <w:r w:rsidR="00E06EC4" w:rsidRPr="00011384">
        <w:rPr>
          <w:rFonts w:eastAsia="Arial"/>
          <w:i/>
        </w:rPr>
        <w:t>pportunity to offer screening for congenital abnormalities, sexually</w:t>
      </w:r>
      <w:r w:rsidR="00F71BF6" w:rsidRPr="00011384">
        <w:rPr>
          <w:rFonts w:eastAsia="Arial"/>
          <w:i/>
        </w:rPr>
        <w:t xml:space="preserve"> </w:t>
      </w:r>
      <w:r w:rsidR="00E06EC4" w:rsidRPr="00011384">
        <w:rPr>
          <w:rFonts w:eastAsia="Arial"/>
          <w:i/>
        </w:rPr>
        <w:t>transmitted infections, family violence and maternal mental health, with</w:t>
      </w:r>
      <w:r w:rsidR="00F71BF6" w:rsidRPr="00011384">
        <w:rPr>
          <w:rFonts w:eastAsia="Arial"/>
          <w:i/>
        </w:rPr>
        <w:t xml:space="preserve"> </w:t>
      </w:r>
      <w:r w:rsidR="00E06EC4" w:rsidRPr="00011384">
        <w:rPr>
          <w:rFonts w:eastAsia="Arial"/>
          <w:i/>
        </w:rPr>
        <w:t>referral as appropriate</w:t>
      </w:r>
    </w:p>
    <w:p w:rsidR="00E06EC4" w:rsidRPr="00011384" w:rsidRDefault="00011384" w:rsidP="00011384">
      <w:pPr>
        <w:pStyle w:val="Bullet"/>
        <w:ind w:left="568" w:right="284"/>
        <w:rPr>
          <w:rFonts w:eastAsia="Arial"/>
          <w:i/>
        </w:rPr>
      </w:pPr>
      <w:r>
        <w:rPr>
          <w:rFonts w:eastAsia="Arial"/>
          <w:i/>
        </w:rPr>
        <w:t>e</w:t>
      </w:r>
      <w:r w:rsidR="00E06EC4" w:rsidRPr="00011384">
        <w:rPr>
          <w:rFonts w:eastAsia="Arial"/>
          <w:i/>
        </w:rPr>
        <w:t>ducation around nutrition, smoking, alcohol and drug use, and other at-risk behaviour</w:t>
      </w:r>
    </w:p>
    <w:p w:rsidR="00E06EC4" w:rsidRPr="00011384" w:rsidRDefault="00011384" w:rsidP="00011384">
      <w:pPr>
        <w:pStyle w:val="Bullet"/>
        <w:ind w:left="568" w:right="284"/>
        <w:rPr>
          <w:rFonts w:eastAsia="Arial"/>
          <w:i/>
        </w:rPr>
      </w:pPr>
      <w:r>
        <w:rPr>
          <w:rFonts w:eastAsia="Arial"/>
          <w:i/>
        </w:rPr>
        <w:t>r</w:t>
      </w:r>
      <w:r w:rsidR="00E06EC4" w:rsidRPr="00011384">
        <w:rPr>
          <w:rFonts w:eastAsia="Arial"/>
          <w:i/>
        </w:rPr>
        <w:t>ecognition of underlying medical conditions, with referral to secondary care as appropriate, and</w:t>
      </w:r>
    </w:p>
    <w:p w:rsidR="00E06EC4" w:rsidRPr="00011384" w:rsidRDefault="00011384" w:rsidP="00011384">
      <w:pPr>
        <w:pStyle w:val="Bullet"/>
        <w:ind w:left="568" w:right="284"/>
        <w:rPr>
          <w:rFonts w:eastAsia="Arial"/>
          <w:i/>
        </w:rPr>
      </w:pPr>
      <w:proofErr w:type="gramStart"/>
      <w:r>
        <w:rPr>
          <w:rFonts w:eastAsia="Arial"/>
          <w:i/>
        </w:rPr>
        <w:t>i</w:t>
      </w:r>
      <w:r w:rsidR="00E06EC4" w:rsidRPr="00011384">
        <w:rPr>
          <w:rFonts w:eastAsia="Arial"/>
          <w:i/>
        </w:rPr>
        <w:t>dentification</w:t>
      </w:r>
      <w:proofErr w:type="gramEnd"/>
      <w:r w:rsidR="00E06EC4" w:rsidRPr="00011384">
        <w:rPr>
          <w:rFonts w:eastAsia="Arial"/>
          <w:i/>
        </w:rPr>
        <w:t xml:space="preserve"> of at-risk women (maternal age, obesity, maternal mental health problems, multiple pregnancy, socioeconomic deprivation, maternal medical conditions).</w:t>
      </w:r>
      <w:r w:rsidR="00F71BF6" w:rsidRPr="00011384">
        <w:rPr>
          <w:rFonts w:eastAsia="Arial"/>
          <w:i/>
        </w:rPr>
        <w:t>”</w:t>
      </w:r>
    </w:p>
    <w:p w:rsidR="00E06EC4" w:rsidRPr="00237CBD" w:rsidRDefault="00E06EC4" w:rsidP="00011384"/>
    <w:p w:rsidR="00E06EC4" w:rsidRPr="00237CBD" w:rsidRDefault="00E06EC4" w:rsidP="00011384">
      <w:pPr>
        <w:rPr>
          <w:rFonts w:eastAsia="Arial"/>
        </w:rPr>
      </w:pPr>
      <w:r w:rsidRPr="00237CBD">
        <w:rPr>
          <w:rFonts w:eastAsia="Arial"/>
        </w:rPr>
        <w:t xml:space="preserve">Additionally, in 2013 a House of Representatives Health Committee Report titled </w:t>
      </w:r>
      <w:r w:rsidR="00F71BF6" w:rsidRPr="00237CBD">
        <w:rPr>
          <w:rFonts w:eastAsia="Arial"/>
        </w:rPr>
        <w:t>‘</w:t>
      </w:r>
      <w:r w:rsidRPr="00237CBD">
        <w:rPr>
          <w:rFonts w:eastAsia="Arial"/>
        </w:rPr>
        <w:t>Inquiry into improving child health outcomes and preventing child abuse, with a focus from preconception until three years of age</w:t>
      </w:r>
      <w:r w:rsidR="00F71BF6" w:rsidRPr="00237CBD">
        <w:rPr>
          <w:rFonts w:eastAsia="Arial"/>
        </w:rPr>
        <w:t>’</w:t>
      </w:r>
      <w:r w:rsidR="00011384">
        <w:rPr>
          <w:rStyle w:val="FootnoteReference"/>
          <w:rFonts w:eastAsia="Arial"/>
        </w:rPr>
        <w:footnoteReference w:id="3"/>
      </w:r>
      <w:r w:rsidR="00011384">
        <w:rPr>
          <w:rFonts w:eastAsia="Arial"/>
        </w:rPr>
        <w:t xml:space="preserve"> </w:t>
      </w:r>
      <w:r w:rsidRPr="00237CBD">
        <w:rPr>
          <w:rFonts w:eastAsia="Arial"/>
        </w:rPr>
        <w:t>gave a number of recommendations that relate to this work stream, including:</w:t>
      </w:r>
    </w:p>
    <w:p w:rsidR="00E06EC4" w:rsidRPr="00237CBD" w:rsidRDefault="00F71BF6" w:rsidP="00011384">
      <w:pPr>
        <w:pStyle w:val="Quote"/>
        <w:rPr>
          <w:rFonts w:eastAsia="Arial"/>
        </w:rPr>
      </w:pPr>
      <w:r w:rsidRPr="00237CBD">
        <w:rPr>
          <w:rFonts w:eastAsia="Arial"/>
        </w:rPr>
        <w:t>“</w:t>
      </w:r>
      <w:r w:rsidR="00E06EC4" w:rsidRPr="00237CBD">
        <w:rPr>
          <w:rFonts w:eastAsia="Arial"/>
        </w:rPr>
        <w:t>That the Ministry of Health require district health boards to set a key performance indicator for the majority of women to be booked in for antenatal assessment by 10</w:t>
      </w:r>
      <w:r w:rsidR="00011384">
        <w:rPr>
          <w:rFonts w:eastAsia="Arial"/>
        </w:rPr>
        <w:t> </w:t>
      </w:r>
      <w:r w:rsidR="00E06EC4" w:rsidRPr="00237CBD">
        <w:rPr>
          <w:rFonts w:eastAsia="Arial"/>
        </w:rPr>
        <w:t>weeks</w:t>
      </w:r>
      <w:r w:rsidRPr="00237CBD">
        <w:rPr>
          <w:rFonts w:eastAsia="Arial"/>
        </w:rPr>
        <w:t>’</w:t>
      </w:r>
      <w:r w:rsidR="00E06EC4" w:rsidRPr="00237CBD">
        <w:rPr>
          <w:rFonts w:eastAsia="Arial"/>
        </w:rPr>
        <w:t xml:space="preserve"> gestation.</w:t>
      </w:r>
      <w:r w:rsidRPr="00237CBD">
        <w:rPr>
          <w:rFonts w:eastAsia="Arial"/>
        </w:rPr>
        <w:t xml:space="preserve"> </w:t>
      </w:r>
      <w:r w:rsidR="00E06EC4" w:rsidRPr="00237CBD">
        <w:rPr>
          <w:rFonts w:eastAsia="Arial"/>
        </w:rPr>
        <w:t>Best-practice clinical, social, and laboratory assessment should take place, and an ongoing plan for the pregnancy formulated.</w:t>
      </w:r>
      <w:r w:rsidRPr="00237CBD">
        <w:rPr>
          <w:rFonts w:eastAsia="Arial"/>
        </w:rPr>
        <w:t>”</w:t>
      </w:r>
    </w:p>
    <w:p w:rsidR="00E06EC4" w:rsidRPr="00237CBD" w:rsidRDefault="00E06EC4" w:rsidP="00011384"/>
    <w:p w:rsidR="00E06EC4" w:rsidRPr="00237CBD" w:rsidRDefault="00E06EC4" w:rsidP="004F3A4B">
      <w:pPr>
        <w:keepLines/>
        <w:rPr>
          <w:rFonts w:eastAsia="Arial"/>
        </w:rPr>
      </w:pPr>
      <w:r w:rsidRPr="00237CBD">
        <w:rPr>
          <w:rFonts w:eastAsia="Arial"/>
        </w:rPr>
        <w:lastRenderedPageBreak/>
        <w:t>We continue to focus on this work stream because it is important. All parties within maternity need to continue to educate women about the need to connect with a health professional in the first trimester of pregnancy. The aim of registering early is to commence the relationship of antenatal engagement, enabling ongoing monitoring and support to be provided for the pregnancy. Public health messages can also be conveyed at this early stage. For this to occur,</w:t>
      </w:r>
      <w:r w:rsidR="00011384">
        <w:rPr>
          <w:rFonts w:eastAsia="Arial"/>
        </w:rPr>
        <w:t xml:space="preserve"> </w:t>
      </w:r>
      <w:r w:rsidRPr="00237CBD">
        <w:rPr>
          <w:rFonts w:eastAsia="Arial"/>
        </w:rPr>
        <w:t>women themselves need to understand the importance of registering with an LMC early and to experience and see value in doing so for the health of both themselves and their baby.</w:t>
      </w:r>
    </w:p>
    <w:p w:rsidR="00E06EC4" w:rsidRPr="00237CBD" w:rsidRDefault="00E06EC4" w:rsidP="009F1D06"/>
    <w:p w:rsidR="00E06EC4" w:rsidRPr="00237CBD" w:rsidRDefault="00E06EC4" w:rsidP="009F1D06">
      <w:pPr>
        <w:pStyle w:val="Heading2"/>
        <w:rPr>
          <w:rFonts w:eastAsia="Arial"/>
        </w:rPr>
      </w:pPr>
      <w:bookmarkStart w:id="12" w:name="_Toc404355656"/>
      <w:r w:rsidRPr="00237CBD">
        <w:rPr>
          <w:rFonts w:eastAsia="Arial"/>
        </w:rPr>
        <w:t>What we</w:t>
      </w:r>
      <w:r w:rsidR="00F71BF6" w:rsidRPr="00237CBD">
        <w:rPr>
          <w:rFonts w:eastAsia="Arial"/>
        </w:rPr>
        <w:t>’</w:t>
      </w:r>
      <w:r w:rsidRPr="00237CBD">
        <w:rPr>
          <w:rFonts w:eastAsia="Arial"/>
        </w:rPr>
        <w:t>ve done this year</w:t>
      </w:r>
      <w:bookmarkEnd w:id="12"/>
    </w:p>
    <w:p w:rsidR="00E06EC4" w:rsidRPr="00237CBD" w:rsidRDefault="00E06EC4" w:rsidP="009F1D06">
      <w:pPr>
        <w:rPr>
          <w:rFonts w:eastAsia="Arial"/>
        </w:rPr>
      </w:pPr>
      <w:r w:rsidRPr="00237CBD">
        <w:rPr>
          <w:rFonts w:eastAsia="Arial"/>
        </w:rPr>
        <w:t>We assessed data from the National Maternity Collection (2013). We looked specifically at the number and percentage of women registered with an LMC by the end of the first trimester, where the year of birth was 2012, in comparison to</w:t>
      </w:r>
      <w:r w:rsidR="009F1D06">
        <w:rPr>
          <w:rFonts w:eastAsia="Arial"/>
        </w:rPr>
        <w:t xml:space="preserve"> </w:t>
      </w:r>
      <w:r w:rsidRPr="00237CBD">
        <w:rPr>
          <w:rFonts w:eastAsia="Arial"/>
        </w:rPr>
        <w:t>2011. The data was organised by DHB of domicile and was the most current data available at the time.</w:t>
      </w:r>
    </w:p>
    <w:p w:rsidR="009F1D06" w:rsidRDefault="009F1D06" w:rsidP="009F1D06">
      <w:pPr>
        <w:rPr>
          <w:rFonts w:eastAsia="Arial"/>
        </w:rPr>
      </w:pPr>
    </w:p>
    <w:p w:rsidR="00E06EC4" w:rsidRPr="00237CBD" w:rsidRDefault="00E06EC4" w:rsidP="009F1D06">
      <w:pPr>
        <w:rPr>
          <w:rFonts w:eastAsia="Arial"/>
        </w:rPr>
      </w:pPr>
      <w:r w:rsidRPr="00237CBD">
        <w:rPr>
          <w:rFonts w:eastAsia="Arial"/>
        </w:rPr>
        <w:t>This data only includes women who have an LMC registration reported and funded under Section</w:t>
      </w:r>
      <w:r w:rsidR="009F1D06">
        <w:rPr>
          <w:rFonts w:eastAsia="Arial"/>
        </w:rPr>
        <w:t> </w:t>
      </w:r>
      <w:r w:rsidRPr="00237CBD">
        <w:rPr>
          <w:rFonts w:eastAsia="Arial"/>
        </w:rPr>
        <w:t>88 of the New Zealand Public Health and Disability Act 2000. Women who receive their primary maternity care from DHB-funded primary maternity teams are not included. DHB primary maternity care data collection is under</w:t>
      </w:r>
      <w:r w:rsidR="009F1D06">
        <w:rPr>
          <w:rFonts w:eastAsia="Arial"/>
        </w:rPr>
        <w:t xml:space="preserve"> </w:t>
      </w:r>
      <w:r w:rsidRPr="00237CBD">
        <w:rPr>
          <w:rFonts w:eastAsia="Arial"/>
        </w:rPr>
        <w:t>way but is not yet complete enough for analysis.</w:t>
      </w:r>
    </w:p>
    <w:p w:rsidR="009F1D06" w:rsidRDefault="009F1D06" w:rsidP="009F1D06">
      <w:pPr>
        <w:rPr>
          <w:rFonts w:eastAsia="Arial"/>
        </w:rPr>
      </w:pPr>
    </w:p>
    <w:p w:rsidR="00E06EC4" w:rsidRPr="00237CBD" w:rsidRDefault="00E06EC4" w:rsidP="009F1D06">
      <w:pPr>
        <w:rPr>
          <w:rFonts w:eastAsia="Arial"/>
        </w:rPr>
      </w:pPr>
      <w:r w:rsidRPr="00237CBD">
        <w:rPr>
          <w:rFonts w:eastAsia="Arial"/>
        </w:rPr>
        <w:t>Having reviewed the data, we then shared it with each DHB. This helped</w:t>
      </w:r>
      <w:r w:rsidR="00F71BF6" w:rsidRPr="00237CBD">
        <w:rPr>
          <w:rFonts w:eastAsia="Arial"/>
        </w:rPr>
        <w:t xml:space="preserve"> </w:t>
      </w:r>
      <w:r w:rsidRPr="00237CBD">
        <w:rPr>
          <w:rFonts w:eastAsia="Arial"/>
        </w:rPr>
        <w:t>each DHB</w:t>
      </w:r>
      <w:r w:rsidR="00F71BF6" w:rsidRPr="00237CBD">
        <w:rPr>
          <w:rFonts w:eastAsia="Arial"/>
        </w:rPr>
        <w:t>’</w:t>
      </w:r>
      <w:r w:rsidRPr="00237CBD">
        <w:rPr>
          <w:rFonts w:eastAsia="Arial"/>
        </w:rPr>
        <w:t>s Maternity Quality and Safety programme see whether the number of women in their region registering with an LMC during the first trimester in 2012 had improved or was similar to 2011. We also asked for information on:</w:t>
      </w:r>
    </w:p>
    <w:p w:rsidR="00E06EC4" w:rsidRPr="00237CBD" w:rsidRDefault="009F1D06" w:rsidP="009F1D06">
      <w:pPr>
        <w:pStyle w:val="Bullet"/>
        <w:rPr>
          <w:rFonts w:eastAsia="Arial"/>
        </w:rPr>
      </w:pPr>
      <w:r>
        <w:rPr>
          <w:rFonts w:eastAsia="Arial"/>
        </w:rPr>
        <w:t>h</w:t>
      </w:r>
      <w:r w:rsidR="00E06EC4" w:rsidRPr="00237CBD">
        <w:rPr>
          <w:rFonts w:eastAsia="Arial"/>
        </w:rPr>
        <w:t>ow they intend to improve the number of women registering with an LMC in the first trimester in their region</w:t>
      </w:r>
    </w:p>
    <w:p w:rsidR="00E06EC4" w:rsidRPr="00237CBD" w:rsidRDefault="009F1D06" w:rsidP="009F1D06">
      <w:pPr>
        <w:pStyle w:val="Bullet"/>
        <w:rPr>
          <w:rFonts w:eastAsia="Arial"/>
        </w:rPr>
      </w:pPr>
      <w:r>
        <w:rPr>
          <w:rFonts w:eastAsia="Arial"/>
        </w:rPr>
        <w:t>w</w:t>
      </w:r>
      <w:r w:rsidR="00E06EC4" w:rsidRPr="00237CBD">
        <w:rPr>
          <w:rFonts w:eastAsia="Arial"/>
        </w:rPr>
        <w:t>hether</w:t>
      </w:r>
      <w:r w:rsidR="00F71BF6" w:rsidRPr="00237CBD">
        <w:rPr>
          <w:rFonts w:eastAsia="Arial"/>
        </w:rPr>
        <w:t xml:space="preserve"> </w:t>
      </w:r>
      <w:r w:rsidR="00E06EC4" w:rsidRPr="00237CBD">
        <w:rPr>
          <w:rFonts w:eastAsia="Arial"/>
        </w:rPr>
        <w:t>their DHB had considered the recommendations made by the NMMG in the annual report 2012/13</w:t>
      </w:r>
    </w:p>
    <w:p w:rsidR="00E06EC4" w:rsidRPr="00237CBD" w:rsidRDefault="009F1D06" w:rsidP="009F1D06">
      <w:pPr>
        <w:pStyle w:val="Bullet"/>
        <w:rPr>
          <w:rFonts w:eastAsia="Arial"/>
        </w:rPr>
      </w:pPr>
      <w:r>
        <w:rPr>
          <w:rFonts w:eastAsia="Arial"/>
        </w:rPr>
        <w:t>h</w:t>
      </w:r>
      <w:r w:rsidR="00E06EC4" w:rsidRPr="00237CBD">
        <w:rPr>
          <w:rFonts w:eastAsia="Arial"/>
        </w:rPr>
        <w:t>ow they intend to engage with providers and local women to understand expectations and service provision in the first trimester</w:t>
      </w:r>
    </w:p>
    <w:p w:rsidR="00E06EC4" w:rsidRPr="00237CBD" w:rsidRDefault="009F1D06" w:rsidP="009F1D06">
      <w:pPr>
        <w:pStyle w:val="Bullet"/>
        <w:rPr>
          <w:rFonts w:eastAsia="Arial"/>
        </w:rPr>
      </w:pPr>
      <w:r>
        <w:rPr>
          <w:rFonts w:eastAsia="Arial"/>
        </w:rPr>
        <w:t>h</w:t>
      </w:r>
      <w:r w:rsidR="00E06EC4" w:rsidRPr="00237CBD">
        <w:rPr>
          <w:rFonts w:eastAsia="Arial"/>
        </w:rPr>
        <w:t>ow they ensure the LMC services in their area are culturally appropriate for different groups, and</w:t>
      </w:r>
    </w:p>
    <w:p w:rsidR="009F1D06" w:rsidRDefault="009F1D06" w:rsidP="009F1D06">
      <w:pPr>
        <w:pStyle w:val="Bullet"/>
        <w:rPr>
          <w:rFonts w:eastAsia="Arial"/>
        </w:rPr>
      </w:pPr>
      <w:proofErr w:type="gramStart"/>
      <w:r>
        <w:rPr>
          <w:rFonts w:eastAsia="Arial"/>
        </w:rPr>
        <w:t>i</w:t>
      </w:r>
      <w:r w:rsidR="00E06EC4" w:rsidRPr="00237CBD">
        <w:rPr>
          <w:rFonts w:eastAsia="Arial"/>
        </w:rPr>
        <w:t>f</w:t>
      </w:r>
      <w:proofErr w:type="gramEnd"/>
      <w:r w:rsidR="00E06EC4" w:rsidRPr="00237CBD">
        <w:rPr>
          <w:rFonts w:eastAsia="Arial"/>
        </w:rPr>
        <w:t xml:space="preserve"> they book women through a DHB primary maternity team, what is their DHB</w:t>
      </w:r>
      <w:r w:rsidR="00F71BF6" w:rsidRPr="00237CBD">
        <w:rPr>
          <w:rFonts w:eastAsia="Arial"/>
        </w:rPr>
        <w:t>’</w:t>
      </w:r>
      <w:r w:rsidR="00E06EC4" w:rsidRPr="00237CBD">
        <w:rPr>
          <w:rFonts w:eastAsia="Arial"/>
        </w:rPr>
        <w:t>s policy around gestation of booking.</w:t>
      </w:r>
    </w:p>
    <w:p w:rsidR="009F1D06" w:rsidRDefault="009F1D06" w:rsidP="009F1D06">
      <w:pPr>
        <w:rPr>
          <w:rFonts w:eastAsia="Arial"/>
        </w:rPr>
      </w:pPr>
    </w:p>
    <w:p w:rsidR="00E06EC4" w:rsidRDefault="00E06EC4" w:rsidP="009F1D06">
      <w:pPr>
        <w:rPr>
          <w:rFonts w:eastAsia="Arial"/>
        </w:rPr>
      </w:pPr>
      <w:r w:rsidRPr="00237CBD">
        <w:rPr>
          <w:rFonts w:eastAsia="Arial"/>
        </w:rPr>
        <w:t>Many women use non-LMC maternity services in the first trimester and we were keen to capture this data too. Non-LMC</w:t>
      </w:r>
      <w:r w:rsidR="009F1D06">
        <w:rPr>
          <w:rFonts w:eastAsia="Arial"/>
        </w:rPr>
        <w:t xml:space="preserve"> </w:t>
      </w:r>
      <w:r w:rsidRPr="00237CBD">
        <w:rPr>
          <w:rFonts w:eastAsia="Arial"/>
        </w:rPr>
        <w:t>maternity services are services that are either in addition to lead maternity care, or represent services sought on a casual</w:t>
      </w:r>
      <w:r w:rsidR="009F1D06">
        <w:rPr>
          <w:rFonts w:eastAsia="Arial"/>
        </w:rPr>
        <w:t xml:space="preserve"> </w:t>
      </w:r>
      <w:r w:rsidRPr="00237CBD">
        <w:rPr>
          <w:rFonts w:eastAsia="Arial"/>
        </w:rPr>
        <w:t>basis, mainly through general practice.</w:t>
      </w:r>
    </w:p>
    <w:p w:rsidR="009F1D06" w:rsidRPr="00237CBD" w:rsidRDefault="009F1D06" w:rsidP="009F1D06">
      <w:pPr>
        <w:rPr>
          <w:rFonts w:eastAsia="Arial"/>
        </w:rPr>
      </w:pPr>
    </w:p>
    <w:p w:rsidR="00E06EC4" w:rsidRDefault="00E06EC4" w:rsidP="009F1D06">
      <w:pPr>
        <w:rPr>
          <w:rFonts w:eastAsia="Arial"/>
        </w:rPr>
      </w:pPr>
      <w:r w:rsidRPr="00237CBD">
        <w:rPr>
          <w:rFonts w:eastAsia="Arial"/>
        </w:rPr>
        <w:t>They must be provided free of charge to women who are eligible to receive them. In order to claim for this service, providers must fulfil a number of criteria, including informing the woman about her options for choosing an LMC.</w:t>
      </w:r>
    </w:p>
    <w:p w:rsidR="009F1D06" w:rsidRPr="00237CBD" w:rsidRDefault="009F1D06" w:rsidP="009F1D06">
      <w:pPr>
        <w:rPr>
          <w:rFonts w:eastAsia="Arial"/>
        </w:rPr>
      </w:pPr>
    </w:p>
    <w:p w:rsidR="00E06EC4" w:rsidRDefault="00E06EC4" w:rsidP="00627CC8">
      <w:pPr>
        <w:spacing w:after="240"/>
        <w:rPr>
          <w:rFonts w:eastAsia="Arial"/>
        </w:rPr>
      </w:pPr>
      <w:r w:rsidRPr="00237CBD">
        <w:rPr>
          <w:rFonts w:eastAsia="Arial"/>
        </w:rPr>
        <w:t>To capture data on non-LMC maternity services, we looked at the volumes of non-LMC first trimester claims by</w:t>
      </w:r>
      <w:r w:rsidR="009F1D06">
        <w:rPr>
          <w:rFonts w:eastAsia="Arial"/>
        </w:rPr>
        <w:t xml:space="preserve"> </w:t>
      </w:r>
      <w:r w:rsidRPr="00237CBD">
        <w:rPr>
          <w:rFonts w:eastAsia="Arial"/>
        </w:rPr>
        <w:t>registered DHB region of practitioner, by year of claim. This data helped us understand</w:t>
      </w:r>
      <w:r w:rsidR="00F71BF6" w:rsidRPr="00237CBD">
        <w:rPr>
          <w:rFonts w:eastAsia="Arial"/>
        </w:rPr>
        <w:t xml:space="preserve"> </w:t>
      </w:r>
      <w:r w:rsidRPr="00237CBD">
        <w:rPr>
          <w:rFonts w:eastAsia="Arial"/>
        </w:rPr>
        <w:t>the pathway some women follow to register with an LMC in each DHB.</w:t>
      </w:r>
    </w:p>
    <w:p w:rsidR="00E06EC4" w:rsidRPr="00237CBD" w:rsidRDefault="00E06EC4" w:rsidP="00B8660B">
      <w:pPr>
        <w:pStyle w:val="BoxHeading"/>
        <w:shd w:val="clear" w:color="auto" w:fill="F2F2F2" w:themeFill="background1" w:themeFillShade="F2"/>
        <w:rPr>
          <w:rFonts w:eastAsia="Arial"/>
        </w:rPr>
      </w:pPr>
      <w:r w:rsidRPr="00237CBD">
        <w:rPr>
          <w:rFonts w:eastAsia="Arial"/>
        </w:rPr>
        <w:lastRenderedPageBreak/>
        <w:t>What we found</w:t>
      </w:r>
    </w:p>
    <w:p w:rsidR="00E06EC4" w:rsidRPr="00627CC8" w:rsidRDefault="00E06EC4" w:rsidP="00B8660B">
      <w:pPr>
        <w:pStyle w:val="Box"/>
        <w:shd w:val="clear" w:color="auto" w:fill="F2F2F2" w:themeFill="background1" w:themeFillShade="F2"/>
        <w:spacing w:before="240"/>
        <w:rPr>
          <w:rFonts w:eastAsia="Arial"/>
          <w:b/>
        </w:rPr>
      </w:pPr>
      <w:r w:rsidRPr="00627CC8">
        <w:rPr>
          <w:rFonts w:eastAsia="Arial"/>
          <w:b/>
        </w:rPr>
        <w:t>Non-LMC antenatal care</w:t>
      </w:r>
    </w:p>
    <w:p w:rsidR="00E06EC4" w:rsidRPr="00237CBD" w:rsidRDefault="00E06EC4" w:rsidP="00B8660B">
      <w:pPr>
        <w:pStyle w:val="Box"/>
        <w:shd w:val="clear" w:color="auto" w:fill="F2F2F2" w:themeFill="background1" w:themeFillShade="F2"/>
        <w:rPr>
          <w:rFonts w:eastAsia="Arial"/>
        </w:rPr>
      </w:pPr>
      <w:r w:rsidRPr="00237CBD">
        <w:rPr>
          <w:rFonts w:eastAsia="Arial"/>
        </w:rPr>
        <w:t xml:space="preserve">We were surprised at the high numbers of non-LMC first trimester claims that we found. In 2012, there were 49,015 non-LMC claims nationwide, which equates to 79% of the total births in that year. Non-LMC first trimester services can only be claimed once per woman per pregnancy, showing a large proportion of women </w:t>
      </w:r>
      <w:proofErr w:type="gramStart"/>
      <w:r w:rsidRPr="00237CBD">
        <w:rPr>
          <w:rFonts w:eastAsia="Arial"/>
        </w:rPr>
        <w:t>receive</w:t>
      </w:r>
      <w:proofErr w:type="gramEnd"/>
      <w:r w:rsidRPr="00237CBD">
        <w:rPr>
          <w:rFonts w:eastAsia="Arial"/>
        </w:rPr>
        <w:t xml:space="preserve"> non-LMC care before they register with an LMC.</w:t>
      </w:r>
    </w:p>
    <w:p w:rsidR="00E06EC4" w:rsidRPr="00627CC8" w:rsidRDefault="00E06EC4" w:rsidP="00B8660B">
      <w:pPr>
        <w:pStyle w:val="Box"/>
        <w:shd w:val="clear" w:color="auto" w:fill="F2F2F2" w:themeFill="background1" w:themeFillShade="F2"/>
        <w:spacing w:before="240"/>
        <w:rPr>
          <w:rFonts w:eastAsia="Arial"/>
          <w:b/>
        </w:rPr>
      </w:pPr>
      <w:r w:rsidRPr="00627CC8">
        <w:rPr>
          <w:rFonts w:eastAsia="Arial"/>
          <w:b/>
        </w:rPr>
        <w:t>Registration with an LMC</w:t>
      </w:r>
      <w:r w:rsidR="00F71BF6" w:rsidRPr="00627CC8">
        <w:rPr>
          <w:rFonts w:eastAsia="Arial"/>
          <w:b/>
        </w:rPr>
        <w:t xml:space="preserve"> – </w:t>
      </w:r>
      <w:r w:rsidRPr="00627CC8">
        <w:rPr>
          <w:rFonts w:eastAsia="Arial"/>
          <w:b/>
        </w:rPr>
        <w:t>2011 compared to 2012</w:t>
      </w:r>
    </w:p>
    <w:p w:rsidR="00E06EC4" w:rsidRPr="00237CBD" w:rsidRDefault="00E06EC4" w:rsidP="00B8660B">
      <w:pPr>
        <w:pStyle w:val="Box"/>
        <w:shd w:val="clear" w:color="auto" w:fill="F2F2F2" w:themeFill="background1" w:themeFillShade="F2"/>
        <w:rPr>
          <w:rFonts w:eastAsia="Arial"/>
        </w:rPr>
      </w:pPr>
      <w:r w:rsidRPr="00237CBD">
        <w:rPr>
          <w:rFonts w:eastAsia="Arial"/>
        </w:rPr>
        <w:t>Between 2011 and 2012 there was little change in the statistics for LMC registration. Nationally, in 2012, only 64% of women registered with an LMC within the first trimester. This is only slightly higher than in 2011 where it was 63%.</w:t>
      </w:r>
    </w:p>
    <w:p w:rsidR="00E06EC4" w:rsidRPr="00237CBD" w:rsidRDefault="00E06EC4" w:rsidP="00B8660B">
      <w:pPr>
        <w:pStyle w:val="Box"/>
        <w:shd w:val="clear" w:color="auto" w:fill="F2F2F2" w:themeFill="background1" w:themeFillShade="F2"/>
        <w:rPr>
          <w:rFonts w:eastAsia="Arial"/>
        </w:rPr>
      </w:pPr>
      <w:r w:rsidRPr="00237CBD">
        <w:rPr>
          <w:rFonts w:eastAsia="Arial"/>
        </w:rPr>
        <w:t>In 2012, the proportion of women registered in the first trimester ranged from 41% to 74% around the country, very similar to the range in 2011 (42% to 74%).</w:t>
      </w:r>
    </w:p>
    <w:p w:rsidR="00E06EC4" w:rsidRPr="00237CBD" w:rsidRDefault="00E06EC4" w:rsidP="00B8660B">
      <w:pPr>
        <w:pStyle w:val="Box"/>
        <w:shd w:val="clear" w:color="auto" w:fill="F2F2F2" w:themeFill="background1" w:themeFillShade="F2"/>
        <w:rPr>
          <w:rFonts w:eastAsia="Arial"/>
        </w:rPr>
      </w:pPr>
      <w:r w:rsidRPr="00237CBD">
        <w:rPr>
          <w:rFonts w:eastAsia="Arial"/>
        </w:rPr>
        <w:t>Whilst the number who registered with an LMC in the first trimester had not changed significantly since the last report, the number of women who saw a non-LMC health practitioner</w:t>
      </w:r>
      <w:r w:rsidR="00F71BF6" w:rsidRPr="00237CBD">
        <w:rPr>
          <w:rFonts w:eastAsia="Arial"/>
        </w:rPr>
        <w:t xml:space="preserve"> </w:t>
      </w:r>
      <w:r w:rsidRPr="00237CBD">
        <w:rPr>
          <w:rFonts w:eastAsia="Arial"/>
        </w:rPr>
        <w:t>in the first trimester was higher than we expected. Whilst there are contractual expectations in relation to the service provided in order to make this claim, this has raised further questions by the NMMG in relation to the quality of the service these women receive at this contact when they are first pregnant and whether it fulfils what is required in the first trimester, including registering with a Lead Maternity Carer.</w:t>
      </w:r>
    </w:p>
    <w:p w:rsidR="00E06EC4" w:rsidRPr="00237CBD" w:rsidRDefault="00E06EC4" w:rsidP="00627CC8"/>
    <w:p w:rsidR="00E06EC4" w:rsidRDefault="00E06EC4" w:rsidP="00627CC8">
      <w:pPr>
        <w:pStyle w:val="Figure"/>
        <w:rPr>
          <w:rFonts w:eastAsia="Arial"/>
        </w:rPr>
      </w:pPr>
      <w:r w:rsidRPr="00237CBD">
        <w:rPr>
          <w:rFonts w:eastAsia="Arial"/>
        </w:rPr>
        <w:t xml:space="preserve">Percentage of </w:t>
      </w:r>
      <w:r w:rsidR="00627CC8">
        <w:rPr>
          <w:rFonts w:eastAsia="Arial"/>
        </w:rPr>
        <w:t>n</w:t>
      </w:r>
      <w:r w:rsidRPr="00237CBD">
        <w:rPr>
          <w:rFonts w:eastAsia="Arial"/>
        </w:rPr>
        <w:t xml:space="preserve">on-LMC claims, by DHB of </w:t>
      </w:r>
      <w:r w:rsidR="00627CC8">
        <w:rPr>
          <w:rFonts w:eastAsia="Arial"/>
        </w:rPr>
        <w:t>d</w:t>
      </w:r>
      <w:r w:rsidRPr="00237CBD">
        <w:rPr>
          <w:rFonts w:eastAsia="Arial"/>
        </w:rPr>
        <w:t xml:space="preserve">omicile, 2011 </w:t>
      </w:r>
      <w:r w:rsidR="00627CC8">
        <w:rPr>
          <w:rFonts w:eastAsia="Arial"/>
        </w:rPr>
        <w:t>and</w:t>
      </w:r>
      <w:r w:rsidRPr="00237CBD">
        <w:rPr>
          <w:rFonts w:eastAsia="Arial"/>
        </w:rPr>
        <w:t xml:space="preserve"> 2012</w:t>
      </w:r>
    </w:p>
    <w:p w:rsidR="00D236FE" w:rsidRPr="00D236FE" w:rsidRDefault="00D236FE" w:rsidP="00D236FE">
      <w:pPr>
        <w:rPr>
          <w:rFonts w:eastAsia="Arial"/>
        </w:rPr>
      </w:pPr>
      <w:r w:rsidRPr="00D236FE">
        <w:rPr>
          <w:noProof/>
          <w:lang w:eastAsia="en-NZ"/>
        </w:rPr>
        <w:drawing>
          <wp:inline distT="0" distB="0" distL="0" distR="0" wp14:anchorId="49D27BC1" wp14:editId="2AE27721">
            <wp:extent cx="5386647" cy="2591267"/>
            <wp:effectExtent l="0" t="0" r="5080" b="0"/>
            <wp:docPr id="1" name="Picture 1" descr="Percentage of non-LMC claims, by DHB of domicile, 2011 and 2012" title="Percentage of non-LMC claims, by DHB of domicile, 2011 and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grayscl/>
                    </a:blip>
                    <a:srcRect l="1078" t="2215"/>
                    <a:stretch/>
                  </pic:blipFill>
                  <pic:spPr bwMode="auto">
                    <a:xfrm>
                      <a:off x="0" y="0"/>
                      <a:ext cx="5406998" cy="2601057"/>
                    </a:xfrm>
                    <a:prstGeom prst="rect">
                      <a:avLst/>
                    </a:prstGeom>
                    <a:ln>
                      <a:noFill/>
                    </a:ln>
                    <a:extLst>
                      <a:ext uri="{53640926-AAD7-44D8-BBD7-CCE9431645EC}">
                        <a14:shadowObscured xmlns:a14="http://schemas.microsoft.com/office/drawing/2010/main"/>
                      </a:ext>
                    </a:extLst>
                  </pic:spPr>
                </pic:pic>
              </a:graphicData>
            </a:graphic>
          </wp:inline>
        </w:drawing>
      </w:r>
    </w:p>
    <w:p w:rsidR="00E06EC4" w:rsidRPr="00237CBD" w:rsidRDefault="00E06EC4" w:rsidP="00627CC8">
      <w:pPr>
        <w:pStyle w:val="Source"/>
        <w:rPr>
          <w:rFonts w:eastAsia="Arial"/>
        </w:rPr>
      </w:pPr>
      <w:r w:rsidRPr="00237CBD">
        <w:rPr>
          <w:rFonts w:eastAsia="Arial"/>
        </w:rPr>
        <w:t>Source: National Maternity Collection (2012 and 2013) Note: Claims include services claimed for women who do not go on to appear in the births dataset (miscarriage/TOP/left NZ); therefore, the denominator (births) does not include some women who appear in the numerator. These should, therefore, not be considered absolute but as a reasonable</w:t>
      </w:r>
      <w:r w:rsidR="00F71BF6" w:rsidRPr="00237CBD">
        <w:rPr>
          <w:rFonts w:eastAsia="Arial"/>
        </w:rPr>
        <w:t xml:space="preserve"> </w:t>
      </w:r>
      <w:r w:rsidRPr="00237CBD">
        <w:rPr>
          <w:rFonts w:eastAsia="Arial"/>
        </w:rPr>
        <w:t>starting point for comparisons</w:t>
      </w:r>
      <w:r w:rsidR="00F71BF6" w:rsidRPr="00237CBD">
        <w:rPr>
          <w:rFonts w:eastAsia="Arial"/>
        </w:rPr>
        <w:t xml:space="preserve"> </w:t>
      </w:r>
      <w:r w:rsidRPr="00237CBD">
        <w:rPr>
          <w:rFonts w:eastAsia="Arial"/>
        </w:rPr>
        <w:t>amongst</w:t>
      </w:r>
      <w:r w:rsidR="00F71BF6" w:rsidRPr="00237CBD">
        <w:rPr>
          <w:rFonts w:eastAsia="Arial"/>
        </w:rPr>
        <w:t xml:space="preserve"> </w:t>
      </w:r>
      <w:r w:rsidRPr="00237CBD">
        <w:rPr>
          <w:rFonts w:eastAsia="Arial"/>
        </w:rPr>
        <w:t>DHBs. The numerator represents practitioner domicile while the denominator represents women</w:t>
      </w:r>
      <w:r w:rsidR="00F71BF6" w:rsidRPr="00237CBD">
        <w:rPr>
          <w:rFonts w:eastAsia="Arial"/>
        </w:rPr>
        <w:t>’</w:t>
      </w:r>
      <w:r w:rsidRPr="00237CBD">
        <w:rPr>
          <w:rFonts w:eastAsia="Arial"/>
        </w:rPr>
        <w:t xml:space="preserve">s domicile, therefore numbers for adjoining urban DHBs such as Auckland &amp; </w:t>
      </w:r>
      <w:proofErr w:type="spellStart"/>
      <w:r w:rsidRPr="00237CBD">
        <w:rPr>
          <w:rFonts w:eastAsia="Arial"/>
        </w:rPr>
        <w:t>Waitemata</w:t>
      </w:r>
      <w:proofErr w:type="spellEnd"/>
      <w:r w:rsidRPr="00237CBD">
        <w:rPr>
          <w:rFonts w:eastAsia="Arial"/>
        </w:rPr>
        <w:t xml:space="preserve"> are likely to represent significant inter-district flows. These numbers should be interpreted with caution.</w:t>
      </w:r>
    </w:p>
    <w:p w:rsidR="00E06EC4" w:rsidRPr="00237CBD" w:rsidRDefault="00E06EC4" w:rsidP="00D236FE"/>
    <w:p w:rsidR="00E06EC4" w:rsidRDefault="00E06EC4" w:rsidP="00627CC8">
      <w:pPr>
        <w:pStyle w:val="Figure"/>
        <w:rPr>
          <w:rFonts w:eastAsia="Arial"/>
        </w:rPr>
      </w:pPr>
      <w:r w:rsidRPr="00237CBD">
        <w:rPr>
          <w:rFonts w:eastAsia="Arial"/>
        </w:rPr>
        <w:lastRenderedPageBreak/>
        <w:t xml:space="preserve">Percentage of </w:t>
      </w:r>
      <w:r w:rsidR="00627CC8">
        <w:rPr>
          <w:rFonts w:eastAsia="Arial"/>
        </w:rPr>
        <w:t>w</w:t>
      </w:r>
      <w:r w:rsidRPr="00237CBD">
        <w:rPr>
          <w:rFonts w:eastAsia="Arial"/>
        </w:rPr>
        <w:t xml:space="preserve">omen </w:t>
      </w:r>
      <w:r w:rsidR="00627CC8">
        <w:rPr>
          <w:rFonts w:eastAsia="Arial"/>
        </w:rPr>
        <w:t>r</w:t>
      </w:r>
      <w:r w:rsidRPr="00237CBD">
        <w:rPr>
          <w:rFonts w:eastAsia="Arial"/>
        </w:rPr>
        <w:t xml:space="preserve">egistered with an LMC in the </w:t>
      </w:r>
      <w:r w:rsidR="00627CC8">
        <w:rPr>
          <w:rFonts w:eastAsia="Arial"/>
        </w:rPr>
        <w:t>f</w:t>
      </w:r>
      <w:r w:rsidRPr="00237CBD">
        <w:rPr>
          <w:rFonts w:eastAsia="Arial"/>
        </w:rPr>
        <w:t xml:space="preserve">irst </w:t>
      </w:r>
      <w:r w:rsidR="00627CC8">
        <w:rPr>
          <w:rFonts w:eastAsia="Arial"/>
        </w:rPr>
        <w:t>t</w:t>
      </w:r>
      <w:r w:rsidRPr="00237CBD">
        <w:rPr>
          <w:rFonts w:eastAsia="Arial"/>
        </w:rPr>
        <w:t xml:space="preserve">rimester, by DHB of </w:t>
      </w:r>
      <w:r w:rsidR="00627CC8">
        <w:rPr>
          <w:rFonts w:eastAsia="Arial"/>
        </w:rPr>
        <w:t>d</w:t>
      </w:r>
      <w:r w:rsidRPr="00237CBD">
        <w:rPr>
          <w:rFonts w:eastAsia="Arial"/>
        </w:rPr>
        <w:t xml:space="preserve">omicile, 2011 </w:t>
      </w:r>
      <w:r w:rsidR="00627CC8">
        <w:rPr>
          <w:rFonts w:eastAsia="Arial"/>
        </w:rPr>
        <w:t>and</w:t>
      </w:r>
      <w:r w:rsidRPr="00237CBD">
        <w:rPr>
          <w:rFonts w:eastAsia="Arial"/>
        </w:rPr>
        <w:t xml:space="preserve"> 2012</w:t>
      </w:r>
    </w:p>
    <w:p w:rsidR="00D236FE" w:rsidRPr="00D236FE" w:rsidRDefault="00D236FE" w:rsidP="00D236FE">
      <w:pPr>
        <w:rPr>
          <w:rFonts w:eastAsia="Arial"/>
        </w:rPr>
      </w:pPr>
      <w:r w:rsidRPr="00D236FE">
        <w:rPr>
          <w:noProof/>
          <w:lang w:eastAsia="en-NZ"/>
        </w:rPr>
        <w:drawing>
          <wp:inline distT="0" distB="0" distL="0" distR="0" wp14:anchorId="790DAA1E" wp14:editId="1C443AA9">
            <wp:extent cx="5394960" cy="2823483"/>
            <wp:effectExtent l="0" t="0" r="0" b="0"/>
            <wp:docPr id="4" name="Picture 4" descr="Percentage of women registered with an LMC in the first trimester, by DHB of domicile, 2011 and 2012" title="Percentage of women registered with an LMC in the first trimester, by DHB of domicile, 2011 and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grayscl/>
                    </a:blip>
                    <a:srcRect l="923" t="2601"/>
                    <a:stretch/>
                  </pic:blipFill>
                  <pic:spPr bwMode="auto">
                    <a:xfrm>
                      <a:off x="0" y="0"/>
                      <a:ext cx="5393674" cy="2822810"/>
                    </a:xfrm>
                    <a:prstGeom prst="rect">
                      <a:avLst/>
                    </a:prstGeom>
                    <a:ln>
                      <a:noFill/>
                    </a:ln>
                    <a:extLst>
                      <a:ext uri="{53640926-AAD7-44D8-BBD7-CCE9431645EC}">
                        <a14:shadowObscured xmlns:a14="http://schemas.microsoft.com/office/drawing/2010/main"/>
                      </a:ext>
                    </a:extLst>
                  </pic:spPr>
                </pic:pic>
              </a:graphicData>
            </a:graphic>
          </wp:inline>
        </w:drawing>
      </w:r>
    </w:p>
    <w:p w:rsidR="00E06EC4" w:rsidRPr="00237CBD" w:rsidRDefault="00E06EC4" w:rsidP="00D236FE">
      <w:pPr>
        <w:pStyle w:val="Source"/>
        <w:rPr>
          <w:rFonts w:eastAsia="Arial"/>
        </w:rPr>
      </w:pPr>
      <w:r w:rsidRPr="00237CBD">
        <w:rPr>
          <w:rFonts w:eastAsia="Arial"/>
        </w:rPr>
        <w:t>Source: National Maternity Collection (2012 and 2013)</w:t>
      </w:r>
    </w:p>
    <w:p w:rsidR="00E06EC4" w:rsidRPr="00237CBD" w:rsidRDefault="00E06EC4" w:rsidP="00D236FE"/>
    <w:p w:rsidR="00E06EC4" w:rsidRPr="00237CBD" w:rsidRDefault="00E06EC4" w:rsidP="00D236FE">
      <w:pPr>
        <w:pStyle w:val="Heading2"/>
        <w:rPr>
          <w:rFonts w:eastAsia="Arial"/>
        </w:rPr>
      </w:pPr>
      <w:bookmarkStart w:id="13" w:name="_Toc404355657"/>
      <w:r w:rsidRPr="00237CBD">
        <w:rPr>
          <w:rFonts w:eastAsia="Arial"/>
        </w:rPr>
        <w:t xml:space="preserve">In 2013 we </w:t>
      </w:r>
      <w:proofErr w:type="gramStart"/>
      <w:r w:rsidRPr="00237CBD">
        <w:rPr>
          <w:rFonts w:eastAsia="Arial"/>
        </w:rPr>
        <w:t>recommended</w:t>
      </w:r>
      <w:r w:rsidR="00D236FE">
        <w:rPr>
          <w:rFonts w:eastAsia="Arial"/>
        </w:rPr>
        <w:t xml:space="preserve"> ...</w:t>
      </w:r>
      <w:bookmarkEnd w:id="13"/>
      <w:proofErr w:type="gramEnd"/>
    </w:p>
    <w:p w:rsidR="00E06EC4" w:rsidRPr="00237CBD" w:rsidRDefault="00E06EC4" w:rsidP="00D236FE">
      <w:pPr>
        <w:pStyle w:val="Introparagraph"/>
      </w:pPr>
      <w:r w:rsidRPr="00237CBD">
        <w:t>In our 2013 annual report, we requested that DHBs focus on increasing first trimester LMC</w:t>
      </w:r>
      <w:r w:rsidR="00D236FE">
        <w:t xml:space="preserve"> </w:t>
      </w:r>
      <w:r w:rsidRPr="00237CBD">
        <w:t>registration rates. In particular, we strongly recommended that:</w:t>
      </w:r>
    </w:p>
    <w:p w:rsidR="00E06EC4" w:rsidRPr="00237CBD" w:rsidRDefault="00E06EC4" w:rsidP="00D236FE">
      <w:pPr>
        <w:spacing w:before="240"/>
        <w:ind w:left="567" w:hanging="567"/>
        <w:rPr>
          <w:rFonts w:eastAsia="Arial"/>
        </w:rPr>
      </w:pPr>
      <w:r w:rsidRPr="00237CBD">
        <w:rPr>
          <w:rFonts w:eastAsia="Arial"/>
        </w:rPr>
        <w:t>1</w:t>
      </w:r>
      <w:r w:rsidR="00D236FE">
        <w:rPr>
          <w:rFonts w:eastAsia="Arial"/>
        </w:rPr>
        <w:tab/>
      </w:r>
      <w:r w:rsidRPr="00237CBD">
        <w:rPr>
          <w:rFonts w:eastAsia="Arial"/>
        </w:rPr>
        <w:t>DHBs consider new ways to encourage women to register in the first trimester by understanding the needs, demographics and distribution of the women in their DHB who are becoming pregnant.</w:t>
      </w:r>
    </w:p>
    <w:p w:rsidR="00E06EC4" w:rsidRPr="00237CBD" w:rsidRDefault="00E06EC4" w:rsidP="00D236FE">
      <w:pPr>
        <w:spacing w:before="240"/>
        <w:ind w:left="567" w:hanging="567"/>
        <w:rPr>
          <w:rFonts w:eastAsia="Arial"/>
        </w:rPr>
      </w:pPr>
      <w:r w:rsidRPr="00237CBD">
        <w:rPr>
          <w:rFonts w:eastAsia="Arial"/>
        </w:rPr>
        <w:t>2</w:t>
      </w:r>
      <w:r w:rsidR="00D236FE">
        <w:rPr>
          <w:rFonts w:eastAsia="Arial"/>
        </w:rPr>
        <w:tab/>
      </w:r>
      <w:r w:rsidRPr="00237CBD">
        <w:rPr>
          <w:rFonts w:eastAsia="Arial"/>
        </w:rPr>
        <w:t>Each DHB should:</w:t>
      </w:r>
    </w:p>
    <w:p w:rsidR="00E06EC4" w:rsidRPr="00237CBD" w:rsidRDefault="00D236FE" w:rsidP="00D236FE">
      <w:pPr>
        <w:pStyle w:val="Bullet"/>
        <w:ind w:left="851"/>
        <w:rPr>
          <w:rFonts w:eastAsia="Arial"/>
        </w:rPr>
      </w:pPr>
      <w:r>
        <w:rPr>
          <w:rFonts w:eastAsia="Arial"/>
        </w:rPr>
        <w:t>c</w:t>
      </w:r>
      <w:r w:rsidR="00E06EC4" w:rsidRPr="00237CBD">
        <w:rPr>
          <w:rFonts w:eastAsia="Arial"/>
        </w:rPr>
        <w:t>onsider their pregnant population more fully</w:t>
      </w:r>
    </w:p>
    <w:p w:rsidR="00E06EC4" w:rsidRPr="00237CBD" w:rsidRDefault="00D236FE" w:rsidP="00D236FE">
      <w:pPr>
        <w:pStyle w:val="Bullet"/>
        <w:ind w:left="851"/>
        <w:rPr>
          <w:rFonts w:eastAsia="Arial"/>
        </w:rPr>
      </w:pPr>
      <w:r>
        <w:rPr>
          <w:rFonts w:eastAsia="Arial"/>
        </w:rPr>
        <w:t>r</w:t>
      </w:r>
      <w:r w:rsidR="00E06EC4" w:rsidRPr="00237CBD">
        <w:rPr>
          <w:rFonts w:eastAsia="Arial"/>
        </w:rPr>
        <w:t>educe barriers and improve access to appropriate services, and</w:t>
      </w:r>
    </w:p>
    <w:p w:rsidR="00E06EC4" w:rsidRPr="00237CBD" w:rsidRDefault="00D236FE" w:rsidP="00D236FE">
      <w:pPr>
        <w:pStyle w:val="Bullet"/>
        <w:ind w:left="851"/>
        <w:rPr>
          <w:rFonts w:eastAsia="Arial"/>
        </w:rPr>
      </w:pPr>
      <w:proofErr w:type="gramStart"/>
      <w:r>
        <w:rPr>
          <w:rFonts w:eastAsia="Arial"/>
        </w:rPr>
        <w:t>s</w:t>
      </w:r>
      <w:r w:rsidR="00E06EC4" w:rsidRPr="00237CBD">
        <w:rPr>
          <w:rFonts w:eastAsia="Arial"/>
        </w:rPr>
        <w:t>upport</w:t>
      </w:r>
      <w:proofErr w:type="gramEnd"/>
      <w:r w:rsidR="00E06EC4" w:rsidRPr="00237CBD">
        <w:rPr>
          <w:rFonts w:eastAsia="Arial"/>
        </w:rPr>
        <w:t xml:space="preserve"> the use of the Find Your Midwife website in general practice.</w:t>
      </w:r>
    </w:p>
    <w:p w:rsidR="00E06EC4" w:rsidRPr="00237CBD" w:rsidRDefault="00E06EC4" w:rsidP="00D236FE"/>
    <w:p w:rsidR="00E06EC4" w:rsidRPr="00237CBD" w:rsidRDefault="00E06EC4" w:rsidP="00D236FE">
      <w:pPr>
        <w:pStyle w:val="Heading2"/>
        <w:rPr>
          <w:rFonts w:eastAsia="Arial"/>
        </w:rPr>
      </w:pPr>
      <w:bookmarkStart w:id="14" w:name="_Toc404355658"/>
      <w:r w:rsidRPr="00237CBD">
        <w:rPr>
          <w:rFonts w:eastAsia="Arial"/>
        </w:rPr>
        <w:t>What has changed since then?</w:t>
      </w:r>
      <w:bookmarkEnd w:id="14"/>
    </w:p>
    <w:p w:rsidR="00E06EC4" w:rsidRPr="00237CBD" w:rsidRDefault="00E06EC4" w:rsidP="00D236FE">
      <w:pPr>
        <w:pStyle w:val="Introparagraph"/>
      </w:pPr>
      <w:r w:rsidRPr="00237CBD">
        <w:t>Most DHBs noted that they had given serious consideration to the NMMG</w:t>
      </w:r>
      <w:r w:rsidR="00F71BF6" w:rsidRPr="00237CBD">
        <w:t>’</w:t>
      </w:r>
      <w:r w:rsidRPr="00237CBD">
        <w:t>s recommendations or had made early registration with an LMC a priority of their MQSP. Some noted that this topic would be explored in their next MQSP annual</w:t>
      </w:r>
      <w:r w:rsidR="00F71BF6" w:rsidRPr="00237CBD">
        <w:t xml:space="preserve"> </w:t>
      </w:r>
      <w:r w:rsidRPr="00237CBD">
        <w:t>report. There appears to be a greater focus by many DHBs on supporting the work of LMCs by encouraging women to register early. We found a number of good steps were being taken.</w:t>
      </w:r>
    </w:p>
    <w:p w:rsidR="00E06EC4" w:rsidRPr="00237CBD" w:rsidRDefault="00E06EC4" w:rsidP="00D236FE"/>
    <w:p w:rsidR="00E06EC4" w:rsidRPr="00237CBD" w:rsidRDefault="00E06EC4" w:rsidP="00D236FE">
      <w:pPr>
        <w:pStyle w:val="Heading3"/>
        <w:rPr>
          <w:rFonts w:eastAsia="Arial"/>
        </w:rPr>
      </w:pPr>
      <w:r w:rsidRPr="00237CBD">
        <w:rPr>
          <w:rFonts w:eastAsia="Arial"/>
        </w:rPr>
        <w:lastRenderedPageBreak/>
        <w:t>Initiatives to improve the number of women registering with an LMC in the first trimester</w:t>
      </w:r>
    </w:p>
    <w:p w:rsidR="00E06EC4" w:rsidRPr="00237CBD" w:rsidRDefault="00E06EC4" w:rsidP="00D236FE">
      <w:pPr>
        <w:rPr>
          <w:rFonts w:eastAsia="Arial"/>
        </w:rPr>
      </w:pPr>
      <w:r w:rsidRPr="00237CBD">
        <w:rPr>
          <w:rFonts w:eastAsia="Arial"/>
        </w:rPr>
        <w:t>We found many different initiatives were being used by DHBs to work within their community with women, and also</w:t>
      </w:r>
      <w:r w:rsidR="00D236FE">
        <w:rPr>
          <w:rFonts w:eastAsia="Arial"/>
        </w:rPr>
        <w:t xml:space="preserve"> </w:t>
      </w:r>
      <w:r w:rsidRPr="00237CBD">
        <w:rPr>
          <w:rFonts w:eastAsia="Arial"/>
        </w:rPr>
        <w:t>LMCs, to improve the timing of registration with an LMC in their area. They included:</w:t>
      </w:r>
    </w:p>
    <w:p w:rsidR="00E06EC4" w:rsidRPr="00237CBD" w:rsidRDefault="00E06EC4" w:rsidP="00D236FE"/>
    <w:p w:rsidR="00E06EC4" w:rsidRPr="00237CBD" w:rsidRDefault="00E06EC4" w:rsidP="00D236FE">
      <w:pPr>
        <w:pStyle w:val="Heading4"/>
        <w:rPr>
          <w:rFonts w:eastAsia="Arial"/>
        </w:rPr>
      </w:pPr>
      <w:r w:rsidRPr="00237CBD">
        <w:rPr>
          <w:rFonts w:eastAsia="Arial"/>
        </w:rPr>
        <w:t>Information</w:t>
      </w:r>
    </w:p>
    <w:p w:rsidR="00E06EC4" w:rsidRPr="00237CBD" w:rsidRDefault="00E06EC4" w:rsidP="00D236FE">
      <w:pPr>
        <w:rPr>
          <w:rFonts w:eastAsia="Arial"/>
        </w:rPr>
      </w:pPr>
      <w:r w:rsidRPr="00237CBD">
        <w:rPr>
          <w:rFonts w:eastAsia="Arial"/>
        </w:rPr>
        <w:t>A number of DHBs discussed plans to improve communication with consumers and other health care providers about early booking with an LMC. Initiatives included:</w:t>
      </w:r>
    </w:p>
    <w:p w:rsidR="00E06EC4" w:rsidRPr="00237CBD" w:rsidRDefault="00E06EC4" w:rsidP="00D236FE">
      <w:pPr>
        <w:pStyle w:val="Bullet"/>
        <w:rPr>
          <w:rFonts w:eastAsia="Arial"/>
        </w:rPr>
      </w:pPr>
      <w:r w:rsidRPr="00237CBD">
        <w:rPr>
          <w:rFonts w:eastAsia="Arial"/>
        </w:rPr>
        <w:t>Facebook</w:t>
      </w:r>
      <w:r w:rsidR="00F71BF6" w:rsidRPr="00237CBD">
        <w:rPr>
          <w:rFonts w:eastAsia="Arial"/>
        </w:rPr>
        <w:t xml:space="preserve"> </w:t>
      </w:r>
      <w:r w:rsidRPr="00237CBD">
        <w:rPr>
          <w:rFonts w:eastAsia="Arial"/>
        </w:rPr>
        <w:t>pages</w:t>
      </w:r>
    </w:p>
    <w:p w:rsidR="00E06EC4" w:rsidRPr="00237CBD" w:rsidRDefault="00D236FE" w:rsidP="00D236FE">
      <w:pPr>
        <w:pStyle w:val="Bullet"/>
        <w:rPr>
          <w:rFonts w:eastAsia="Arial"/>
        </w:rPr>
      </w:pPr>
      <w:r>
        <w:rPr>
          <w:rFonts w:eastAsia="Arial"/>
        </w:rPr>
        <w:t>w</w:t>
      </w:r>
      <w:r w:rsidR="00E06EC4" w:rsidRPr="00237CBD">
        <w:rPr>
          <w:rFonts w:eastAsia="Arial"/>
        </w:rPr>
        <w:t>ebsites like the NZ College of Midwives</w:t>
      </w:r>
      <w:r w:rsidR="00F71BF6" w:rsidRPr="00237CBD">
        <w:rPr>
          <w:rFonts w:eastAsia="Arial"/>
        </w:rPr>
        <w:t>’</w:t>
      </w:r>
      <w:r w:rsidR="00E06EC4" w:rsidRPr="00237CBD">
        <w:rPr>
          <w:rFonts w:eastAsia="Arial"/>
        </w:rPr>
        <w:t xml:space="preserve"> Find Your Midwife site and Maternity</w:t>
      </w:r>
    </w:p>
    <w:p w:rsidR="00E06EC4" w:rsidRPr="00237CBD" w:rsidRDefault="00D236FE" w:rsidP="00D236FE">
      <w:pPr>
        <w:pStyle w:val="Bullet"/>
        <w:rPr>
          <w:rFonts w:eastAsia="Arial"/>
        </w:rPr>
      </w:pPr>
      <w:r>
        <w:rPr>
          <w:rFonts w:eastAsia="Arial"/>
        </w:rPr>
        <w:t>r</w:t>
      </w:r>
      <w:r w:rsidR="00E06EC4" w:rsidRPr="00237CBD">
        <w:rPr>
          <w:rFonts w:eastAsia="Arial"/>
        </w:rPr>
        <w:t>egional-specific Health Pathways sites</w:t>
      </w:r>
    </w:p>
    <w:p w:rsidR="00E06EC4" w:rsidRPr="00237CBD" w:rsidRDefault="00D236FE" w:rsidP="00D236FE">
      <w:pPr>
        <w:pStyle w:val="Bullet"/>
        <w:rPr>
          <w:rFonts w:eastAsia="Arial"/>
        </w:rPr>
      </w:pPr>
      <w:r>
        <w:rPr>
          <w:rFonts w:eastAsia="Arial"/>
        </w:rPr>
        <w:t>l</w:t>
      </w:r>
      <w:r w:rsidR="00E06EC4" w:rsidRPr="00237CBD">
        <w:rPr>
          <w:rFonts w:eastAsia="Arial"/>
        </w:rPr>
        <w:t xml:space="preserve">inks to the NZ College of Midwives website and </w:t>
      </w:r>
      <w:proofErr w:type="spellStart"/>
      <w:r w:rsidR="00E06EC4" w:rsidRPr="00237CBD">
        <w:rPr>
          <w:rFonts w:eastAsia="Arial"/>
        </w:rPr>
        <w:t>Healthpoint</w:t>
      </w:r>
      <w:proofErr w:type="spellEnd"/>
    </w:p>
    <w:p w:rsidR="00E06EC4" w:rsidRPr="00237CBD" w:rsidRDefault="00D236FE" w:rsidP="00D236FE">
      <w:pPr>
        <w:pStyle w:val="Bullet"/>
        <w:rPr>
          <w:rFonts w:eastAsia="Arial"/>
        </w:rPr>
      </w:pPr>
      <w:proofErr w:type="gramStart"/>
      <w:r>
        <w:rPr>
          <w:rFonts w:eastAsia="Arial"/>
        </w:rPr>
        <w:t>p</w:t>
      </w:r>
      <w:r w:rsidR="00E06EC4" w:rsidRPr="00237CBD">
        <w:rPr>
          <w:rFonts w:eastAsia="Arial"/>
        </w:rPr>
        <w:t>romotional</w:t>
      </w:r>
      <w:proofErr w:type="gramEnd"/>
      <w:r w:rsidR="00E06EC4" w:rsidRPr="00237CBD">
        <w:rPr>
          <w:rFonts w:eastAsia="Arial"/>
        </w:rPr>
        <w:t xml:space="preserve"> material placed with other providers such as general practices, schools, and on contraception packs provided by youth services.</w:t>
      </w:r>
    </w:p>
    <w:p w:rsidR="00E06EC4" w:rsidRPr="00237CBD" w:rsidRDefault="00E06EC4" w:rsidP="00D236FE"/>
    <w:p w:rsidR="00E06EC4" w:rsidRPr="00237CBD" w:rsidRDefault="00E06EC4" w:rsidP="00D236FE">
      <w:pPr>
        <w:pStyle w:val="Heading4"/>
        <w:rPr>
          <w:rFonts w:eastAsia="Arial"/>
        </w:rPr>
      </w:pPr>
      <w:r w:rsidRPr="00237CBD">
        <w:rPr>
          <w:rFonts w:eastAsia="Arial"/>
        </w:rPr>
        <w:t>New models of information sharing</w:t>
      </w:r>
    </w:p>
    <w:p w:rsidR="00E06EC4" w:rsidRPr="00237CBD" w:rsidRDefault="00E06EC4" w:rsidP="00D236FE">
      <w:pPr>
        <w:rPr>
          <w:rFonts w:eastAsia="Arial"/>
        </w:rPr>
      </w:pPr>
      <w:r w:rsidRPr="00237CBD">
        <w:rPr>
          <w:rFonts w:eastAsia="Arial"/>
        </w:rPr>
        <w:t>Many DHBs plan to implement different models for the provision of maternity information and options for care in the first trimester. The main idea that came through was a walk-in-centre, which provided information, provided pregnancy diagnosis, booked women in with an LMC and had a space where women</w:t>
      </w:r>
      <w:r w:rsidR="00F71BF6" w:rsidRPr="00237CBD">
        <w:rPr>
          <w:rFonts w:eastAsia="Arial"/>
        </w:rPr>
        <w:t xml:space="preserve"> </w:t>
      </w:r>
      <w:r w:rsidRPr="00237CBD">
        <w:rPr>
          <w:rFonts w:eastAsia="Arial"/>
        </w:rPr>
        <w:t>could meet with an LMC (without an appointment).</w:t>
      </w:r>
    </w:p>
    <w:p w:rsidR="00E06EC4" w:rsidRPr="00237CBD" w:rsidRDefault="00E06EC4" w:rsidP="00D236FE"/>
    <w:p w:rsidR="00E06EC4" w:rsidRPr="00237CBD" w:rsidRDefault="00E06EC4" w:rsidP="00D236FE">
      <w:pPr>
        <w:rPr>
          <w:rFonts w:eastAsia="Arial"/>
        </w:rPr>
      </w:pPr>
      <w:r w:rsidRPr="00237CBD">
        <w:rPr>
          <w:rFonts w:eastAsia="Arial"/>
        </w:rPr>
        <w:t>Some DHBs have tried to increase the visibility of these centres, if they already have them in place. One DHB has a free</w:t>
      </w:r>
      <w:r w:rsidR="00D236FE">
        <w:rPr>
          <w:rFonts w:eastAsia="Arial"/>
        </w:rPr>
        <w:t xml:space="preserve"> </w:t>
      </w:r>
      <w:r w:rsidRPr="00237CBD">
        <w:rPr>
          <w:rFonts w:eastAsia="Arial"/>
        </w:rPr>
        <w:t>0800 number at this service and reports that this has been helpful in removing the cost barrier for women wanting to call them to make an appointment or receive advice. Other initiatives included increasing midwives</w:t>
      </w:r>
      <w:r w:rsidR="00F71BF6" w:rsidRPr="00237CBD">
        <w:rPr>
          <w:rFonts w:eastAsia="Arial"/>
        </w:rPr>
        <w:t>’</w:t>
      </w:r>
      <w:r w:rsidRPr="00237CBD">
        <w:rPr>
          <w:rFonts w:eastAsia="Arial"/>
        </w:rPr>
        <w:t xml:space="preserve"> presence at general practitioner (GP) clinics, and having a midwife who liaises with schools in the area.</w:t>
      </w:r>
    </w:p>
    <w:p w:rsidR="00E06EC4" w:rsidRPr="00237CBD" w:rsidRDefault="00E06EC4" w:rsidP="00D236FE"/>
    <w:p w:rsidR="00E06EC4" w:rsidRPr="00237CBD" w:rsidRDefault="00E06EC4" w:rsidP="00D236FE">
      <w:pPr>
        <w:pStyle w:val="Heading4"/>
        <w:rPr>
          <w:rFonts w:eastAsia="Arial"/>
        </w:rPr>
      </w:pPr>
      <w:r w:rsidRPr="00237CBD">
        <w:rPr>
          <w:rFonts w:eastAsia="Arial"/>
        </w:rPr>
        <w:t>Liaising with LMCs</w:t>
      </w:r>
    </w:p>
    <w:p w:rsidR="00E06EC4" w:rsidRPr="00237CBD" w:rsidRDefault="00E06EC4" w:rsidP="00D236FE">
      <w:pPr>
        <w:rPr>
          <w:rFonts w:eastAsia="Arial"/>
        </w:rPr>
      </w:pPr>
      <w:r w:rsidRPr="00237CBD">
        <w:rPr>
          <w:rFonts w:eastAsia="Arial"/>
        </w:rPr>
        <w:t>Many of the DHBs noted that they have encouraged LMCs to book women earlier. They have also talked to them about the importance of documenting first engagement with women. However, we received no further information on how they did this.</w:t>
      </w:r>
    </w:p>
    <w:p w:rsidR="00E06EC4" w:rsidRPr="00237CBD" w:rsidRDefault="00E06EC4" w:rsidP="00D236FE"/>
    <w:p w:rsidR="00E06EC4" w:rsidRPr="00237CBD" w:rsidRDefault="00E06EC4" w:rsidP="00D236FE">
      <w:pPr>
        <w:pStyle w:val="Heading4"/>
        <w:rPr>
          <w:rFonts w:eastAsia="Arial"/>
        </w:rPr>
      </w:pPr>
      <w:r w:rsidRPr="00237CBD">
        <w:rPr>
          <w:rFonts w:eastAsia="Arial"/>
        </w:rPr>
        <w:t>Information gathering</w:t>
      </w:r>
    </w:p>
    <w:p w:rsidR="00E06EC4" w:rsidRPr="00237CBD" w:rsidRDefault="00E06EC4" w:rsidP="00D236FE">
      <w:pPr>
        <w:rPr>
          <w:rFonts w:eastAsia="Arial"/>
        </w:rPr>
      </w:pPr>
      <w:r w:rsidRPr="00237CBD">
        <w:rPr>
          <w:rFonts w:eastAsia="Arial"/>
        </w:rPr>
        <w:t>A few of the DHBs that responded to the NMMG have started to pay more attention to this information and have started to monitor early registration and factors influencing it through local MQSP discussions.</w:t>
      </w:r>
    </w:p>
    <w:p w:rsidR="00E06EC4" w:rsidRPr="00237CBD" w:rsidRDefault="00E06EC4" w:rsidP="00D236FE"/>
    <w:p w:rsidR="00E06EC4" w:rsidRPr="00237CBD" w:rsidRDefault="00E06EC4" w:rsidP="00D236FE">
      <w:pPr>
        <w:pStyle w:val="Heading4"/>
        <w:rPr>
          <w:rFonts w:eastAsia="Arial"/>
        </w:rPr>
      </w:pPr>
      <w:r w:rsidRPr="00237CBD">
        <w:rPr>
          <w:rFonts w:eastAsia="Arial"/>
        </w:rPr>
        <w:t>Engagement with providers and consumers to understand expectations</w:t>
      </w:r>
    </w:p>
    <w:p w:rsidR="00E06EC4" w:rsidRPr="00237CBD" w:rsidRDefault="00E06EC4" w:rsidP="00D236FE">
      <w:pPr>
        <w:rPr>
          <w:rFonts w:eastAsia="Arial"/>
        </w:rPr>
      </w:pPr>
      <w:r w:rsidRPr="00237CBD">
        <w:rPr>
          <w:rFonts w:eastAsia="Arial"/>
        </w:rPr>
        <w:t>Most of the DHBs planned to engage with consumers and community providers through their MQSP governance groups, or working groups of these governance groups.</w:t>
      </w:r>
    </w:p>
    <w:p w:rsidR="00E06EC4" w:rsidRPr="00237CBD" w:rsidRDefault="00E06EC4" w:rsidP="00D236FE"/>
    <w:p w:rsidR="00E06EC4" w:rsidRPr="00237CBD" w:rsidRDefault="00E06EC4" w:rsidP="00D236FE">
      <w:pPr>
        <w:pStyle w:val="Heading4"/>
        <w:rPr>
          <w:rFonts w:eastAsia="Arial"/>
        </w:rPr>
      </w:pPr>
      <w:r w:rsidRPr="00237CBD">
        <w:rPr>
          <w:rFonts w:eastAsia="Arial"/>
        </w:rPr>
        <w:lastRenderedPageBreak/>
        <w:t>Relationships with GPs</w:t>
      </w:r>
    </w:p>
    <w:p w:rsidR="00E06EC4" w:rsidRPr="00237CBD" w:rsidRDefault="00E06EC4" w:rsidP="00D236FE">
      <w:pPr>
        <w:rPr>
          <w:rFonts w:eastAsia="Arial"/>
        </w:rPr>
      </w:pPr>
      <w:r w:rsidRPr="00237CBD">
        <w:rPr>
          <w:rFonts w:eastAsia="Arial"/>
        </w:rPr>
        <w:t>Many DHBs are building relationships with GPs and Primary Health Organisations (PHOs). Some DHBs have developed promotional material for GPs, or are promoting regional-specific Health Pathways for GPs to use. One DHB held an LMC/GP workshop.</w:t>
      </w:r>
    </w:p>
    <w:p w:rsidR="00E06EC4" w:rsidRPr="00237CBD" w:rsidRDefault="00E06EC4" w:rsidP="00D236FE"/>
    <w:p w:rsidR="00E06EC4" w:rsidRPr="00237CBD" w:rsidRDefault="00E06EC4" w:rsidP="00D236FE">
      <w:pPr>
        <w:rPr>
          <w:rFonts w:eastAsia="Arial"/>
        </w:rPr>
      </w:pPr>
      <w:r w:rsidRPr="00237CBD">
        <w:rPr>
          <w:rFonts w:eastAsia="Arial"/>
        </w:rPr>
        <w:t>Another DHB noted that some</w:t>
      </w:r>
      <w:r w:rsidR="00F71BF6" w:rsidRPr="00237CBD">
        <w:rPr>
          <w:rFonts w:eastAsia="Arial"/>
        </w:rPr>
        <w:t xml:space="preserve"> </w:t>
      </w:r>
      <w:r w:rsidRPr="00237CBD">
        <w:rPr>
          <w:rFonts w:eastAsia="Arial"/>
        </w:rPr>
        <w:t>GPs delay referring to LMCs until the second trimester. They plan to address this problem with the two PHOs in the region.</w:t>
      </w:r>
    </w:p>
    <w:p w:rsidR="00E06EC4" w:rsidRPr="00237CBD" w:rsidRDefault="00E06EC4" w:rsidP="00D236FE"/>
    <w:p w:rsidR="00E06EC4" w:rsidRPr="00237CBD" w:rsidRDefault="00E06EC4" w:rsidP="00D236FE">
      <w:pPr>
        <w:pStyle w:val="Heading4"/>
        <w:rPr>
          <w:rFonts w:eastAsia="Arial"/>
        </w:rPr>
      </w:pPr>
      <w:r w:rsidRPr="00237CBD">
        <w:rPr>
          <w:rFonts w:eastAsia="Arial"/>
        </w:rPr>
        <w:t>Consumers</w:t>
      </w:r>
    </w:p>
    <w:p w:rsidR="00E06EC4" w:rsidRPr="00237CBD" w:rsidRDefault="00E06EC4" w:rsidP="00D236FE">
      <w:pPr>
        <w:rPr>
          <w:rFonts w:eastAsia="Arial"/>
        </w:rPr>
      </w:pPr>
      <w:r w:rsidRPr="00237CBD">
        <w:rPr>
          <w:rFonts w:eastAsia="Arial"/>
        </w:rPr>
        <w:t xml:space="preserve">Some of the DHBs have carried out (or plan to carry out) a survey with women who booked late, asking about barriers to booking. They plan to use the results of this to inform suitable strategies. Some of the DHBs have targeted these surveys at specific sub-groups such as Māori and </w:t>
      </w:r>
      <w:proofErr w:type="spellStart"/>
      <w:r w:rsidRPr="00237CBD">
        <w:rPr>
          <w:rFonts w:eastAsia="Arial"/>
        </w:rPr>
        <w:t>Pasifika</w:t>
      </w:r>
      <w:proofErr w:type="spellEnd"/>
      <w:r w:rsidRPr="00237CBD">
        <w:rPr>
          <w:rFonts w:eastAsia="Arial"/>
        </w:rPr>
        <w:t xml:space="preserve"> women.</w:t>
      </w:r>
    </w:p>
    <w:p w:rsidR="00E06EC4" w:rsidRPr="00237CBD" w:rsidRDefault="00E06EC4" w:rsidP="00D236FE"/>
    <w:p w:rsidR="00E06EC4" w:rsidRPr="00237CBD" w:rsidRDefault="00E06EC4" w:rsidP="00D236FE">
      <w:pPr>
        <w:pStyle w:val="Heading3"/>
        <w:rPr>
          <w:rFonts w:eastAsia="Arial"/>
        </w:rPr>
      </w:pPr>
      <w:r w:rsidRPr="00237CBD">
        <w:rPr>
          <w:rFonts w:eastAsia="Arial"/>
        </w:rPr>
        <w:t>The cultural appropriateness of maternity services</w:t>
      </w:r>
    </w:p>
    <w:p w:rsidR="00E06EC4" w:rsidRPr="00237CBD" w:rsidRDefault="00E06EC4" w:rsidP="00D236FE">
      <w:pPr>
        <w:rPr>
          <w:rFonts w:eastAsia="Arial"/>
        </w:rPr>
      </w:pPr>
      <w:r w:rsidRPr="00237CBD">
        <w:rPr>
          <w:rFonts w:eastAsia="Arial"/>
        </w:rPr>
        <w:t>In some DHBs, relationships with the local iwi were strong. The iwi had input on the DHB</w:t>
      </w:r>
      <w:r w:rsidR="00F71BF6" w:rsidRPr="00237CBD">
        <w:rPr>
          <w:rFonts w:eastAsia="Arial"/>
        </w:rPr>
        <w:t>’</w:t>
      </w:r>
      <w:r w:rsidRPr="00237CBD">
        <w:rPr>
          <w:rFonts w:eastAsia="Arial"/>
        </w:rPr>
        <w:t>s MQSP. One DHB uses the Health Equity Assessment Tool (HEAT) as part of their MQSP to identify cultural barriers to service access and health equity issues in their area. A few DHBs also plan to run targeted awareness campaigns on the importance of early booking. Others are carrying out surveys on barriers to booking amongst vulnerable populations.</w:t>
      </w:r>
    </w:p>
    <w:p w:rsidR="00E06EC4" w:rsidRPr="00237CBD" w:rsidRDefault="00E06EC4" w:rsidP="00D236FE"/>
    <w:p w:rsidR="00E06EC4" w:rsidRPr="00237CBD" w:rsidRDefault="00E06EC4" w:rsidP="00D236FE">
      <w:pPr>
        <w:pStyle w:val="Heading4"/>
        <w:rPr>
          <w:rFonts w:eastAsia="Arial"/>
        </w:rPr>
      </w:pPr>
      <w:r w:rsidRPr="00237CBD">
        <w:rPr>
          <w:rFonts w:eastAsia="Arial"/>
        </w:rPr>
        <w:t>Booking through DHB hospital teams</w:t>
      </w:r>
      <w:r w:rsidR="00F71BF6" w:rsidRPr="00237CBD">
        <w:rPr>
          <w:rFonts w:eastAsia="Arial"/>
        </w:rPr>
        <w:t xml:space="preserve"> – </w:t>
      </w:r>
      <w:r w:rsidRPr="00237CBD">
        <w:rPr>
          <w:rFonts w:eastAsia="Arial"/>
        </w:rPr>
        <w:t>policies around gestation</w:t>
      </w:r>
    </w:p>
    <w:p w:rsidR="00E06EC4" w:rsidRPr="00237CBD" w:rsidRDefault="00E06EC4" w:rsidP="00D236FE">
      <w:pPr>
        <w:rPr>
          <w:rFonts w:eastAsia="Arial"/>
        </w:rPr>
      </w:pPr>
      <w:r w:rsidRPr="00237CBD">
        <w:rPr>
          <w:rFonts w:eastAsia="Arial"/>
        </w:rPr>
        <w:t>DHB responses showed that booking through a DHB hospital team varies significantly across New Zealand. Most DHBs book a small number of women who come to them in early pregnancy because they don</w:t>
      </w:r>
      <w:r w:rsidR="00F71BF6" w:rsidRPr="00237CBD">
        <w:rPr>
          <w:rFonts w:eastAsia="Arial"/>
        </w:rPr>
        <w:t>’</w:t>
      </w:r>
      <w:r w:rsidRPr="00237CBD">
        <w:rPr>
          <w:rFonts w:eastAsia="Arial"/>
        </w:rPr>
        <w:t>t have</w:t>
      </w:r>
      <w:r w:rsidR="00F71BF6" w:rsidRPr="00237CBD">
        <w:rPr>
          <w:rFonts w:eastAsia="Arial"/>
        </w:rPr>
        <w:t xml:space="preserve"> </w:t>
      </w:r>
      <w:r w:rsidRPr="00237CBD">
        <w:rPr>
          <w:rFonts w:eastAsia="Arial"/>
        </w:rPr>
        <w:t>a GP, require interpreter services and/or have complex health/social issues. These DHBs noted they do try to find an LMC for the woman. The</w:t>
      </w:r>
      <w:r w:rsidR="00D236FE">
        <w:rPr>
          <w:rFonts w:eastAsia="Arial"/>
        </w:rPr>
        <w:t xml:space="preserve"> o</w:t>
      </w:r>
      <w:r w:rsidRPr="00237CBD">
        <w:rPr>
          <w:rFonts w:eastAsia="Arial"/>
        </w:rPr>
        <w:t>ne or two DHBs that do provide more primary maternity services do so because they have workforce issues in the community, resulting in limited access to LMCs. This is expected to change over time as the midwifery workforce</w:t>
      </w:r>
      <w:r w:rsidR="00D236FE">
        <w:rPr>
          <w:rFonts w:eastAsia="Arial"/>
        </w:rPr>
        <w:t xml:space="preserve"> </w:t>
      </w:r>
      <w:r w:rsidRPr="00237CBD">
        <w:rPr>
          <w:rFonts w:eastAsia="Arial"/>
        </w:rPr>
        <w:t>numbers have increased substantially over the past five years.</w:t>
      </w:r>
    </w:p>
    <w:p w:rsidR="00E06EC4" w:rsidRPr="00237CBD" w:rsidRDefault="00E06EC4" w:rsidP="00D236FE"/>
    <w:p w:rsidR="00E06EC4" w:rsidRPr="00237CBD" w:rsidRDefault="00E06EC4" w:rsidP="00345371">
      <w:pPr>
        <w:pStyle w:val="BoxHeading"/>
        <w:rPr>
          <w:rFonts w:eastAsia="Arial"/>
        </w:rPr>
      </w:pPr>
      <w:r w:rsidRPr="00237CBD">
        <w:rPr>
          <w:rFonts w:eastAsia="Arial"/>
        </w:rPr>
        <w:t>The changes we expect to see next</w:t>
      </w:r>
    </w:p>
    <w:p w:rsidR="00E06EC4" w:rsidRPr="00237CBD" w:rsidRDefault="00E06EC4" w:rsidP="00345371">
      <w:pPr>
        <w:pStyle w:val="Box"/>
        <w:ind w:left="709" w:hanging="567"/>
        <w:rPr>
          <w:rFonts w:eastAsia="Arial"/>
        </w:rPr>
      </w:pPr>
      <w:r w:rsidRPr="00237CBD">
        <w:rPr>
          <w:rFonts w:eastAsia="Arial"/>
        </w:rPr>
        <w:t>1</w:t>
      </w:r>
      <w:r w:rsidR="00345371">
        <w:rPr>
          <w:rFonts w:eastAsia="Arial"/>
        </w:rPr>
        <w:tab/>
      </w:r>
      <w:r w:rsidRPr="00237CBD">
        <w:rPr>
          <w:rFonts w:eastAsia="Arial"/>
        </w:rPr>
        <w:t>The Ministry and the various maternity professional colleges should continue to focus on the quality of care women receive from any care provider when they make contact in the first trimester. What should be provided/ offered to women is well-described currently. Within their MQSPs, DHBs should work with providers of first trimester maternity services and their local population to ensure that women understand what to expect and how to access services.</w:t>
      </w:r>
    </w:p>
    <w:p w:rsidR="00E06EC4" w:rsidRPr="00237CBD" w:rsidRDefault="00E06EC4" w:rsidP="00345371">
      <w:pPr>
        <w:pStyle w:val="Box"/>
        <w:ind w:left="709" w:hanging="567"/>
        <w:rPr>
          <w:rFonts w:eastAsia="Arial"/>
        </w:rPr>
      </w:pPr>
      <w:r w:rsidRPr="00237CBD">
        <w:rPr>
          <w:rFonts w:eastAsia="Arial"/>
        </w:rPr>
        <w:t>2</w:t>
      </w:r>
      <w:r w:rsidR="00345371">
        <w:rPr>
          <w:rFonts w:eastAsia="Arial"/>
        </w:rPr>
        <w:tab/>
      </w:r>
      <w:r w:rsidRPr="00237CBD">
        <w:rPr>
          <w:rFonts w:eastAsia="Arial"/>
        </w:rPr>
        <w:t>The NMMG expects DHBs to share any of the initiatives to improve first trimester registration rates and quality improvement outcomes to be noted by the MQSP in each DHB in the coming</w:t>
      </w:r>
      <w:r w:rsidR="00F71BF6" w:rsidRPr="00237CBD">
        <w:rPr>
          <w:rFonts w:eastAsia="Arial"/>
        </w:rPr>
        <w:t xml:space="preserve"> </w:t>
      </w:r>
      <w:r w:rsidRPr="00237CBD">
        <w:rPr>
          <w:rFonts w:eastAsia="Arial"/>
        </w:rPr>
        <w:t>year. We will be following up with DHBs on the initiatives they have noted in their annual reports for 2013</w:t>
      </w:r>
      <w:r w:rsidR="00345371">
        <w:rPr>
          <w:rFonts w:eastAsia="Arial"/>
        </w:rPr>
        <w:t>–</w:t>
      </w:r>
      <w:r w:rsidRPr="00237CBD">
        <w:rPr>
          <w:rFonts w:eastAsia="Arial"/>
        </w:rPr>
        <w:t>14.</w:t>
      </w:r>
    </w:p>
    <w:p w:rsidR="00E06EC4" w:rsidRPr="00B66A91" w:rsidRDefault="00E06EC4" w:rsidP="00345371">
      <w:pPr>
        <w:pStyle w:val="Box"/>
        <w:ind w:left="709" w:hanging="567"/>
        <w:rPr>
          <w:rFonts w:eastAsia="Arial"/>
          <w:spacing w:val="-2"/>
        </w:rPr>
      </w:pPr>
      <w:r w:rsidRPr="00237CBD">
        <w:rPr>
          <w:rFonts w:eastAsia="Arial"/>
        </w:rPr>
        <w:t>3</w:t>
      </w:r>
      <w:r w:rsidR="00345371">
        <w:rPr>
          <w:rFonts w:eastAsia="Arial"/>
        </w:rPr>
        <w:tab/>
      </w:r>
      <w:r w:rsidRPr="00B66A91">
        <w:rPr>
          <w:rFonts w:eastAsia="Arial"/>
          <w:spacing w:val="-2"/>
        </w:rPr>
        <w:t>The NMMG expects all women to receive nationally consistent maternity care in the first trimester as described in the funding schedules, irrespective of who is providing it.</w:t>
      </w:r>
    </w:p>
    <w:p w:rsidR="00E06EC4" w:rsidRPr="00237CBD" w:rsidRDefault="00E06EC4" w:rsidP="00345371">
      <w:pPr>
        <w:pStyle w:val="Box"/>
        <w:ind w:left="709" w:hanging="567"/>
        <w:rPr>
          <w:rFonts w:eastAsia="Arial"/>
        </w:rPr>
      </w:pPr>
      <w:r w:rsidRPr="00237CBD">
        <w:rPr>
          <w:rFonts w:eastAsia="Arial"/>
        </w:rPr>
        <w:lastRenderedPageBreak/>
        <w:t>4</w:t>
      </w:r>
      <w:r w:rsidR="00345371">
        <w:rPr>
          <w:rFonts w:eastAsia="Arial"/>
        </w:rPr>
        <w:tab/>
      </w:r>
      <w:r w:rsidRPr="00237CBD">
        <w:rPr>
          <w:rFonts w:eastAsia="Arial"/>
        </w:rPr>
        <w:t>DHBs must continue to promote timely access to care in the first trimester including registration with</w:t>
      </w:r>
      <w:r w:rsidR="00345371">
        <w:rPr>
          <w:rFonts w:eastAsia="Arial"/>
        </w:rPr>
        <w:t xml:space="preserve"> </w:t>
      </w:r>
      <w:r w:rsidRPr="00237CBD">
        <w:rPr>
          <w:rFonts w:eastAsia="Arial"/>
        </w:rPr>
        <w:t>an LMC. Information in this report and the MQSP</w:t>
      </w:r>
      <w:r w:rsidR="00345371">
        <w:rPr>
          <w:rFonts w:eastAsia="Arial"/>
        </w:rPr>
        <w:t xml:space="preserve"> </w:t>
      </w:r>
      <w:r w:rsidRPr="00237CBD">
        <w:rPr>
          <w:rFonts w:eastAsia="Arial"/>
        </w:rPr>
        <w:t>reports published in each DHB can help establish</w:t>
      </w:r>
      <w:r w:rsidR="00345371">
        <w:rPr>
          <w:rFonts w:eastAsia="Arial"/>
        </w:rPr>
        <w:t xml:space="preserve"> </w:t>
      </w:r>
      <w:r w:rsidRPr="00237CBD">
        <w:rPr>
          <w:rFonts w:eastAsia="Arial"/>
        </w:rPr>
        <w:t>new initiatives that support women to achieve this. In particular, we expect DHBs to continue to work with their local professional representatives to support relationships between GPs and LMC midwives in their region. This will assist the development of consistent pathways between services when women are first pregnant.</w:t>
      </w:r>
    </w:p>
    <w:p w:rsidR="00E06EC4" w:rsidRPr="00237CBD" w:rsidRDefault="00E06EC4" w:rsidP="00345371">
      <w:pPr>
        <w:pStyle w:val="Box"/>
        <w:ind w:left="709" w:hanging="567"/>
        <w:rPr>
          <w:rFonts w:eastAsia="Arial"/>
        </w:rPr>
      </w:pPr>
      <w:r w:rsidRPr="00237CBD">
        <w:rPr>
          <w:rFonts w:eastAsia="Arial"/>
        </w:rPr>
        <w:t>5</w:t>
      </w:r>
      <w:r w:rsidR="00345371">
        <w:rPr>
          <w:rFonts w:eastAsia="Arial"/>
        </w:rPr>
        <w:tab/>
      </w:r>
      <w:r w:rsidRPr="00237CBD">
        <w:rPr>
          <w:rFonts w:eastAsia="Arial"/>
        </w:rPr>
        <w:t xml:space="preserve">DHBs must work with all providers of maternity services to ensure that specific cultural needs, including those of Māori and </w:t>
      </w:r>
      <w:proofErr w:type="spellStart"/>
      <w:r w:rsidRPr="00237CBD">
        <w:rPr>
          <w:rFonts w:eastAsia="Arial"/>
        </w:rPr>
        <w:t>Pasifika</w:t>
      </w:r>
      <w:proofErr w:type="spellEnd"/>
      <w:r w:rsidRPr="00237CBD">
        <w:rPr>
          <w:rFonts w:eastAsia="Arial"/>
        </w:rPr>
        <w:t xml:space="preserve"> women</w:t>
      </w:r>
      <w:r w:rsidR="00F71BF6" w:rsidRPr="00237CBD">
        <w:rPr>
          <w:rFonts w:eastAsia="Arial"/>
        </w:rPr>
        <w:t xml:space="preserve"> </w:t>
      </w:r>
      <w:r w:rsidRPr="00237CBD">
        <w:rPr>
          <w:rFonts w:eastAsia="Arial"/>
        </w:rPr>
        <w:t>are addressed through the local service provision model.</w:t>
      </w:r>
    </w:p>
    <w:p w:rsidR="00E06EC4" w:rsidRPr="00237CBD" w:rsidRDefault="00E06EC4" w:rsidP="00345371">
      <w:pPr>
        <w:pStyle w:val="Box"/>
        <w:ind w:left="709" w:hanging="567"/>
        <w:rPr>
          <w:rFonts w:eastAsia="Arial"/>
        </w:rPr>
      </w:pPr>
      <w:r w:rsidRPr="00237CBD">
        <w:rPr>
          <w:rFonts w:eastAsia="Arial"/>
        </w:rPr>
        <w:t>6</w:t>
      </w:r>
      <w:r w:rsidR="00345371">
        <w:rPr>
          <w:rFonts w:eastAsia="Arial"/>
        </w:rPr>
        <w:tab/>
      </w:r>
      <w:r w:rsidRPr="00237CBD">
        <w:rPr>
          <w:rFonts w:eastAsia="Arial"/>
        </w:rPr>
        <w:t>General practice must consistently provide a quality first trimester consultation as described</w:t>
      </w:r>
      <w:r w:rsidR="00F71BF6" w:rsidRPr="00237CBD">
        <w:rPr>
          <w:rFonts w:eastAsia="Arial"/>
        </w:rPr>
        <w:t xml:space="preserve"> </w:t>
      </w:r>
      <w:r w:rsidRPr="00237CBD">
        <w:rPr>
          <w:rFonts w:eastAsia="Arial"/>
        </w:rPr>
        <w:t>in the funding schedule for first trimester. Importantly they must also help women to navigate into the maternity system and register with an LMC. We expect DHBs</w:t>
      </w:r>
      <w:r w:rsidR="00345371">
        <w:rPr>
          <w:rFonts w:eastAsia="Arial"/>
        </w:rPr>
        <w:t xml:space="preserve"> </w:t>
      </w:r>
      <w:r w:rsidRPr="00237CBD">
        <w:rPr>
          <w:rFonts w:eastAsia="Arial"/>
        </w:rPr>
        <w:t>to offer support both for LMC midwives and general practices to help improve these rates.</w:t>
      </w:r>
    </w:p>
    <w:p w:rsidR="00E06EC4" w:rsidRPr="00237CBD" w:rsidRDefault="00E06EC4" w:rsidP="00345371">
      <w:pPr>
        <w:pStyle w:val="Box"/>
        <w:ind w:left="709" w:hanging="567"/>
        <w:rPr>
          <w:rFonts w:eastAsia="Arial"/>
        </w:rPr>
      </w:pPr>
      <w:r w:rsidRPr="00237CBD">
        <w:rPr>
          <w:rFonts w:eastAsia="Arial"/>
        </w:rPr>
        <w:t>7</w:t>
      </w:r>
      <w:r w:rsidR="00345371">
        <w:rPr>
          <w:rFonts w:eastAsia="Arial"/>
        </w:rPr>
        <w:tab/>
      </w:r>
      <w:r w:rsidRPr="00237CBD">
        <w:rPr>
          <w:rFonts w:eastAsia="Arial"/>
        </w:rPr>
        <w:t>The NMMG will continue to monitor this in the next year and will look at timeliness of this visit and the quality of the service that women receive in the</w:t>
      </w:r>
      <w:r w:rsidR="00345371">
        <w:rPr>
          <w:rFonts w:eastAsia="Arial"/>
        </w:rPr>
        <w:t xml:space="preserve"> </w:t>
      </w:r>
      <w:r w:rsidRPr="00237CBD">
        <w:rPr>
          <w:rFonts w:eastAsia="Arial"/>
        </w:rPr>
        <w:t>first trimester and whether it meets the agreed expectations of this visit.</w:t>
      </w:r>
    </w:p>
    <w:p w:rsidR="00E06EC4" w:rsidRPr="00237CBD" w:rsidRDefault="00E06EC4" w:rsidP="00345371"/>
    <w:p w:rsidR="00E06EC4" w:rsidRPr="00237CBD" w:rsidRDefault="00E06EC4" w:rsidP="00345371">
      <w:pPr>
        <w:pStyle w:val="Heading2"/>
        <w:rPr>
          <w:rFonts w:eastAsia="Arial"/>
        </w:rPr>
      </w:pPr>
      <w:bookmarkStart w:id="15" w:name="_Toc404355659"/>
      <w:r w:rsidRPr="00237CBD">
        <w:rPr>
          <w:rFonts w:eastAsia="Arial"/>
        </w:rPr>
        <w:t>Good examples of promoting</w:t>
      </w:r>
      <w:r w:rsidR="00345371">
        <w:rPr>
          <w:rFonts w:eastAsia="Arial"/>
        </w:rPr>
        <w:t xml:space="preserve"> </w:t>
      </w:r>
      <w:r w:rsidRPr="00237CBD">
        <w:rPr>
          <w:rFonts w:eastAsia="Arial"/>
        </w:rPr>
        <w:t>timely LMC registration</w:t>
      </w:r>
      <w:bookmarkEnd w:id="15"/>
    </w:p>
    <w:p w:rsidR="00345371" w:rsidRDefault="00E06EC4" w:rsidP="00345371">
      <w:pPr>
        <w:pStyle w:val="Heading3"/>
        <w:rPr>
          <w:rFonts w:eastAsia="Arial"/>
          <w:sz w:val="32"/>
          <w:szCs w:val="32"/>
        </w:rPr>
      </w:pPr>
      <w:proofErr w:type="spellStart"/>
      <w:r w:rsidRPr="00237CBD">
        <w:rPr>
          <w:rFonts w:eastAsia="Arial"/>
          <w:sz w:val="32"/>
          <w:szCs w:val="32"/>
        </w:rPr>
        <w:t>Whanganui</w:t>
      </w:r>
      <w:proofErr w:type="spellEnd"/>
      <w:r w:rsidRPr="00237CBD">
        <w:rPr>
          <w:rFonts w:eastAsia="Arial"/>
          <w:sz w:val="32"/>
          <w:szCs w:val="32"/>
        </w:rPr>
        <w:t xml:space="preserve">, </w:t>
      </w:r>
      <w:proofErr w:type="spellStart"/>
      <w:r w:rsidRPr="00237CBD">
        <w:rPr>
          <w:rFonts w:eastAsia="Arial"/>
          <w:sz w:val="32"/>
          <w:szCs w:val="32"/>
        </w:rPr>
        <w:t>MidCentral</w:t>
      </w:r>
      <w:proofErr w:type="spellEnd"/>
      <w:r w:rsidRPr="00237CBD">
        <w:rPr>
          <w:rFonts w:eastAsia="Arial"/>
          <w:sz w:val="32"/>
          <w:szCs w:val="32"/>
        </w:rPr>
        <w:t xml:space="preserve"> and Capital and Coast DHBs</w:t>
      </w:r>
    </w:p>
    <w:p w:rsidR="00E06EC4" w:rsidRPr="00237CBD" w:rsidRDefault="00E06EC4" w:rsidP="00345371">
      <w:pPr>
        <w:rPr>
          <w:rFonts w:eastAsia="Arial"/>
        </w:rPr>
      </w:pPr>
      <w:proofErr w:type="spellStart"/>
      <w:r w:rsidRPr="00237CBD">
        <w:rPr>
          <w:rFonts w:eastAsia="Arial"/>
        </w:rPr>
        <w:t>Whanganui</w:t>
      </w:r>
      <w:proofErr w:type="spellEnd"/>
      <w:r w:rsidRPr="00237CBD">
        <w:rPr>
          <w:rFonts w:eastAsia="Arial"/>
        </w:rPr>
        <w:t xml:space="preserve">, </w:t>
      </w:r>
      <w:proofErr w:type="spellStart"/>
      <w:r w:rsidRPr="00237CBD">
        <w:rPr>
          <w:rFonts w:eastAsia="Arial"/>
        </w:rPr>
        <w:t>MidCentral</w:t>
      </w:r>
      <w:proofErr w:type="spellEnd"/>
      <w:r w:rsidRPr="00237CBD">
        <w:rPr>
          <w:rFonts w:eastAsia="Arial"/>
        </w:rPr>
        <w:t xml:space="preserve"> and Capital and Coast DHBs have introduced a number of initiatives to promote early registration with an LMC in their areas.</w:t>
      </w:r>
    </w:p>
    <w:p w:rsidR="00E06EC4" w:rsidRPr="00237CBD" w:rsidRDefault="00E06EC4" w:rsidP="00345371"/>
    <w:p w:rsidR="00E06EC4" w:rsidRPr="00237CBD" w:rsidRDefault="00E06EC4" w:rsidP="00345371">
      <w:pPr>
        <w:rPr>
          <w:rFonts w:eastAsia="Arial"/>
        </w:rPr>
      </w:pPr>
      <w:r w:rsidRPr="00237CBD">
        <w:rPr>
          <w:rFonts w:eastAsia="Arial"/>
        </w:rPr>
        <w:t xml:space="preserve">One of these is the </w:t>
      </w:r>
      <w:r w:rsidR="00F71BF6" w:rsidRPr="00237CBD">
        <w:rPr>
          <w:rFonts w:eastAsia="Arial"/>
        </w:rPr>
        <w:t>‘</w:t>
      </w:r>
      <w:proofErr w:type="gramStart"/>
      <w:r w:rsidRPr="00237CBD">
        <w:rPr>
          <w:rFonts w:eastAsia="Arial"/>
        </w:rPr>
        <w:t>Pregnant</w:t>
      </w:r>
      <w:proofErr w:type="gramEnd"/>
      <w:r w:rsidRPr="00237CBD">
        <w:rPr>
          <w:rFonts w:eastAsia="Arial"/>
        </w:rPr>
        <w:t>: 5 things to do within the first 10 weeks</w:t>
      </w:r>
      <w:r w:rsidR="00F71BF6" w:rsidRPr="00237CBD">
        <w:rPr>
          <w:rFonts w:eastAsia="Arial"/>
        </w:rPr>
        <w:t>’</w:t>
      </w:r>
      <w:r w:rsidRPr="00237CBD">
        <w:rPr>
          <w:rFonts w:eastAsia="Arial"/>
        </w:rPr>
        <w:t xml:space="preserve"> initiative. This campaign promotes the five things pregnant women should do in the first 10 weeks of pregnancy. These five things are:</w:t>
      </w:r>
    </w:p>
    <w:p w:rsidR="00E06EC4" w:rsidRPr="00237CBD" w:rsidRDefault="00E06EC4" w:rsidP="00C430F8">
      <w:pPr>
        <w:spacing w:before="60"/>
        <w:ind w:left="567" w:hanging="567"/>
        <w:rPr>
          <w:rFonts w:eastAsia="Arial"/>
        </w:rPr>
      </w:pPr>
      <w:r w:rsidRPr="00237CBD">
        <w:rPr>
          <w:rFonts w:eastAsia="Arial"/>
        </w:rPr>
        <w:t>1</w:t>
      </w:r>
      <w:r w:rsidR="00345371">
        <w:rPr>
          <w:rFonts w:eastAsia="Arial"/>
        </w:rPr>
        <w:tab/>
      </w:r>
      <w:proofErr w:type="gramStart"/>
      <w:r w:rsidR="00345371">
        <w:rPr>
          <w:rFonts w:eastAsia="Arial"/>
        </w:rPr>
        <w:t>f</w:t>
      </w:r>
      <w:r w:rsidRPr="00237CBD">
        <w:rPr>
          <w:rFonts w:eastAsia="Arial"/>
        </w:rPr>
        <w:t>ind</w:t>
      </w:r>
      <w:proofErr w:type="gramEnd"/>
      <w:r w:rsidRPr="00237CBD">
        <w:rPr>
          <w:rFonts w:eastAsia="Arial"/>
        </w:rPr>
        <w:t xml:space="preserve"> an LMC</w:t>
      </w:r>
    </w:p>
    <w:p w:rsidR="00E06EC4" w:rsidRPr="00237CBD" w:rsidRDefault="00E06EC4" w:rsidP="00C430F8">
      <w:pPr>
        <w:spacing w:before="60"/>
        <w:ind w:left="567" w:hanging="567"/>
        <w:rPr>
          <w:rFonts w:eastAsia="Arial"/>
        </w:rPr>
      </w:pPr>
      <w:r w:rsidRPr="00237CBD">
        <w:rPr>
          <w:rFonts w:eastAsia="Arial"/>
        </w:rPr>
        <w:t>2</w:t>
      </w:r>
      <w:r w:rsidR="00345371">
        <w:rPr>
          <w:rFonts w:eastAsia="Arial"/>
        </w:rPr>
        <w:tab/>
        <w:t>c</w:t>
      </w:r>
      <w:r w:rsidRPr="00237CBD">
        <w:rPr>
          <w:rFonts w:eastAsia="Arial"/>
        </w:rPr>
        <w:t>onsider early pregnancy screening</w:t>
      </w:r>
    </w:p>
    <w:p w:rsidR="00E06EC4" w:rsidRPr="00237CBD" w:rsidRDefault="00E06EC4" w:rsidP="00C430F8">
      <w:pPr>
        <w:spacing w:before="60"/>
        <w:ind w:left="567" w:hanging="567"/>
        <w:rPr>
          <w:rFonts w:eastAsia="Arial"/>
        </w:rPr>
      </w:pPr>
      <w:r w:rsidRPr="00237CBD">
        <w:rPr>
          <w:rFonts w:eastAsia="Arial"/>
        </w:rPr>
        <w:t>3</w:t>
      </w:r>
      <w:r w:rsidR="00345371">
        <w:rPr>
          <w:rFonts w:eastAsia="Arial"/>
        </w:rPr>
        <w:tab/>
        <w:t>t</w:t>
      </w:r>
      <w:r w:rsidRPr="00237CBD">
        <w:rPr>
          <w:rFonts w:eastAsia="Arial"/>
        </w:rPr>
        <w:t>ake iodine and continue folic acid</w:t>
      </w:r>
    </w:p>
    <w:p w:rsidR="00E06EC4" w:rsidRPr="00237CBD" w:rsidRDefault="00E06EC4" w:rsidP="00C430F8">
      <w:pPr>
        <w:spacing w:before="60"/>
        <w:ind w:left="567" w:hanging="567"/>
        <w:rPr>
          <w:rFonts w:eastAsia="Arial"/>
        </w:rPr>
      </w:pPr>
      <w:r w:rsidRPr="00237CBD">
        <w:rPr>
          <w:rFonts w:eastAsia="Arial"/>
        </w:rPr>
        <w:t>4</w:t>
      </w:r>
      <w:r w:rsidR="00345371">
        <w:rPr>
          <w:rFonts w:eastAsia="Arial"/>
        </w:rPr>
        <w:tab/>
        <w:t>e</w:t>
      </w:r>
      <w:r w:rsidRPr="00237CBD">
        <w:rPr>
          <w:rFonts w:eastAsia="Arial"/>
        </w:rPr>
        <w:t>at well and exercise, and</w:t>
      </w:r>
    </w:p>
    <w:p w:rsidR="00E06EC4" w:rsidRPr="00237CBD" w:rsidRDefault="00E06EC4" w:rsidP="00C430F8">
      <w:pPr>
        <w:spacing w:before="60"/>
        <w:ind w:left="567" w:hanging="567"/>
        <w:rPr>
          <w:rFonts w:eastAsia="Arial"/>
        </w:rPr>
      </w:pPr>
      <w:r w:rsidRPr="00237CBD">
        <w:rPr>
          <w:rFonts w:eastAsia="Arial"/>
        </w:rPr>
        <w:t>5</w:t>
      </w:r>
      <w:r w:rsidR="00345371">
        <w:rPr>
          <w:rFonts w:eastAsia="Arial"/>
        </w:rPr>
        <w:tab/>
        <w:t>a</w:t>
      </w:r>
      <w:r w:rsidRPr="00237CBD">
        <w:rPr>
          <w:rFonts w:eastAsia="Arial"/>
        </w:rPr>
        <w:t>void smoking, drinking and other drugs.</w:t>
      </w:r>
    </w:p>
    <w:p w:rsidR="00345371" w:rsidRDefault="00345371" w:rsidP="00345371">
      <w:pPr>
        <w:rPr>
          <w:rFonts w:eastAsia="Arial"/>
        </w:rPr>
      </w:pPr>
    </w:p>
    <w:p w:rsidR="00E06EC4" w:rsidRPr="00237CBD" w:rsidRDefault="00E06EC4" w:rsidP="00345371">
      <w:pPr>
        <w:rPr>
          <w:rFonts w:eastAsia="Arial"/>
        </w:rPr>
      </w:pPr>
      <w:r w:rsidRPr="00237CBD">
        <w:rPr>
          <w:rFonts w:eastAsia="Arial"/>
        </w:rPr>
        <w:t>Women are given details of relevant websites and 0800 phone numbers for contacting an LMC. This initiative has been advertised in a variety of ways throughout these regions. This includes</w:t>
      </w:r>
      <w:r w:rsidR="00C430F8">
        <w:rPr>
          <w:rFonts w:eastAsia="Arial"/>
        </w:rPr>
        <w:t xml:space="preserve"> </w:t>
      </w:r>
      <w:r w:rsidRPr="00237CBD">
        <w:rPr>
          <w:rFonts w:eastAsia="Arial"/>
        </w:rPr>
        <w:t>presentations to GPs, Well Child Pr</w:t>
      </w:r>
      <w:r w:rsidR="00C430F8">
        <w:rPr>
          <w:rFonts w:eastAsia="Arial"/>
        </w:rPr>
        <w:t>oviders and other providers</w:t>
      </w:r>
      <w:r w:rsidRPr="00237CBD">
        <w:rPr>
          <w:rFonts w:eastAsia="Arial"/>
        </w:rPr>
        <w:t xml:space="preserve"> involved with child health. Flyers h</w:t>
      </w:r>
      <w:r w:rsidR="00C430F8">
        <w:rPr>
          <w:rFonts w:eastAsia="Arial"/>
        </w:rPr>
        <w:t>ave been published in</w:t>
      </w:r>
      <w:r w:rsidRPr="00237CBD">
        <w:rPr>
          <w:rFonts w:eastAsia="Arial"/>
        </w:rPr>
        <w:t xml:space="preserve"> local newspapers and a </w:t>
      </w:r>
      <w:r w:rsidR="00F71BF6" w:rsidRPr="00237CBD">
        <w:rPr>
          <w:rFonts w:eastAsia="Arial"/>
        </w:rPr>
        <w:t>‘</w:t>
      </w:r>
      <w:r w:rsidRPr="00237CBD">
        <w:rPr>
          <w:rFonts w:eastAsia="Arial"/>
        </w:rPr>
        <w:t xml:space="preserve">back of a </w:t>
      </w:r>
      <w:r w:rsidR="00C430F8">
        <w:rPr>
          <w:rFonts w:eastAsia="Arial"/>
        </w:rPr>
        <w:t xml:space="preserve">bus’ promotion has </w:t>
      </w:r>
      <w:r w:rsidRPr="00237CBD">
        <w:rPr>
          <w:rFonts w:eastAsia="Arial"/>
        </w:rPr>
        <w:t xml:space="preserve">also been run. The information in </w:t>
      </w:r>
      <w:r w:rsidR="00C430F8">
        <w:rPr>
          <w:rFonts w:eastAsia="Arial"/>
        </w:rPr>
        <w:t xml:space="preserve">each method </w:t>
      </w:r>
      <w:r w:rsidRPr="00237CBD">
        <w:rPr>
          <w:rFonts w:eastAsia="Arial"/>
        </w:rPr>
        <w:t xml:space="preserve">has been altered slightly to reflect </w:t>
      </w:r>
      <w:r w:rsidR="00C430F8">
        <w:rPr>
          <w:rFonts w:eastAsia="Arial"/>
        </w:rPr>
        <w:t xml:space="preserve">the needs </w:t>
      </w:r>
      <w:r w:rsidRPr="00237CBD">
        <w:rPr>
          <w:rFonts w:eastAsia="Arial"/>
        </w:rPr>
        <w:t>of different communities. Some D</w:t>
      </w:r>
      <w:r w:rsidR="00C430F8">
        <w:rPr>
          <w:rFonts w:eastAsia="Arial"/>
        </w:rPr>
        <w:t>HBs are</w:t>
      </w:r>
      <w:r w:rsidRPr="00237CBD">
        <w:rPr>
          <w:rFonts w:eastAsia="Arial"/>
        </w:rPr>
        <w:t xml:space="preserve"> currently also developing multi-l</w:t>
      </w:r>
      <w:r w:rsidR="00C430F8">
        <w:rPr>
          <w:rFonts w:eastAsia="Arial"/>
        </w:rPr>
        <w:t>anguage</w:t>
      </w:r>
      <w:r w:rsidRPr="00237CBD">
        <w:rPr>
          <w:rFonts w:eastAsia="Arial"/>
        </w:rPr>
        <w:t xml:space="preserve"> posters in both </w:t>
      </w:r>
      <w:proofErr w:type="spellStart"/>
      <w:r w:rsidRPr="00237CBD">
        <w:rPr>
          <w:rFonts w:eastAsia="Arial"/>
        </w:rPr>
        <w:t>Te</w:t>
      </w:r>
      <w:proofErr w:type="spellEnd"/>
      <w:r w:rsidR="00C430F8">
        <w:rPr>
          <w:rFonts w:eastAsia="Arial"/>
        </w:rPr>
        <w:t> </w:t>
      </w:r>
      <w:r w:rsidRPr="00237CBD">
        <w:rPr>
          <w:rFonts w:eastAsia="Arial"/>
        </w:rPr>
        <w:t>Reo and the fiv</w:t>
      </w:r>
      <w:r w:rsidR="00C430F8">
        <w:rPr>
          <w:rFonts w:eastAsia="Arial"/>
        </w:rPr>
        <w:t>e</w:t>
      </w:r>
      <w:r w:rsidRPr="00237CBD">
        <w:rPr>
          <w:rFonts w:eastAsia="Arial"/>
        </w:rPr>
        <w:t xml:space="preserve"> local </w:t>
      </w:r>
      <w:proofErr w:type="spellStart"/>
      <w:r w:rsidRPr="00237CBD">
        <w:rPr>
          <w:rFonts w:eastAsia="Arial"/>
        </w:rPr>
        <w:t>Pasifika</w:t>
      </w:r>
      <w:proofErr w:type="spellEnd"/>
      <w:r w:rsidRPr="00237CBD">
        <w:rPr>
          <w:rFonts w:eastAsia="Arial"/>
        </w:rPr>
        <w:t xml:space="preserve"> languages. The poste</w:t>
      </w:r>
      <w:r w:rsidR="00C430F8">
        <w:rPr>
          <w:rFonts w:eastAsia="Arial"/>
        </w:rPr>
        <w:t>rs</w:t>
      </w:r>
      <w:r w:rsidRPr="00237CBD">
        <w:rPr>
          <w:rFonts w:eastAsia="Arial"/>
        </w:rPr>
        <w:t xml:space="preserve"> will be distributed to agencies in t</w:t>
      </w:r>
      <w:r w:rsidR="00C430F8">
        <w:rPr>
          <w:rFonts w:eastAsia="Arial"/>
        </w:rPr>
        <w:t>he</w:t>
      </w:r>
      <w:r w:rsidRPr="00237CBD">
        <w:rPr>
          <w:rFonts w:eastAsia="Arial"/>
        </w:rPr>
        <w:t xml:space="preserve"> community.</w:t>
      </w:r>
    </w:p>
    <w:p w:rsidR="00E06EC4" w:rsidRPr="00237CBD" w:rsidRDefault="00E06EC4" w:rsidP="00B66A91"/>
    <w:p w:rsidR="00E06EC4" w:rsidRPr="00237CBD" w:rsidRDefault="00E06EC4" w:rsidP="00B66A91">
      <w:pPr>
        <w:rPr>
          <w:rFonts w:eastAsia="Arial"/>
        </w:rPr>
      </w:pPr>
      <w:r w:rsidRPr="00237CBD">
        <w:rPr>
          <w:rFonts w:eastAsia="Arial"/>
        </w:rPr>
        <w:t>A number of other DHBs have n</w:t>
      </w:r>
      <w:r w:rsidR="00B66A91">
        <w:rPr>
          <w:rFonts w:eastAsia="Arial"/>
        </w:rPr>
        <w:t>ow begun using this initiative.</w:t>
      </w:r>
    </w:p>
    <w:p w:rsidR="00E06EC4" w:rsidRPr="00237CBD" w:rsidRDefault="00E06EC4" w:rsidP="00B66A91"/>
    <w:p w:rsidR="00E06EC4" w:rsidRPr="00237CBD" w:rsidRDefault="00E06EC4" w:rsidP="00B66A91">
      <w:pPr>
        <w:pStyle w:val="Heading1"/>
        <w:rPr>
          <w:rFonts w:eastAsia="Arial"/>
        </w:rPr>
      </w:pPr>
      <w:bookmarkStart w:id="16" w:name="_Toc404355660"/>
      <w:r w:rsidRPr="00B66A91">
        <w:rPr>
          <w:rFonts w:eastAsia="Arial"/>
        </w:rPr>
        <w:lastRenderedPageBreak/>
        <w:t>Variation in</w:t>
      </w:r>
      <w:r w:rsidR="00B66A91">
        <w:rPr>
          <w:rFonts w:eastAsia="Arial"/>
          <w:sz w:val="52"/>
          <w:szCs w:val="52"/>
        </w:rPr>
        <w:t xml:space="preserve"> </w:t>
      </w:r>
      <w:r w:rsidR="00D23192">
        <w:rPr>
          <w:rFonts w:eastAsia="Arial"/>
          <w:sz w:val="52"/>
          <w:szCs w:val="52"/>
        </w:rPr>
        <w:t>G</w:t>
      </w:r>
      <w:r w:rsidRPr="00237CBD">
        <w:rPr>
          <w:rFonts w:eastAsia="Arial"/>
        </w:rPr>
        <w:t xml:space="preserve">estation at </w:t>
      </w:r>
      <w:r w:rsidR="00D23192">
        <w:rPr>
          <w:rFonts w:eastAsia="Arial"/>
        </w:rPr>
        <w:t>B</w:t>
      </w:r>
      <w:r w:rsidRPr="00237CBD">
        <w:rPr>
          <w:rFonts w:eastAsia="Arial"/>
        </w:rPr>
        <w:t>irth</w:t>
      </w:r>
      <w:bookmarkEnd w:id="16"/>
    </w:p>
    <w:bookmarkStart w:id="17" w:name="_Toc404355661"/>
    <w:p w:rsidR="00E06EC4" w:rsidRPr="00237CBD" w:rsidRDefault="00401EE8" w:rsidP="00276775">
      <w:pPr>
        <w:pStyle w:val="Heading2"/>
        <w:rPr>
          <w:rFonts w:eastAsia="Arial"/>
        </w:rPr>
      </w:pPr>
      <w:r>
        <w:rPr>
          <w:noProof/>
          <w:lang w:eastAsia="en-NZ"/>
        </w:rPr>
        <mc:AlternateContent>
          <mc:Choice Requires="wps">
            <w:drawing>
              <wp:anchor distT="0" distB="0" distL="114300" distR="0" simplePos="0" relativeHeight="251869184" behindDoc="0" locked="0" layoutInCell="1" allowOverlap="0" wp14:anchorId="565269CF" wp14:editId="32B1FF9E">
                <wp:simplePos x="0" y="0"/>
                <wp:positionH relativeFrom="column">
                  <wp:posOffset>3288665</wp:posOffset>
                </wp:positionH>
                <wp:positionV relativeFrom="paragraph">
                  <wp:posOffset>122555</wp:posOffset>
                </wp:positionV>
                <wp:extent cx="2148840" cy="2501900"/>
                <wp:effectExtent l="0" t="0" r="3810" b="0"/>
                <wp:wrapSquare wrapText="lef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501900"/>
                        </a:xfrm>
                        <a:prstGeom prst="rect">
                          <a:avLst/>
                        </a:prstGeom>
                        <a:solidFill>
                          <a:schemeClr val="bg1">
                            <a:lumMod val="95000"/>
                          </a:schemeClr>
                        </a:solidFill>
                        <a:ln w="9525">
                          <a:noFill/>
                          <a:miter lim="800000"/>
                          <a:headEnd/>
                          <a:tailEnd/>
                        </a:ln>
                      </wps:spPr>
                      <wps:txbx>
                        <w:txbxContent>
                          <w:p w:rsidR="00EE698E" w:rsidRPr="00401EE8" w:rsidRDefault="00EE698E" w:rsidP="00401EE8">
                            <w:pPr>
                              <w:pStyle w:val="Textbox"/>
                              <w:rPr>
                                <w:b/>
                                <w:sz w:val="24"/>
                              </w:rPr>
                            </w:pPr>
                            <w:r w:rsidRPr="00401EE8">
                              <w:rPr>
                                <w:b/>
                                <w:sz w:val="24"/>
                              </w:rPr>
                              <w:t>What we found</w:t>
                            </w:r>
                          </w:p>
                          <w:p w:rsidR="00EE698E" w:rsidRPr="00401EE8" w:rsidRDefault="00EE698E" w:rsidP="00401EE8">
                            <w:pPr>
                              <w:pStyle w:val="Textbox"/>
                              <w:spacing w:before="180"/>
                              <w:rPr>
                                <w:b/>
                              </w:rPr>
                            </w:pPr>
                            <w:r w:rsidRPr="00401EE8">
                              <w:rPr>
                                <w:b/>
                              </w:rPr>
                              <w:t>Elective caesareans</w:t>
                            </w:r>
                          </w:p>
                          <w:p w:rsidR="00EE698E" w:rsidRPr="00237CBD" w:rsidRDefault="00EE698E" w:rsidP="00401EE8">
                            <w:pPr>
                              <w:pStyle w:val="Textbox"/>
                            </w:pPr>
                            <w:r w:rsidRPr="00237CBD">
                              <w:t>We noted there was significant variation in the rates of elective caesarean sections being performed by DHBs in New</w:t>
                            </w:r>
                            <w:r>
                              <w:t xml:space="preserve"> </w:t>
                            </w:r>
                            <w:r w:rsidRPr="00237CBD">
                              <w:t>Zealand in 2012 at 37, 38 and 39 weeks’</w:t>
                            </w:r>
                            <w:r>
                              <w:t xml:space="preserve"> </w:t>
                            </w:r>
                            <w:r w:rsidRPr="00237CBD">
                              <w:t>gestation.</w:t>
                            </w:r>
                          </w:p>
                          <w:p w:rsidR="00EE698E" w:rsidRPr="00237CBD" w:rsidRDefault="00EE698E" w:rsidP="00401EE8">
                            <w:pPr>
                              <w:pStyle w:val="Textbox"/>
                              <w:spacing w:before="180"/>
                            </w:pPr>
                            <w:r w:rsidRPr="00237CBD">
                              <w:rPr>
                                <w:b/>
                                <w:bCs/>
                              </w:rPr>
                              <w:t xml:space="preserve">Induction of </w:t>
                            </w:r>
                            <w:r>
                              <w:rPr>
                                <w:b/>
                                <w:bCs/>
                              </w:rPr>
                              <w:t>l</w:t>
                            </w:r>
                            <w:r w:rsidRPr="00237CBD">
                              <w:rPr>
                                <w:b/>
                                <w:bCs/>
                              </w:rPr>
                              <w:t>abour</w:t>
                            </w:r>
                          </w:p>
                          <w:p w:rsidR="00EE698E" w:rsidRPr="00237CBD" w:rsidRDefault="00EE698E" w:rsidP="00401EE8">
                            <w:pPr>
                              <w:pStyle w:val="Textbox"/>
                            </w:pPr>
                            <w:r w:rsidRPr="00237CBD">
                              <w:t>There was also significant variation in the rates of induction of labour in DHBs in New Zealand in 2012 at 37, 38 and 39 weeks’ gestation.</w:t>
                            </w:r>
                          </w:p>
                        </w:txbxContent>
                      </wps:txbx>
                      <wps:bodyPr rot="0" vert="horz" wrap="square" lIns="0" tIns="72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95pt;margin-top:9.65pt;width:169.2pt;height:197pt;z-index:251869184;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" o:allowoverlap="f" fillcolor="#f2f2f2 [3052]" stroked="f">
                <v:textbox inset="0,2mm,0,0">
                  <w:txbxContent>
                    <w:p w:rsidR="00EE698E" w:rsidRPr="00401EE8" w:rsidRDefault="00EE698E" w:rsidP="00401EE8">
                      <w:pPr>
                        <w:pStyle w:val="Textbox"/>
                        <w:rPr>
                          <w:b/>
                          <w:sz w:val="24"/>
                        </w:rPr>
                      </w:pPr>
                      <w:r w:rsidRPr="00401EE8">
                        <w:rPr>
                          <w:b/>
                          <w:sz w:val="24"/>
                        </w:rPr>
                        <w:t>What we found</w:t>
                      </w:r>
                    </w:p>
                    <w:p w:rsidR="00EE698E" w:rsidRPr="00401EE8" w:rsidRDefault="00EE698E" w:rsidP="00401EE8">
                      <w:pPr>
                        <w:pStyle w:val="Textbox"/>
                        <w:spacing w:before="180"/>
                        <w:rPr>
                          <w:b/>
                        </w:rPr>
                      </w:pPr>
                      <w:r w:rsidRPr="00401EE8">
                        <w:rPr>
                          <w:b/>
                        </w:rPr>
                        <w:t>Elective caesareans</w:t>
                      </w:r>
                    </w:p>
                    <w:p w:rsidR="00EE698E" w:rsidRPr="00237CBD" w:rsidRDefault="00EE698E" w:rsidP="00401EE8">
                      <w:pPr>
                        <w:pStyle w:val="Textbox"/>
                      </w:pPr>
                      <w:r w:rsidRPr="00237CBD">
                        <w:t>We noted there was significant variation in the rates of elective caesarean sections being performed by DHBs in New</w:t>
                      </w:r>
                      <w:r>
                        <w:t xml:space="preserve"> </w:t>
                      </w:r>
                      <w:r w:rsidRPr="00237CBD">
                        <w:t>Zealand in 2012 at 37, 38 and 39 weeks’</w:t>
                      </w:r>
                      <w:r>
                        <w:t xml:space="preserve"> </w:t>
                      </w:r>
                      <w:r w:rsidRPr="00237CBD">
                        <w:t>gestation.</w:t>
                      </w:r>
                    </w:p>
                    <w:p w:rsidR="00EE698E" w:rsidRPr="00237CBD" w:rsidRDefault="00EE698E" w:rsidP="00401EE8">
                      <w:pPr>
                        <w:pStyle w:val="Textbox"/>
                        <w:spacing w:before="180"/>
                      </w:pPr>
                      <w:r w:rsidRPr="00237CBD">
                        <w:rPr>
                          <w:b/>
                          <w:bCs/>
                        </w:rPr>
                        <w:t xml:space="preserve">Induction of </w:t>
                      </w:r>
                      <w:r>
                        <w:rPr>
                          <w:b/>
                          <w:bCs/>
                        </w:rPr>
                        <w:t>l</w:t>
                      </w:r>
                      <w:r w:rsidRPr="00237CBD">
                        <w:rPr>
                          <w:b/>
                          <w:bCs/>
                        </w:rPr>
                        <w:t>abour</w:t>
                      </w:r>
                    </w:p>
                    <w:p w:rsidR="00EE698E" w:rsidRPr="00237CBD" w:rsidRDefault="00EE698E" w:rsidP="00401EE8">
                      <w:pPr>
                        <w:pStyle w:val="Textbox"/>
                      </w:pPr>
                      <w:r w:rsidRPr="00237CBD">
                        <w:t>There was also significant variation in the rates of induction of labour in DHBs in New Zealand in 2012 at 37, 38 and 39 weeks’ gestation.</w:t>
                      </w:r>
                    </w:p>
                  </w:txbxContent>
                </v:textbox>
                <w10:wrap type="square" side="left"/>
              </v:shape>
            </w:pict>
          </mc:Fallback>
        </mc:AlternateContent>
      </w:r>
      <w:r w:rsidR="00E06EC4" w:rsidRPr="00237CBD">
        <w:rPr>
          <w:rFonts w:eastAsia="Arial"/>
        </w:rPr>
        <w:t>Our focus</w:t>
      </w:r>
      <w:bookmarkEnd w:id="17"/>
    </w:p>
    <w:p w:rsidR="00E06EC4" w:rsidRPr="00237CBD" w:rsidRDefault="00E06EC4" w:rsidP="003D10FA">
      <w:pPr>
        <w:pStyle w:val="Introparagraph"/>
      </w:pPr>
      <w:r w:rsidRPr="00237CBD">
        <w:t>This work stream reflects the NMMG</w:t>
      </w:r>
      <w:r w:rsidR="00F71BF6" w:rsidRPr="00237CBD">
        <w:t>’</w:t>
      </w:r>
      <w:r w:rsidRPr="00237CBD">
        <w:t xml:space="preserve">s role in overseeing the implementation of Standard 1 of the National Maternity Standards, particularly to ensure that maternity services achieve </w:t>
      </w:r>
      <w:r w:rsidR="00F71BF6" w:rsidRPr="00237CBD">
        <w:t>“</w:t>
      </w:r>
      <w:r w:rsidRPr="00237CBD">
        <w:t>optimal health outcomes for mothers and babies</w:t>
      </w:r>
      <w:r w:rsidR="00F71BF6" w:rsidRPr="00237CBD">
        <w:t>”</w:t>
      </w:r>
      <w:r w:rsidRPr="00237CBD">
        <w:t>.</w:t>
      </w:r>
    </w:p>
    <w:p w:rsidR="00E06EC4" w:rsidRPr="00237CBD" w:rsidRDefault="00E06EC4" w:rsidP="00AE4AA7"/>
    <w:p w:rsidR="00E06EC4" w:rsidRPr="00237CBD" w:rsidRDefault="00E06EC4" w:rsidP="003D10FA">
      <w:pPr>
        <w:rPr>
          <w:rFonts w:eastAsia="Arial"/>
        </w:rPr>
      </w:pPr>
      <w:r w:rsidRPr="00237CBD">
        <w:rPr>
          <w:rFonts w:eastAsia="Arial"/>
        </w:rPr>
        <w:t>The NMMG focused on preterm births (prior to 37</w:t>
      </w:r>
      <w:r w:rsidR="00F82321">
        <w:rPr>
          <w:rFonts w:eastAsia="Arial"/>
        </w:rPr>
        <w:t> </w:t>
      </w:r>
      <w:r w:rsidRPr="00237CBD">
        <w:rPr>
          <w:rFonts w:eastAsia="Arial"/>
        </w:rPr>
        <w:t>completed weeks</w:t>
      </w:r>
      <w:r w:rsidR="00F71BF6" w:rsidRPr="00237CBD">
        <w:rPr>
          <w:rFonts w:eastAsia="Arial"/>
        </w:rPr>
        <w:t>’</w:t>
      </w:r>
      <w:r w:rsidRPr="00237CBD">
        <w:rPr>
          <w:rFonts w:eastAsia="Arial"/>
        </w:rPr>
        <w:t xml:space="preserve"> gestation) in New</w:t>
      </w:r>
      <w:r w:rsidR="003D10FA">
        <w:rPr>
          <w:rFonts w:eastAsia="Arial"/>
        </w:rPr>
        <w:t> </w:t>
      </w:r>
      <w:r w:rsidRPr="00237CBD">
        <w:rPr>
          <w:rFonts w:eastAsia="Arial"/>
        </w:rPr>
        <w:t>Zealand in 2012/13. This year, we decided</w:t>
      </w:r>
      <w:r w:rsidR="00F71BF6" w:rsidRPr="00237CBD">
        <w:rPr>
          <w:rFonts w:eastAsia="Arial"/>
        </w:rPr>
        <w:t xml:space="preserve"> </w:t>
      </w:r>
      <w:r w:rsidRPr="00237CBD">
        <w:rPr>
          <w:rFonts w:eastAsia="Arial"/>
        </w:rPr>
        <w:t>to focus on variation in gestation of term births 37</w:t>
      </w:r>
      <w:r w:rsidR="003D10FA">
        <w:rPr>
          <w:rFonts w:eastAsia="Arial"/>
        </w:rPr>
        <w:t>–</w:t>
      </w:r>
      <w:r w:rsidRPr="00237CBD">
        <w:rPr>
          <w:rFonts w:eastAsia="Arial"/>
        </w:rPr>
        <w:t>40 weeks.</w:t>
      </w:r>
    </w:p>
    <w:p w:rsidR="00E06EC4" w:rsidRPr="00237CBD" w:rsidRDefault="00E06EC4" w:rsidP="003D10FA"/>
    <w:p w:rsidR="00E06EC4" w:rsidRPr="003D10FA" w:rsidRDefault="00E06EC4" w:rsidP="003D10FA">
      <w:pPr>
        <w:rPr>
          <w:rFonts w:eastAsia="Arial"/>
        </w:rPr>
      </w:pPr>
      <w:r w:rsidRPr="00237CBD">
        <w:rPr>
          <w:rFonts w:eastAsia="Arial"/>
        </w:rPr>
        <w:t>Research shows that worldwide there have been increases in planned early term birth. We noted in our last report that late preterm births (births between 34 and 36 weeks</w:t>
      </w:r>
      <w:r w:rsidR="00F71BF6" w:rsidRPr="00237CBD">
        <w:rPr>
          <w:rFonts w:eastAsia="Arial"/>
        </w:rPr>
        <w:t>’</w:t>
      </w:r>
      <w:r w:rsidRPr="00237CBD">
        <w:rPr>
          <w:rFonts w:eastAsia="Arial"/>
        </w:rPr>
        <w:t xml:space="preserve"> gestation) may be increasing in New Zealand. This may be related to changes in obstetric decision-making</w:t>
      </w:r>
      <w:r w:rsidR="003D10FA">
        <w:rPr>
          <w:rStyle w:val="FootnoteReference"/>
          <w:rFonts w:eastAsia="Arial"/>
        </w:rPr>
        <w:footnoteReference w:id="4"/>
      </w:r>
      <w:r w:rsidR="003D10FA">
        <w:rPr>
          <w:rFonts w:eastAsia="Arial"/>
        </w:rPr>
        <w:t xml:space="preserve"> </w:t>
      </w:r>
      <w:r w:rsidRPr="00237CBD">
        <w:rPr>
          <w:rFonts w:eastAsia="Arial"/>
        </w:rPr>
        <w:t>and changes in planned or elective early births. However, prolonging pregnancy generally results in better neonatal outcomes and less health resource use with each week gained in gestational age.</w:t>
      </w:r>
      <w:r w:rsidR="003D10FA">
        <w:rPr>
          <w:rFonts w:eastAsia="Arial"/>
          <w:vertAlign w:val="superscript"/>
        </w:rPr>
        <w:t>3</w:t>
      </w:r>
      <w:proofErr w:type="gramStart"/>
      <w:r w:rsidR="003D10FA">
        <w:rPr>
          <w:rFonts w:eastAsia="Arial"/>
          <w:vertAlign w:val="superscript"/>
        </w:rPr>
        <w:t xml:space="preserve">, </w:t>
      </w:r>
      <w:proofErr w:type="gramEnd"/>
      <w:r w:rsidR="003D10FA">
        <w:rPr>
          <w:rStyle w:val="FootnoteReference"/>
          <w:rFonts w:eastAsia="Arial"/>
        </w:rPr>
        <w:footnoteReference w:id="5"/>
      </w:r>
      <w:r w:rsidR="003D10FA">
        <w:rPr>
          <w:rFonts w:eastAsia="Arial"/>
          <w:vertAlign w:val="superscript"/>
        </w:rPr>
        <w:t xml:space="preserve">, </w:t>
      </w:r>
      <w:r w:rsidR="003D10FA">
        <w:rPr>
          <w:rStyle w:val="FootnoteReference"/>
          <w:rFonts w:eastAsia="Arial"/>
        </w:rPr>
        <w:footnoteReference w:id="6"/>
      </w:r>
    </w:p>
    <w:p w:rsidR="00E06EC4" w:rsidRPr="00237CBD" w:rsidRDefault="00E06EC4" w:rsidP="003D10FA"/>
    <w:p w:rsidR="00E06EC4" w:rsidRPr="00237CBD" w:rsidRDefault="00E06EC4" w:rsidP="003D10FA">
      <w:pPr>
        <w:rPr>
          <w:rFonts w:eastAsia="Arial"/>
        </w:rPr>
      </w:pPr>
      <w:r w:rsidRPr="00237CBD">
        <w:rPr>
          <w:rFonts w:eastAsia="Arial"/>
        </w:rPr>
        <w:t>We wanted to understand any variations in gestation at birth that are occurring between DHBs, and what the DHBs themselves</w:t>
      </w:r>
      <w:r w:rsidR="00F71BF6" w:rsidRPr="00237CBD">
        <w:rPr>
          <w:rFonts w:eastAsia="Arial"/>
        </w:rPr>
        <w:t xml:space="preserve"> </w:t>
      </w:r>
      <w:r w:rsidRPr="00237CBD">
        <w:rPr>
          <w:rFonts w:eastAsia="Arial"/>
        </w:rPr>
        <w:t>consider to be the reasons for these differences.</w:t>
      </w:r>
    </w:p>
    <w:p w:rsidR="00E06EC4" w:rsidRPr="00237CBD" w:rsidRDefault="00E06EC4" w:rsidP="00F82321"/>
    <w:p w:rsidR="00E06EC4" w:rsidRPr="00237CBD" w:rsidRDefault="00E06EC4" w:rsidP="003D10FA">
      <w:pPr>
        <w:pStyle w:val="Heading2"/>
        <w:rPr>
          <w:rFonts w:eastAsia="Arial"/>
        </w:rPr>
      </w:pPr>
      <w:bookmarkStart w:id="18" w:name="_Toc404355662"/>
      <w:r w:rsidRPr="00237CBD">
        <w:rPr>
          <w:rFonts w:eastAsia="Arial"/>
        </w:rPr>
        <w:t>What we</w:t>
      </w:r>
      <w:r w:rsidR="00F71BF6" w:rsidRPr="00237CBD">
        <w:rPr>
          <w:rFonts w:eastAsia="Arial"/>
        </w:rPr>
        <w:t>’</w:t>
      </w:r>
      <w:r w:rsidRPr="00237CBD">
        <w:rPr>
          <w:rFonts w:eastAsia="Arial"/>
        </w:rPr>
        <w:t>ve done this year</w:t>
      </w:r>
      <w:bookmarkEnd w:id="18"/>
    </w:p>
    <w:p w:rsidR="00E06EC4" w:rsidRPr="00237CBD" w:rsidRDefault="00E06EC4" w:rsidP="003D10FA">
      <w:pPr>
        <w:rPr>
          <w:rFonts w:eastAsia="Arial"/>
        </w:rPr>
      </w:pPr>
      <w:r w:rsidRPr="00237CBD">
        <w:rPr>
          <w:rFonts w:eastAsia="Arial"/>
        </w:rPr>
        <w:t>We were particularly keen to look at the impact of obstetric decision- making on variation in gestation at birth. This was because obstetric decision-making</w:t>
      </w:r>
      <w:r w:rsidR="00F71BF6" w:rsidRPr="00237CBD">
        <w:rPr>
          <w:rFonts w:eastAsia="Arial"/>
        </w:rPr>
        <w:t xml:space="preserve"> </w:t>
      </w:r>
      <w:r w:rsidRPr="00237CBD">
        <w:rPr>
          <w:rFonts w:eastAsia="Arial"/>
        </w:rPr>
        <w:t>is an area that could potentially be changed.</w:t>
      </w:r>
    </w:p>
    <w:p w:rsidR="00E06EC4" w:rsidRPr="00237CBD" w:rsidRDefault="00E06EC4" w:rsidP="003D10FA"/>
    <w:p w:rsidR="00E06EC4" w:rsidRPr="00237CBD" w:rsidRDefault="00E06EC4" w:rsidP="003D10FA">
      <w:pPr>
        <w:rPr>
          <w:rFonts w:eastAsia="Arial"/>
        </w:rPr>
      </w:pPr>
      <w:r w:rsidRPr="00237CBD">
        <w:rPr>
          <w:rFonts w:eastAsia="Arial"/>
        </w:rPr>
        <w:t>Using information sourced from the National Maternity Collection in</w:t>
      </w:r>
      <w:r w:rsidR="003D10FA">
        <w:rPr>
          <w:rFonts w:eastAsia="Arial"/>
        </w:rPr>
        <w:t xml:space="preserve"> </w:t>
      </w:r>
      <w:r w:rsidRPr="00237CBD">
        <w:rPr>
          <w:rFonts w:eastAsia="Arial"/>
        </w:rPr>
        <w:t>2014, we assessed the number of elective caesarean deliveries and inductions of labour at each hospital in New Zealand, as a percentage of total births at that hospital, at 37, 38 and 39 weeks</w:t>
      </w:r>
      <w:r w:rsidR="00F71BF6" w:rsidRPr="00237CBD">
        <w:rPr>
          <w:rFonts w:eastAsia="Arial"/>
        </w:rPr>
        <w:t>’</w:t>
      </w:r>
      <w:r w:rsidRPr="00237CBD">
        <w:rPr>
          <w:rFonts w:eastAsia="Arial"/>
        </w:rPr>
        <w:t xml:space="preserve"> gestation, from</w:t>
      </w:r>
      <w:r w:rsidR="003D10FA">
        <w:rPr>
          <w:rFonts w:eastAsia="Arial"/>
        </w:rPr>
        <w:t xml:space="preserve"> </w:t>
      </w:r>
      <w:r w:rsidRPr="00237CBD">
        <w:rPr>
          <w:rFonts w:eastAsia="Arial"/>
        </w:rPr>
        <w:t xml:space="preserve">2009 to 2012. If a single pregnancy resulted in multiple births (twins, </w:t>
      </w:r>
      <w:proofErr w:type="spellStart"/>
      <w:r w:rsidRPr="00237CBD">
        <w:rPr>
          <w:rFonts w:eastAsia="Arial"/>
        </w:rPr>
        <w:t>etc</w:t>
      </w:r>
      <w:proofErr w:type="spellEnd"/>
      <w:r w:rsidRPr="00237CBD">
        <w:rPr>
          <w:rFonts w:eastAsia="Arial"/>
        </w:rPr>
        <w:t>), it was counted once.</w:t>
      </w:r>
    </w:p>
    <w:p w:rsidR="00E06EC4" w:rsidRPr="00237CBD" w:rsidRDefault="00E06EC4" w:rsidP="003D10FA"/>
    <w:p w:rsidR="00E06EC4" w:rsidRPr="00237CBD" w:rsidRDefault="00E06EC4" w:rsidP="00F82321">
      <w:pPr>
        <w:keepNext/>
        <w:rPr>
          <w:rFonts w:eastAsia="Arial"/>
        </w:rPr>
      </w:pPr>
      <w:r w:rsidRPr="00237CBD">
        <w:rPr>
          <w:rFonts w:eastAsia="Arial"/>
        </w:rPr>
        <w:lastRenderedPageBreak/>
        <w:t>The NMMG sent this information, and background to this issue, to</w:t>
      </w:r>
      <w:r w:rsidR="003D10FA">
        <w:rPr>
          <w:rFonts w:eastAsia="Arial"/>
        </w:rPr>
        <w:t xml:space="preserve"> </w:t>
      </w:r>
      <w:r w:rsidRPr="00237CBD">
        <w:rPr>
          <w:rFonts w:eastAsia="Arial"/>
        </w:rPr>
        <w:t>every DHB. We asked for their comments on this information, including why they thought these trends were occurring over time. This issue was also raised with MQSP coordinators in most regions.</w:t>
      </w:r>
    </w:p>
    <w:p w:rsidR="00E06EC4" w:rsidRPr="00237CBD" w:rsidRDefault="00E06EC4" w:rsidP="003D10FA"/>
    <w:p w:rsidR="00E06EC4" w:rsidRDefault="00E06EC4" w:rsidP="003D10FA">
      <w:pPr>
        <w:rPr>
          <w:rFonts w:eastAsia="Arial"/>
        </w:rPr>
      </w:pPr>
      <w:r w:rsidRPr="00237CBD">
        <w:rPr>
          <w:rFonts w:eastAsia="Arial"/>
        </w:rPr>
        <w:t>We also looked at international changes to terminology regarding this period of gestation. International evidence suggests that classifying</w:t>
      </w:r>
      <w:r w:rsidR="003D10FA">
        <w:rPr>
          <w:rFonts w:eastAsia="Arial"/>
        </w:rPr>
        <w:t xml:space="preserve"> </w:t>
      </w:r>
      <w:r w:rsidR="00F71BF6" w:rsidRPr="00237CBD">
        <w:rPr>
          <w:rFonts w:eastAsia="Arial"/>
        </w:rPr>
        <w:t>‘</w:t>
      </w:r>
      <w:r w:rsidRPr="00237CBD">
        <w:rPr>
          <w:rFonts w:eastAsia="Arial"/>
        </w:rPr>
        <w:t>term</w:t>
      </w:r>
      <w:r w:rsidR="00F71BF6" w:rsidRPr="00237CBD">
        <w:rPr>
          <w:rFonts w:eastAsia="Arial"/>
        </w:rPr>
        <w:t>’</w:t>
      </w:r>
      <w:r w:rsidRPr="00237CBD">
        <w:rPr>
          <w:rFonts w:eastAsia="Arial"/>
        </w:rPr>
        <w:t xml:space="preserve"> gestatio</w:t>
      </w:r>
      <w:r w:rsidR="003D10FA">
        <w:rPr>
          <w:rFonts w:eastAsia="Arial"/>
        </w:rPr>
        <w:t>n as early term (37–</w:t>
      </w:r>
      <w:r w:rsidRPr="00237CBD">
        <w:rPr>
          <w:rFonts w:eastAsia="Arial"/>
        </w:rPr>
        <w:t>38 weeks), full term (39</w:t>
      </w:r>
      <w:r w:rsidR="003D10FA">
        <w:rPr>
          <w:rFonts w:eastAsia="Arial"/>
        </w:rPr>
        <w:t>–</w:t>
      </w:r>
      <w:r w:rsidRPr="00237CBD">
        <w:rPr>
          <w:rFonts w:eastAsia="Arial"/>
        </w:rPr>
        <w:t>40 weeks), late term (41 weeks) and post term (42+ weeks) may positively</w:t>
      </w:r>
      <w:r w:rsidR="003D10FA">
        <w:rPr>
          <w:rFonts w:eastAsia="Arial"/>
        </w:rPr>
        <w:t xml:space="preserve"> </w:t>
      </w:r>
      <w:r w:rsidRPr="00237CBD">
        <w:rPr>
          <w:rFonts w:eastAsia="Arial"/>
        </w:rPr>
        <w:t>promote consistent obstetric decision-making</w:t>
      </w:r>
      <w:r w:rsidR="003D10FA">
        <w:rPr>
          <w:rFonts w:eastAsia="Arial"/>
        </w:rPr>
        <w:t>.</w:t>
      </w:r>
      <w:r w:rsidR="003D10FA">
        <w:rPr>
          <w:rStyle w:val="FootnoteReference"/>
          <w:rFonts w:eastAsia="Arial"/>
        </w:rPr>
        <w:footnoteReference w:id="7"/>
      </w:r>
    </w:p>
    <w:p w:rsidR="003D10FA" w:rsidRPr="00237CBD" w:rsidRDefault="003D10FA" w:rsidP="003D10FA">
      <w:pPr>
        <w:rPr>
          <w:rFonts w:eastAsia="Arial"/>
        </w:rPr>
      </w:pPr>
    </w:p>
    <w:p w:rsidR="00E06EC4" w:rsidRDefault="006F5B46" w:rsidP="006F5B46">
      <w:pPr>
        <w:pStyle w:val="Figure"/>
      </w:pPr>
      <w:r>
        <w:t>Elective caesarean deliveries as a percentage of total deliveries in each DHB at 37–39 weeks’ gestation, 2012</w:t>
      </w:r>
    </w:p>
    <w:p w:rsidR="006F5B46" w:rsidRPr="006F5B46" w:rsidRDefault="00AB2BA5" w:rsidP="006F5B46">
      <w:r w:rsidRPr="00AB2BA5">
        <w:rPr>
          <w:noProof/>
          <w:lang w:eastAsia="en-NZ"/>
        </w:rPr>
        <w:drawing>
          <wp:inline distT="0" distB="0" distL="0" distR="0" wp14:anchorId="5DB274AF" wp14:editId="2233492C">
            <wp:extent cx="5395964" cy="3269403"/>
            <wp:effectExtent l="0" t="0" r="0" b="7620"/>
            <wp:docPr id="18" name="Picture 18" title="Elective caesarean deliveries as a percentage of total deliveries in each DHB at 37–39 weeks’ gestatio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grayscl/>
                    </a:blip>
                    <a:srcRect l="1903" t="1695"/>
                    <a:stretch/>
                  </pic:blipFill>
                  <pic:spPr bwMode="auto">
                    <a:xfrm>
                      <a:off x="0" y="0"/>
                      <a:ext cx="5400609" cy="3272217"/>
                    </a:xfrm>
                    <a:prstGeom prst="rect">
                      <a:avLst/>
                    </a:prstGeom>
                    <a:ln>
                      <a:noFill/>
                    </a:ln>
                    <a:extLst>
                      <a:ext uri="{53640926-AAD7-44D8-BBD7-CCE9431645EC}">
                        <a14:shadowObscured xmlns:a14="http://schemas.microsoft.com/office/drawing/2010/main"/>
                      </a:ext>
                    </a:extLst>
                  </pic:spPr>
                </pic:pic>
              </a:graphicData>
            </a:graphic>
          </wp:inline>
        </w:drawing>
      </w:r>
    </w:p>
    <w:p w:rsidR="00E06EC4" w:rsidRPr="00237CBD" w:rsidRDefault="00E06EC4" w:rsidP="006F5B46">
      <w:pPr>
        <w:pStyle w:val="Source"/>
        <w:rPr>
          <w:rFonts w:eastAsia="Arial"/>
        </w:rPr>
      </w:pPr>
      <w:r w:rsidRPr="00237CBD">
        <w:rPr>
          <w:rFonts w:eastAsia="Arial"/>
        </w:rPr>
        <w:t>Source: National Maternity Collection (2014)</w:t>
      </w:r>
    </w:p>
    <w:p w:rsidR="00E06EC4" w:rsidRDefault="00E06EC4" w:rsidP="006F5B46"/>
    <w:p w:rsidR="006F5B46" w:rsidRPr="00237CBD" w:rsidRDefault="006F5B46" w:rsidP="006F5B46">
      <w:pPr>
        <w:pStyle w:val="Figure"/>
      </w:pPr>
      <w:r>
        <w:lastRenderedPageBreak/>
        <w:t>Induction of labour performed as a percentage of total deliveries in each DHB at 37–39 weeks’ gestation, 2012</w:t>
      </w:r>
    </w:p>
    <w:p w:rsidR="00E06EC4" w:rsidRPr="00237CBD" w:rsidRDefault="00AB2BA5" w:rsidP="00AB2BA5">
      <w:r w:rsidRPr="00AB2BA5">
        <w:rPr>
          <w:noProof/>
          <w:lang w:eastAsia="en-NZ"/>
        </w:rPr>
        <w:drawing>
          <wp:inline distT="0" distB="0" distL="0" distR="0" wp14:anchorId="3BFEB5BB" wp14:editId="358EA186">
            <wp:extent cx="5432091" cy="3315956"/>
            <wp:effectExtent l="0" t="0" r="0" b="0"/>
            <wp:docPr id="19" name="Picture 19" title="Induction of labour performed as a percentage of total deliveries in each DHB at 37–39 weeks’ gestatio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grayscl/>
                    </a:blip>
                    <a:srcRect l="1677" t="1528"/>
                    <a:stretch/>
                  </pic:blipFill>
                  <pic:spPr bwMode="auto">
                    <a:xfrm>
                      <a:off x="0" y="0"/>
                      <a:ext cx="5447061" cy="3325095"/>
                    </a:xfrm>
                    <a:prstGeom prst="rect">
                      <a:avLst/>
                    </a:prstGeom>
                    <a:ln>
                      <a:noFill/>
                    </a:ln>
                    <a:extLst>
                      <a:ext uri="{53640926-AAD7-44D8-BBD7-CCE9431645EC}">
                        <a14:shadowObscured xmlns:a14="http://schemas.microsoft.com/office/drawing/2010/main"/>
                      </a:ext>
                    </a:extLst>
                  </pic:spPr>
                </pic:pic>
              </a:graphicData>
            </a:graphic>
          </wp:inline>
        </w:drawing>
      </w:r>
    </w:p>
    <w:p w:rsidR="00E06EC4" w:rsidRPr="00237CBD" w:rsidRDefault="00E06EC4" w:rsidP="006F5B46">
      <w:pPr>
        <w:pStyle w:val="Source"/>
        <w:rPr>
          <w:rFonts w:eastAsia="Arial"/>
        </w:rPr>
      </w:pPr>
      <w:r w:rsidRPr="00237CBD">
        <w:rPr>
          <w:rFonts w:eastAsia="Arial"/>
        </w:rPr>
        <w:t>Source: National Maternity Collection (2014)</w:t>
      </w:r>
    </w:p>
    <w:p w:rsidR="00E06EC4" w:rsidRPr="00237CBD" w:rsidRDefault="00E06EC4" w:rsidP="006F5B46"/>
    <w:p w:rsidR="00E06EC4" w:rsidRPr="00237CBD" w:rsidRDefault="00E06EC4" w:rsidP="006F5B46">
      <w:pPr>
        <w:pStyle w:val="Heading2"/>
        <w:rPr>
          <w:rFonts w:eastAsia="Arial"/>
        </w:rPr>
      </w:pPr>
      <w:bookmarkStart w:id="19" w:name="_Toc404355663"/>
      <w:r w:rsidRPr="00237CBD">
        <w:rPr>
          <w:rFonts w:eastAsia="Arial"/>
        </w:rPr>
        <w:t xml:space="preserve">In 2013 we </w:t>
      </w:r>
      <w:proofErr w:type="gramStart"/>
      <w:r w:rsidRPr="00237CBD">
        <w:rPr>
          <w:rFonts w:eastAsia="Arial"/>
        </w:rPr>
        <w:t>recommended</w:t>
      </w:r>
      <w:r w:rsidR="006F5B46">
        <w:rPr>
          <w:rFonts w:eastAsia="Arial"/>
        </w:rPr>
        <w:t xml:space="preserve"> ...</w:t>
      </w:r>
      <w:bookmarkEnd w:id="19"/>
      <w:proofErr w:type="gramEnd"/>
    </w:p>
    <w:p w:rsidR="00E06EC4" w:rsidRPr="00237CBD" w:rsidRDefault="00E06EC4" w:rsidP="006F5B46">
      <w:pPr>
        <w:pStyle w:val="Introparagraph"/>
      </w:pPr>
      <w:r w:rsidRPr="00237CBD">
        <w:t>Last year, we focused on preterm births. While this focus has changed to variation in gestation at term birth this year, our recommendations</w:t>
      </w:r>
      <w:r w:rsidR="00F71BF6" w:rsidRPr="00237CBD">
        <w:t xml:space="preserve"> </w:t>
      </w:r>
      <w:r w:rsidRPr="00237CBD">
        <w:t>are still relevant. In 2013 we requested that:</w:t>
      </w:r>
    </w:p>
    <w:p w:rsidR="00E06EC4" w:rsidRPr="00237CBD" w:rsidRDefault="00E06EC4" w:rsidP="006F5B46">
      <w:pPr>
        <w:spacing w:before="120"/>
        <w:ind w:left="567" w:hanging="567"/>
        <w:rPr>
          <w:rFonts w:eastAsia="Arial"/>
        </w:rPr>
      </w:pPr>
      <w:r w:rsidRPr="00237CBD">
        <w:rPr>
          <w:rFonts w:eastAsia="Arial"/>
        </w:rPr>
        <w:t>1</w:t>
      </w:r>
      <w:r w:rsidR="006F5B46">
        <w:rPr>
          <w:rFonts w:eastAsia="Arial"/>
        </w:rPr>
        <w:tab/>
      </w:r>
      <w:r w:rsidRPr="00237CBD">
        <w:rPr>
          <w:rFonts w:eastAsia="Arial"/>
        </w:rPr>
        <w:t>All DHBs audit preterm births in their region, particularly births at 34, 35 and 36 weeks.</w:t>
      </w:r>
    </w:p>
    <w:p w:rsidR="00E06EC4" w:rsidRPr="00237CBD" w:rsidRDefault="00E06EC4" w:rsidP="006F5B46">
      <w:pPr>
        <w:spacing w:before="120"/>
        <w:ind w:left="567" w:hanging="567"/>
        <w:rPr>
          <w:rFonts w:eastAsia="Arial"/>
        </w:rPr>
      </w:pPr>
      <w:r w:rsidRPr="00237CBD">
        <w:rPr>
          <w:rFonts w:eastAsia="Arial"/>
        </w:rPr>
        <w:t>2</w:t>
      </w:r>
      <w:r w:rsidR="006F5B46">
        <w:rPr>
          <w:rFonts w:eastAsia="Arial"/>
        </w:rPr>
        <w:tab/>
      </w:r>
      <w:r w:rsidRPr="00237CBD">
        <w:rPr>
          <w:rFonts w:eastAsia="Arial"/>
        </w:rPr>
        <w:t>Factors that can be changed may include elective or planned deliveries and the clinical reasons for these.</w:t>
      </w:r>
    </w:p>
    <w:p w:rsidR="00E06EC4" w:rsidRPr="00237CBD" w:rsidRDefault="00E06EC4" w:rsidP="006F5B46">
      <w:pPr>
        <w:spacing w:before="120"/>
        <w:ind w:left="567" w:hanging="567"/>
        <w:rPr>
          <w:rFonts w:eastAsia="Arial"/>
        </w:rPr>
      </w:pPr>
      <w:r w:rsidRPr="00237CBD">
        <w:rPr>
          <w:rFonts w:eastAsia="Arial"/>
        </w:rPr>
        <w:t>3</w:t>
      </w:r>
      <w:r w:rsidR="006F5B46">
        <w:rPr>
          <w:rFonts w:eastAsia="Arial"/>
        </w:rPr>
        <w:tab/>
      </w:r>
      <w:r w:rsidRPr="00237CBD">
        <w:rPr>
          <w:rFonts w:eastAsia="Arial"/>
        </w:rPr>
        <w:t>Every DHB should cover the subject of preterm births in its next MQSP Annual</w:t>
      </w:r>
      <w:r w:rsidR="00F71BF6" w:rsidRPr="00237CBD">
        <w:rPr>
          <w:rFonts w:eastAsia="Arial"/>
        </w:rPr>
        <w:t xml:space="preserve"> </w:t>
      </w:r>
      <w:r w:rsidRPr="00237CBD">
        <w:rPr>
          <w:rFonts w:eastAsia="Arial"/>
        </w:rPr>
        <w:t>Report. This should include information about interventions that have occurred</w:t>
      </w:r>
      <w:r w:rsidR="00F71BF6" w:rsidRPr="00237CBD">
        <w:rPr>
          <w:rFonts w:eastAsia="Arial"/>
        </w:rPr>
        <w:t xml:space="preserve"> </w:t>
      </w:r>
      <w:r w:rsidRPr="00237CBD">
        <w:rPr>
          <w:rFonts w:eastAsia="Arial"/>
        </w:rPr>
        <w:t>as a result of information contained in the NMMG report in relation to late preterm births.</w:t>
      </w:r>
    </w:p>
    <w:p w:rsidR="00E06EC4" w:rsidRDefault="00E06EC4" w:rsidP="006F5B46"/>
    <w:p w:rsidR="006F5B46" w:rsidRDefault="006F5B46" w:rsidP="006F5B46">
      <w:pPr>
        <w:pStyle w:val="Heading2"/>
      </w:pPr>
      <w:bookmarkStart w:id="20" w:name="_Toc404355664"/>
      <w:r>
        <w:t>What has changed since then?</w:t>
      </w:r>
      <w:bookmarkEnd w:id="20"/>
    </w:p>
    <w:p w:rsidR="00E06EC4" w:rsidRPr="00237CBD" w:rsidRDefault="00E06EC4" w:rsidP="006F5B46">
      <w:pPr>
        <w:rPr>
          <w:rFonts w:eastAsia="Arial"/>
        </w:rPr>
      </w:pPr>
      <w:r w:rsidRPr="00237CBD">
        <w:rPr>
          <w:rFonts w:eastAsia="Arial"/>
        </w:rPr>
        <w:t>We were impressed by the quality of com</w:t>
      </w:r>
      <w:r w:rsidR="006F5B46">
        <w:rPr>
          <w:rFonts w:eastAsia="Arial"/>
        </w:rPr>
        <w:t xml:space="preserve">ments from DHBs </w:t>
      </w:r>
      <w:r w:rsidRPr="00237CBD">
        <w:rPr>
          <w:rFonts w:eastAsia="Arial"/>
        </w:rPr>
        <w:t>on the information we provided about bir</w:t>
      </w:r>
      <w:r w:rsidR="006F5B46">
        <w:rPr>
          <w:rFonts w:eastAsia="Arial"/>
        </w:rPr>
        <w:t xml:space="preserve">ths at 37, 38 or </w:t>
      </w:r>
      <w:r w:rsidRPr="00237CBD">
        <w:rPr>
          <w:rFonts w:eastAsia="Arial"/>
        </w:rPr>
        <w:t xml:space="preserve">39 weeks and preterm births. Some noted </w:t>
      </w:r>
      <w:r w:rsidR="006F5B46">
        <w:rPr>
          <w:rFonts w:eastAsia="Arial"/>
        </w:rPr>
        <w:t xml:space="preserve">that they </w:t>
      </w:r>
      <w:r w:rsidRPr="00237CBD">
        <w:rPr>
          <w:rFonts w:eastAsia="Arial"/>
        </w:rPr>
        <w:t>had already focused on preterm births fol</w:t>
      </w:r>
      <w:r w:rsidR="006F5B46">
        <w:rPr>
          <w:rFonts w:eastAsia="Arial"/>
        </w:rPr>
        <w:t>lowing</w:t>
      </w:r>
      <w:r w:rsidRPr="00237CBD">
        <w:rPr>
          <w:rFonts w:eastAsia="Arial"/>
        </w:rPr>
        <w:t xml:space="preserve"> the publication of the 2013 NMMG Annual Report and that this additional informati</w:t>
      </w:r>
      <w:r w:rsidR="006F5B46">
        <w:rPr>
          <w:rFonts w:eastAsia="Arial"/>
        </w:rPr>
        <w:t>on</w:t>
      </w:r>
      <w:r w:rsidRPr="00237CBD">
        <w:rPr>
          <w:rFonts w:eastAsia="Arial"/>
        </w:rPr>
        <w:t xml:space="preserve"> provided further value for them to consid</w:t>
      </w:r>
      <w:r w:rsidR="006F5B46">
        <w:rPr>
          <w:rFonts w:eastAsia="Arial"/>
        </w:rPr>
        <w:t>er</w:t>
      </w:r>
      <w:r w:rsidRPr="00237CBD">
        <w:rPr>
          <w:rFonts w:eastAsia="Arial"/>
        </w:rPr>
        <w:t xml:space="preserve"> clinical decision making and rationale</w:t>
      </w:r>
      <w:r w:rsidR="006F5B46">
        <w:rPr>
          <w:rFonts w:eastAsia="Arial"/>
        </w:rPr>
        <w:t xml:space="preserve"> </w:t>
      </w:r>
      <w:r w:rsidRPr="00237CBD">
        <w:rPr>
          <w:rFonts w:eastAsia="Arial"/>
        </w:rPr>
        <w:t>for births occurring at these gestations, either by elective caesarean or following induction. The information we received included:</w:t>
      </w:r>
    </w:p>
    <w:p w:rsidR="00E06EC4" w:rsidRPr="00237CBD" w:rsidRDefault="00E06EC4" w:rsidP="006F5B46"/>
    <w:p w:rsidR="006F5B46" w:rsidRDefault="00E06EC4" w:rsidP="006F5B46">
      <w:pPr>
        <w:pStyle w:val="Heading3"/>
        <w:rPr>
          <w:rFonts w:eastAsia="Arial"/>
        </w:rPr>
      </w:pPr>
      <w:r w:rsidRPr="00237CBD">
        <w:rPr>
          <w:rFonts w:eastAsia="Arial"/>
        </w:rPr>
        <w:lastRenderedPageBreak/>
        <w:t>Reasons for trends in their region</w:t>
      </w:r>
    </w:p>
    <w:p w:rsidR="00E06EC4" w:rsidRPr="00237CBD" w:rsidRDefault="00E06EC4" w:rsidP="006F5B46">
      <w:pPr>
        <w:rPr>
          <w:rFonts w:eastAsia="Arial"/>
        </w:rPr>
      </w:pPr>
      <w:r w:rsidRPr="00237CBD">
        <w:rPr>
          <w:rFonts w:eastAsia="Arial"/>
        </w:rPr>
        <w:t>Many DHBs assured the NMMG that increases in their region for early term</w:t>
      </w:r>
      <w:r w:rsidR="00151AD9">
        <w:rPr>
          <w:rFonts w:eastAsia="Arial"/>
        </w:rPr>
        <w:t xml:space="preserve"> </w:t>
      </w:r>
      <w:r w:rsidRPr="00237CBD">
        <w:rPr>
          <w:rFonts w:eastAsia="Arial"/>
        </w:rPr>
        <w:t>caesarean sections and inductions</w:t>
      </w:r>
      <w:r w:rsidR="00151AD9">
        <w:rPr>
          <w:rFonts w:eastAsia="Arial"/>
        </w:rPr>
        <w:t xml:space="preserve"> </w:t>
      </w:r>
      <w:r w:rsidRPr="00237CBD">
        <w:rPr>
          <w:rFonts w:eastAsia="Arial"/>
        </w:rPr>
        <w:t>of labour are in accordance with best practice guidelines but that it did make them review and consider this from a qua</w:t>
      </w:r>
      <w:r w:rsidR="00151AD9">
        <w:rPr>
          <w:rFonts w:eastAsia="Arial"/>
        </w:rPr>
        <w:t>lity</w:t>
      </w:r>
      <w:r w:rsidRPr="00237CBD">
        <w:rPr>
          <w:rFonts w:eastAsia="Arial"/>
        </w:rPr>
        <w:t xml:space="preserve"> perspective.</w:t>
      </w:r>
    </w:p>
    <w:p w:rsidR="00E06EC4" w:rsidRPr="00237CBD" w:rsidRDefault="00E06EC4" w:rsidP="00151AD9"/>
    <w:p w:rsidR="00E06EC4" w:rsidRPr="00237CBD" w:rsidRDefault="00E06EC4" w:rsidP="00151AD9">
      <w:pPr>
        <w:pStyle w:val="Heading3"/>
        <w:rPr>
          <w:rFonts w:eastAsia="Arial"/>
        </w:rPr>
      </w:pPr>
      <w:r w:rsidRPr="00237CBD">
        <w:rPr>
          <w:rFonts w:eastAsia="Arial"/>
        </w:rPr>
        <w:t>Demographic changes</w:t>
      </w:r>
    </w:p>
    <w:p w:rsidR="00E06EC4" w:rsidRPr="00237CBD" w:rsidRDefault="00E06EC4" w:rsidP="00151AD9">
      <w:pPr>
        <w:rPr>
          <w:rFonts w:eastAsia="Arial"/>
        </w:rPr>
      </w:pPr>
      <w:r w:rsidRPr="00237CBD">
        <w:rPr>
          <w:rFonts w:eastAsia="Arial"/>
        </w:rPr>
        <w:t>It was noted by some that increases are d</w:t>
      </w:r>
      <w:r w:rsidR="00151AD9">
        <w:rPr>
          <w:rFonts w:eastAsia="Arial"/>
        </w:rPr>
        <w:t>ue to</w:t>
      </w:r>
      <w:r w:rsidRPr="00237CBD">
        <w:rPr>
          <w:rFonts w:eastAsia="Arial"/>
        </w:rPr>
        <w:t xml:space="preserve"> changes in demographics at birth</w:t>
      </w:r>
      <w:r w:rsidR="00151AD9">
        <w:rPr>
          <w:rFonts w:eastAsia="Arial"/>
        </w:rPr>
        <w:t>,</w:t>
      </w:r>
      <w:r w:rsidRPr="00237CBD">
        <w:rPr>
          <w:rFonts w:eastAsia="Arial"/>
        </w:rPr>
        <w:t xml:space="preserve"> </w:t>
      </w:r>
      <w:proofErr w:type="spellStart"/>
      <w:r w:rsidRPr="00237CBD">
        <w:rPr>
          <w:rFonts w:eastAsia="Arial"/>
        </w:rPr>
        <w:t>eg</w:t>
      </w:r>
      <w:proofErr w:type="spellEnd"/>
      <w:r w:rsidR="00151AD9">
        <w:rPr>
          <w:rFonts w:eastAsia="Arial"/>
        </w:rPr>
        <w:t>,</w:t>
      </w:r>
      <w:r w:rsidRPr="00237CBD">
        <w:rPr>
          <w:rFonts w:eastAsia="Arial"/>
        </w:rPr>
        <w:t xml:space="preserve"> old</w:t>
      </w:r>
      <w:r w:rsidR="00151AD9">
        <w:rPr>
          <w:rFonts w:eastAsia="Arial"/>
        </w:rPr>
        <w:t>er mothers</w:t>
      </w:r>
      <w:r w:rsidRPr="00237CBD">
        <w:rPr>
          <w:rFonts w:eastAsia="Arial"/>
        </w:rPr>
        <w:t xml:space="preserve"> and associated risk, as opposed to obstetr</w:t>
      </w:r>
      <w:r w:rsidR="00151AD9">
        <w:rPr>
          <w:rFonts w:eastAsia="Arial"/>
        </w:rPr>
        <w:t>ic decision-</w:t>
      </w:r>
      <w:r w:rsidRPr="00237CBD">
        <w:rPr>
          <w:rFonts w:eastAsia="Arial"/>
        </w:rPr>
        <w:t xml:space="preserve">making. This needs to be debated further </w:t>
      </w:r>
      <w:r w:rsidR="00151AD9">
        <w:rPr>
          <w:rFonts w:eastAsia="Arial"/>
        </w:rPr>
        <w:t xml:space="preserve">in relation to </w:t>
      </w:r>
      <w:r w:rsidRPr="00237CBD">
        <w:rPr>
          <w:rFonts w:eastAsia="Arial"/>
        </w:rPr>
        <w:t>evidence</w:t>
      </w:r>
      <w:r w:rsidR="00151AD9">
        <w:rPr>
          <w:rFonts w:eastAsia="Arial"/>
        </w:rPr>
        <w:t>.</w:t>
      </w:r>
      <w:r w:rsidR="00151AD9">
        <w:rPr>
          <w:rStyle w:val="FootnoteReference"/>
          <w:rFonts w:eastAsia="Arial"/>
        </w:rPr>
        <w:footnoteReference w:id="8"/>
      </w:r>
    </w:p>
    <w:p w:rsidR="00E06EC4" w:rsidRPr="00237CBD" w:rsidRDefault="00E06EC4" w:rsidP="00151AD9"/>
    <w:p w:rsidR="00E06EC4" w:rsidRPr="00237CBD" w:rsidRDefault="00E06EC4" w:rsidP="00151AD9">
      <w:pPr>
        <w:pStyle w:val="Heading3"/>
        <w:rPr>
          <w:rFonts w:eastAsia="Arial"/>
        </w:rPr>
      </w:pPr>
      <w:r w:rsidRPr="00237CBD">
        <w:rPr>
          <w:rFonts w:eastAsia="Arial"/>
        </w:rPr>
        <w:t>Clinical evidence</w:t>
      </w:r>
    </w:p>
    <w:p w:rsidR="00E06EC4" w:rsidRPr="00237CBD" w:rsidRDefault="00E06EC4" w:rsidP="00151AD9">
      <w:pPr>
        <w:rPr>
          <w:rFonts w:eastAsia="Arial"/>
        </w:rPr>
      </w:pPr>
      <w:r w:rsidRPr="00237CBD">
        <w:rPr>
          <w:rFonts w:eastAsia="Arial"/>
        </w:rPr>
        <w:t>Some noted that increased caesarean sections and inductions performed at early term (37</w:t>
      </w:r>
      <w:r w:rsidR="00151AD9">
        <w:rPr>
          <w:rFonts w:eastAsia="Arial"/>
        </w:rPr>
        <w:t>–</w:t>
      </w:r>
      <w:r w:rsidRPr="00237CBD">
        <w:rPr>
          <w:rFonts w:eastAsia="Arial"/>
        </w:rPr>
        <w:t>38 weeks</w:t>
      </w:r>
      <w:r w:rsidR="00F71BF6" w:rsidRPr="00237CBD">
        <w:rPr>
          <w:rFonts w:eastAsia="Arial"/>
        </w:rPr>
        <w:t>’</w:t>
      </w:r>
      <w:r w:rsidRPr="00237CBD">
        <w:rPr>
          <w:rFonts w:eastAsia="Arial"/>
        </w:rPr>
        <w:t xml:space="preserve"> gestation) may be due to better clinical evidence regarding when these should be done for specific</w:t>
      </w:r>
      <w:r w:rsidR="00F71BF6" w:rsidRPr="00237CBD">
        <w:rPr>
          <w:rFonts w:eastAsia="Arial"/>
        </w:rPr>
        <w:t xml:space="preserve"> </w:t>
      </w:r>
      <w:r w:rsidRPr="00237CBD">
        <w:rPr>
          <w:rFonts w:eastAsia="Arial"/>
        </w:rPr>
        <w:t>clinical</w:t>
      </w:r>
      <w:r w:rsidR="00F71BF6" w:rsidRPr="00237CBD">
        <w:rPr>
          <w:rFonts w:eastAsia="Arial"/>
        </w:rPr>
        <w:t xml:space="preserve"> </w:t>
      </w:r>
      <w:r w:rsidRPr="00237CBD">
        <w:rPr>
          <w:rFonts w:eastAsia="Arial"/>
        </w:rPr>
        <w:t xml:space="preserve">cases. </w:t>
      </w:r>
      <w:proofErr w:type="gramStart"/>
      <w:r w:rsidRPr="00237CBD">
        <w:rPr>
          <w:rFonts w:eastAsia="Arial"/>
        </w:rPr>
        <w:t>(For example, increased awareness of the importance of antenatal recognition of Small for Gestational Age babies and, for expedited delivery, if there is a risk to the baby.)</w:t>
      </w:r>
      <w:proofErr w:type="gramEnd"/>
    </w:p>
    <w:p w:rsidR="00E06EC4" w:rsidRPr="00237CBD" w:rsidRDefault="00E06EC4" w:rsidP="00151AD9"/>
    <w:p w:rsidR="00E06EC4" w:rsidRPr="00237CBD" w:rsidRDefault="00E06EC4" w:rsidP="00151AD9">
      <w:pPr>
        <w:pStyle w:val="Heading3"/>
        <w:rPr>
          <w:rFonts w:eastAsia="Arial"/>
        </w:rPr>
      </w:pPr>
      <w:r w:rsidRPr="00237CBD">
        <w:rPr>
          <w:rFonts w:eastAsia="Arial"/>
        </w:rPr>
        <w:t>VBAC</w:t>
      </w:r>
    </w:p>
    <w:p w:rsidR="00E06EC4" w:rsidRPr="00237CBD" w:rsidRDefault="00E06EC4" w:rsidP="00151AD9">
      <w:pPr>
        <w:rPr>
          <w:rFonts w:eastAsia="Arial"/>
        </w:rPr>
      </w:pPr>
      <w:r w:rsidRPr="00237CBD">
        <w:rPr>
          <w:rFonts w:eastAsia="Arial"/>
        </w:rPr>
        <w:t>Others noted that this increase has been due to a decrease in Vaginal Birth after Caesarean (VBAC). They believe this is an area where more education and consensus is required between professionals but also in relation to information for women to consider VBAC.</w:t>
      </w:r>
    </w:p>
    <w:p w:rsidR="00E06EC4" w:rsidRPr="00237CBD" w:rsidRDefault="00E06EC4" w:rsidP="00151AD9"/>
    <w:p w:rsidR="00E06EC4" w:rsidRPr="00237CBD" w:rsidRDefault="00E06EC4" w:rsidP="00151AD9">
      <w:pPr>
        <w:pStyle w:val="Heading3"/>
        <w:rPr>
          <w:rFonts w:eastAsia="Arial"/>
        </w:rPr>
      </w:pPr>
      <w:r w:rsidRPr="00237CBD">
        <w:rPr>
          <w:rFonts w:eastAsia="Arial"/>
        </w:rPr>
        <w:t>Ultrasounds and GROW charts</w:t>
      </w:r>
    </w:p>
    <w:p w:rsidR="00E06EC4" w:rsidRPr="00237CBD" w:rsidRDefault="00E06EC4" w:rsidP="00151AD9">
      <w:pPr>
        <w:rPr>
          <w:rFonts w:eastAsia="Arial"/>
        </w:rPr>
      </w:pPr>
      <w:r w:rsidRPr="00237CBD">
        <w:rPr>
          <w:rFonts w:eastAsia="Arial"/>
        </w:rPr>
        <w:t>Some DHBs noticed that increases in inductions of labour may link to increases in ultrasounds performed and subsequent plotting on Gestation Related Optimal Weight charts. This links to the ultrasound work stream of the NMMG (see page 26).</w:t>
      </w:r>
    </w:p>
    <w:p w:rsidR="00E06EC4" w:rsidRPr="00237CBD" w:rsidRDefault="00E06EC4" w:rsidP="00151AD9"/>
    <w:p w:rsidR="00E06EC4" w:rsidRPr="00237CBD" w:rsidRDefault="00E06EC4" w:rsidP="00151AD9">
      <w:pPr>
        <w:rPr>
          <w:rFonts w:eastAsia="Arial"/>
        </w:rPr>
      </w:pPr>
      <w:r w:rsidRPr="00237CBD">
        <w:rPr>
          <w:rFonts w:eastAsia="Arial"/>
        </w:rPr>
        <w:t>Some DHBs provided additional information they had collected. A few noted that there had</w:t>
      </w:r>
      <w:r w:rsidR="00151AD9">
        <w:rPr>
          <w:rFonts w:eastAsia="Arial"/>
        </w:rPr>
        <w:t xml:space="preserve"> </w:t>
      </w:r>
      <w:r w:rsidRPr="00237CBD">
        <w:rPr>
          <w:rFonts w:eastAsia="Arial"/>
        </w:rPr>
        <w:t>been little increase in the number of early term babies born, particularly from caesarean sections or inductions of labour, in their region. This differed from the information provided to them by the NMMG, prompting them to review data sent to the Ministry of Health. Other DHBs showed that clinical reasons supported the increase in their area.</w:t>
      </w:r>
    </w:p>
    <w:p w:rsidR="00E06EC4" w:rsidRPr="00237CBD" w:rsidRDefault="00E06EC4" w:rsidP="00151AD9"/>
    <w:p w:rsidR="00E06EC4" w:rsidRPr="00237CBD" w:rsidRDefault="00E06EC4" w:rsidP="00151AD9">
      <w:pPr>
        <w:pStyle w:val="Heading3"/>
        <w:rPr>
          <w:rFonts w:eastAsia="Arial"/>
        </w:rPr>
      </w:pPr>
      <w:r w:rsidRPr="00237CBD">
        <w:rPr>
          <w:rFonts w:eastAsia="Arial"/>
        </w:rPr>
        <w:lastRenderedPageBreak/>
        <w:t>Work that DHBs plan to do</w:t>
      </w:r>
    </w:p>
    <w:p w:rsidR="00E06EC4" w:rsidRPr="00237CBD" w:rsidRDefault="00E06EC4" w:rsidP="00151AD9">
      <w:pPr>
        <w:keepLines/>
        <w:rPr>
          <w:rFonts w:eastAsia="Arial"/>
        </w:rPr>
      </w:pPr>
      <w:r w:rsidRPr="00237CBD">
        <w:rPr>
          <w:rFonts w:eastAsia="Arial"/>
        </w:rPr>
        <w:t>Most DHBs noted that further investigation and analysis of data relating to increasing rates of induction of labour and caesarean sections needs to be undertaken to inform their practitioners, services and policies. They noted the information provided by the NMMG had allowed them</w:t>
      </w:r>
      <w:r w:rsidR="00151AD9">
        <w:rPr>
          <w:rFonts w:eastAsia="Arial"/>
        </w:rPr>
        <w:t xml:space="preserve"> </w:t>
      </w:r>
      <w:r w:rsidRPr="00237CBD">
        <w:rPr>
          <w:rFonts w:eastAsia="Arial"/>
        </w:rPr>
        <w:t>to identify specific areas that need further investigation. This may include clinical audit to look at preterm birth rates by gestation (also broken down by an obstetric team) and adherence to clinical policies. Some plan to do this as part of the MQSP 2014</w:t>
      </w:r>
      <w:r w:rsidR="00151AD9">
        <w:rPr>
          <w:rFonts w:eastAsia="Arial"/>
        </w:rPr>
        <w:t>–</w:t>
      </w:r>
      <w:r w:rsidRPr="00237CBD">
        <w:rPr>
          <w:rFonts w:eastAsia="Arial"/>
        </w:rPr>
        <w:t>15 work plan.</w:t>
      </w:r>
    </w:p>
    <w:p w:rsidR="00E06EC4" w:rsidRPr="00237CBD" w:rsidRDefault="00E06EC4" w:rsidP="00151AD9"/>
    <w:p w:rsidR="00E06EC4" w:rsidRDefault="00E06EC4" w:rsidP="00151AD9">
      <w:pPr>
        <w:rPr>
          <w:rFonts w:eastAsia="Arial"/>
        </w:rPr>
      </w:pPr>
      <w:r w:rsidRPr="00237CBD">
        <w:rPr>
          <w:rFonts w:eastAsia="Arial"/>
        </w:rPr>
        <w:t>Some DHBs also told us that they now plan to review, and possibly alter, their model of care regarding induction of labour and caesarean sections. This may include consulting with stakeholders through their MQSP governance group. As a result of information provided to</w:t>
      </w:r>
      <w:r w:rsidR="00151AD9">
        <w:rPr>
          <w:rFonts w:eastAsia="Arial"/>
        </w:rPr>
        <w:t xml:space="preserve"> </w:t>
      </w:r>
      <w:r w:rsidRPr="00237CBD">
        <w:rPr>
          <w:rFonts w:eastAsia="Arial"/>
        </w:rPr>
        <w:t xml:space="preserve">the DHBs on this topic some have already put in place policies to undertake elective caesarean sections and induction of labour at full term if there is no </w:t>
      </w:r>
      <w:proofErr w:type="spellStart"/>
      <w:r w:rsidRPr="00237CBD">
        <w:rPr>
          <w:rFonts w:eastAsia="Arial"/>
        </w:rPr>
        <w:t>fetal</w:t>
      </w:r>
      <w:proofErr w:type="spellEnd"/>
      <w:r w:rsidRPr="00237CBD">
        <w:rPr>
          <w:rFonts w:eastAsia="Arial"/>
        </w:rPr>
        <w:t xml:space="preserve"> or maternal compromise.</w:t>
      </w:r>
    </w:p>
    <w:p w:rsidR="00151AD9" w:rsidRPr="00237CBD" w:rsidRDefault="00151AD9" w:rsidP="00151AD9">
      <w:pPr>
        <w:rPr>
          <w:rFonts w:eastAsia="Arial"/>
        </w:rPr>
      </w:pPr>
    </w:p>
    <w:p w:rsidR="00E06EC4" w:rsidRPr="00237CBD" w:rsidRDefault="00E06EC4" w:rsidP="00151AD9">
      <w:pPr>
        <w:rPr>
          <w:rFonts w:eastAsia="Arial"/>
        </w:rPr>
      </w:pPr>
      <w:r w:rsidRPr="00237CBD">
        <w:rPr>
          <w:rFonts w:eastAsia="Arial"/>
        </w:rPr>
        <w:t>The NMMG would like to congratulate those DHBs that have been so responsive on this topic and have already initiated quality frameworks around this issue based on current evidence.</w:t>
      </w:r>
    </w:p>
    <w:p w:rsidR="00E06EC4" w:rsidRPr="00237CBD" w:rsidRDefault="00E06EC4" w:rsidP="00151AD9"/>
    <w:p w:rsidR="00E06EC4" w:rsidRPr="00237CBD" w:rsidRDefault="00E06EC4" w:rsidP="00355C5C">
      <w:pPr>
        <w:pStyle w:val="BoxHeading"/>
        <w:rPr>
          <w:rFonts w:eastAsia="Arial"/>
        </w:rPr>
      </w:pPr>
      <w:r w:rsidRPr="00237CBD">
        <w:rPr>
          <w:rFonts w:eastAsia="Arial"/>
        </w:rPr>
        <w:t>The changes we expect to see next</w:t>
      </w:r>
    </w:p>
    <w:p w:rsidR="00E06EC4" w:rsidRPr="00237CBD" w:rsidRDefault="00E06EC4" w:rsidP="00355C5C">
      <w:pPr>
        <w:pStyle w:val="Box"/>
        <w:ind w:left="567" w:hanging="425"/>
        <w:rPr>
          <w:rFonts w:eastAsia="Arial"/>
        </w:rPr>
      </w:pPr>
      <w:r w:rsidRPr="00237CBD">
        <w:rPr>
          <w:rFonts w:eastAsia="Arial"/>
        </w:rPr>
        <w:t>1</w:t>
      </w:r>
      <w:r w:rsidR="00355C5C">
        <w:rPr>
          <w:rFonts w:eastAsia="Arial"/>
        </w:rPr>
        <w:tab/>
      </w:r>
      <w:r w:rsidRPr="00237CBD">
        <w:rPr>
          <w:rFonts w:eastAsia="Arial"/>
        </w:rPr>
        <w:t>We want all DHBs to continue to audit and review their data in relation to variation</w:t>
      </w:r>
      <w:r w:rsidR="00355C5C">
        <w:rPr>
          <w:rFonts w:eastAsia="Arial"/>
        </w:rPr>
        <w:t xml:space="preserve"> </w:t>
      </w:r>
      <w:r w:rsidRPr="00237CBD">
        <w:rPr>
          <w:rFonts w:eastAsia="Arial"/>
        </w:rPr>
        <w:t>in gestation and monitor their rates of induction of labour and caesarean sections to ensure that babies are born at the most appropriate time.</w:t>
      </w:r>
    </w:p>
    <w:p w:rsidR="00E06EC4" w:rsidRPr="00237CBD" w:rsidRDefault="00E06EC4" w:rsidP="00355C5C">
      <w:pPr>
        <w:pStyle w:val="Box"/>
        <w:ind w:left="567" w:hanging="425"/>
        <w:rPr>
          <w:rFonts w:eastAsia="Arial"/>
        </w:rPr>
      </w:pPr>
      <w:r w:rsidRPr="00237CBD">
        <w:rPr>
          <w:rFonts w:eastAsia="Arial"/>
        </w:rPr>
        <w:t>2</w:t>
      </w:r>
      <w:r w:rsidR="00355C5C">
        <w:rPr>
          <w:rFonts w:eastAsia="Arial"/>
        </w:rPr>
        <w:tab/>
      </w:r>
      <w:r w:rsidRPr="00237CBD">
        <w:rPr>
          <w:rFonts w:eastAsia="Arial"/>
        </w:rPr>
        <w:t>To more accurately describe and review births occurring at or beyond 37 weeks</w:t>
      </w:r>
      <w:r w:rsidR="00F71BF6" w:rsidRPr="00237CBD">
        <w:rPr>
          <w:rFonts w:eastAsia="Arial"/>
        </w:rPr>
        <w:t>’</w:t>
      </w:r>
      <w:r w:rsidRPr="00237CBD">
        <w:rPr>
          <w:rFonts w:eastAsia="Arial"/>
        </w:rPr>
        <w:t xml:space="preserve"> gestation to ensure that decisions that precipitate the delivery of babies are based on evidence and all inductions of labour and caesarean sections are reviewed with this</w:t>
      </w:r>
      <w:r w:rsidR="00355C5C">
        <w:rPr>
          <w:rFonts w:eastAsia="Arial"/>
        </w:rPr>
        <w:t xml:space="preserve"> </w:t>
      </w:r>
      <w:r w:rsidRPr="00237CBD">
        <w:rPr>
          <w:rFonts w:eastAsia="Arial"/>
        </w:rPr>
        <w:t>in mind. We also expect health care providers, DHBs and other stakeholders to use consistent terminology to assist comparisons</w:t>
      </w:r>
      <w:r w:rsidR="00F71BF6" w:rsidRPr="00237CBD">
        <w:rPr>
          <w:rFonts w:eastAsia="Arial"/>
        </w:rPr>
        <w:t xml:space="preserve"> </w:t>
      </w:r>
      <w:r w:rsidRPr="00237CBD">
        <w:rPr>
          <w:rFonts w:eastAsia="Arial"/>
        </w:rPr>
        <w:t>nationally:</w:t>
      </w:r>
    </w:p>
    <w:p w:rsidR="00E06EC4" w:rsidRPr="00237CBD" w:rsidRDefault="00355C5C" w:rsidP="00355C5C">
      <w:pPr>
        <w:pStyle w:val="Box"/>
        <w:tabs>
          <w:tab w:val="left" w:pos="567"/>
          <w:tab w:val="left" w:pos="851"/>
        </w:tabs>
        <w:spacing w:before="60"/>
        <w:rPr>
          <w:rFonts w:eastAsia="Arial"/>
        </w:rPr>
      </w:pPr>
      <w:r>
        <w:rPr>
          <w:rFonts w:eastAsia="Arial"/>
        </w:rPr>
        <w:tab/>
      </w:r>
      <w:r w:rsidR="00E06EC4" w:rsidRPr="00237CBD">
        <w:rPr>
          <w:rFonts w:eastAsia="Arial"/>
        </w:rPr>
        <w:t>•</w:t>
      </w:r>
      <w:r>
        <w:rPr>
          <w:rFonts w:eastAsia="Arial"/>
        </w:rPr>
        <w:tab/>
      </w:r>
      <w:r w:rsidR="00F71BF6" w:rsidRPr="00237CBD">
        <w:rPr>
          <w:rFonts w:eastAsia="Arial"/>
        </w:rPr>
        <w:t>‘</w:t>
      </w:r>
      <w:r w:rsidR="00E06EC4" w:rsidRPr="00237CBD">
        <w:rPr>
          <w:rFonts w:eastAsia="Arial"/>
        </w:rPr>
        <w:t>Early term</w:t>
      </w:r>
      <w:r w:rsidR="00F71BF6" w:rsidRPr="00237CBD">
        <w:rPr>
          <w:rFonts w:eastAsia="Arial"/>
        </w:rPr>
        <w:t>’</w:t>
      </w:r>
      <w:r w:rsidR="00E06EC4" w:rsidRPr="00237CBD">
        <w:rPr>
          <w:rFonts w:eastAsia="Arial"/>
        </w:rPr>
        <w:t xml:space="preserve"> = 37-38 weeks</w:t>
      </w:r>
      <w:r w:rsidR="00F71BF6" w:rsidRPr="00237CBD">
        <w:rPr>
          <w:rFonts w:eastAsia="Arial"/>
        </w:rPr>
        <w:t>’</w:t>
      </w:r>
      <w:r w:rsidR="00E06EC4" w:rsidRPr="00237CBD">
        <w:rPr>
          <w:rFonts w:eastAsia="Arial"/>
        </w:rPr>
        <w:t xml:space="preserve"> gestation</w:t>
      </w:r>
    </w:p>
    <w:p w:rsidR="00E06EC4" w:rsidRPr="00237CBD" w:rsidRDefault="00355C5C" w:rsidP="00355C5C">
      <w:pPr>
        <w:pStyle w:val="Box"/>
        <w:tabs>
          <w:tab w:val="left" w:pos="567"/>
          <w:tab w:val="left" w:pos="851"/>
        </w:tabs>
        <w:spacing w:before="60"/>
        <w:rPr>
          <w:rFonts w:eastAsia="Arial"/>
        </w:rPr>
      </w:pPr>
      <w:r>
        <w:rPr>
          <w:rFonts w:eastAsia="Arial"/>
        </w:rPr>
        <w:tab/>
      </w:r>
      <w:r w:rsidR="00E06EC4" w:rsidRPr="00237CBD">
        <w:rPr>
          <w:rFonts w:eastAsia="Arial"/>
        </w:rPr>
        <w:t>•</w:t>
      </w:r>
      <w:r>
        <w:rPr>
          <w:rFonts w:eastAsia="Arial"/>
        </w:rPr>
        <w:tab/>
      </w:r>
      <w:r w:rsidR="00F71BF6" w:rsidRPr="00237CBD">
        <w:rPr>
          <w:rFonts w:eastAsia="Arial"/>
        </w:rPr>
        <w:t>‘</w:t>
      </w:r>
      <w:r w:rsidR="00E06EC4" w:rsidRPr="00237CBD">
        <w:rPr>
          <w:rFonts w:eastAsia="Arial"/>
        </w:rPr>
        <w:t>Full term</w:t>
      </w:r>
      <w:r w:rsidR="00F71BF6" w:rsidRPr="00237CBD">
        <w:rPr>
          <w:rFonts w:eastAsia="Arial"/>
        </w:rPr>
        <w:t>’</w:t>
      </w:r>
      <w:r w:rsidR="00E06EC4" w:rsidRPr="00237CBD">
        <w:rPr>
          <w:rFonts w:eastAsia="Arial"/>
        </w:rPr>
        <w:t xml:space="preserve"> = 39-40 weeks</w:t>
      </w:r>
      <w:r w:rsidR="00F71BF6" w:rsidRPr="00237CBD">
        <w:rPr>
          <w:rFonts w:eastAsia="Arial"/>
        </w:rPr>
        <w:t>’</w:t>
      </w:r>
      <w:r w:rsidR="00E06EC4" w:rsidRPr="00237CBD">
        <w:rPr>
          <w:rFonts w:eastAsia="Arial"/>
        </w:rPr>
        <w:t xml:space="preserve"> gestation</w:t>
      </w:r>
    </w:p>
    <w:p w:rsidR="00E06EC4" w:rsidRPr="00237CBD" w:rsidRDefault="00355C5C" w:rsidP="00355C5C">
      <w:pPr>
        <w:pStyle w:val="Box"/>
        <w:tabs>
          <w:tab w:val="left" w:pos="567"/>
          <w:tab w:val="left" w:pos="851"/>
        </w:tabs>
        <w:spacing w:before="60"/>
        <w:rPr>
          <w:rFonts w:eastAsia="Arial"/>
        </w:rPr>
      </w:pPr>
      <w:r>
        <w:rPr>
          <w:rFonts w:eastAsia="Arial"/>
        </w:rPr>
        <w:tab/>
      </w:r>
      <w:r w:rsidR="00E06EC4" w:rsidRPr="00237CBD">
        <w:rPr>
          <w:rFonts w:eastAsia="Arial"/>
        </w:rPr>
        <w:t>•</w:t>
      </w:r>
      <w:r>
        <w:rPr>
          <w:rFonts w:eastAsia="Arial"/>
        </w:rPr>
        <w:tab/>
      </w:r>
      <w:r w:rsidR="00F71BF6" w:rsidRPr="00237CBD">
        <w:rPr>
          <w:rFonts w:eastAsia="Arial"/>
        </w:rPr>
        <w:t>‘</w:t>
      </w:r>
      <w:r w:rsidR="00E06EC4" w:rsidRPr="00237CBD">
        <w:rPr>
          <w:rFonts w:eastAsia="Arial"/>
        </w:rPr>
        <w:t>Late term</w:t>
      </w:r>
      <w:r w:rsidR="00F71BF6" w:rsidRPr="00237CBD">
        <w:rPr>
          <w:rFonts w:eastAsia="Arial"/>
        </w:rPr>
        <w:t>’</w:t>
      </w:r>
      <w:r w:rsidR="00E06EC4" w:rsidRPr="00237CBD">
        <w:rPr>
          <w:rFonts w:eastAsia="Arial"/>
        </w:rPr>
        <w:t xml:space="preserve"> = 41 weeks</w:t>
      </w:r>
      <w:r w:rsidR="00F71BF6" w:rsidRPr="00237CBD">
        <w:rPr>
          <w:rFonts w:eastAsia="Arial"/>
        </w:rPr>
        <w:t>’</w:t>
      </w:r>
      <w:r w:rsidR="00E06EC4" w:rsidRPr="00237CBD">
        <w:rPr>
          <w:rFonts w:eastAsia="Arial"/>
        </w:rPr>
        <w:t xml:space="preserve"> gestation</w:t>
      </w:r>
    </w:p>
    <w:p w:rsidR="00E06EC4" w:rsidRPr="00237CBD" w:rsidRDefault="00355C5C" w:rsidP="00355C5C">
      <w:pPr>
        <w:pStyle w:val="Box"/>
        <w:tabs>
          <w:tab w:val="left" w:pos="567"/>
          <w:tab w:val="left" w:pos="851"/>
        </w:tabs>
        <w:spacing w:before="60"/>
        <w:rPr>
          <w:rFonts w:eastAsia="Arial"/>
        </w:rPr>
      </w:pPr>
      <w:r>
        <w:rPr>
          <w:rFonts w:eastAsia="Arial"/>
        </w:rPr>
        <w:tab/>
      </w:r>
      <w:r w:rsidR="00E06EC4" w:rsidRPr="00237CBD">
        <w:rPr>
          <w:rFonts w:eastAsia="Arial"/>
        </w:rPr>
        <w:t>•</w:t>
      </w:r>
      <w:r>
        <w:rPr>
          <w:rFonts w:eastAsia="Arial"/>
        </w:rPr>
        <w:tab/>
      </w:r>
      <w:r w:rsidR="00F71BF6" w:rsidRPr="00237CBD">
        <w:rPr>
          <w:rFonts w:eastAsia="Arial"/>
        </w:rPr>
        <w:t>‘</w:t>
      </w:r>
      <w:r w:rsidR="00E06EC4" w:rsidRPr="00237CBD">
        <w:rPr>
          <w:rFonts w:eastAsia="Arial"/>
        </w:rPr>
        <w:t>Post term</w:t>
      </w:r>
      <w:r w:rsidR="00F71BF6" w:rsidRPr="00237CBD">
        <w:rPr>
          <w:rFonts w:eastAsia="Arial"/>
        </w:rPr>
        <w:t>’</w:t>
      </w:r>
      <w:r w:rsidR="00E06EC4" w:rsidRPr="00237CBD">
        <w:rPr>
          <w:rFonts w:eastAsia="Arial"/>
        </w:rPr>
        <w:t xml:space="preserve"> = 42+ weeks</w:t>
      </w:r>
      <w:r w:rsidR="00F71BF6" w:rsidRPr="00237CBD">
        <w:rPr>
          <w:rFonts w:eastAsia="Arial"/>
        </w:rPr>
        <w:t>’</w:t>
      </w:r>
      <w:r w:rsidR="00E06EC4" w:rsidRPr="00237CBD">
        <w:rPr>
          <w:rFonts w:eastAsia="Arial"/>
        </w:rPr>
        <w:t xml:space="preserve"> gestation</w:t>
      </w:r>
    </w:p>
    <w:p w:rsidR="00E06EC4" w:rsidRPr="00237CBD" w:rsidRDefault="00E06EC4" w:rsidP="00355C5C">
      <w:pPr>
        <w:pStyle w:val="Box"/>
        <w:rPr>
          <w:rFonts w:eastAsia="Arial"/>
        </w:rPr>
      </w:pPr>
      <w:r w:rsidRPr="00237CBD">
        <w:rPr>
          <w:rFonts w:eastAsia="Arial"/>
        </w:rPr>
        <w:t>The NMMG will continue to monitor variation in gestation in 2014/15. We are looking forward to hearing about the progress of changes proposed by individual DHBs in communications to the NMMG.</w:t>
      </w:r>
    </w:p>
    <w:p w:rsidR="00E06EC4" w:rsidRPr="00237CBD" w:rsidRDefault="00E06EC4" w:rsidP="00E06EC4"/>
    <w:p w:rsidR="00E06EC4" w:rsidRPr="00355C5C" w:rsidRDefault="00E06EC4" w:rsidP="00355C5C">
      <w:pPr>
        <w:pStyle w:val="Heading2"/>
        <w:rPr>
          <w:rFonts w:eastAsia="Arial"/>
        </w:rPr>
      </w:pPr>
      <w:bookmarkStart w:id="21" w:name="_Toc404355665"/>
      <w:r w:rsidRPr="00237CBD">
        <w:rPr>
          <w:rFonts w:eastAsia="Arial"/>
        </w:rPr>
        <w:lastRenderedPageBreak/>
        <w:t>Good examples of investigating</w:t>
      </w:r>
      <w:r w:rsidR="00355C5C">
        <w:rPr>
          <w:rFonts w:eastAsia="Arial"/>
        </w:rPr>
        <w:t xml:space="preserve"> </w:t>
      </w:r>
      <w:r w:rsidRPr="00355C5C">
        <w:rPr>
          <w:rFonts w:eastAsia="Arial"/>
        </w:rPr>
        <w:t>variation in gestation</w:t>
      </w:r>
      <w:bookmarkEnd w:id="21"/>
    </w:p>
    <w:p w:rsidR="00E06EC4" w:rsidRPr="00237CBD" w:rsidRDefault="00E06EC4" w:rsidP="00355C5C">
      <w:pPr>
        <w:pStyle w:val="Heading3"/>
        <w:rPr>
          <w:rFonts w:eastAsia="Arial"/>
        </w:rPr>
      </w:pPr>
      <w:r w:rsidRPr="00237CBD">
        <w:rPr>
          <w:rFonts w:eastAsia="Arial"/>
        </w:rPr>
        <w:t>Capital and Coast DHB</w:t>
      </w:r>
    </w:p>
    <w:p w:rsidR="00E06EC4" w:rsidRPr="00237CBD" w:rsidRDefault="00E06EC4" w:rsidP="00355C5C">
      <w:pPr>
        <w:keepNext/>
        <w:rPr>
          <w:rFonts w:eastAsia="Arial"/>
        </w:rPr>
      </w:pPr>
      <w:r w:rsidRPr="00237CBD">
        <w:rPr>
          <w:rFonts w:eastAsia="Arial"/>
        </w:rPr>
        <w:t>Capital and Coast DHB were provided</w:t>
      </w:r>
      <w:r w:rsidR="00F71BF6" w:rsidRPr="00237CBD">
        <w:rPr>
          <w:rFonts w:eastAsia="Arial"/>
        </w:rPr>
        <w:t xml:space="preserve"> </w:t>
      </w:r>
      <w:r w:rsidRPr="00237CBD">
        <w:rPr>
          <w:rFonts w:eastAsia="Arial"/>
        </w:rPr>
        <w:t>with information from the NMMG regarding elective caesarean and induction of labour rates in their region. In response to this information, they held a multidisciplinary clinical teaching session regarding</w:t>
      </w:r>
      <w:r w:rsidR="00F71BF6" w:rsidRPr="00237CBD">
        <w:rPr>
          <w:rFonts w:eastAsia="Arial"/>
        </w:rPr>
        <w:t xml:space="preserve"> </w:t>
      </w:r>
      <w:r w:rsidRPr="00237CBD">
        <w:rPr>
          <w:rFonts w:eastAsia="Arial"/>
        </w:rPr>
        <w:t>elective caesareans. This stressed to staff the clinical risk and associated morbidity of late preterm births. A directive was subsequently issued across the DHB to ensure that the majority of elective caesarean sections are performed</w:t>
      </w:r>
      <w:r w:rsidR="00355C5C">
        <w:rPr>
          <w:rFonts w:eastAsia="Arial"/>
        </w:rPr>
        <w:t xml:space="preserve"> </w:t>
      </w:r>
      <w:r w:rsidRPr="00237CBD">
        <w:rPr>
          <w:rFonts w:eastAsia="Arial"/>
        </w:rPr>
        <w:t>at or after 39 weeks</w:t>
      </w:r>
      <w:r w:rsidR="00F71BF6" w:rsidRPr="00237CBD">
        <w:rPr>
          <w:rFonts w:eastAsia="Arial"/>
        </w:rPr>
        <w:t>’</w:t>
      </w:r>
      <w:r w:rsidRPr="00237CBD">
        <w:rPr>
          <w:rFonts w:eastAsia="Arial"/>
        </w:rPr>
        <w:t xml:space="preserve"> gestation.</w:t>
      </w:r>
    </w:p>
    <w:p w:rsidR="00E06EC4" w:rsidRPr="00237CBD" w:rsidRDefault="00E06EC4" w:rsidP="00355C5C">
      <w:pPr>
        <w:keepNext/>
      </w:pPr>
    </w:p>
    <w:p w:rsidR="00E06EC4" w:rsidRPr="00237CBD" w:rsidRDefault="00E06EC4" w:rsidP="00355C5C">
      <w:pPr>
        <w:rPr>
          <w:rFonts w:eastAsia="Arial"/>
        </w:rPr>
      </w:pPr>
      <w:r w:rsidRPr="00237CBD">
        <w:rPr>
          <w:rFonts w:eastAsia="Arial"/>
        </w:rPr>
        <w:t>As a result of the NMMG</w:t>
      </w:r>
      <w:r w:rsidR="00F71BF6" w:rsidRPr="00237CBD">
        <w:rPr>
          <w:rFonts w:eastAsia="Arial"/>
        </w:rPr>
        <w:t>’</w:t>
      </w:r>
      <w:r w:rsidRPr="00237CBD">
        <w:rPr>
          <w:rFonts w:eastAsia="Arial"/>
        </w:rPr>
        <w:t>s information relating to induction of labour, a prospective clinical audit is under</w:t>
      </w:r>
      <w:r w:rsidR="00355C5C">
        <w:rPr>
          <w:rFonts w:eastAsia="Arial"/>
        </w:rPr>
        <w:t xml:space="preserve"> </w:t>
      </w:r>
      <w:r w:rsidRPr="00237CBD">
        <w:rPr>
          <w:rFonts w:eastAsia="Arial"/>
        </w:rPr>
        <w:t>way looking at the DHB</w:t>
      </w:r>
      <w:r w:rsidR="00F71BF6" w:rsidRPr="00237CBD">
        <w:rPr>
          <w:rFonts w:eastAsia="Arial"/>
        </w:rPr>
        <w:t>’</w:t>
      </w:r>
      <w:r w:rsidRPr="00237CBD">
        <w:rPr>
          <w:rFonts w:eastAsia="Arial"/>
        </w:rPr>
        <w:t xml:space="preserve">s induction of labour rates in standard </w:t>
      </w:r>
      <w:proofErr w:type="spellStart"/>
      <w:r w:rsidRPr="00237CBD">
        <w:rPr>
          <w:rFonts w:eastAsia="Arial"/>
        </w:rPr>
        <w:t>primiparous</w:t>
      </w:r>
      <w:proofErr w:type="spellEnd"/>
      <w:r w:rsidRPr="00237CBD">
        <w:rPr>
          <w:rFonts w:eastAsia="Arial"/>
        </w:rPr>
        <w:t xml:space="preserve"> women.</w:t>
      </w:r>
      <w:r w:rsidR="00355C5C">
        <w:rPr>
          <w:rFonts w:eastAsia="Arial"/>
        </w:rPr>
        <w:t xml:space="preserve"> </w:t>
      </w:r>
      <w:r w:rsidRPr="00237CBD">
        <w:rPr>
          <w:rFonts w:eastAsia="Arial"/>
        </w:rPr>
        <w:t>The aim of this is to determine accurately the induction of labour rates in this group of women, monitor adherence to the induction of labour policy, and determine whether or not inductions are commencing based on accurate dating.</w:t>
      </w:r>
    </w:p>
    <w:p w:rsidR="00E06EC4" w:rsidRPr="00237CBD" w:rsidRDefault="00E06EC4" w:rsidP="00355C5C"/>
    <w:p w:rsidR="00E06EC4" w:rsidRPr="00237CBD" w:rsidRDefault="00E06EC4" w:rsidP="00355C5C">
      <w:pPr>
        <w:pStyle w:val="Heading3"/>
        <w:rPr>
          <w:rFonts w:eastAsia="Arial"/>
        </w:rPr>
      </w:pPr>
      <w:r w:rsidRPr="00237CBD">
        <w:rPr>
          <w:rFonts w:eastAsia="Arial"/>
        </w:rPr>
        <w:t>Bay of Plenty DHB</w:t>
      </w:r>
    </w:p>
    <w:p w:rsidR="00E06EC4" w:rsidRPr="00237CBD" w:rsidRDefault="00E06EC4" w:rsidP="00355C5C">
      <w:pPr>
        <w:rPr>
          <w:rFonts w:eastAsia="Arial"/>
        </w:rPr>
      </w:pPr>
      <w:r w:rsidRPr="00237CBD">
        <w:rPr>
          <w:rFonts w:eastAsia="Arial"/>
        </w:rPr>
        <w:t>Following the publication of the 2013 NMMG Annual Report and the NMMG</w:t>
      </w:r>
      <w:r w:rsidR="00F71BF6" w:rsidRPr="00237CBD">
        <w:rPr>
          <w:rFonts w:eastAsia="Arial"/>
        </w:rPr>
        <w:t>’</w:t>
      </w:r>
      <w:r w:rsidRPr="00237CBD">
        <w:rPr>
          <w:rFonts w:eastAsia="Arial"/>
        </w:rPr>
        <w:t>s 2014 letter to DHBs regarding variation in gestation, the Bay of Plenty DHB has placed a strong focus on this topic. They wish to better understand the underlying contributing factors that might be linked to clinical decision-making around the elective or planned time of delivery.</w:t>
      </w:r>
    </w:p>
    <w:p w:rsidR="00E06EC4" w:rsidRPr="00237CBD" w:rsidRDefault="00E06EC4" w:rsidP="00355C5C"/>
    <w:p w:rsidR="00E06EC4" w:rsidRPr="00237CBD" w:rsidRDefault="00E06EC4" w:rsidP="00355C5C">
      <w:pPr>
        <w:rPr>
          <w:rFonts w:eastAsia="Arial"/>
        </w:rPr>
      </w:pPr>
      <w:r w:rsidRPr="00237CBD">
        <w:rPr>
          <w:rFonts w:eastAsia="Arial"/>
        </w:rPr>
        <w:t>Recently, they have implemented changes to clinical practice in the DHB around the delivery of twins and induction of labour. They are also currently in consultation with maternity service providers to suggest ways to improve the variation in gestation in their region. They are also using their MQSP governance group to discuss, and possibly update, their policies and protocols around elective or planned deliveries and the clinical reasons for these.</w:t>
      </w:r>
    </w:p>
    <w:p w:rsidR="00E06EC4" w:rsidRPr="00237CBD" w:rsidRDefault="00E06EC4" w:rsidP="00355C5C"/>
    <w:p w:rsidR="00355C5C" w:rsidRDefault="00355C5C" w:rsidP="00355C5C">
      <w:pPr>
        <w:rPr>
          <w:rFonts w:eastAsia="Arial"/>
        </w:rPr>
      </w:pPr>
      <w:r>
        <w:rPr>
          <w:rFonts w:eastAsia="Arial"/>
        </w:rPr>
        <w:br w:type="page"/>
      </w:r>
    </w:p>
    <w:p w:rsidR="00E06EC4" w:rsidRPr="00D23192" w:rsidRDefault="00E06EC4" w:rsidP="00355C5C">
      <w:pPr>
        <w:pStyle w:val="Heading1"/>
        <w:rPr>
          <w:rFonts w:eastAsia="Arial"/>
        </w:rPr>
      </w:pPr>
      <w:bookmarkStart w:id="22" w:name="_Toc404355666"/>
      <w:r w:rsidRPr="00D23192">
        <w:rPr>
          <w:rFonts w:eastAsia="Arial"/>
        </w:rPr>
        <w:lastRenderedPageBreak/>
        <w:t xml:space="preserve">National </w:t>
      </w:r>
      <w:r w:rsidR="00D23192" w:rsidRPr="00D23192">
        <w:rPr>
          <w:rFonts w:eastAsia="Arial"/>
        </w:rPr>
        <w:t>C</w:t>
      </w:r>
      <w:r w:rsidRPr="00D23192">
        <w:rPr>
          <w:rFonts w:eastAsia="Arial"/>
        </w:rPr>
        <w:t xml:space="preserve">onsistency in </w:t>
      </w:r>
      <w:r w:rsidR="00D23192" w:rsidRPr="00D23192">
        <w:rPr>
          <w:rFonts w:eastAsia="Arial"/>
        </w:rPr>
        <w:t>P</w:t>
      </w:r>
      <w:r w:rsidRPr="00D23192">
        <w:rPr>
          <w:rFonts w:eastAsia="Arial"/>
        </w:rPr>
        <w:t>rovision</w:t>
      </w:r>
      <w:r w:rsidRPr="00237CBD">
        <w:rPr>
          <w:rFonts w:eastAsia="Arial"/>
          <w:sz w:val="52"/>
          <w:szCs w:val="52"/>
        </w:rPr>
        <w:t xml:space="preserve"> </w:t>
      </w:r>
      <w:r w:rsidRPr="00D23192">
        <w:rPr>
          <w:rFonts w:eastAsia="Arial"/>
        </w:rPr>
        <w:t xml:space="preserve">of </w:t>
      </w:r>
      <w:r w:rsidR="00D23192" w:rsidRPr="00D23192">
        <w:rPr>
          <w:rFonts w:eastAsia="Arial"/>
        </w:rPr>
        <w:t>C</w:t>
      </w:r>
      <w:r w:rsidRPr="00D23192">
        <w:rPr>
          <w:rFonts w:eastAsia="Arial"/>
        </w:rPr>
        <w:t xml:space="preserve">oordinated </w:t>
      </w:r>
      <w:r w:rsidR="00D23192" w:rsidRPr="00D23192">
        <w:rPr>
          <w:rFonts w:eastAsia="Arial"/>
        </w:rPr>
        <w:t>M</w:t>
      </w:r>
      <w:r w:rsidRPr="00D23192">
        <w:rPr>
          <w:rFonts w:eastAsia="Arial"/>
        </w:rPr>
        <w:t xml:space="preserve">aternal </w:t>
      </w:r>
      <w:r w:rsidR="00D23192" w:rsidRPr="00D23192">
        <w:rPr>
          <w:rFonts w:eastAsia="Arial"/>
        </w:rPr>
        <w:t>M</w:t>
      </w:r>
      <w:r w:rsidRPr="00D23192">
        <w:rPr>
          <w:rFonts w:eastAsia="Arial"/>
        </w:rPr>
        <w:t xml:space="preserve">ental </w:t>
      </w:r>
      <w:r w:rsidR="00D23192" w:rsidRPr="00D23192">
        <w:rPr>
          <w:rFonts w:eastAsia="Arial"/>
        </w:rPr>
        <w:t>H</w:t>
      </w:r>
      <w:r w:rsidRPr="00D23192">
        <w:rPr>
          <w:rFonts w:eastAsia="Arial"/>
        </w:rPr>
        <w:t xml:space="preserve">ealth </w:t>
      </w:r>
      <w:r w:rsidR="00D23192" w:rsidRPr="00D23192">
        <w:rPr>
          <w:rFonts w:eastAsia="Arial"/>
        </w:rPr>
        <w:t>S</w:t>
      </w:r>
      <w:r w:rsidRPr="00D23192">
        <w:rPr>
          <w:rFonts w:eastAsia="Arial"/>
        </w:rPr>
        <w:t>ervice</w:t>
      </w:r>
      <w:r w:rsidR="00D23192" w:rsidRPr="00D23192">
        <w:rPr>
          <w:rFonts w:eastAsia="Arial"/>
        </w:rPr>
        <w:t>s</w:t>
      </w:r>
      <w:bookmarkEnd w:id="22"/>
    </w:p>
    <w:p w:rsidR="00E06EC4" w:rsidRPr="00237CBD" w:rsidRDefault="00E06EC4" w:rsidP="00355C5C">
      <w:pPr>
        <w:pStyle w:val="Heading2"/>
        <w:rPr>
          <w:rFonts w:eastAsia="Arial"/>
        </w:rPr>
      </w:pPr>
      <w:bookmarkStart w:id="23" w:name="_Toc404355667"/>
      <w:r w:rsidRPr="00237CBD">
        <w:rPr>
          <w:rFonts w:eastAsia="Arial"/>
        </w:rPr>
        <w:t>Our focus</w:t>
      </w:r>
      <w:bookmarkEnd w:id="23"/>
    </w:p>
    <w:p w:rsidR="00E06EC4" w:rsidRPr="00237CBD" w:rsidRDefault="00E06EC4" w:rsidP="00D91EBB">
      <w:pPr>
        <w:pStyle w:val="Introparagraph"/>
      </w:pPr>
      <w:proofErr w:type="gramStart"/>
      <w:r w:rsidRPr="00237CBD">
        <w:t>To investigate national consistency in the provision of coordinated m</w:t>
      </w:r>
      <w:r w:rsidR="00D91EBB">
        <w:t>aternal</w:t>
      </w:r>
      <w:r w:rsidRPr="00237CBD">
        <w:t xml:space="preserve"> mental</w:t>
      </w:r>
      <w:r w:rsidR="00F71BF6" w:rsidRPr="00237CBD">
        <w:t xml:space="preserve"> </w:t>
      </w:r>
      <w:r w:rsidRPr="00237CBD">
        <w:t>health services.</w:t>
      </w:r>
      <w:proofErr w:type="gramEnd"/>
      <w:r w:rsidRPr="00237CBD">
        <w:t xml:space="preserve"> We want to ensure there is a coordinated pat</w:t>
      </w:r>
      <w:r w:rsidR="00D91EBB">
        <w:t>hway for</w:t>
      </w:r>
      <w:r w:rsidRPr="00237CBD">
        <w:t xml:space="preserve"> women to follow between community pr</w:t>
      </w:r>
      <w:r w:rsidR="00D91EBB">
        <w:t xml:space="preserve">actitioners and access to </w:t>
      </w:r>
      <w:r w:rsidRPr="00237CBD">
        <w:t xml:space="preserve">maternal mental health services and that </w:t>
      </w:r>
      <w:r w:rsidR="00D91EBB">
        <w:t xml:space="preserve">good knowledge </w:t>
      </w:r>
      <w:r w:rsidRPr="00237CBD">
        <w:t>about this pathway exists within the mate</w:t>
      </w:r>
      <w:r w:rsidR="00D91EBB">
        <w:t xml:space="preserve">rnity sector in </w:t>
      </w:r>
      <w:r w:rsidRPr="00237CBD">
        <w:t>each DHB.</w:t>
      </w:r>
    </w:p>
    <w:p w:rsidR="00E06EC4" w:rsidRPr="00237CBD" w:rsidRDefault="00E06EC4" w:rsidP="00D91EBB"/>
    <w:p w:rsidR="00E06EC4" w:rsidRPr="00237CBD" w:rsidRDefault="00E06EC4" w:rsidP="00D91EBB">
      <w:pPr>
        <w:rPr>
          <w:rFonts w:eastAsia="Arial"/>
        </w:rPr>
      </w:pPr>
      <w:r w:rsidRPr="00237CBD">
        <w:rPr>
          <w:rFonts w:eastAsia="Arial"/>
        </w:rPr>
        <w:t>The availability and provision of mental health serv</w:t>
      </w:r>
      <w:r w:rsidR="00D91EBB">
        <w:rPr>
          <w:rFonts w:eastAsia="Arial"/>
        </w:rPr>
        <w:t>ices</w:t>
      </w:r>
      <w:r w:rsidRPr="00237CBD">
        <w:rPr>
          <w:rFonts w:eastAsia="Arial"/>
        </w:rPr>
        <w:t xml:space="preserve"> to women who need it, during and after pregnanc</w:t>
      </w:r>
      <w:r w:rsidR="00D91EBB">
        <w:rPr>
          <w:rFonts w:eastAsia="Arial"/>
        </w:rPr>
        <w:t>y,</w:t>
      </w:r>
      <w:r w:rsidRPr="00237CBD">
        <w:rPr>
          <w:rFonts w:eastAsia="Arial"/>
        </w:rPr>
        <w:t xml:space="preserve"> is essential for their safety and that of their babies. Women with existing mental</w:t>
      </w:r>
      <w:r w:rsidR="00F71BF6" w:rsidRPr="00237CBD">
        <w:rPr>
          <w:rFonts w:eastAsia="Arial"/>
        </w:rPr>
        <w:t xml:space="preserve"> </w:t>
      </w:r>
      <w:r w:rsidRPr="00237CBD">
        <w:rPr>
          <w:rFonts w:eastAsia="Arial"/>
        </w:rPr>
        <w:t>health issues are at ri</w:t>
      </w:r>
      <w:r w:rsidR="00D91EBB">
        <w:rPr>
          <w:rFonts w:eastAsia="Arial"/>
        </w:rPr>
        <w:t>sk</w:t>
      </w:r>
      <w:r w:rsidRPr="00237CBD">
        <w:rPr>
          <w:rFonts w:eastAsia="Arial"/>
        </w:rPr>
        <w:t xml:space="preserve"> of escalation during the pregnancy and postnatal period. This is particularly</w:t>
      </w:r>
      <w:r w:rsidR="00F71BF6" w:rsidRPr="00237CBD">
        <w:rPr>
          <w:rFonts w:eastAsia="Arial"/>
        </w:rPr>
        <w:t xml:space="preserve"> </w:t>
      </w:r>
      <w:r w:rsidRPr="00237CBD">
        <w:rPr>
          <w:rFonts w:eastAsia="Arial"/>
        </w:rPr>
        <w:t>true for women with a history of bipolar disorder, psychosis or postnatal depression/severe depression.</w:t>
      </w:r>
    </w:p>
    <w:p w:rsidR="00E06EC4" w:rsidRPr="00237CBD" w:rsidRDefault="00E06EC4" w:rsidP="00D91EBB"/>
    <w:p w:rsidR="00E06EC4" w:rsidRPr="00237CBD" w:rsidRDefault="00E06EC4" w:rsidP="00D91EBB">
      <w:pPr>
        <w:rPr>
          <w:rFonts w:eastAsia="Arial"/>
        </w:rPr>
      </w:pPr>
      <w:r w:rsidRPr="00237CBD">
        <w:rPr>
          <w:rFonts w:eastAsia="Arial"/>
        </w:rPr>
        <w:t>All DHBs are required, under the DHB Service Coverage Schedule, to provide perinatal and maternal mental</w:t>
      </w:r>
      <w:r w:rsidR="00F71BF6" w:rsidRPr="00237CBD">
        <w:rPr>
          <w:rFonts w:eastAsia="Arial"/>
        </w:rPr>
        <w:t xml:space="preserve"> </w:t>
      </w:r>
      <w:r w:rsidRPr="00237CBD">
        <w:rPr>
          <w:rFonts w:eastAsia="Arial"/>
        </w:rPr>
        <w:t>health services. The 2013/14 DHB Service Coverage Schedule stated that:</w:t>
      </w:r>
    </w:p>
    <w:p w:rsidR="00E06EC4" w:rsidRPr="00237CBD" w:rsidRDefault="00F71BF6" w:rsidP="00D91EBB">
      <w:pPr>
        <w:pStyle w:val="Quote"/>
        <w:rPr>
          <w:rFonts w:eastAsia="Arial"/>
        </w:rPr>
      </w:pPr>
      <w:r w:rsidRPr="00237CBD">
        <w:rPr>
          <w:rFonts w:eastAsia="Arial"/>
        </w:rPr>
        <w:t>“</w:t>
      </w:r>
      <w:r w:rsidR="00E06EC4" w:rsidRPr="00237CBD">
        <w:rPr>
          <w:rFonts w:eastAsia="Arial"/>
        </w:rPr>
        <w:t>All DHBs will provide perinatal and maternal mental health service by direct provision of specialist services, through trained staff in generic adult Mental Hea</w:t>
      </w:r>
      <w:r w:rsidR="00D91EBB">
        <w:rPr>
          <w:rFonts w:eastAsia="Arial"/>
        </w:rPr>
        <w:t>lth</w:t>
      </w:r>
      <w:r w:rsidR="00E06EC4" w:rsidRPr="00237CBD">
        <w:rPr>
          <w:rFonts w:eastAsia="Arial"/>
        </w:rPr>
        <w:t xml:space="preserve"> services or by access to regional specialist services</w:t>
      </w:r>
      <w:r w:rsidR="00D91EBB">
        <w:rPr>
          <w:rFonts w:eastAsia="Arial"/>
        </w:rPr>
        <w:t xml:space="preserve"> ...</w:t>
      </w:r>
      <w:r w:rsidR="00E06EC4" w:rsidRPr="00237CBD">
        <w:rPr>
          <w:rFonts w:eastAsia="Arial"/>
        </w:rPr>
        <w:t xml:space="preserve"> Women who are identified</w:t>
      </w:r>
      <w:r w:rsidRPr="00237CBD">
        <w:rPr>
          <w:rFonts w:eastAsia="Arial"/>
        </w:rPr>
        <w:t xml:space="preserve"> </w:t>
      </w:r>
      <w:r w:rsidR="00E06EC4" w:rsidRPr="00237CBD">
        <w:rPr>
          <w:rFonts w:eastAsia="Arial"/>
        </w:rPr>
        <w:t>as n</w:t>
      </w:r>
      <w:r w:rsidR="00D91EBB">
        <w:rPr>
          <w:rFonts w:eastAsia="Arial"/>
        </w:rPr>
        <w:t>eeding</w:t>
      </w:r>
      <w:r w:rsidR="00E06EC4" w:rsidRPr="00237CBD">
        <w:rPr>
          <w:rFonts w:eastAsia="Arial"/>
        </w:rPr>
        <w:t xml:space="preserve"> mental health services when pregnant or </w:t>
      </w:r>
      <w:r w:rsidR="00D91EBB">
        <w:rPr>
          <w:rFonts w:eastAsia="Arial"/>
        </w:rPr>
        <w:t xml:space="preserve">in the </w:t>
      </w:r>
      <w:r w:rsidR="00E06EC4" w:rsidRPr="00237CBD">
        <w:rPr>
          <w:rFonts w:eastAsia="Arial"/>
        </w:rPr>
        <w:t>period after birth will be able to access a</w:t>
      </w:r>
      <w:r w:rsidR="00D91EBB">
        <w:rPr>
          <w:rFonts w:eastAsia="Arial"/>
        </w:rPr>
        <w:t>ppropriate</w:t>
      </w:r>
      <w:r w:rsidR="00E06EC4" w:rsidRPr="00237CBD">
        <w:rPr>
          <w:rFonts w:eastAsia="Arial"/>
        </w:rPr>
        <w:t xml:space="preserve"> services to meet their needs and keep th</w:t>
      </w:r>
      <w:r w:rsidR="00D91EBB">
        <w:rPr>
          <w:rFonts w:eastAsia="Arial"/>
        </w:rPr>
        <w:t>emselves and their</w:t>
      </w:r>
      <w:r w:rsidR="00E06EC4" w:rsidRPr="00237CBD">
        <w:rPr>
          <w:rFonts w:eastAsia="Arial"/>
        </w:rPr>
        <w:t xml:space="preserve"> babies safe.</w:t>
      </w:r>
      <w:r w:rsidRPr="00237CBD">
        <w:rPr>
          <w:rFonts w:eastAsia="Arial"/>
        </w:rPr>
        <w:t>”</w:t>
      </w:r>
    </w:p>
    <w:p w:rsidR="00E06EC4" w:rsidRPr="00237CBD" w:rsidRDefault="00E06EC4" w:rsidP="00D91EBB"/>
    <w:p w:rsidR="00E06EC4" w:rsidRPr="00237CBD" w:rsidRDefault="00E06EC4" w:rsidP="00D91EBB">
      <w:pPr>
        <w:rPr>
          <w:rFonts w:eastAsia="Arial"/>
        </w:rPr>
      </w:pPr>
      <w:r w:rsidRPr="00237CBD">
        <w:rPr>
          <w:rFonts w:eastAsia="Arial"/>
        </w:rPr>
        <w:t xml:space="preserve">The Sixth Annual Report of the PMMRC also recommended that those working in the maternity sector screen women </w:t>
      </w:r>
      <w:proofErr w:type="spellStart"/>
      <w:r w:rsidRPr="00237CBD">
        <w:rPr>
          <w:rFonts w:eastAsia="Arial"/>
        </w:rPr>
        <w:t>antenatally</w:t>
      </w:r>
      <w:proofErr w:type="spellEnd"/>
      <w:r w:rsidRPr="00237CBD">
        <w:rPr>
          <w:rFonts w:eastAsia="Arial"/>
        </w:rPr>
        <w:t xml:space="preserve"> in order to identify women who are at increased risk of mental illness. It also recommended that there be better integration of maternal mental health services into maternity services.</w:t>
      </w:r>
    </w:p>
    <w:p w:rsidR="00E06EC4" w:rsidRPr="00237CBD" w:rsidRDefault="00E06EC4" w:rsidP="00D91EBB"/>
    <w:p w:rsidR="00E06EC4" w:rsidRPr="00237CBD" w:rsidRDefault="00E06EC4" w:rsidP="00D91EBB">
      <w:pPr>
        <w:rPr>
          <w:rFonts w:eastAsia="Arial"/>
        </w:rPr>
      </w:pPr>
      <w:r w:rsidRPr="00237CBD">
        <w:rPr>
          <w:rFonts w:eastAsia="Arial"/>
        </w:rPr>
        <w:t>In 2012/13, the NMMG reviewed the national consistency of maternal mental health services. This year we wish to continue this focus by: supporting better knowledge in the maternity sector of the mental health services available; improved timeliness of access for women, and better integration between maternity and mental health services.</w:t>
      </w:r>
    </w:p>
    <w:p w:rsidR="00E06EC4" w:rsidRPr="00237CBD" w:rsidRDefault="00E06EC4" w:rsidP="00D91EBB"/>
    <w:p w:rsidR="00BF77C9" w:rsidRDefault="00BF77C9" w:rsidP="00BF77C9">
      <w:pPr>
        <w:rPr>
          <w:rFonts w:eastAsia="Arial"/>
        </w:rPr>
      </w:pPr>
      <w:r>
        <w:rPr>
          <w:rFonts w:eastAsia="Arial"/>
        </w:rPr>
        <w:br w:type="page"/>
      </w:r>
    </w:p>
    <w:p w:rsidR="00E06EC4" w:rsidRPr="00237CBD" w:rsidRDefault="00E06EC4" w:rsidP="00BF77C9">
      <w:pPr>
        <w:pStyle w:val="Heading2"/>
        <w:rPr>
          <w:rFonts w:eastAsia="Arial"/>
        </w:rPr>
      </w:pPr>
      <w:bookmarkStart w:id="24" w:name="_Toc404355668"/>
      <w:r w:rsidRPr="00237CBD">
        <w:rPr>
          <w:rFonts w:eastAsia="Arial"/>
        </w:rPr>
        <w:lastRenderedPageBreak/>
        <w:t>What we</w:t>
      </w:r>
      <w:r w:rsidR="00F71BF6" w:rsidRPr="00237CBD">
        <w:rPr>
          <w:rFonts w:eastAsia="Arial"/>
        </w:rPr>
        <w:t>’</w:t>
      </w:r>
      <w:r w:rsidRPr="00237CBD">
        <w:rPr>
          <w:rFonts w:eastAsia="Arial"/>
        </w:rPr>
        <w:t>ve done this year</w:t>
      </w:r>
      <w:bookmarkEnd w:id="24"/>
    </w:p>
    <w:p w:rsidR="00E06EC4" w:rsidRPr="00237CBD" w:rsidRDefault="00290D13" w:rsidP="00BF77C9">
      <w:pPr>
        <w:pStyle w:val="Introparagraph"/>
      </w:pPr>
      <w:r>
        <w:rPr>
          <w:noProof/>
          <w:lang w:eastAsia="en-NZ"/>
        </w:rPr>
        <mc:AlternateContent>
          <mc:Choice Requires="wps">
            <w:drawing>
              <wp:anchor distT="0" distB="0" distL="114300" distR="0" simplePos="0" relativeHeight="251871232" behindDoc="0" locked="0" layoutInCell="1" allowOverlap="0" wp14:anchorId="089EC176" wp14:editId="4D707A19">
                <wp:simplePos x="0" y="0"/>
                <wp:positionH relativeFrom="column">
                  <wp:posOffset>3017520</wp:posOffset>
                </wp:positionH>
                <wp:positionV relativeFrom="paragraph">
                  <wp:posOffset>31115</wp:posOffset>
                </wp:positionV>
                <wp:extent cx="2443480" cy="3200400"/>
                <wp:effectExtent l="0" t="0" r="0" b="0"/>
                <wp:wrapSquare wrapText="lef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3200400"/>
                        </a:xfrm>
                        <a:prstGeom prst="rect">
                          <a:avLst/>
                        </a:prstGeom>
                        <a:solidFill>
                          <a:schemeClr val="bg1">
                            <a:lumMod val="95000"/>
                          </a:schemeClr>
                        </a:solidFill>
                        <a:ln w="9525">
                          <a:noFill/>
                          <a:miter lim="800000"/>
                          <a:headEnd/>
                          <a:tailEnd/>
                        </a:ln>
                      </wps:spPr>
                      <wps:txbx>
                        <w:txbxContent>
                          <w:p w:rsidR="00EE698E" w:rsidRPr="00401EE8" w:rsidRDefault="00EE698E" w:rsidP="00BF77C9">
                            <w:pPr>
                              <w:pStyle w:val="Textbox"/>
                              <w:rPr>
                                <w:b/>
                                <w:sz w:val="24"/>
                              </w:rPr>
                            </w:pPr>
                            <w:r w:rsidRPr="00401EE8">
                              <w:rPr>
                                <w:b/>
                                <w:sz w:val="24"/>
                              </w:rPr>
                              <w:t>What we found</w:t>
                            </w:r>
                          </w:p>
                          <w:p w:rsidR="00EE698E" w:rsidRPr="00401EE8" w:rsidRDefault="00EE698E" w:rsidP="00BF77C9">
                            <w:pPr>
                              <w:pStyle w:val="Textbox"/>
                              <w:spacing w:before="180"/>
                              <w:rPr>
                                <w:b/>
                              </w:rPr>
                            </w:pPr>
                            <w:r>
                              <w:rPr>
                                <w:b/>
                              </w:rPr>
                              <w:t>Primary mental health services</w:t>
                            </w:r>
                          </w:p>
                          <w:p w:rsidR="00EE698E" w:rsidRPr="00237CBD" w:rsidRDefault="00EE698E" w:rsidP="00BF77C9">
                            <w:pPr>
                              <w:pStyle w:val="Textbox"/>
                            </w:pPr>
                            <w:r w:rsidRPr="00237CBD">
                              <w:t>We found that current funding for</w:t>
                            </w:r>
                            <w:r>
                              <w:t xml:space="preserve"> </w:t>
                            </w:r>
                            <w:r w:rsidRPr="00237CBD">
                              <w:t>primary mental health services is not ring-fenced. Instead it is part of DHB baseline funding, which is then transferred to PHOs. Recently there has</w:t>
                            </w:r>
                            <w:r>
                              <w:t xml:space="preserve"> </w:t>
                            </w:r>
                            <w:r w:rsidRPr="00237CBD">
                              <w:t xml:space="preserve">been an increase in this funding, which is mostly targeted at youth mental health, low income groups, Māori, and </w:t>
                            </w:r>
                            <w:proofErr w:type="spellStart"/>
                            <w:r w:rsidRPr="00237CBD">
                              <w:t>Pasifika</w:t>
                            </w:r>
                            <w:proofErr w:type="spellEnd"/>
                            <w:r w:rsidRPr="00237CBD">
                              <w:t xml:space="preserve"> groups.</w:t>
                            </w:r>
                          </w:p>
                          <w:p w:rsidR="00EE698E" w:rsidRPr="00237CBD" w:rsidRDefault="00EE698E" w:rsidP="00BF77C9">
                            <w:pPr>
                              <w:pStyle w:val="Textbox"/>
                            </w:pPr>
                            <w:r w:rsidRPr="00237CBD">
                              <w:t>We also found that there is a lack of integration with secondary care mental health services to support the pathway into primary care, or from primary to secondary care. Promoting integration seems to have worked best in areas with strong clinical leadership.</w:t>
                            </w:r>
                          </w:p>
                        </w:txbxContent>
                      </wps:txbx>
                      <wps:bodyPr rot="0" vert="horz" wrap="square" lIns="0" tIns="72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7.6pt;margin-top:2.45pt;width:192.4pt;height:252pt;z-index:251871232;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" o:allowoverlap="f" fillcolor="#f2f2f2 [3052]" stroked="f">
                <v:textbox inset="0,2mm,0,0">
                  <w:txbxContent>
                    <w:p w:rsidR="00EE698E" w:rsidRPr="00401EE8" w:rsidRDefault="00EE698E" w:rsidP="00BF77C9">
                      <w:pPr>
                        <w:pStyle w:val="Textbox"/>
                        <w:rPr>
                          <w:b/>
                          <w:sz w:val="24"/>
                        </w:rPr>
                      </w:pPr>
                      <w:r w:rsidRPr="00401EE8">
                        <w:rPr>
                          <w:b/>
                          <w:sz w:val="24"/>
                        </w:rPr>
                        <w:t>What we found</w:t>
                      </w:r>
                    </w:p>
                    <w:p w:rsidR="00EE698E" w:rsidRPr="00401EE8" w:rsidRDefault="00EE698E" w:rsidP="00BF77C9">
                      <w:pPr>
                        <w:pStyle w:val="Textbox"/>
                        <w:spacing w:before="180"/>
                        <w:rPr>
                          <w:b/>
                        </w:rPr>
                      </w:pPr>
                      <w:r>
                        <w:rPr>
                          <w:b/>
                        </w:rPr>
                        <w:t>Primary mental health services</w:t>
                      </w:r>
                    </w:p>
                    <w:p w:rsidR="00EE698E" w:rsidRPr="00237CBD" w:rsidRDefault="00EE698E" w:rsidP="00BF77C9">
                      <w:pPr>
                        <w:pStyle w:val="Textbox"/>
                      </w:pPr>
                      <w:r w:rsidRPr="00237CBD">
                        <w:t>We found that current funding for</w:t>
                      </w:r>
                      <w:r>
                        <w:t xml:space="preserve"> </w:t>
                      </w:r>
                      <w:r w:rsidRPr="00237CBD">
                        <w:t>primary mental health services is not ring-fenced. Instead it is part of DHB baseline funding, which is then transferred to PHOs. Recently there has</w:t>
                      </w:r>
                      <w:r>
                        <w:t xml:space="preserve"> </w:t>
                      </w:r>
                      <w:r w:rsidRPr="00237CBD">
                        <w:t xml:space="preserve">been an increase in this funding, which is mostly targeted at youth mental health, low income groups, Māori, and </w:t>
                      </w:r>
                      <w:proofErr w:type="spellStart"/>
                      <w:r w:rsidRPr="00237CBD">
                        <w:t>Pasifika</w:t>
                      </w:r>
                      <w:proofErr w:type="spellEnd"/>
                      <w:r w:rsidRPr="00237CBD">
                        <w:t xml:space="preserve"> groups.</w:t>
                      </w:r>
                    </w:p>
                    <w:p w:rsidR="00EE698E" w:rsidRPr="00237CBD" w:rsidRDefault="00EE698E" w:rsidP="00BF77C9">
                      <w:pPr>
                        <w:pStyle w:val="Textbox"/>
                      </w:pPr>
                      <w:r w:rsidRPr="00237CBD">
                        <w:t>We also found that there is a lack of integration with secondary care mental health services to support the pathway into primary care, or from primary to secondary care. Promoting integration seems to have worked best in areas with strong clinical leadership.</w:t>
                      </w:r>
                    </w:p>
                  </w:txbxContent>
                </v:textbox>
                <w10:wrap type="square" side="left"/>
              </v:shape>
            </w:pict>
          </mc:Fallback>
        </mc:AlternateContent>
      </w:r>
      <w:r w:rsidR="00E06EC4" w:rsidRPr="00237CBD">
        <w:t>We liaised with the Ministry to understand current work on maternal mental health and how the NMMG can support it. We were particularly interested in: funding for primary maternal mental</w:t>
      </w:r>
      <w:r w:rsidR="00F71BF6" w:rsidRPr="00237CBD">
        <w:t xml:space="preserve"> </w:t>
      </w:r>
      <w:r w:rsidR="00E06EC4" w:rsidRPr="00237CBD">
        <w:t>health services, the expectations attached to this funding, and national consistency in access to primary mental health services for pregnant women.</w:t>
      </w:r>
    </w:p>
    <w:p w:rsidR="00E06EC4" w:rsidRPr="00237CBD" w:rsidRDefault="00E06EC4" w:rsidP="00BF77C9"/>
    <w:p w:rsidR="00E06EC4" w:rsidRPr="00237CBD" w:rsidRDefault="00E06EC4" w:rsidP="00BF77C9">
      <w:pPr>
        <w:rPr>
          <w:rFonts w:eastAsia="Arial"/>
        </w:rPr>
      </w:pPr>
      <w:r w:rsidRPr="00237CBD">
        <w:rPr>
          <w:rFonts w:eastAsia="Arial"/>
        </w:rPr>
        <w:t>We then wrote to each DHB and asked them:</w:t>
      </w:r>
    </w:p>
    <w:p w:rsidR="00E06EC4" w:rsidRPr="00F82321" w:rsidRDefault="00F82321" w:rsidP="00BF77C9">
      <w:pPr>
        <w:pStyle w:val="Bullet"/>
        <w:rPr>
          <w:rFonts w:eastAsia="Arial"/>
        </w:rPr>
      </w:pPr>
      <w:r w:rsidRPr="00F82321">
        <w:rPr>
          <w:rFonts w:eastAsia="Arial"/>
        </w:rPr>
        <w:t>w</w:t>
      </w:r>
      <w:r w:rsidR="00E06EC4" w:rsidRPr="00F82321">
        <w:rPr>
          <w:rFonts w:eastAsia="Arial"/>
        </w:rPr>
        <w:t>hether</w:t>
      </w:r>
      <w:r w:rsidR="00F71BF6" w:rsidRPr="00F82321">
        <w:rPr>
          <w:rFonts w:eastAsia="Arial"/>
        </w:rPr>
        <w:t xml:space="preserve"> </w:t>
      </w:r>
      <w:r w:rsidR="00E06EC4" w:rsidRPr="00F82321">
        <w:rPr>
          <w:rFonts w:eastAsia="Arial"/>
        </w:rPr>
        <w:t>the DHB had considered the recommendations made</w:t>
      </w:r>
      <w:r w:rsidRPr="00F82321">
        <w:rPr>
          <w:rFonts w:eastAsia="Arial"/>
        </w:rPr>
        <w:t xml:space="preserve"> </w:t>
      </w:r>
      <w:r w:rsidR="00E06EC4" w:rsidRPr="00F82321">
        <w:rPr>
          <w:rFonts w:eastAsia="Arial"/>
        </w:rPr>
        <w:t>in the 2013 NMMG Annual Report in relation to maternal mental health</w:t>
      </w:r>
    </w:p>
    <w:p w:rsidR="00E06EC4" w:rsidRPr="00237CBD" w:rsidRDefault="00F82321" w:rsidP="00BF77C9">
      <w:pPr>
        <w:pStyle w:val="Bullet"/>
        <w:rPr>
          <w:rFonts w:eastAsia="Arial"/>
        </w:rPr>
      </w:pPr>
      <w:r>
        <w:rPr>
          <w:rFonts w:eastAsia="Arial"/>
        </w:rPr>
        <w:t>w</w:t>
      </w:r>
      <w:r w:rsidR="00E06EC4" w:rsidRPr="00237CBD">
        <w:rPr>
          <w:rFonts w:eastAsia="Arial"/>
        </w:rPr>
        <w:t>ho was responsible for coordinating integrated maternal mental health services (primary and secondary) in their region, including between primary care, secondary care, maternity services and paediatric services, and</w:t>
      </w:r>
    </w:p>
    <w:p w:rsidR="00E06EC4" w:rsidRPr="00237CBD" w:rsidRDefault="00F82321" w:rsidP="00BF77C9">
      <w:pPr>
        <w:pStyle w:val="Bullet"/>
        <w:rPr>
          <w:rFonts w:eastAsia="Arial"/>
        </w:rPr>
      </w:pPr>
      <w:proofErr w:type="gramStart"/>
      <w:r>
        <w:rPr>
          <w:rFonts w:eastAsia="Arial"/>
        </w:rPr>
        <w:t>w</w:t>
      </w:r>
      <w:r w:rsidR="00E06EC4" w:rsidRPr="00237CBD">
        <w:rPr>
          <w:rFonts w:eastAsia="Arial"/>
        </w:rPr>
        <w:t>hat</w:t>
      </w:r>
      <w:proofErr w:type="gramEnd"/>
      <w:r w:rsidR="00E06EC4" w:rsidRPr="00237CBD">
        <w:rPr>
          <w:rFonts w:eastAsia="Arial"/>
        </w:rPr>
        <w:t xml:space="preserve"> the pathway was between these services.</w:t>
      </w:r>
    </w:p>
    <w:p w:rsidR="00E06EC4" w:rsidRDefault="00E06EC4" w:rsidP="00F82321"/>
    <w:p w:rsidR="00E06EC4" w:rsidRPr="00237CBD" w:rsidRDefault="00E06EC4" w:rsidP="00290D13">
      <w:pPr>
        <w:pStyle w:val="Heading2"/>
        <w:rPr>
          <w:rFonts w:eastAsia="Arial"/>
        </w:rPr>
      </w:pPr>
      <w:bookmarkStart w:id="25" w:name="_Toc404355669"/>
      <w:r w:rsidRPr="00237CBD">
        <w:rPr>
          <w:rFonts w:eastAsia="Arial"/>
        </w:rPr>
        <w:t>What we recommended in 2013</w:t>
      </w:r>
      <w:bookmarkEnd w:id="25"/>
    </w:p>
    <w:p w:rsidR="00E06EC4" w:rsidRPr="00237CBD" w:rsidRDefault="00E06EC4" w:rsidP="00290D13">
      <w:pPr>
        <w:pStyle w:val="Introparagraph"/>
      </w:pPr>
      <w:r w:rsidRPr="00237CBD">
        <w:t>Last year the NMMG focused on maternal mental health services at every level of care. We recommended that:</w:t>
      </w:r>
    </w:p>
    <w:p w:rsidR="00E06EC4" w:rsidRPr="00237CBD" w:rsidRDefault="00E06EC4" w:rsidP="00290D13">
      <w:pPr>
        <w:spacing w:before="120"/>
        <w:ind w:left="567" w:hanging="567"/>
        <w:rPr>
          <w:rFonts w:eastAsia="Arial"/>
        </w:rPr>
      </w:pPr>
      <w:r w:rsidRPr="00237CBD">
        <w:rPr>
          <w:rFonts w:eastAsia="Arial"/>
        </w:rPr>
        <w:t>1</w:t>
      </w:r>
      <w:r w:rsidR="00290D13">
        <w:rPr>
          <w:rFonts w:eastAsia="Arial"/>
        </w:rPr>
        <w:tab/>
        <w:t>A</w:t>
      </w:r>
      <w:r w:rsidRPr="00237CBD">
        <w:rPr>
          <w:rFonts w:eastAsia="Arial"/>
        </w:rPr>
        <w:t>ll DHBs promote access to services for women with maternal mental health issues. This will require better linkages between these services and maternity care providers</w:t>
      </w:r>
      <w:r w:rsidR="00290D13">
        <w:rPr>
          <w:rFonts w:eastAsia="Arial"/>
        </w:rPr>
        <w:t>.</w:t>
      </w:r>
    </w:p>
    <w:p w:rsidR="00E06EC4" w:rsidRPr="00237CBD" w:rsidRDefault="00E06EC4" w:rsidP="00290D13">
      <w:pPr>
        <w:spacing w:before="120"/>
        <w:ind w:left="567" w:hanging="567"/>
        <w:rPr>
          <w:rFonts w:eastAsia="Arial"/>
        </w:rPr>
      </w:pPr>
      <w:r w:rsidRPr="00237CBD">
        <w:rPr>
          <w:rFonts w:eastAsia="Arial"/>
        </w:rPr>
        <w:t>2</w:t>
      </w:r>
      <w:r w:rsidR="00290D13">
        <w:rPr>
          <w:rFonts w:eastAsia="Arial"/>
        </w:rPr>
        <w:tab/>
        <w:t>K</w:t>
      </w:r>
      <w:r w:rsidRPr="00237CBD">
        <w:rPr>
          <w:rFonts w:eastAsia="Arial"/>
        </w:rPr>
        <w:t>nowledge of mental health services available to the maternity sector must improve.</w:t>
      </w:r>
    </w:p>
    <w:p w:rsidR="00E06EC4" w:rsidRPr="00237CBD" w:rsidRDefault="00E06EC4" w:rsidP="00290D13">
      <w:pPr>
        <w:spacing w:before="120"/>
        <w:ind w:left="567" w:hanging="567"/>
        <w:rPr>
          <w:rFonts w:eastAsia="Arial"/>
        </w:rPr>
      </w:pPr>
      <w:r w:rsidRPr="00237CBD">
        <w:rPr>
          <w:rFonts w:eastAsia="Arial"/>
        </w:rPr>
        <w:t>3</w:t>
      </w:r>
      <w:r w:rsidR="00290D13">
        <w:rPr>
          <w:rFonts w:eastAsia="Arial"/>
        </w:rPr>
        <w:tab/>
      </w:r>
      <w:r w:rsidRPr="00237CBD">
        <w:rPr>
          <w:rFonts w:eastAsia="Arial"/>
        </w:rPr>
        <w:t>DHBs must provide the maternity sector in their area with clearer information on the mental health services available and enable direct referrals.</w:t>
      </w:r>
    </w:p>
    <w:p w:rsidR="00E06EC4" w:rsidRPr="00237CBD" w:rsidRDefault="00E06EC4" w:rsidP="00290D13">
      <w:pPr>
        <w:spacing w:before="120"/>
        <w:ind w:left="567" w:hanging="567"/>
        <w:rPr>
          <w:rFonts w:eastAsia="Arial"/>
        </w:rPr>
      </w:pPr>
      <w:r w:rsidRPr="00237CBD">
        <w:rPr>
          <w:rFonts w:eastAsia="Arial"/>
        </w:rPr>
        <w:t>4</w:t>
      </w:r>
      <w:r w:rsidR="00290D13">
        <w:rPr>
          <w:rFonts w:eastAsia="Arial"/>
        </w:rPr>
        <w:tab/>
      </w:r>
      <w:r w:rsidRPr="00237CBD">
        <w:rPr>
          <w:rFonts w:eastAsia="Arial"/>
        </w:rPr>
        <w:t>DHBs must link mental health services into their MQSP.</w:t>
      </w:r>
    </w:p>
    <w:p w:rsidR="00E06EC4" w:rsidRPr="00237CBD" w:rsidRDefault="00E06EC4" w:rsidP="00290D13">
      <w:pPr>
        <w:spacing w:before="120"/>
        <w:ind w:left="567" w:hanging="567"/>
        <w:rPr>
          <w:rFonts w:eastAsia="Arial"/>
        </w:rPr>
      </w:pPr>
      <w:r w:rsidRPr="00237CBD">
        <w:rPr>
          <w:rFonts w:eastAsia="Arial"/>
        </w:rPr>
        <w:t>5</w:t>
      </w:r>
      <w:r w:rsidR="00290D13">
        <w:rPr>
          <w:rFonts w:eastAsia="Arial"/>
        </w:rPr>
        <w:tab/>
      </w:r>
      <w:r w:rsidRPr="00237CBD">
        <w:rPr>
          <w:rFonts w:eastAsia="Arial"/>
        </w:rPr>
        <w:t>The Ministry must support DHBs in this work.</w:t>
      </w:r>
    </w:p>
    <w:p w:rsidR="00E06EC4" w:rsidRPr="00237CBD" w:rsidRDefault="00E06EC4" w:rsidP="00290D13"/>
    <w:p w:rsidR="00E06EC4" w:rsidRPr="00237CBD" w:rsidRDefault="00E06EC4" w:rsidP="00290D13">
      <w:pPr>
        <w:pStyle w:val="Heading2"/>
        <w:rPr>
          <w:rFonts w:eastAsia="Arial"/>
        </w:rPr>
      </w:pPr>
      <w:bookmarkStart w:id="26" w:name="_Toc404355670"/>
      <w:r w:rsidRPr="00237CBD">
        <w:rPr>
          <w:rFonts w:eastAsia="Arial"/>
        </w:rPr>
        <w:lastRenderedPageBreak/>
        <w:t>What has changed since then?</w:t>
      </w:r>
      <w:bookmarkEnd w:id="26"/>
    </w:p>
    <w:p w:rsidR="00E06EC4" w:rsidRPr="00237CBD" w:rsidRDefault="00E06EC4" w:rsidP="00290D13">
      <w:pPr>
        <w:keepNext/>
        <w:rPr>
          <w:rFonts w:eastAsia="Arial"/>
        </w:rPr>
      </w:pPr>
      <w:r w:rsidRPr="00237CBD">
        <w:rPr>
          <w:rFonts w:eastAsia="Arial"/>
        </w:rPr>
        <w:t>We received a good level of information from DHBs on maternal mental</w:t>
      </w:r>
      <w:r w:rsidR="00F71BF6" w:rsidRPr="00237CBD">
        <w:rPr>
          <w:rFonts w:eastAsia="Arial"/>
        </w:rPr>
        <w:t xml:space="preserve"> </w:t>
      </w:r>
      <w:r w:rsidRPr="00237CBD">
        <w:rPr>
          <w:rFonts w:eastAsia="Arial"/>
        </w:rPr>
        <w:t>health services. Responses included:</w:t>
      </w:r>
    </w:p>
    <w:p w:rsidR="00E06EC4" w:rsidRPr="00237CBD" w:rsidRDefault="00E06EC4" w:rsidP="00290D13">
      <w:pPr>
        <w:keepNext/>
      </w:pPr>
    </w:p>
    <w:p w:rsidR="00E06EC4" w:rsidRPr="00237CBD" w:rsidRDefault="00E06EC4" w:rsidP="00290D13">
      <w:pPr>
        <w:pStyle w:val="Heading3"/>
        <w:rPr>
          <w:rFonts w:eastAsia="Arial"/>
        </w:rPr>
      </w:pPr>
      <w:r w:rsidRPr="00237CBD">
        <w:rPr>
          <w:rFonts w:eastAsia="Arial"/>
        </w:rPr>
        <w:t>Consideration of NMMG 2013 Annual Report recommendations</w:t>
      </w:r>
    </w:p>
    <w:p w:rsidR="00E06EC4" w:rsidRPr="00237CBD" w:rsidRDefault="00E06EC4" w:rsidP="00290D13">
      <w:pPr>
        <w:rPr>
          <w:rFonts w:eastAsia="Arial"/>
        </w:rPr>
      </w:pPr>
      <w:r w:rsidRPr="00237CBD">
        <w:rPr>
          <w:rFonts w:eastAsia="Arial"/>
        </w:rPr>
        <w:t>We were pleased to note that many DHBs had considered the recommendations of the NMMG and had carried out a number of actions as a result. This included</w:t>
      </w:r>
      <w:r w:rsidR="00F71BF6" w:rsidRPr="00237CBD">
        <w:rPr>
          <w:rFonts w:eastAsia="Arial"/>
        </w:rPr>
        <w:t xml:space="preserve"> </w:t>
      </w:r>
      <w:r w:rsidRPr="00237CBD">
        <w:rPr>
          <w:rFonts w:eastAsia="Arial"/>
        </w:rPr>
        <w:t>actions to improve knowledge of mental health services among the maternity sector in their region, such as:</w:t>
      </w:r>
    </w:p>
    <w:p w:rsidR="00E06EC4" w:rsidRPr="00237CBD" w:rsidRDefault="00290D13" w:rsidP="00290D13">
      <w:pPr>
        <w:pStyle w:val="Bullet"/>
        <w:rPr>
          <w:rFonts w:eastAsia="Arial"/>
        </w:rPr>
      </w:pPr>
      <w:r>
        <w:rPr>
          <w:rFonts w:eastAsia="Arial"/>
        </w:rPr>
        <w:t>r</w:t>
      </w:r>
      <w:r w:rsidR="00E06EC4" w:rsidRPr="00237CBD">
        <w:rPr>
          <w:rFonts w:eastAsia="Arial"/>
        </w:rPr>
        <w:t>eviewing services in their region</w:t>
      </w:r>
    </w:p>
    <w:p w:rsidR="00E06EC4" w:rsidRPr="00237CBD" w:rsidRDefault="00290D13" w:rsidP="00290D13">
      <w:pPr>
        <w:pStyle w:val="Bullet"/>
        <w:rPr>
          <w:rFonts w:eastAsia="Arial"/>
        </w:rPr>
      </w:pPr>
      <w:r>
        <w:rPr>
          <w:rFonts w:eastAsia="Arial"/>
        </w:rPr>
        <w:t>c</w:t>
      </w:r>
      <w:r w:rsidR="00E06EC4" w:rsidRPr="00237CBD">
        <w:rPr>
          <w:rFonts w:eastAsia="Arial"/>
        </w:rPr>
        <w:t>ompiling a directory of services available and circulating</w:t>
      </w:r>
      <w:r w:rsidR="00F71BF6" w:rsidRPr="00237CBD">
        <w:rPr>
          <w:rFonts w:eastAsia="Arial"/>
        </w:rPr>
        <w:t xml:space="preserve"> </w:t>
      </w:r>
      <w:r w:rsidR="00E06EC4" w:rsidRPr="00237CBD">
        <w:rPr>
          <w:rFonts w:eastAsia="Arial"/>
        </w:rPr>
        <w:t>this to LMCs and primary care providers in the region</w:t>
      </w:r>
    </w:p>
    <w:p w:rsidR="00E06EC4" w:rsidRPr="00237CBD" w:rsidRDefault="00290D13" w:rsidP="00290D13">
      <w:pPr>
        <w:pStyle w:val="Bullet"/>
        <w:rPr>
          <w:rFonts w:eastAsia="Arial"/>
        </w:rPr>
      </w:pPr>
      <w:r>
        <w:rPr>
          <w:rFonts w:eastAsia="Arial"/>
        </w:rPr>
        <w:t>h</w:t>
      </w:r>
      <w:r w:rsidR="00E06EC4" w:rsidRPr="00237CBD">
        <w:rPr>
          <w:rFonts w:eastAsia="Arial"/>
        </w:rPr>
        <w:t>olding</w:t>
      </w:r>
      <w:r w:rsidR="00F71BF6" w:rsidRPr="00237CBD">
        <w:rPr>
          <w:rFonts w:eastAsia="Arial"/>
        </w:rPr>
        <w:t xml:space="preserve"> </w:t>
      </w:r>
      <w:r w:rsidR="00E06EC4" w:rsidRPr="00237CBD">
        <w:rPr>
          <w:rFonts w:eastAsia="Arial"/>
        </w:rPr>
        <w:t>midwifery practice days or workshops with specific sections on maternal mental health and services available</w:t>
      </w:r>
    </w:p>
    <w:p w:rsidR="00E06EC4" w:rsidRPr="00237CBD" w:rsidRDefault="00290D13" w:rsidP="00290D13">
      <w:pPr>
        <w:pStyle w:val="Bullet"/>
        <w:rPr>
          <w:rFonts w:eastAsia="Arial"/>
        </w:rPr>
      </w:pPr>
      <w:r>
        <w:rPr>
          <w:rFonts w:eastAsia="Arial"/>
        </w:rPr>
        <w:t>h</w:t>
      </w:r>
      <w:r w:rsidR="00E06EC4" w:rsidRPr="00237CBD">
        <w:rPr>
          <w:rFonts w:eastAsia="Arial"/>
        </w:rPr>
        <w:t>olding multidisciplinary meetings to discuss mental health services available for pregnant women</w:t>
      </w:r>
    </w:p>
    <w:p w:rsidR="00E06EC4" w:rsidRPr="00237CBD" w:rsidRDefault="00290D13" w:rsidP="00290D13">
      <w:pPr>
        <w:pStyle w:val="Bullet"/>
        <w:rPr>
          <w:rFonts w:eastAsia="Arial"/>
        </w:rPr>
      </w:pPr>
      <w:r>
        <w:rPr>
          <w:rFonts w:eastAsia="Arial"/>
        </w:rPr>
        <w:t>i</w:t>
      </w:r>
      <w:r w:rsidR="00E06EC4" w:rsidRPr="00237CBD">
        <w:rPr>
          <w:rFonts w:eastAsia="Arial"/>
        </w:rPr>
        <w:t>nviting a mental health services representative</w:t>
      </w:r>
      <w:r w:rsidR="00F71BF6" w:rsidRPr="00237CBD">
        <w:rPr>
          <w:rFonts w:eastAsia="Arial"/>
        </w:rPr>
        <w:t xml:space="preserve"> </w:t>
      </w:r>
      <w:r w:rsidR="00E06EC4" w:rsidRPr="00237CBD">
        <w:rPr>
          <w:rFonts w:eastAsia="Arial"/>
        </w:rPr>
        <w:t>onto their MQSP group</w:t>
      </w:r>
    </w:p>
    <w:p w:rsidR="00E06EC4" w:rsidRPr="00237CBD" w:rsidRDefault="00290D13" w:rsidP="00290D13">
      <w:pPr>
        <w:pStyle w:val="Bullet"/>
        <w:rPr>
          <w:rFonts w:eastAsia="Arial"/>
        </w:rPr>
      </w:pPr>
      <w:r>
        <w:rPr>
          <w:rFonts w:eastAsia="Arial"/>
        </w:rPr>
        <w:t>a</w:t>
      </w:r>
      <w:r w:rsidR="00E06EC4" w:rsidRPr="00237CBD">
        <w:rPr>
          <w:rFonts w:eastAsia="Arial"/>
        </w:rPr>
        <w:t>ppointing a midwife liaison to improve communication between LMCs and DHB staff, and</w:t>
      </w:r>
    </w:p>
    <w:p w:rsidR="00E06EC4" w:rsidRPr="00237CBD" w:rsidRDefault="00290D13" w:rsidP="00290D13">
      <w:pPr>
        <w:pStyle w:val="Bullet"/>
        <w:rPr>
          <w:rFonts w:eastAsia="Arial"/>
        </w:rPr>
      </w:pPr>
      <w:proofErr w:type="gramStart"/>
      <w:r>
        <w:rPr>
          <w:rFonts w:eastAsia="Arial"/>
        </w:rPr>
        <w:t>h</w:t>
      </w:r>
      <w:r w:rsidR="00E06EC4" w:rsidRPr="00237CBD">
        <w:rPr>
          <w:rFonts w:eastAsia="Arial"/>
        </w:rPr>
        <w:t>aving</w:t>
      </w:r>
      <w:proofErr w:type="gramEnd"/>
      <w:r w:rsidR="00E06EC4" w:rsidRPr="00237CBD">
        <w:rPr>
          <w:rFonts w:eastAsia="Arial"/>
        </w:rPr>
        <w:t xml:space="preserve"> information brochures for women on maternal mental health services in their community available throughout maternity services.</w:t>
      </w:r>
    </w:p>
    <w:p w:rsidR="00E06EC4" w:rsidRPr="00237CBD" w:rsidRDefault="00E06EC4" w:rsidP="00290D13"/>
    <w:p w:rsidR="00E06EC4" w:rsidRPr="00237CBD" w:rsidRDefault="00E06EC4" w:rsidP="00290D13">
      <w:pPr>
        <w:pStyle w:val="Heading3"/>
        <w:rPr>
          <w:rFonts w:eastAsia="Arial"/>
        </w:rPr>
      </w:pPr>
      <w:r w:rsidRPr="00237CBD">
        <w:rPr>
          <w:rFonts w:eastAsia="Arial"/>
        </w:rPr>
        <w:t>Responsibility for coordinating integrated maternal mental health services in each region</w:t>
      </w:r>
    </w:p>
    <w:p w:rsidR="00E06EC4" w:rsidRPr="00237CBD" w:rsidRDefault="00E06EC4" w:rsidP="00290D13">
      <w:pPr>
        <w:rPr>
          <w:rFonts w:eastAsia="Arial"/>
        </w:rPr>
      </w:pPr>
      <w:r w:rsidRPr="00237CBD">
        <w:rPr>
          <w:rFonts w:eastAsia="Arial"/>
        </w:rPr>
        <w:t>Many of the DHBs had either a person or team responsible for coordinating mental health services in their region, some specifically for maternal mental health. Some DHBs have received very positive</w:t>
      </w:r>
      <w:r w:rsidR="00F71BF6" w:rsidRPr="00237CBD">
        <w:rPr>
          <w:rFonts w:eastAsia="Arial"/>
        </w:rPr>
        <w:t xml:space="preserve"> </w:t>
      </w:r>
      <w:r w:rsidRPr="00237CBD">
        <w:rPr>
          <w:rFonts w:eastAsia="Arial"/>
        </w:rPr>
        <w:t>feedback</w:t>
      </w:r>
      <w:r w:rsidR="00F71BF6" w:rsidRPr="00237CBD">
        <w:rPr>
          <w:rFonts w:eastAsia="Arial"/>
        </w:rPr>
        <w:t xml:space="preserve"> </w:t>
      </w:r>
      <w:r w:rsidRPr="00237CBD">
        <w:rPr>
          <w:rFonts w:eastAsia="Arial"/>
        </w:rPr>
        <w:t>on the impact of this role in improving ease of access for women.</w:t>
      </w:r>
      <w:r w:rsidR="00F71BF6" w:rsidRPr="00237CBD">
        <w:rPr>
          <w:rFonts w:eastAsia="Arial"/>
        </w:rPr>
        <w:t xml:space="preserve"> </w:t>
      </w:r>
      <w:r w:rsidRPr="00237CBD">
        <w:rPr>
          <w:rFonts w:eastAsia="Arial"/>
        </w:rPr>
        <w:t>Of those DHBs who did not, many noted that they would like to have this capacity.</w:t>
      </w:r>
    </w:p>
    <w:p w:rsidR="00E06EC4" w:rsidRPr="00237CBD" w:rsidRDefault="00E06EC4" w:rsidP="00290D13"/>
    <w:p w:rsidR="00E06EC4" w:rsidRPr="00237CBD" w:rsidRDefault="00E06EC4" w:rsidP="00290D13">
      <w:pPr>
        <w:rPr>
          <w:rFonts w:eastAsia="Arial"/>
        </w:rPr>
      </w:pPr>
      <w:r w:rsidRPr="00237CBD">
        <w:rPr>
          <w:rFonts w:eastAsia="Arial"/>
        </w:rPr>
        <w:t>One DHB noted that their coordinator aims to ensure that services are integrated across all maternity care providers. This allows women to step up and down the continuum of care as required, and practitioners to understand</w:t>
      </w:r>
      <w:r w:rsidR="00F71BF6" w:rsidRPr="00237CBD">
        <w:rPr>
          <w:rFonts w:eastAsia="Arial"/>
        </w:rPr>
        <w:t xml:space="preserve"> </w:t>
      </w:r>
      <w:r w:rsidRPr="00237CBD">
        <w:rPr>
          <w:rFonts w:eastAsia="Arial"/>
        </w:rPr>
        <w:t>this process; including how women can access the services they need in a timely manner.</w:t>
      </w:r>
    </w:p>
    <w:p w:rsidR="00E06EC4" w:rsidRPr="00237CBD" w:rsidRDefault="00E06EC4" w:rsidP="00290D13"/>
    <w:p w:rsidR="00E06EC4" w:rsidRPr="00237CBD" w:rsidRDefault="00E06EC4" w:rsidP="00290D13">
      <w:pPr>
        <w:pStyle w:val="Heading3"/>
        <w:rPr>
          <w:rFonts w:eastAsia="Arial"/>
        </w:rPr>
      </w:pPr>
      <w:r w:rsidRPr="00237CBD">
        <w:rPr>
          <w:rFonts w:eastAsia="Arial"/>
        </w:rPr>
        <w:t>Pathways between maternal mental health and maternity services</w:t>
      </w:r>
    </w:p>
    <w:p w:rsidR="00E06EC4" w:rsidRPr="00237CBD" w:rsidRDefault="00E06EC4" w:rsidP="00290D13">
      <w:pPr>
        <w:rPr>
          <w:rFonts w:eastAsia="Arial"/>
        </w:rPr>
      </w:pPr>
      <w:r w:rsidRPr="00237CBD">
        <w:rPr>
          <w:rFonts w:eastAsia="Arial"/>
        </w:rPr>
        <w:t>We were very impressed to find that most DHBs either already have a specific pathway between services, or plan to formulate one. Pathways already in operation were made available to all staff in the DHB region including LMCs, sometimes using an online site. Often this pathway goes alongside a guideline for providers and patient information resources. Of those that plan to implement a pathway, most noted that they would do so as part of their 2014</w:t>
      </w:r>
      <w:r w:rsidR="00290D13">
        <w:rPr>
          <w:rFonts w:eastAsia="Arial"/>
        </w:rPr>
        <w:t>–</w:t>
      </w:r>
      <w:r w:rsidRPr="00237CBD">
        <w:rPr>
          <w:rFonts w:eastAsia="Arial"/>
        </w:rPr>
        <w:t>15 MQSP work.</w:t>
      </w:r>
    </w:p>
    <w:p w:rsidR="00E06EC4" w:rsidRPr="00237CBD" w:rsidRDefault="00E06EC4" w:rsidP="00290D13"/>
    <w:p w:rsidR="00E06EC4" w:rsidRPr="00237CBD" w:rsidRDefault="00E06EC4" w:rsidP="00290D13">
      <w:pPr>
        <w:keepNext/>
        <w:rPr>
          <w:rFonts w:eastAsia="Arial"/>
        </w:rPr>
      </w:pPr>
      <w:r w:rsidRPr="00237CBD">
        <w:rPr>
          <w:rFonts w:eastAsia="Arial"/>
        </w:rPr>
        <w:lastRenderedPageBreak/>
        <w:t>Some DHBs have used the process of developing and implementing a pathway to facilitate improved communication on this topic between health care providers in their region.</w:t>
      </w:r>
    </w:p>
    <w:p w:rsidR="00E06EC4" w:rsidRPr="00237CBD" w:rsidRDefault="00E06EC4" w:rsidP="00290D13"/>
    <w:p w:rsidR="00E06EC4" w:rsidRPr="00237CBD" w:rsidRDefault="00E06EC4" w:rsidP="00290D13">
      <w:pPr>
        <w:rPr>
          <w:rFonts w:eastAsia="Arial"/>
        </w:rPr>
      </w:pPr>
      <w:r w:rsidRPr="00237CBD">
        <w:rPr>
          <w:rFonts w:eastAsia="Arial"/>
        </w:rPr>
        <w:t xml:space="preserve">We were pleased to note that Capital and Coast DHB plans to adopt a referral pathway this year similar to the </w:t>
      </w:r>
      <w:proofErr w:type="spellStart"/>
      <w:r w:rsidRPr="00237CBD">
        <w:rPr>
          <w:rFonts w:eastAsia="Arial"/>
        </w:rPr>
        <w:t>Taranaki</w:t>
      </w:r>
      <w:proofErr w:type="spellEnd"/>
      <w:r w:rsidRPr="00237CBD">
        <w:rPr>
          <w:rFonts w:eastAsia="Arial"/>
        </w:rPr>
        <w:t xml:space="preserve"> DHB referral pathway, which was profiled in the 2013 NMMG Annual Report.</w:t>
      </w:r>
    </w:p>
    <w:p w:rsidR="00E06EC4" w:rsidRPr="00237CBD" w:rsidRDefault="00E06EC4" w:rsidP="00290D13"/>
    <w:p w:rsidR="00E06EC4" w:rsidRPr="00237CBD" w:rsidRDefault="00E06EC4" w:rsidP="00290D13">
      <w:pPr>
        <w:rPr>
          <w:rFonts w:eastAsia="Arial"/>
        </w:rPr>
      </w:pPr>
      <w:r w:rsidRPr="00237CBD">
        <w:rPr>
          <w:rFonts w:eastAsia="Arial"/>
        </w:rPr>
        <w:t>One DHB also plans to hold a maternal mental health forum, which hopefully will provide professional support to LMCs on specific cases and promote coordination of services.</w:t>
      </w:r>
    </w:p>
    <w:p w:rsidR="00E06EC4" w:rsidRPr="00237CBD" w:rsidRDefault="00E06EC4" w:rsidP="00290D13"/>
    <w:p w:rsidR="00E06EC4" w:rsidRPr="00237CBD" w:rsidRDefault="00E06EC4" w:rsidP="00290D13">
      <w:pPr>
        <w:rPr>
          <w:rFonts w:eastAsia="Arial"/>
        </w:rPr>
      </w:pPr>
      <w:r w:rsidRPr="00237CBD">
        <w:rPr>
          <w:rFonts w:eastAsia="Arial"/>
        </w:rPr>
        <w:t xml:space="preserve">Another DHB noted that they would like to be able to focus more on mild to moderate mental health issues in their region. They noted that this was made more difficult because service provision and funding streams appear to be </w:t>
      </w:r>
      <w:proofErr w:type="spellStart"/>
      <w:r w:rsidRPr="00237CBD">
        <w:rPr>
          <w:rFonts w:eastAsia="Arial"/>
        </w:rPr>
        <w:t>siloed</w:t>
      </w:r>
      <w:proofErr w:type="spellEnd"/>
      <w:r w:rsidRPr="00237CBD">
        <w:rPr>
          <w:rFonts w:eastAsia="Arial"/>
        </w:rPr>
        <w:t xml:space="preserve"> in their region.</w:t>
      </w:r>
    </w:p>
    <w:p w:rsidR="00E06EC4" w:rsidRPr="00237CBD" w:rsidRDefault="00E06EC4" w:rsidP="00290D13"/>
    <w:p w:rsidR="00E06EC4" w:rsidRPr="00237CBD" w:rsidRDefault="00E06EC4" w:rsidP="00290D13">
      <w:pPr>
        <w:pStyle w:val="Heading3"/>
        <w:rPr>
          <w:rFonts w:eastAsia="Arial"/>
        </w:rPr>
      </w:pPr>
      <w:r w:rsidRPr="00237CBD">
        <w:rPr>
          <w:rFonts w:eastAsia="Arial"/>
        </w:rPr>
        <w:t>Linking mental health services in MQSP annual reports</w:t>
      </w:r>
    </w:p>
    <w:p w:rsidR="00E06EC4" w:rsidRPr="00237CBD" w:rsidRDefault="00E06EC4" w:rsidP="00290D13">
      <w:pPr>
        <w:rPr>
          <w:rFonts w:eastAsia="Arial"/>
        </w:rPr>
      </w:pPr>
      <w:r w:rsidRPr="00237CBD">
        <w:rPr>
          <w:rFonts w:eastAsia="Arial"/>
        </w:rPr>
        <w:t>As part of our work stream on the MQSP draft annual reports, we also considered whether DHBs had discussed coordinated maternal mental health in their annual reports. We expected that, given this was a 2013 NMMG work stream and we had written to DHBs on this topic more than once, DHBs would have commented on this topic. We were disappointed to see that this had not occurred, despite the importance on maternal mental health in relation to maternal mortality.</w:t>
      </w:r>
    </w:p>
    <w:p w:rsidR="00E06EC4" w:rsidRPr="00237CBD" w:rsidRDefault="00E06EC4" w:rsidP="00290D13"/>
    <w:p w:rsidR="00E06EC4" w:rsidRPr="00237CBD" w:rsidRDefault="00E06EC4" w:rsidP="00290D13">
      <w:pPr>
        <w:rPr>
          <w:rFonts w:eastAsia="Arial"/>
        </w:rPr>
      </w:pPr>
      <w:r w:rsidRPr="00237CBD">
        <w:rPr>
          <w:rFonts w:eastAsia="Arial"/>
        </w:rPr>
        <w:t>Overall there was very little focus on this topic in 2013/14</w:t>
      </w:r>
      <w:r w:rsidR="00F71BF6" w:rsidRPr="00237CBD">
        <w:rPr>
          <w:rFonts w:eastAsia="Arial"/>
        </w:rPr>
        <w:t xml:space="preserve"> </w:t>
      </w:r>
      <w:r w:rsidRPr="00237CBD">
        <w:rPr>
          <w:rFonts w:eastAsia="Arial"/>
        </w:rPr>
        <w:t>MQSP annual</w:t>
      </w:r>
      <w:r w:rsidR="00F71BF6" w:rsidRPr="00237CBD">
        <w:rPr>
          <w:rFonts w:eastAsia="Arial"/>
        </w:rPr>
        <w:t xml:space="preserve"> </w:t>
      </w:r>
      <w:r w:rsidRPr="00237CBD">
        <w:rPr>
          <w:rFonts w:eastAsia="Arial"/>
        </w:rPr>
        <w:t>reports. Whilst</w:t>
      </w:r>
      <w:r w:rsidR="00290D13">
        <w:rPr>
          <w:rFonts w:eastAsia="Arial"/>
        </w:rPr>
        <w:t xml:space="preserve"> </w:t>
      </w:r>
      <w:r w:rsidRPr="00237CBD">
        <w:rPr>
          <w:rFonts w:eastAsia="Arial"/>
        </w:rPr>
        <w:t>we received good information on the excellent work occurring in DHBs in response to our questions, this had not carried through to MQSP annual</w:t>
      </w:r>
      <w:r w:rsidR="00F71BF6" w:rsidRPr="00237CBD">
        <w:rPr>
          <w:rFonts w:eastAsia="Arial"/>
        </w:rPr>
        <w:t xml:space="preserve"> </w:t>
      </w:r>
      <w:r w:rsidRPr="00237CBD">
        <w:rPr>
          <w:rFonts w:eastAsia="Arial"/>
        </w:rPr>
        <w:t xml:space="preserve">reports. There was a noticeable absence of any information regarding the maternal mental health pathway in these reports. This led the NMMG to then consider the source of information it received in relation to the maternal mental health work that is occurring. It would appear that there is </w:t>
      </w:r>
      <w:proofErr w:type="gramStart"/>
      <w:r w:rsidRPr="00237CBD">
        <w:rPr>
          <w:rFonts w:eastAsia="Arial"/>
        </w:rPr>
        <w:t>a disconnect</w:t>
      </w:r>
      <w:proofErr w:type="gramEnd"/>
      <w:r w:rsidRPr="00237CBD">
        <w:rPr>
          <w:rFonts w:eastAsia="Arial"/>
        </w:rPr>
        <w:t xml:space="preserve"> between this work within mental health in DHBs and those working in maternity, who appear to be unaware of it.</w:t>
      </w:r>
    </w:p>
    <w:p w:rsidR="00E06EC4" w:rsidRPr="00237CBD" w:rsidRDefault="00E06EC4" w:rsidP="00290D13"/>
    <w:p w:rsidR="00E06EC4" w:rsidRPr="00237CBD" w:rsidRDefault="00E06EC4" w:rsidP="00290D13">
      <w:pPr>
        <w:pStyle w:val="BoxHeading"/>
        <w:rPr>
          <w:rFonts w:eastAsia="Arial"/>
        </w:rPr>
      </w:pPr>
      <w:r w:rsidRPr="00237CBD">
        <w:rPr>
          <w:rFonts w:eastAsia="Arial"/>
        </w:rPr>
        <w:t>The changes we expect to see next</w:t>
      </w:r>
    </w:p>
    <w:p w:rsidR="00E06EC4" w:rsidRPr="00237CBD" w:rsidRDefault="00E06EC4" w:rsidP="00290D13">
      <w:pPr>
        <w:pStyle w:val="Box"/>
        <w:ind w:left="567" w:hanging="425"/>
        <w:rPr>
          <w:rFonts w:eastAsia="Arial"/>
        </w:rPr>
      </w:pPr>
      <w:r w:rsidRPr="00237CBD">
        <w:rPr>
          <w:rFonts w:eastAsia="Arial"/>
        </w:rPr>
        <w:t>1</w:t>
      </w:r>
      <w:r w:rsidR="00290D13">
        <w:rPr>
          <w:rFonts w:eastAsia="Arial"/>
        </w:rPr>
        <w:tab/>
      </w:r>
      <w:r w:rsidRPr="00237CBD">
        <w:rPr>
          <w:rFonts w:eastAsia="Arial"/>
        </w:rPr>
        <w:t>There is funding, albeit not ring-fenced, for maternal mental health services that has been allocated to PHOs for service provision. We therefore expect each DHB to work with PHOs to draft a formal maternal mental health referral pathway, which extends from conception until the child is one year old, and which integrates maternity and maternal mental</w:t>
      </w:r>
      <w:r w:rsidR="00F71BF6" w:rsidRPr="00237CBD">
        <w:rPr>
          <w:rFonts w:eastAsia="Arial"/>
        </w:rPr>
        <w:t xml:space="preserve"> </w:t>
      </w:r>
      <w:r w:rsidRPr="00237CBD">
        <w:rPr>
          <w:rFonts w:eastAsia="Arial"/>
        </w:rPr>
        <w:t>health services, both in the community and for inpatient maternal mental health service provision.</w:t>
      </w:r>
    </w:p>
    <w:p w:rsidR="00E06EC4" w:rsidRPr="00237CBD" w:rsidRDefault="00E06EC4" w:rsidP="00290D13">
      <w:pPr>
        <w:pStyle w:val="Box"/>
        <w:ind w:left="567" w:hanging="425"/>
        <w:rPr>
          <w:rFonts w:eastAsia="Arial"/>
        </w:rPr>
      </w:pPr>
      <w:r w:rsidRPr="00237CBD">
        <w:rPr>
          <w:rFonts w:eastAsia="Arial"/>
        </w:rPr>
        <w:t>2</w:t>
      </w:r>
      <w:r w:rsidR="00290D13">
        <w:rPr>
          <w:rFonts w:eastAsia="Arial"/>
        </w:rPr>
        <w:tab/>
      </w:r>
      <w:r w:rsidRPr="00237CBD">
        <w:rPr>
          <w:rFonts w:eastAsia="Arial"/>
        </w:rPr>
        <w:t>Each DHB must include this pathway as part of its next MQSP annual</w:t>
      </w:r>
      <w:r w:rsidR="00F71BF6" w:rsidRPr="00237CBD">
        <w:rPr>
          <w:rFonts w:eastAsia="Arial"/>
        </w:rPr>
        <w:t xml:space="preserve"> </w:t>
      </w:r>
      <w:r w:rsidRPr="00237CBD">
        <w:rPr>
          <w:rFonts w:eastAsia="Arial"/>
        </w:rPr>
        <w:t>report, and ensure that this pathway can be accessed by LMCs in their region.</w:t>
      </w:r>
    </w:p>
    <w:p w:rsidR="00E06EC4" w:rsidRPr="00237CBD" w:rsidRDefault="00E06EC4" w:rsidP="00290D13">
      <w:pPr>
        <w:pStyle w:val="Box"/>
        <w:ind w:left="567" w:hanging="425"/>
        <w:rPr>
          <w:rFonts w:eastAsia="Arial"/>
        </w:rPr>
      </w:pPr>
      <w:r w:rsidRPr="00237CBD">
        <w:rPr>
          <w:rFonts w:eastAsia="Arial"/>
        </w:rPr>
        <w:t>3</w:t>
      </w:r>
      <w:r w:rsidR="00290D13">
        <w:rPr>
          <w:rFonts w:eastAsia="Arial"/>
        </w:rPr>
        <w:tab/>
      </w:r>
      <w:r w:rsidRPr="00237CBD">
        <w:rPr>
          <w:rFonts w:eastAsia="Arial"/>
        </w:rPr>
        <w:t>We also recommend that within the MQSP work, DHBs consider how best to inform women about access to maternal mental health services.</w:t>
      </w:r>
    </w:p>
    <w:p w:rsidR="00E06EC4" w:rsidRPr="00237CBD" w:rsidRDefault="00E06EC4" w:rsidP="00290D13"/>
    <w:p w:rsidR="00E06EC4" w:rsidRPr="00237CBD" w:rsidRDefault="00E06EC4" w:rsidP="00205535">
      <w:pPr>
        <w:pStyle w:val="Heading2"/>
        <w:rPr>
          <w:rFonts w:eastAsia="Arial"/>
        </w:rPr>
      </w:pPr>
      <w:bookmarkStart w:id="27" w:name="_Toc404355671"/>
      <w:r w:rsidRPr="00237CBD">
        <w:rPr>
          <w:rFonts w:eastAsia="Arial"/>
        </w:rPr>
        <w:lastRenderedPageBreak/>
        <w:t>Good examples of promoting</w:t>
      </w:r>
      <w:r w:rsidR="00205535">
        <w:rPr>
          <w:rFonts w:eastAsia="Arial"/>
        </w:rPr>
        <w:t xml:space="preserve"> </w:t>
      </w:r>
      <w:r w:rsidRPr="00237CBD">
        <w:rPr>
          <w:rFonts w:eastAsia="Arial"/>
        </w:rPr>
        <w:t>maternal mental health</w:t>
      </w:r>
      <w:bookmarkEnd w:id="27"/>
    </w:p>
    <w:p w:rsidR="00E06EC4" w:rsidRPr="00237CBD" w:rsidRDefault="00E06EC4" w:rsidP="00205535">
      <w:pPr>
        <w:pStyle w:val="Heading3"/>
        <w:rPr>
          <w:rFonts w:eastAsia="Arial"/>
        </w:rPr>
      </w:pPr>
      <w:r w:rsidRPr="00237CBD">
        <w:rPr>
          <w:rFonts w:eastAsia="Arial"/>
        </w:rPr>
        <w:t>Nelson Marlborough DHB</w:t>
      </w:r>
    </w:p>
    <w:p w:rsidR="00E06EC4" w:rsidRPr="00237CBD" w:rsidRDefault="00E06EC4" w:rsidP="00205535">
      <w:pPr>
        <w:rPr>
          <w:rFonts w:eastAsia="Arial"/>
        </w:rPr>
      </w:pPr>
      <w:r w:rsidRPr="00237CBD">
        <w:rPr>
          <w:rFonts w:eastAsia="Arial"/>
        </w:rPr>
        <w:t>Nelson Marlborough DHB reviewed the recommendations from the NMMG</w:t>
      </w:r>
      <w:r w:rsidR="00F71BF6" w:rsidRPr="00237CBD">
        <w:rPr>
          <w:rFonts w:eastAsia="Arial"/>
        </w:rPr>
        <w:t>’</w:t>
      </w:r>
      <w:r w:rsidRPr="00237CBD">
        <w:rPr>
          <w:rFonts w:eastAsia="Arial"/>
        </w:rPr>
        <w:t>s 2013 Annual Report and took a number of actions in their region to promote access, improve service linkages and increase knowledge of maternal mental health service availability in the maternity sector. Actions included enabling LMCs and general practice</w:t>
      </w:r>
      <w:r w:rsidR="00F71BF6" w:rsidRPr="00237CBD">
        <w:rPr>
          <w:rFonts w:eastAsia="Arial"/>
        </w:rPr>
        <w:t xml:space="preserve"> </w:t>
      </w:r>
      <w:r w:rsidRPr="00237CBD">
        <w:rPr>
          <w:rFonts w:eastAsia="Arial"/>
        </w:rPr>
        <w:t>to use a single point</w:t>
      </w:r>
      <w:r w:rsidR="00205535">
        <w:rPr>
          <w:rFonts w:eastAsia="Arial"/>
        </w:rPr>
        <w:t xml:space="preserve"> </w:t>
      </w:r>
      <w:r w:rsidRPr="00237CBD">
        <w:rPr>
          <w:rFonts w:eastAsia="Arial"/>
        </w:rPr>
        <w:t>of entry to the maternal mental health pathway using an electronic referral system. This single point of entry system is titled the Coordinated Access Response Electronic</w:t>
      </w:r>
      <w:r w:rsidR="00F71BF6" w:rsidRPr="00237CBD">
        <w:rPr>
          <w:rFonts w:eastAsia="Arial"/>
        </w:rPr>
        <w:t xml:space="preserve"> </w:t>
      </w:r>
      <w:r w:rsidRPr="00237CBD">
        <w:rPr>
          <w:rFonts w:eastAsia="Arial"/>
        </w:rPr>
        <w:t>System (CARES).</w:t>
      </w:r>
    </w:p>
    <w:p w:rsidR="00E06EC4" w:rsidRPr="00237CBD" w:rsidRDefault="00E06EC4" w:rsidP="00205535"/>
    <w:p w:rsidR="00E06EC4" w:rsidRPr="00237CBD" w:rsidRDefault="00E06EC4" w:rsidP="00205535">
      <w:pPr>
        <w:rPr>
          <w:rFonts w:eastAsia="Arial"/>
        </w:rPr>
      </w:pPr>
      <w:r w:rsidRPr="00237CBD">
        <w:rPr>
          <w:rFonts w:eastAsia="Arial"/>
        </w:rPr>
        <w:t>Across the DHB, general practice already uses CARES; and</w:t>
      </w:r>
      <w:r w:rsidR="00F71BF6" w:rsidRPr="00237CBD">
        <w:rPr>
          <w:rFonts w:eastAsia="Arial"/>
        </w:rPr>
        <w:t xml:space="preserve"> </w:t>
      </w:r>
      <w:r w:rsidRPr="00237CBD">
        <w:rPr>
          <w:rFonts w:eastAsia="Arial"/>
        </w:rPr>
        <w:t>now LMCs can use the same system to refer women directly to the primary mental health services provided</w:t>
      </w:r>
      <w:r w:rsidR="00F71BF6" w:rsidRPr="00237CBD">
        <w:rPr>
          <w:rFonts w:eastAsia="Arial"/>
        </w:rPr>
        <w:t xml:space="preserve"> </w:t>
      </w:r>
      <w:r w:rsidRPr="00237CBD">
        <w:rPr>
          <w:rFonts w:eastAsia="Arial"/>
        </w:rPr>
        <w:t>by PHOs in the area.</w:t>
      </w:r>
    </w:p>
    <w:p w:rsidR="00E06EC4" w:rsidRPr="00237CBD" w:rsidRDefault="00E06EC4" w:rsidP="00205535"/>
    <w:p w:rsidR="00E06EC4" w:rsidRPr="00237CBD" w:rsidRDefault="00E06EC4" w:rsidP="00205535">
      <w:pPr>
        <w:rPr>
          <w:rFonts w:eastAsia="Arial"/>
        </w:rPr>
      </w:pPr>
      <w:r w:rsidRPr="00237CBD">
        <w:rPr>
          <w:rFonts w:eastAsia="Arial"/>
        </w:rPr>
        <w:t>Movement to an electronic referral system will be developed once LMCs have IT access that facilitates the secure</w:t>
      </w:r>
      <w:r w:rsidR="00205535">
        <w:rPr>
          <w:rFonts w:eastAsia="Arial"/>
        </w:rPr>
        <w:t xml:space="preserve"> </w:t>
      </w:r>
      <w:r w:rsidRPr="00237CBD">
        <w:rPr>
          <w:rFonts w:eastAsia="Arial"/>
        </w:rPr>
        <w:t>transfer of confidential client information. CARES will also triage new referrals to ensure timely and appropriate access to services.</w:t>
      </w:r>
    </w:p>
    <w:p w:rsidR="00E06EC4" w:rsidRPr="00237CBD" w:rsidRDefault="00E06EC4" w:rsidP="00205535"/>
    <w:p w:rsidR="00E06EC4" w:rsidRPr="00237CBD" w:rsidRDefault="00E06EC4" w:rsidP="00205535">
      <w:pPr>
        <w:rPr>
          <w:rFonts w:eastAsia="Arial"/>
        </w:rPr>
      </w:pPr>
      <w:r w:rsidRPr="00237CBD">
        <w:rPr>
          <w:rFonts w:eastAsia="Arial"/>
        </w:rPr>
        <w:t>To improve service linkages, primary mental health care representatives provide up-to-date information on mental health services in the region at local maternity access holders meetings. The DHB also plans to update or develop their local referral pathways to primary, secondary and tertiary mental health services over the next year.</w:t>
      </w:r>
    </w:p>
    <w:p w:rsidR="00E06EC4" w:rsidRPr="00237CBD" w:rsidRDefault="00E06EC4" w:rsidP="00205535"/>
    <w:p w:rsidR="00E06EC4" w:rsidRPr="00237CBD" w:rsidRDefault="00E06EC4" w:rsidP="00205535">
      <w:pPr>
        <w:rPr>
          <w:rFonts w:eastAsia="Arial"/>
        </w:rPr>
      </w:pPr>
      <w:r w:rsidRPr="00237CBD">
        <w:rPr>
          <w:rFonts w:eastAsia="Arial"/>
        </w:rPr>
        <w:t>Nelson Marlborough DHB has also implemented other initiatives to increase mental health service knowledge within the maternity sector including the development of brochures, and quarterly visits from the Regional Maternal Mental Health service in Christchurch to provide information to maternity service providers.</w:t>
      </w:r>
    </w:p>
    <w:p w:rsidR="00E06EC4" w:rsidRPr="00237CBD" w:rsidRDefault="00E06EC4" w:rsidP="00205535"/>
    <w:p w:rsidR="00E06EC4" w:rsidRPr="00237CBD" w:rsidRDefault="00E06EC4" w:rsidP="00205535">
      <w:pPr>
        <w:pStyle w:val="Heading3"/>
        <w:rPr>
          <w:rFonts w:eastAsia="Arial"/>
        </w:rPr>
      </w:pPr>
      <w:r w:rsidRPr="00237CBD">
        <w:rPr>
          <w:rFonts w:eastAsia="Arial"/>
        </w:rPr>
        <w:t>West Coast DHB</w:t>
      </w:r>
    </w:p>
    <w:p w:rsidR="00E06EC4" w:rsidRPr="00237CBD" w:rsidRDefault="00E06EC4" w:rsidP="00205535">
      <w:pPr>
        <w:rPr>
          <w:rFonts w:eastAsia="Arial"/>
        </w:rPr>
      </w:pPr>
      <w:r w:rsidRPr="00237CBD">
        <w:rPr>
          <w:rFonts w:eastAsia="Arial"/>
        </w:rPr>
        <w:t>West Coast DHB has a designated role to coordinate maternal mental health services between primary and secondary care providers in their region. This is the Mothers and Babies Resource/Liaison Nurse working within West Coast DHB mental</w:t>
      </w:r>
      <w:r w:rsidR="00F71BF6" w:rsidRPr="00237CBD">
        <w:rPr>
          <w:rFonts w:eastAsia="Arial"/>
        </w:rPr>
        <w:t xml:space="preserve"> </w:t>
      </w:r>
      <w:r w:rsidRPr="00237CBD">
        <w:rPr>
          <w:rFonts w:eastAsia="Arial"/>
        </w:rPr>
        <w:t>health services. The purpose of this role is to ensure care is coordinated in a manner that is both responsive and proactive. It includes the provision of:</w:t>
      </w:r>
    </w:p>
    <w:p w:rsidR="00E06EC4" w:rsidRPr="00237CBD" w:rsidRDefault="00205535" w:rsidP="00205535">
      <w:pPr>
        <w:pStyle w:val="Bullet"/>
        <w:rPr>
          <w:rFonts w:eastAsia="Arial"/>
        </w:rPr>
      </w:pPr>
      <w:r>
        <w:rPr>
          <w:rFonts w:eastAsia="Arial"/>
        </w:rPr>
        <w:t>s</w:t>
      </w:r>
      <w:r w:rsidR="00E06EC4" w:rsidRPr="00237CBD">
        <w:rPr>
          <w:rFonts w:eastAsia="Arial"/>
        </w:rPr>
        <w:t>upport and advice to both the woman and the wider team members of mental</w:t>
      </w:r>
      <w:r w:rsidR="00F71BF6" w:rsidRPr="00237CBD">
        <w:rPr>
          <w:rFonts w:eastAsia="Arial"/>
        </w:rPr>
        <w:t xml:space="preserve"> </w:t>
      </w:r>
      <w:r w:rsidR="00E06EC4" w:rsidRPr="00237CBD">
        <w:rPr>
          <w:rFonts w:eastAsia="Arial"/>
        </w:rPr>
        <w:t>health issues and concerns</w:t>
      </w:r>
    </w:p>
    <w:p w:rsidR="00E06EC4" w:rsidRPr="00237CBD" w:rsidRDefault="00205535" w:rsidP="00205535">
      <w:pPr>
        <w:pStyle w:val="Bullet"/>
        <w:rPr>
          <w:rFonts w:eastAsia="Arial"/>
        </w:rPr>
      </w:pPr>
      <w:r>
        <w:rPr>
          <w:rFonts w:eastAsia="Arial"/>
        </w:rPr>
        <w:t>a</w:t>
      </w:r>
      <w:r w:rsidR="00E06EC4" w:rsidRPr="00237CBD">
        <w:rPr>
          <w:rFonts w:eastAsia="Arial"/>
        </w:rPr>
        <w:t>ssessment and screening services for developing mental health issues</w:t>
      </w:r>
    </w:p>
    <w:p w:rsidR="00E06EC4" w:rsidRPr="00237CBD" w:rsidRDefault="00205535" w:rsidP="00205535">
      <w:pPr>
        <w:pStyle w:val="Bullet"/>
        <w:rPr>
          <w:rFonts w:eastAsia="Arial"/>
        </w:rPr>
      </w:pPr>
      <w:r>
        <w:rPr>
          <w:rFonts w:eastAsia="Arial"/>
        </w:rPr>
        <w:t>d</w:t>
      </w:r>
      <w:r w:rsidR="00E06EC4" w:rsidRPr="00237CBD">
        <w:rPr>
          <w:rFonts w:eastAsia="Arial"/>
        </w:rPr>
        <w:t>irect care and oversight of women with existing mental illness during pregnancy, in collaboration with the midwifery team</w:t>
      </w:r>
    </w:p>
    <w:p w:rsidR="00E06EC4" w:rsidRPr="00237CBD" w:rsidRDefault="00205535" w:rsidP="00205535">
      <w:pPr>
        <w:pStyle w:val="Bullet"/>
        <w:rPr>
          <w:rFonts w:eastAsia="Arial"/>
        </w:rPr>
      </w:pPr>
      <w:r>
        <w:rPr>
          <w:rFonts w:eastAsia="Arial"/>
        </w:rPr>
        <w:t>a</w:t>
      </w:r>
      <w:r w:rsidR="00E06EC4" w:rsidRPr="00237CBD">
        <w:rPr>
          <w:rFonts w:eastAsia="Arial"/>
        </w:rPr>
        <w:t>ccess to psychiatrist review during pregnancy if needed, and</w:t>
      </w:r>
    </w:p>
    <w:p w:rsidR="00E06EC4" w:rsidRPr="00237CBD" w:rsidRDefault="00205535" w:rsidP="00205535">
      <w:pPr>
        <w:pStyle w:val="Bullet"/>
        <w:rPr>
          <w:rFonts w:eastAsia="Arial"/>
        </w:rPr>
      </w:pPr>
      <w:proofErr w:type="gramStart"/>
      <w:r>
        <w:rPr>
          <w:rFonts w:eastAsia="Arial"/>
        </w:rPr>
        <w:t>a</w:t>
      </w:r>
      <w:r w:rsidR="00E06EC4" w:rsidRPr="00237CBD">
        <w:rPr>
          <w:rFonts w:eastAsia="Arial"/>
        </w:rPr>
        <w:t>ccess</w:t>
      </w:r>
      <w:proofErr w:type="gramEnd"/>
      <w:r w:rsidR="00E06EC4" w:rsidRPr="00237CBD">
        <w:rPr>
          <w:rFonts w:eastAsia="Arial"/>
        </w:rPr>
        <w:t xml:space="preserve"> to specialist maternal mental health services.</w:t>
      </w:r>
    </w:p>
    <w:p w:rsidR="00E06EC4" w:rsidRPr="00237CBD" w:rsidRDefault="00E06EC4" w:rsidP="00205535"/>
    <w:p w:rsidR="00E06EC4" w:rsidRPr="00237CBD" w:rsidRDefault="00E06EC4" w:rsidP="00205535">
      <w:pPr>
        <w:rPr>
          <w:rFonts w:eastAsia="Arial"/>
        </w:rPr>
      </w:pPr>
      <w:r w:rsidRPr="00237CBD">
        <w:rPr>
          <w:rFonts w:eastAsia="Arial"/>
        </w:rPr>
        <w:t>The DHB also has a clearly defined referral pathway to access maternal mental</w:t>
      </w:r>
      <w:r w:rsidR="00F71BF6" w:rsidRPr="00237CBD">
        <w:rPr>
          <w:rFonts w:eastAsia="Arial"/>
        </w:rPr>
        <w:t xml:space="preserve"> </w:t>
      </w:r>
      <w:r w:rsidRPr="00237CBD">
        <w:rPr>
          <w:rFonts w:eastAsia="Arial"/>
        </w:rPr>
        <w:t>health services, although often referrals are less formal</w:t>
      </w:r>
      <w:r w:rsidR="00F71BF6" w:rsidRPr="00237CBD">
        <w:rPr>
          <w:rFonts w:eastAsia="Arial"/>
        </w:rPr>
        <w:t xml:space="preserve"> </w:t>
      </w:r>
      <w:r w:rsidRPr="00237CBD">
        <w:rPr>
          <w:rFonts w:eastAsia="Arial"/>
        </w:rPr>
        <w:t>and are based upon existing relationships between primary and secondary care services.</w:t>
      </w:r>
    </w:p>
    <w:p w:rsidR="00E06EC4" w:rsidRPr="00237CBD" w:rsidRDefault="00E06EC4" w:rsidP="00205535"/>
    <w:p w:rsidR="00E06EC4" w:rsidRPr="00237CBD" w:rsidRDefault="00E06EC4" w:rsidP="00205535">
      <w:pPr>
        <w:pStyle w:val="Heading3"/>
        <w:rPr>
          <w:rFonts w:eastAsia="Arial"/>
        </w:rPr>
      </w:pPr>
      <w:r w:rsidRPr="00237CBD">
        <w:rPr>
          <w:rFonts w:eastAsia="Arial"/>
        </w:rPr>
        <w:lastRenderedPageBreak/>
        <w:t>Northland DHB</w:t>
      </w:r>
    </w:p>
    <w:p w:rsidR="00E06EC4" w:rsidRPr="00237CBD" w:rsidRDefault="00E06EC4" w:rsidP="00205535">
      <w:pPr>
        <w:rPr>
          <w:rFonts w:eastAsia="Arial"/>
        </w:rPr>
      </w:pPr>
      <w:r w:rsidRPr="00237CBD">
        <w:rPr>
          <w:rFonts w:eastAsia="Arial"/>
        </w:rPr>
        <w:t>Northland</w:t>
      </w:r>
      <w:r w:rsidR="00F71BF6" w:rsidRPr="00237CBD">
        <w:rPr>
          <w:rFonts w:eastAsia="Arial"/>
        </w:rPr>
        <w:t xml:space="preserve"> </w:t>
      </w:r>
      <w:r w:rsidRPr="00237CBD">
        <w:rPr>
          <w:rFonts w:eastAsia="Arial"/>
        </w:rPr>
        <w:t>DHB has a person employed</w:t>
      </w:r>
      <w:r w:rsidR="00F71BF6" w:rsidRPr="00237CBD">
        <w:rPr>
          <w:rFonts w:eastAsia="Arial"/>
        </w:rPr>
        <w:t xml:space="preserve"> </w:t>
      </w:r>
      <w:r w:rsidRPr="00237CBD">
        <w:rPr>
          <w:rFonts w:eastAsia="Arial"/>
        </w:rPr>
        <w:t>as Maternal Mental Health Coordinator. That person is responsible for assessment, education and liaising for maternal mental health services. They can also assess women at home or in the hospital.</w:t>
      </w:r>
    </w:p>
    <w:p w:rsidR="00E06EC4" w:rsidRPr="00237CBD" w:rsidRDefault="00E06EC4" w:rsidP="00205535"/>
    <w:p w:rsidR="00E06EC4" w:rsidRPr="00237CBD" w:rsidRDefault="00E06EC4" w:rsidP="00205535">
      <w:pPr>
        <w:rPr>
          <w:rFonts w:eastAsia="Arial"/>
        </w:rPr>
      </w:pPr>
      <w:r w:rsidRPr="00237CBD">
        <w:rPr>
          <w:rFonts w:eastAsia="Arial"/>
        </w:rPr>
        <w:t>This role involves liaising with primary and secondary mental health and maternity care. Women can be referred through this pathway up to 12 months post-partum. The Maternal Mental Health Coordinator has also been closely involved in the development of the new perinatal infant mental health service.</w:t>
      </w:r>
    </w:p>
    <w:p w:rsidR="00E06EC4" w:rsidRPr="00237CBD" w:rsidRDefault="00E06EC4" w:rsidP="00205535"/>
    <w:p w:rsidR="00205535" w:rsidRDefault="00205535" w:rsidP="00205535">
      <w:pPr>
        <w:rPr>
          <w:rFonts w:eastAsia="Arial"/>
        </w:rPr>
      </w:pPr>
      <w:r>
        <w:rPr>
          <w:rFonts w:eastAsia="Arial"/>
        </w:rPr>
        <w:br w:type="page"/>
      </w:r>
    </w:p>
    <w:p w:rsidR="00E06EC4" w:rsidRPr="00237CBD" w:rsidRDefault="00E06EC4" w:rsidP="00205535">
      <w:pPr>
        <w:pStyle w:val="Heading1"/>
        <w:rPr>
          <w:rFonts w:eastAsia="Arial"/>
        </w:rPr>
      </w:pPr>
      <w:bookmarkStart w:id="28" w:name="_Toc404355672"/>
      <w:r w:rsidRPr="00237CBD">
        <w:rPr>
          <w:rFonts w:eastAsia="Arial"/>
        </w:rPr>
        <w:lastRenderedPageBreak/>
        <w:t xml:space="preserve">Maternity </w:t>
      </w:r>
      <w:r w:rsidR="00D23192">
        <w:rPr>
          <w:rFonts w:eastAsia="Arial"/>
        </w:rPr>
        <w:t>U</w:t>
      </w:r>
      <w:r w:rsidRPr="00237CBD">
        <w:rPr>
          <w:rFonts w:eastAsia="Arial"/>
        </w:rPr>
        <w:t>ltrasounds</w:t>
      </w:r>
      <w:bookmarkEnd w:id="28"/>
    </w:p>
    <w:p w:rsidR="00E06EC4" w:rsidRPr="00237CBD" w:rsidRDefault="00E06EC4" w:rsidP="00662FA0">
      <w:pPr>
        <w:pStyle w:val="Heading2"/>
        <w:rPr>
          <w:rFonts w:eastAsia="Arial"/>
        </w:rPr>
      </w:pPr>
      <w:bookmarkStart w:id="29" w:name="_Toc404355673"/>
      <w:r w:rsidRPr="00237CBD">
        <w:rPr>
          <w:rFonts w:eastAsia="Arial"/>
        </w:rPr>
        <w:t>Our focus</w:t>
      </w:r>
      <w:bookmarkEnd w:id="29"/>
    </w:p>
    <w:p w:rsidR="00E06EC4" w:rsidRPr="00237CBD" w:rsidRDefault="00E06EC4" w:rsidP="00662FA0">
      <w:pPr>
        <w:pStyle w:val="Introparagraph"/>
      </w:pPr>
      <w:r w:rsidRPr="00237CBD">
        <w:t>To investigate national variability in equity of access to primary referred maternity ultrasounds, including cost, timing and quality. Ultrasound scans are a core part of antenatal services. The 2013/14 DHB Service Coverage Schedule states that:</w:t>
      </w:r>
    </w:p>
    <w:p w:rsidR="00E06EC4" w:rsidRPr="00237CBD" w:rsidRDefault="00F71BF6" w:rsidP="008C6535">
      <w:pPr>
        <w:pStyle w:val="Quote"/>
        <w:rPr>
          <w:rFonts w:eastAsia="Arial"/>
        </w:rPr>
      </w:pPr>
      <w:r w:rsidRPr="00237CBD">
        <w:rPr>
          <w:rFonts w:eastAsia="Arial"/>
        </w:rPr>
        <w:t>“</w:t>
      </w:r>
      <w:r w:rsidR="00E06EC4" w:rsidRPr="00237CBD">
        <w:rPr>
          <w:rFonts w:eastAsia="Arial"/>
        </w:rPr>
        <w:t>DHBs will ensure that all women have access to specialist services at no charge including ... radiology services (including primary referred ultrasound services).</w:t>
      </w:r>
      <w:r w:rsidRPr="00237CBD">
        <w:rPr>
          <w:rFonts w:eastAsia="Arial"/>
        </w:rPr>
        <w:t>”</w:t>
      </w:r>
    </w:p>
    <w:p w:rsidR="00E06EC4" w:rsidRPr="00237CBD" w:rsidRDefault="00E06EC4" w:rsidP="008C6535"/>
    <w:p w:rsidR="00E06EC4" w:rsidRPr="00237CBD" w:rsidRDefault="00E06EC4" w:rsidP="008C6535">
      <w:pPr>
        <w:rPr>
          <w:rFonts w:eastAsia="Arial"/>
        </w:rPr>
      </w:pPr>
      <w:r w:rsidRPr="00237CBD">
        <w:rPr>
          <w:rFonts w:eastAsia="Arial"/>
        </w:rPr>
        <w:t>However, we note that many DHBs do not have the capacity to do this. As a result, ultrasounds are often made available through private providers at a cost t</w:t>
      </w:r>
      <w:r w:rsidR="008C6535">
        <w:rPr>
          <w:rFonts w:eastAsia="Arial"/>
        </w:rPr>
        <w:t xml:space="preserve">o the woman in the </w:t>
      </w:r>
      <w:r w:rsidRPr="00237CBD">
        <w:rPr>
          <w:rFonts w:eastAsia="Arial"/>
        </w:rPr>
        <w:t>form of a co</w:t>
      </w:r>
      <w:r w:rsidR="008C6535">
        <w:rPr>
          <w:rFonts w:eastAsia="Arial"/>
        </w:rPr>
        <w:noBreakHyphen/>
      </w:r>
      <w:r w:rsidRPr="00237CBD">
        <w:rPr>
          <w:rFonts w:eastAsia="Arial"/>
        </w:rPr>
        <w:t>payment.</w:t>
      </w:r>
    </w:p>
    <w:p w:rsidR="00E06EC4" w:rsidRPr="00237CBD" w:rsidRDefault="00E06EC4" w:rsidP="008C6535"/>
    <w:p w:rsidR="00E06EC4" w:rsidRPr="00237CBD" w:rsidRDefault="00E06EC4" w:rsidP="008C6535">
      <w:pPr>
        <w:rPr>
          <w:rFonts w:eastAsia="Arial"/>
        </w:rPr>
      </w:pPr>
      <w:r w:rsidRPr="00237CBD">
        <w:rPr>
          <w:rFonts w:eastAsia="Arial"/>
        </w:rPr>
        <w:t>Current evidence suggests that a woman who has no compl</w:t>
      </w:r>
      <w:r w:rsidR="008C6535">
        <w:rPr>
          <w:rFonts w:eastAsia="Arial"/>
        </w:rPr>
        <w:t>ications</w:t>
      </w:r>
      <w:r w:rsidRPr="00237CBD">
        <w:rPr>
          <w:rFonts w:eastAsia="Arial"/>
        </w:rPr>
        <w:t xml:space="preserve"> of pregnancy, is low risk, engages with health services in the </w:t>
      </w:r>
      <w:r w:rsidR="008C6535">
        <w:rPr>
          <w:rFonts w:eastAsia="Arial"/>
        </w:rPr>
        <w:t xml:space="preserve">first </w:t>
      </w:r>
      <w:r w:rsidRPr="00237CBD">
        <w:rPr>
          <w:rFonts w:eastAsia="Arial"/>
        </w:rPr>
        <w:t>trimester of pregnancy, and carries her baby to term would b</w:t>
      </w:r>
      <w:r w:rsidR="008C6535">
        <w:rPr>
          <w:rFonts w:eastAsia="Arial"/>
        </w:rPr>
        <w:t>e</w:t>
      </w:r>
      <w:r w:rsidRPr="00237CBD">
        <w:rPr>
          <w:rFonts w:eastAsia="Arial"/>
        </w:rPr>
        <w:t xml:space="preserve"> expected to be referred for two ultrasound </w:t>
      </w:r>
      <w:proofErr w:type="gramStart"/>
      <w:r w:rsidRPr="00237CBD">
        <w:rPr>
          <w:rFonts w:eastAsia="Arial"/>
        </w:rPr>
        <w:t>scans.</w:t>
      </w:r>
      <w:r w:rsidR="008C6535">
        <w:rPr>
          <w:rStyle w:val="FootnoteReference"/>
          <w:rFonts w:eastAsia="Arial"/>
        </w:rPr>
        <w:footnoteReference w:id="9"/>
      </w:r>
      <w:r w:rsidR="008C6535" w:rsidRPr="008C6535">
        <w:rPr>
          <w:rFonts w:eastAsia="Arial"/>
          <w:vertAlign w:val="superscript"/>
        </w:rPr>
        <w:t>,</w:t>
      </w:r>
      <w:proofErr w:type="gramEnd"/>
      <w:r w:rsidR="008C6535" w:rsidRPr="008C6535">
        <w:rPr>
          <w:rFonts w:eastAsia="Arial"/>
          <w:vertAlign w:val="superscript"/>
        </w:rPr>
        <w:t xml:space="preserve"> </w:t>
      </w:r>
      <w:r w:rsidR="008C6535">
        <w:rPr>
          <w:rStyle w:val="FootnoteReference"/>
          <w:rFonts w:eastAsia="Arial"/>
        </w:rPr>
        <w:footnoteReference w:id="10"/>
      </w:r>
      <w:r w:rsidR="008C6535" w:rsidRPr="008C6535">
        <w:rPr>
          <w:rFonts w:eastAsia="Arial"/>
        </w:rPr>
        <w:t xml:space="preserve"> </w:t>
      </w:r>
      <w:r w:rsidRPr="00237CBD">
        <w:rPr>
          <w:rFonts w:eastAsia="Arial"/>
        </w:rPr>
        <w:t xml:space="preserve">The first scan is for screening and dating purposes in early pregnancy. Typically, this scan occurs between 10 to 12 weeks of pregnancy. The second scan routinely offered to women is a </w:t>
      </w:r>
      <w:proofErr w:type="spellStart"/>
      <w:r w:rsidRPr="00237CBD">
        <w:rPr>
          <w:rFonts w:eastAsia="Arial"/>
        </w:rPr>
        <w:t>fetal</w:t>
      </w:r>
      <w:proofErr w:type="spellEnd"/>
      <w:r w:rsidRPr="00237CBD">
        <w:rPr>
          <w:rFonts w:eastAsia="Arial"/>
        </w:rPr>
        <w:t xml:space="preserve"> anatomy scan between 18</w:t>
      </w:r>
      <w:r w:rsidR="008C6535">
        <w:rPr>
          <w:rFonts w:eastAsia="Arial"/>
        </w:rPr>
        <w:t> </w:t>
      </w:r>
      <w:r w:rsidRPr="00237CBD">
        <w:rPr>
          <w:rFonts w:eastAsia="Arial"/>
        </w:rPr>
        <w:t>and 20 weeks</w:t>
      </w:r>
      <w:r w:rsidR="00F71BF6" w:rsidRPr="00237CBD">
        <w:rPr>
          <w:rFonts w:eastAsia="Arial"/>
        </w:rPr>
        <w:t>’</w:t>
      </w:r>
      <w:r w:rsidRPr="00237CBD">
        <w:rPr>
          <w:rFonts w:eastAsia="Arial"/>
        </w:rPr>
        <w:t xml:space="preserve"> gestation.</w:t>
      </w:r>
    </w:p>
    <w:p w:rsidR="00E06EC4" w:rsidRPr="00237CBD" w:rsidRDefault="00E06EC4" w:rsidP="008C6535"/>
    <w:p w:rsidR="00E06EC4" w:rsidRPr="00237CBD" w:rsidRDefault="00E06EC4" w:rsidP="008C6535">
      <w:pPr>
        <w:rPr>
          <w:rFonts w:eastAsia="Arial"/>
        </w:rPr>
      </w:pPr>
      <w:r w:rsidRPr="00237CBD">
        <w:rPr>
          <w:rFonts w:eastAsia="Arial"/>
        </w:rPr>
        <w:t xml:space="preserve">We focused on primary maternity ultrasounds. </w:t>
      </w:r>
      <w:proofErr w:type="gramStart"/>
      <w:r w:rsidRPr="00237CBD">
        <w:rPr>
          <w:rFonts w:eastAsia="Arial"/>
        </w:rPr>
        <w:t>Provision</w:t>
      </w:r>
      <w:r w:rsidR="008C6535">
        <w:rPr>
          <w:rFonts w:eastAsia="Arial"/>
        </w:rPr>
        <w:t xml:space="preserve"> </w:t>
      </w:r>
      <w:r w:rsidRPr="00237CBD">
        <w:rPr>
          <w:rFonts w:eastAsia="Arial"/>
        </w:rPr>
        <w:t>of primary ultrasounds for the two occasions noted above, plus at other times in pregnancy, are</w:t>
      </w:r>
      <w:proofErr w:type="gramEnd"/>
      <w:r w:rsidRPr="00237CBD">
        <w:rPr>
          <w:rFonts w:eastAsia="Arial"/>
        </w:rPr>
        <w:t xml:space="preserve"> publicly funded under the Section 88 Primary Maternity Services Notice 2007 (Section 88 Notice).</w:t>
      </w:r>
    </w:p>
    <w:p w:rsidR="00E06EC4" w:rsidRPr="00237CBD" w:rsidRDefault="00E06EC4" w:rsidP="008C6535"/>
    <w:p w:rsidR="00E06EC4" w:rsidRPr="00237CBD" w:rsidRDefault="00E06EC4" w:rsidP="008C6535">
      <w:pPr>
        <w:rPr>
          <w:rFonts w:eastAsia="Arial"/>
        </w:rPr>
      </w:pPr>
      <w:r w:rsidRPr="00237CBD">
        <w:rPr>
          <w:rFonts w:eastAsia="Arial"/>
        </w:rPr>
        <w:t>Primary maternity ultrasounds do not include ultrasounds performed when a woman is under the care of secondary or tertiary maternity services. The vast majority of primary</w:t>
      </w:r>
      <w:r w:rsidR="008C6535">
        <w:rPr>
          <w:rFonts w:eastAsia="Arial"/>
        </w:rPr>
        <w:t xml:space="preserve"> </w:t>
      </w:r>
      <w:r w:rsidRPr="00237CBD">
        <w:rPr>
          <w:rFonts w:eastAsia="Arial"/>
        </w:rPr>
        <w:t xml:space="preserve">maternity ultrasound services in New Zealand are carried out </w:t>
      </w:r>
      <w:r w:rsidR="008C6535">
        <w:rPr>
          <w:rFonts w:eastAsia="Arial"/>
        </w:rPr>
        <w:t xml:space="preserve">by </w:t>
      </w:r>
      <w:r w:rsidRPr="00237CBD">
        <w:rPr>
          <w:rFonts w:eastAsia="Arial"/>
        </w:rPr>
        <w:t>private radiology providers. The number of claims for ultras</w:t>
      </w:r>
      <w:r w:rsidR="008C6535">
        <w:rPr>
          <w:rFonts w:eastAsia="Arial"/>
        </w:rPr>
        <w:t>ounds</w:t>
      </w:r>
      <w:r w:rsidRPr="00237CBD">
        <w:rPr>
          <w:rFonts w:eastAsia="Arial"/>
        </w:rPr>
        <w:t xml:space="preserve"> made per woman under Section 88 Notice is not capped. Ma</w:t>
      </w:r>
      <w:r w:rsidR="008C6535">
        <w:rPr>
          <w:rFonts w:eastAsia="Arial"/>
        </w:rPr>
        <w:t>ny</w:t>
      </w:r>
      <w:r w:rsidRPr="00237CBD">
        <w:rPr>
          <w:rFonts w:eastAsia="Arial"/>
        </w:rPr>
        <w:t xml:space="preserve"> ultrasounds provided by private radiology providers also re</w:t>
      </w:r>
      <w:r w:rsidR="008C6535">
        <w:rPr>
          <w:rFonts w:eastAsia="Arial"/>
        </w:rPr>
        <w:t>quire the</w:t>
      </w:r>
      <w:r w:rsidRPr="00237CBD">
        <w:rPr>
          <w:rFonts w:eastAsia="Arial"/>
        </w:rPr>
        <w:t xml:space="preserve"> woman to make a co</w:t>
      </w:r>
      <w:r w:rsidR="008C6535">
        <w:rPr>
          <w:rFonts w:eastAsia="Arial"/>
        </w:rPr>
        <w:noBreakHyphen/>
      </w:r>
      <w:r w:rsidRPr="00237CBD">
        <w:rPr>
          <w:rFonts w:eastAsia="Arial"/>
        </w:rPr>
        <w:t>payment. This method of funding pote</w:t>
      </w:r>
      <w:r w:rsidR="008C6535">
        <w:rPr>
          <w:rFonts w:eastAsia="Arial"/>
        </w:rPr>
        <w:t>ntially influences</w:t>
      </w:r>
      <w:r w:rsidRPr="00237CBD">
        <w:rPr>
          <w:rFonts w:eastAsia="Arial"/>
        </w:rPr>
        <w:t xml:space="preserve"> demand, access by women, equity of access and quality of u</w:t>
      </w:r>
      <w:r w:rsidR="008C6535">
        <w:rPr>
          <w:rFonts w:eastAsia="Arial"/>
        </w:rPr>
        <w:t>ltrasounds.</w:t>
      </w:r>
    </w:p>
    <w:p w:rsidR="00E06EC4" w:rsidRPr="00237CBD" w:rsidRDefault="00E06EC4" w:rsidP="008C6535"/>
    <w:p w:rsidR="00E06EC4" w:rsidRPr="00237CBD" w:rsidRDefault="00E06EC4" w:rsidP="008C6535">
      <w:pPr>
        <w:rPr>
          <w:rFonts w:eastAsia="Arial"/>
        </w:rPr>
      </w:pPr>
      <w:r w:rsidRPr="00237CBD">
        <w:rPr>
          <w:rFonts w:eastAsia="Arial"/>
        </w:rPr>
        <w:t>The NMMG wanted to gain a clearer understanding</w:t>
      </w:r>
      <w:r w:rsidR="00F71BF6" w:rsidRPr="00237CBD">
        <w:rPr>
          <w:rFonts w:eastAsia="Arial"/>
        </w:rPr>
        <w:t xml:space="preserve"> </w:t>
      </w:r>
      <w:r w:rsidRPr="00237CBD">
        <w:rPr>
          <w:rFonts w:eastAsia="Arial"/>
        </w:rPr>
        <w:t>of how ultrasounds are provided in ea</w:t>
      </w:r>
      <w:r w:rsidR="008C6535">
        <w:rPr>
          <w:rFonts w:eastAsia="Arial"/>
        </w:rPr>
        <w:t>ch DHB</w:t>
      </w:r>
      <w:r w:rsidRPr="00237CBD">
        <w:rPr>
          <w:rFonts w:eastAsia="Arial"/>
        </w:rPr>
        <w:t xml:space="preserve"> area, particularly those provided by private radiology services, the arrangements that are in </w:t>
      </w:r>
      <w:r w:rsidR="008C6535">
        <w:rPr>
          <w:rFonts w:eastAsia="Arial"/>
        </w:rPr>
        <w:t xml:space="preserve">place </w:t>
      </w:r>
      <w:r w:rsidRPr="00237CBD">
        <w:rPr>
          <w:rFonts w:eastAsia="Arial"/>
        </w:rPr>
        <w:t>within DHBs, whether secondary ultrasound referrals also occur under this model, and the i</w:t>
      </w:r>
      <w:r w:rsidR="008C6535">
        <w:rPr>
          <w:rFonts w:eastAsia="Arial"/>
        </w:rPr>
        <w:t>mpact this</w:t>
      </w:r>
      <w:r w:rsidRPr="00237CBD">
        <w:rPr>
          <w:rFonts w:eastAsia="Arial"/>
        </w:rPr>
        <w:t xml:space="preserve"> has in terms of access for women, service quality and funding efficiency.</w:t>
      </w:r>
    </w:p>
    <w:p w:rsidR="00E06EC4" w:rsidRPr="00237CBD" w:rsidRDefault="00E06EC4" w:rsidP="008C6535"/>
    <w:p w:rsidR="00E06EC4" w:rsidRPr="00237CBD" w:rsidRDefault="00E06EC4" w:rsidP="008C6535">
      <w:pPr>
        <w:pStyle w:val="Heading2"/>
        <w:rPr>
          <w:rFonts w:eastAsia="Arial"/>
        </w:rPr>
      </w:pPr>
      <w:bookmarkStart w:id="30" w:name="_Toc404355674"/>
      <w:r w:rsidRPr="00237CBD">
        <w:rPr>
          <w:rFonts w:eastAsia="Arial"/>
        </w:rPr>
        <w:lastRenderedPageBreak/>
        <w:t>What we</w:t>
      </w:r>
      <w:r w:rsidR="00F71BF6" w:rsidRPr="00237CBD">
        <w:rPr>
          <w:rFonts w:eastAsia="Arial"/>
        </w:rPr>
        <w:t>’</w:t>
      </w:r>
      <w:r w:rsidRPr="00237CBD">
        <w:rPr>
          <w:rFonts w:eastAsia="Arial"/>
        </w:rPr>
        <w:t>ve done this year</w:t>
      </w:r>
      <w:bookmarkEnd w:id="30"/>
    </w:p>
    <w:p w:rsidR="00E06EC4" w:rsidRPr="00237CBD" w:rsidRDefault="00E06EC4" w:rsidP="008C6535">
      <w:pPr>
        <w:pStyle w:val="Introparagraph"/>
        <w:keepLines/>
      </w:pPr>
      <w:r w:rsidRPr="00237CBD">
        <w:t>We assessed information provided by the Ministry regarding primary maternity ultrasounds in New Zealand. This information was sourced from the Section 88 Claims, and is arranged by the financial year of due date or actual date of birth. This captures all scans for a pregnancy even when they are distributed across two financial years.</w:t>
      </w:r>
    </w:p>
    <w:p w:rsidR="00E06EC4" w:rsidRPr="00237CBD" w:rsidRDefault="00E06EC4" w:rsidP="008C6535"/>
    <w:p w:rsidR="00E06EC4" w:rsidRPr="00237CBD" w:rsidRDefault="00E06EC4" w:rsidP="008C6535">
      <w:pPr>
        <w:rPr>
          <w:rFonts w:eastAsia="Arial"/>
        </w:rPr>
      </w:pPr>
      <w:r w:rsidRPr="00237CBD">
        <w:rPr>
          <w:rFonts w:eastAsia="Arial"/>
        </w:rPr>
        <w:t>We communicated some of this information to a number of professional colleges including the Royal New Zealand College of Radiology, the Royal New Zealand College of Obstetricians and Gynaecologists, and the New Zealand College of Midwives. We asked for their feedback on the trends and for further information to help us understand this topic.</w:t>
      </w:r>
    </w:p>
    <w:p w:rsidR="00E06EC4" w:rsidRPr="00237CBD" w:rsidRDefault="00E06EC4" w:rsidP="008C6535"/>
    <w:p w:rsidR="00E06EC4" w:rsidRPr="00237CBD" w:rsidRDefault="00E06EC4" w:rsidP="008C6535">
      <w:pPr>
        <w:rPr>
          <w:rFonts w:eastAsia="Arial"/>
        </w:rPr>
      </w:pPr>
      <w:r w:rsidRPr="00237CBD">
        <w:rPr>
          <w:rFonts w:eastAsia="Arial"/>
        </w:rPr>
        <w:t>We also provided this information to DHBs. We asked the DHBs for:</w:t>
      </w:r>
    </w:p>
    <w:p w:rsidR="00E06EC4" w:rsidRPr="00237CBD" w:rsidRDefault="008C6535" w:rsidP="008C6535">
      <w:pPr>
        <w:pStyle w:val="Bullet"/>
        <w:rPr>
          <w:rFonts w:eastAsia="Arial"/>
        </w:rPr>
      </w:pPr>
      <w:r>
        <w:rPr>
          <w:rFonts w:eastAsia="Arial"/>
        </w:rPr>
        <w:t>f</w:t>
      </w:r>
      <w:r w:rsidR="00E06EC4" w:rsidRPr="00237CBD">
        <w:rPr>
          <w:rFonts w:eastAsia="Arial"/>
        </w:rPr>
        <w:t>eedback on the reasons for trends seen over time in the numbers of primary maternity ultrasounds performed</w:t>
      </w:r>
    </w:p>
    <w:p w:rsidR="00E06EC4" w:rsidRPr="00237CBD" w:rsidRDefault="008C6535" w:rsidP="008C6535">
      <w:pPr>
        <w:pStyle w:val="Bullet"/>
        <w:rPr>
          <w:rFonts w:eastAsia="Arial"/>
        </w:rPr>
      </w:pPr>
      <w:r>
        <w:rPr>
          <w:rFonts w:eastAsia="Arial"/>
        </w:rPr>
        <w:t>t</w:t>
      </w:r>
      <w:r w:rsidR="00E06EC4" w:rsidRPr="00237CBD">
        <w:rPr>
          <w:rFonts w:eastAsia="Arial"/>
        </w:rPr>
        <w:t>heir views on the information that providers give to consumers about primary maternity ultrasounds</w:t>
      </w:r>
    </w:p>
    <w:p w:rsidR="00E06EC4" w:rsidRPr="00237CBD" w:rsidRDefault="008C6535" w:rsidP="008C6535">
      <w:pPr>
        <w:pStyle w:val="Bullet"/>
        <w:rPr>
          <w:rFonts w:eastAsia="Arial"/>
        </w:rPr>
      </w:pPr>
      <w:r>
        <w:rPr>
          <w:rFonts w:eastAsia="Arial"/>
        </w:rPr>
        <w:t>a</w:t>
      </w:r>
      <w:r w:rsidR="00E06EC4" w:rsidRPr="00237CBD">
        <w:rPr>
          <w:rFonts w:eastAsia="Arial"/>
        </w:rPr>
        <w:t>ny information DHBs have on how many primary maternity ultrasound scans are performed per pregnancy within their hospitals (paid for by their DHB</w:t>
      </w:r>
      <w:r w:rsidR="00F71BF6" w:rsidRPr="00237CBD">
        <w:rPr>
          <w:rFonts w:eastAsia="Arial"/>
        </w:rPr>
        <w:t>’</w:t>
      </w:r>
      <w:r w:rsidR="00E06EC4" w:rsidRPr="00237CBD">
        <w:rPr>
          <w:rFonts w:eastAsia="Arial"/>
        </w:rPr>
        <w:t>s bulk funding), and</w:t>
      </w:r>
    </w:p>
    <w:p w:rsidR="00E06EC4" w:rsidRPr="00237CBD" w:rsidRDefault="008C6535" w:rsidP="008C6535">
      <w:pPr>
        <w:pStyle w:val="Bullet"/>
        <w:rPr>
          <w:rFonts w:eastAsia="Arial"/>
        </w:rPr>
      </w:pPr>
      <w:r>
        <w:rPr>
          <w:noProof/>
          <w:lang w:eastAsia="en-NZ"/>
        </w:rPr>
        <mc:AlternateContent>
          <mc:Choice Requires="wps">
            <w:drawing>
              <wp:anchor distT="0" distB="0" distL="114300" distR="0" simplePos="0" relativeHeight="251873280" behindDoc="0" locked="0" layoutInCell="1" allowOverlap="0" wp14:anchorId="55A7B741" wp14:editId="1E2E20B1">
                <wp:simplePos x="0" y="0"/>
                <wp:positionH relativeFrom="column">
                  <wp:posOffset>3508375</wp:posOffset>
                </wp:positionH>
                <wp:positionV relativeFrom="paragraph">
                  <wp:posOffset>93345</wp:posOffset>
                </wp:positionV>
                <wp:extent cx="2148840" cy="1654175"/>
                <wp:effectExtent l="0" t="0" r="3810" b="3175"/>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654175"/>
                        </a:xfrm>
                        <a:prstGeom prst="rect">
                          <a:avLst/>
                        </a:prstGeom>
                        <a:solidFill>
                          <a:schemeClr val="bg1">
                            <a:lumMod val="95000"/>
                          </a:schemeClr>
                        </a:solidFill>
                        <a:ln w="9525">
                          <a:noFill/>
                          <a:miter lim="800000"/>
                          <a:headEnd/>
                          <a:tailEnd/>
                        </a:ln>
                      </wps:spPr>
                      <wps:txbx>
                        <w:txbxContent>
                          <w:p w:rsidR="00EE698E" w:rsidRPr="00401EE8" w:rsidRDefault="00EE698E" w:rsidP="008C6535">
                            <w:pPr>
                              <w:pStyle w:val="Textbox"/>
                              <w:rPr>
                                <w:b/>
                                <w:sz w:val="24"/>
                              </w:rPr>
                            </w:pPr>
                            <w:r w:rsidRPr="00401EE8">
                              <w:rPr>
                                <w:b/>
                                <w:sz w:val="24"/>
                              </w:rPr>
                              <w:t>What we found</w:t>
                            </w:r>
                          </w:p>
                          <w:p w:rsidR="00EE698E" w:rsidRPr="00401EE8" w:rsidRDefault="00EE698E" w:rsidP="008C6535">
                            <w:pPr>
                              <w:pStyle w:val="Textbox"/>
                              <w:spacing w:before="180"/>
                              <w:rPr>
                                <w:b/>
                              </w:rPr>
                            </w:pPr>
                            <w:r>
                              <w:rPr>
                                <w:b/>
                              </w:rPr>
                              <w:t>Ultrasound data</w:t>
                            </w:r>
                          </w:p>
                          <w:p w:rsidR="00EE698E" w:rsidRPr="00237CBD" w:rsidRDefault="00EE698E" w:rsidP="008C6535">
                            <w:pPr>
                              <w:pStyle w:val="Textbox"/>
                            </w:pPr>
                            <w:r w:rsidRPr="00237CBD">
                              <w:t>In 2011/12 the average number of primary maternity scans claimed under the Section 88</w:t>
                            </w:r>
                            <w:r>
                              <w:t xml:space="preserve"> </w:t>
                            </w:r>
                            <w:r w:rsidRPr="00237CBD">
                              <w:t>Notice for women who had a live birth or stillbirth was 3.4. The most common number of scans received was three.</w:t>
                            </w:r>
                          </w:p>
                        </w:txbxContent>
                      </wps:txbx>
                      <wps:bodyPr rot="0" vert="horz" wrap="square" lIns="0" tIns="72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6.25pt;margin-top:7.35pt;width:169.2pt;height:130.25pt;z-index:251873280;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" o:allowoverlap="f" fillcolor="#f2f2f2 [3052]" stroked="f">
                <v:textbox inset="0,2mm,0,0">
                  <w:txbxContent>
                    <w:p w:rsidR="00EE698E" w:rsidRPr="00401EE8" w:rsidRDefault="00EE698E" w:rsidP="008C6535">
                      <w:pPr>
                        <w:pStyle w:val="Textbox"/>
                        <w:rPr>
                          <w:b/>
                          <w:sz w:val="24"/>
                        </w:rPr>
                      </w:pPr>
                      <w:r w:rsidRPr="00401EE8">
                        <w:rPr>
                          <w:b/>
                          <w:sz w:val="24"/>
                        </w:rPr>
                        <w:t>What we found</w:t>
                      </w:r>
                    </w:p>
                    <w:p w:rsidR="00EE698E" w:rsidRPr="00401EE8" w:rsidRDefault="00EE698E" w:rsidP="008C6535">
                      <w:pPr>
                        <w:pStyle w:val="Textbox"/>
                        <w:spacing w:before="180"/>
                        <w:rPr>
                          <w:b/>
                        </w:rPr>
                      </w:pPr>
                      <w:r>
                        <w:rPr>
                          <w:b/>
                        </w:rPr>
                        <w:t>Ultrasound data</w:t>
                      </w:r>
                    </w:p>
                    <w:p w:rsidR="00EE698E" w:rsidRPr="00237CBD" w:rsidRDefault="00EE698E" w:rsidP="008C6535">
                      <w:pPr>
                        <w:pStyle w:val="Textbox"/>
                      </w:pPr>
                      <w:r w:rsidRPr="00237CBD">
                        <w:t>In 2011/12 the average number of primary maternity scans claimed under the Section 88</w:t>
                      </w:r>
                      <w:r>
                        <w:t xml:space="preserve"> </w:t>
                      </w:r>
                      <w:r w:rsidRPr="00237CBD">
                        <w:t>Notice for women who had a live birth or stillbirth was 3.4. The most common number of scans received was three.</w:t>
                      </w:r>
                    </w:p>
                  </w:txbxContent>
                </v:textbox>
                <w10:wrap type="square" side="left"/>
              </v:shape>
            </w:pict>
          </mc:Fallback>
        </mc:AlternateContent>
      </w:r>
      <w:proofErr w:type="gramStart"/>
      <w:r>
        <w:rPr>
          <w:rFonts w:eastAsia="Arial"/>
        </w:rPr>
        <w:t>w</w:t>
      </w:r>
      <w:r w:rsidR="00E06EC4" w:rsidRPr="00237CBD">
        <w:rPr>
          <w:rFonts w:eastAsia="Arial"/>
        </w:rPr>
        <w:t>hat</w:t>
      </w:r>
      <w:proofErr w:type="gramEnd"/>
      <w:r w:rsidR="00E06EC4" w:rsidRPr="00237CBD">
        <w:rPr>
          <w:rFonts w:eastAsia="Arial"/>
        </w:rPr>
        <w:t xml:space="preserve"> the indications are for these scans.</w:t>
      </w:r>
    </w:p>
    <w:p w:rsidR="00E06EC4" w:rsidRPr="00237CBD" w:rsidRDefault="00E06EC4" w:rsidP="008C6535"/>
    <w:p w:rsidR="00E06EC4" w:rsidRPr="00237CBD" w:rsidRDefault="00E06EC4" w:rsidP="008C6535">
      <w:pPr>
        <w:rPr>
          <w:rFonts w:eastAsia="Arial"/>
        </w:rPr>
      </w:pPr>
      <w:r w:rsidRPr="00237CBD">
        <w:rPr>
          <w:rFonts w:eastAsia="Arial"/>
        </w:rPr>
        <w:t>We liaised with the National Screening Unit to inform our work and avoid duplication in relation to first trimester screening for chromosomal abnormalities, which occurs between 10</w:t>
      </w:r>
      <w:r w:rsidR="008C6535">
        <w:rPr>
          <w:rFonts w:eastAsia="Arial"/>
        </w:rPr>
        <w:t> </w:t>
      </w:r>
      <w:r w:rsidRPr="00237CBD">
        <w:rPr>
          <w:rFonts w:eastAsia="Arial"/>
        </w:rPr>
        <w:t>and 12 weeks</w:t>
      </w:r>
      <w:r w:rsidR="00F71BF6" w:rsidRPr="00237CBD">
        <w:rPr>
          <w:rFonts w:eastAsia="Arial"/>
        </w:rPr>
        <w:t>’</w:t>
      </w:r>
      <w:r w:rsidRPr="00237CBD">
        <w:rPr>
          <w:rFonts w:eastAsia="Arial"/>
        </w:rPr>
        <w:t xml:space="preserve"> gestation. We also asked the Medical Radiation Technologists Board for information regarding training and competency of maternity sonographers.</w:t>
      </w:r>
    </w:p>
    <w:p w:rsidR="00E06EC4" w:rsidRDefault="00E06EC4" w:rsidP="008C6535"/>
    <w:p w:rsidR="00E06EC4" w:rsidRPr="00237CBD" w:rsidRDefault="00E06EC4" w:rsidP="008C6535">
      <w:pPr>
        <w:pStyle w:val="Figure"/>
        <w:rPr>
          <w:rFonts w:eastAsia="Arial"/>
        </w:rPr>
      </w:pPr>
      <w:r w:rsidRPr="00237CBD">
        <w:rPr>
          <w:rFonts w:eastAsia="Arial"/>
        </w:rPr>
        <w:lastRenderedPageBreak/>
        <w:t>Number of primary maternity ultrasound scans per completed pregnancy, 2011/2012</w:t>
      </w:r>
    </w:p>
    <w:p w:rsidR="00E06EC4" w:rsidRPr="00237CBD" w:rsidRDefault="00451CD4" w:rsidP="00451CD4">
      <w:r w:rsidRPr="00451CD4">
        <w:rPr>
          <w:noProof/>
          <w:lang w:eastAsia="en-NZ"/>
        </w:rPr>
        <w:drawing>
          <wp:inline distT="0" distB="0" distL="0" distR="0" wp14:anchorId="738B45B2" wp14:editId="40FDA391">
            <wp:extent cx="5507349" cy="3466681"/>
            <wp:effectExtent l="0" t="0" r="0" b="635"/>
            <wp:docPr id="20" name="Picture 20" title="Number of primary maternity ultrasound scans per completed pregnancy, 20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grayscl/>
                    </a:blip>
                    <a:srcRect l="1303" t="2055"/>
                    <a:stretch/>
                  </pic:blipFill>
                  <pic:spPr bwMode="auto">
                    <a:xfrm>
                      <a:off x="0" y="0"/>
                      <a:ext cx="5522789" cy="3476400"/>
                    </a:xfrm>
                    <a:prstGeom prst="rect">
                      <a:avLst/>
                    </a:prstGeom>
                    <a:ln>
                      <a:noFill/>
                    </a:ln>
                    <a:extLst>
                      <a:ext uri="{53640926-AAD7-44D8-BBD7-CCE9431645EC}">
                        <a14:shadowObscured xmlns:a14="http://schemas.microsoft.com/office/drawing/2010/main"/>
                      </a:ext>
                    </a:extLst>
                  </pic:spPr>
                </pic:pic>
              </a:graphicData>
            </a:graphic>
          </wp:inline>
        </w:drawing>
      </w:r>
    </w:p>
    <w:p w:rsidR="00E06EC4" w:rsidRPr="00237CBD" w:rsidRDefault="00E06EC4" w:rsidP="00A33A12">
      <w:pPr>
        <w:pStyle w:val="Source"/>
        <w:rPr>
          <w:rFonts w:eastAsia="Arial"/>
        </w:rPr>
      </w:pPr>
      <w:r w:rsidRPr="00237CBD">
        <w:rPr>
          <w:rFonts w:eastAsia="Arial"/>
        </w:rPr>
        <w:t>Source: Section 88 Claims, Ministry</w:t>
      </w:r>
      <w:r w:rsidR="00F71BF6" w:rsidRPr="00237CBD">
        <w:rPr>
          <w:rFonts w:eastAsia="Arial"/>
        </w:rPr>
        <w:t xml:space="preserve"> </w:t>
      </w:r>
      <w:r w:rsidRPr="00237CBD">
        <w:rPr>
          <w:rFonts w:eastAsia="Arial"/>
        </w:rPr>
        <w:t>of Health</w:t>
      </w:r>
    </w:p>
    <w:p w:rsidR="00E06EC4" w:rsidRPr="00237CBD" w:rsidRDefault="00E06EC4" w:rsidP="00A33A12"/>
    <w:p w:rsidR="00E06EC4" w:rsidRPr="00237CBD" w:rsidRDefault="00E06EC4" w:rsidP="00A33A12">
      <w:pPr>
        <w:rPr>
          <w:rFonts w:eastAsia="Arial"/>
        </w:rPr>
      </w:pPr>
      <w:r w:rsidRPr="00237CBD">
        <w:rPr>
          <w:rFonts w:eastAsia="Arial"/>
        </w:rPr>
        <w:t>Furthermore, the average number of primary maternity ultrasounds per woman who has a live birth or stillbirth has increased over time, from 2.6 per birth in 2005/06 to 3.4 per birth in</w:t>
      </w:r>
      <w:r w:rsidR="00A33A12">
        <w:rPr>
          <w:rFonts w:eastAsia="Arial"/>
        </w:rPr>
        <w:t xml:space="preserve"> </w:t>
      </w:r>
      <w:r w:rsidRPr="00237CBD">
        <w:rPr>
          <w:rFonts w:eastAsia="Arial"/>
        </w:rPr>
        <w:t>2011/12.</w:t>
      </w:r>
    </w:p>
    <w:p w:rsidR="00F71BF6" w:rsidRPr="00237CBD" w:rsidRDefault="00E06EC4" w:rsidP="00A33A12">
      <w:pPr>
        <w:pStyle w:val="Figure"/>
        <w:rPr>
          <w:rFonts w:eastAsia="Arial"/>
        </w:rPr>
      </w:pPr>
      <w:r w:rsidRPr="00237CBD">
        <w:rPr>
          <w:rFonts w:eastAsia="Arial"/>
        </w:rPr>
        <w:t>Average number of primary maternity ultrasound scans</w:t>
      </w:r>
      <w:r w:rsidR="00A33A12">
        <w:rPr>
          <w:rFonts w:eastAsia="Arial"/>
        </w:rPr>
        <w:t xml:space="preserve"> </w:t>
      </w:r>
      <w:r w:rsidRPr="00237CBD">
        <w:rPr>
          <w:rFonts w:eastAsia="Arial"/>
        </w:rPr>
        <w:t>per completed pregnancy, 2005/06 to 2011/12</w:t>
      </w:r>
    </w:p>
    <w:p w:rsidR="00E06EC4" w:rsidRPr="00237CBD" w:rsidRDefault="00A33A12" w:rsidP="00A33A12">
      <w:r w:rsidRPr="00A33A12">
        <w:rPr>
          <w:noProof/>
          <w:lang w:eastAsia="en-NZ"/>
        </w:rPr>
        <w:drawing>
          <wp:inline distT="0" distB="0" distL="0" distR="0" wp14:anchorId="6FFAAF61" wp14:editId="7F270D27">
            <wp:extent cx="5212080" cy="3288928"/>
            <wp:effectExtent l="0" t="0" r="7620" b="6985"/>
            <wp:docPr id="7" name="Picture 7" descr="Average number of primary maternity ultrasound scans per completed pregnancy, 2005/06 to 2011/12" title="Average number of primary maternity ultrasound scans per completed pregnancy, 2005/06 to 2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grayscl/>
                    </a:blip>
                    <a:srcRect t="2148"/>
                    <a:stretch/>
                  </pic:blipFill>
                  <pic:spPr bwMode="auto">
                    <a:xfrm>
                      <a:off x="0" y="0"/>
                      <a:ext cx="5211647" cy="3288655"/>
                    </a:xfrm>
                    <a:prstGeom prst="rect">
                      <a:avLst/>
                    </a:prstGeom>
                    <a:ln>
                      <a:noFill/>
                    </a:ln>
                    <a:extLst>
                      <a:ext uri="{53640926-AAD7-44D8-BBD7-CCE9431645EC}">
                        <a14:shadowObscured xmlns:a14="http://schemas.microsoft.com/office/drawing/2010/main"/>
                      </a:ext>
                    </a:extLst>
                  </pic:spPr>
                </pic:pic>
              </a:graphicData>
            </a:graphic>
          </wp:inline>
        </w:drawing>
      </w:r>
    </w:p>
    <w:p w:rsidR="00E06EC4" w:rsidRPr="00237CBD" w:rsidRDefault="00E06EC4" w:rsidP="00A33A12">
      <w:pPr>
        <w:pStyle w:val="Source"/>
        <w:rPr>
          <w:rFonts w:eastAsia="Arial"/>
        </w:rPr>
      </w:pPr>
      <w:r w:rsidRPr="00237CBD">
        <w:rPr>
          <w:rFonts w:eastAsia="Arial"/>
        </w:rPr>
        <w:t>Source: Section 88 Claims, Ministry</w:t>
      </w:r>
      <w:r w:rsidR="00F71BF6" w:rsidRPr="00237CBD">
        <w:rPr>
          <w:rFonts w:eastAsia="Arial"/>
        </w:rPr>
        <w:t xml:space="preserve"> </w:t>
      </w:r>
      <w:r w:rsidRPr="00237CBD">
        <w:rPr>
          <w:rFonts w:eastAsia="Arial"/>
        </w:rPr>
        <w:t>of Health</w:t>
      </w:r>
    </w:p>
    <w:p w:rsidR="00E06EC4" w:rsidRPr="00237CBD" w:rsidRDefault="00E06EC4" w:rsidP="00A33A12">
      <w:pPr>
        <w:spacing w:before="240"/>
        <w:rPr>
          <w:rFonts w:eastAsia="Arial"/>
        </w:rPr>
      </w:pPr>
      <w:r w:rsidRPr="00237CBD">
        <w:rPr>
          <w:rFonts w:eastAsia="Arial"/>
        </w:rPr>
        <w:lastRenderedPageBreak/>
        <w:t>There is some regional variation amongst DHBs in the average number of primary maternity ultrasounds per woman experiencing a live birth or stillbirth. However, some DHBs have very low average ultrasounds claimed per birth, likely indicating that the DHB in these regions is a major provider of primary maternity ultrasounds.</w:t>
      </w:r>
    </w:p>
    <w:p w:rsidR="00E06EC4" w:rsidRPr="00237CBD" w:rsidRDefault="00E06EC4" w:rsidP="00A33A12"/>
    <w:p w:rsidR="00E06EC4" w:rsidRPr="00237CBD" w:rsidRDefault="00E06EC4" w:rsidP="00A33A12">
      <w:pPr>
        <w:pStyle w:val="Figure"/>
        <w:rPr>
          <w:rFonts w:eastAsia="Arial"/>
        </w:rPr>
      </w:pPr>
      <w:r w:rsidRPr="00237CBD">
        <w:rPr>
          <w:rFonts w:eastAsia="Arial"/>
        </w:rPr>
        <w:t>Average number of primary maternity ultrasounds scans per pregnant woman by DHB of domicile, per completed pregnancy 2011/12</w:t>
      </w:r>
    </w:p>
    <w:p w:rsidR="00E06EC4" w:rsidRPr="00237CBD" w:rsidRDefault="0070784B" w:rsidP="0070784B">
      <w:r w:rsidRPr="0070784B">
        <w:rPr>
          <w:noProof/>
          <w:lang w:eastAsia="en-NZ"/>
        </w:rPr>
        <w:drawing>
          <wp:inline distT="0" distB="0" distL="0" distR="0" wp14:anchorId="117DA55B" wp14:editId="1C3D43A4">
            <wp:extent cx="5400675" cy="2917288"/>
            <wp:effectExtent l="0" t="0" r="0" b="0"/>
            <wp:docPr id="9" name="Picture 9" descr="Average number of primary maternity ultrasounds scans per pregnant woman by DHB of domicile, per completed pregnancy 2011/12" title="Average number of primary maternity ultrasounds scans per pregnant woman by DHB of domicile, per completed pregnancy 2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grayscl/>
                    </a:blip>
                    <a:stretch>
                      <a:fillRect/>
                    </a:stretch>
                  </pic:blipFill>
                  <pic:spPr>
                    <a:xfrm>
                      <a:off x="0" y="0"/>
                      <a:ext cx="5400675" cy="2917288"/>
                    </a:xfrm>
                    <a:prstGeom prst="rect">
                      <a:avLst/>
                    </a:prstGeom>
                  </pic:spPr>
                </pic:pic>
              </a:graphicData>
            </a:graphic>
          </wp:inline>
        </w:drawing>
      </w:r>
    </w:p>
    <w:p w:rsidR="00E06EC4" w:rsidRPr="00237CBD" w:rsidRDefault="00E06EC4" w:rsidP="0070784B">
      <w:pPr>
        <w:pStyle w:val="Source"/>
        <w:rPr>
          <w:rFonts w:eastAsia="Arial"/>
        </w:rPr>
      </w:pPr>
      <w:r w:rsidRPr="00237CBD">
        <w:rPr>
          <w:rFonts w:eastAsia="Arial"/>
        </w:rPr>
        <w:t>Source: Section 88 Claims, Ministry</w:t>
      </w:r>
      <w:r w:rsidR="00F71BF6" w:rsidRPr="00237CBD">
        <w:rPr>
          <w:rFonts w:eastAsia="Arial"/>
        </w:rPr>
        <w:t xml:space="preserve"> </w:t>
      </w:r>
      <w:r w:rsidRPr="00237CBD">
        <w:rPr>
          <w:rFonts w:eastAsia="Arial"/>
        </w:rPr>
        <w:t>of Health</w:t>
      </w:r>
    </w:p>
    <w:p w:rsidR="00E06EC4" w:rsidRPr="00237CBD" w:rsidRDefault="00E06EC4" w:rsidP="0070784B"/>
    <w:p w:rsidR="00E06EC4" w:rsidRPr="00237CBD" w:rsidRDefault="00E06EC4" w:rsidP="0070784B">
      <w:pPr>
        <w:rPr>
          <w:rFonts w:eastAsia="Arial"/>
        </w:rPr>
      </w:pPr>
      <w:r w:rsidRPr="00237CBD">
        <w:rPr>
          <w:rFonts w:eastAsia="Arial"/>
        </w:rPr>
        <w:t xml:space="preserve">Data not presented here suggests that the majority of primary maternity ultrasounds (80%) are being performed for either screening for Down syndrome and other conditions, checking </w:t>
      </w:r>
      <w:proofErr w:type="spellStart"/>
      <w:r w:rsidRPr="00237CBD">
        <w:rPr>
          <w:rFonts w:eastAsia="Arial"/>
        </w:rPr>
        <w:t>fetal</w:t>
      </w:r>
      <w:proofErr w:type="spellEnd"/>
      <w:r w:rsidRPr="00237CBD">
        <w:rPr>
          <w:rFonts w:eastAsia="Arial"/>
        </w:rPr>
        <w:t xml:space="preserve"> anatomy, dating, </w:t>
      </w:r>
      <w:proofErr w:type="gramStart"/>
      <w:r w:rsidRPr="00237CBD">
        <w:rPr>
          <w:rFonts w:eastAsia="Arial"/>
        </w:rPr>
        <w:t>threatened</w:t>
      </w:r>
      <w:proofErr w:type="gramEnd"/>
      <w:r w:rsidRPr="00237CBD">
        <w:rPr>
          <w:rFonts w:eastAsia="Arial"/>
        </w:rPr>
        <w:t xml:space="preserve"> miscarriage and for concerns about </w:t>
      </w:r>
      <w:proofErr w:type="spellStart"/>
      <w:r w:rsidRPr="00237CBD">
        <w:rPr>
          <w:rFonts w:eastAsia="Arial"/>
        </w:rPr>
        <w:t>fetal</w:t>
      </w:r>
      <w:proofErr w:type="spellEnd"/>
      <w:r w:rsidRPr="00237CBD">
        <w:rPr>
          <w:rFonts w:eastAsia="Arial"/>
        </w:rPr>
        <w:t xml:space="preserve"> growth in the third trimester.</w:t>
      </w:r>
    </w:p>
    <w:p w:rsidR="00E06EC4" w:rsidRPr="00237CBD" w:rsidRDefault="00E06EC4" w:rsidP="0070784B"/>
    <w:p w:rsidR="00E06EC4" w:rsidRPr="00237CBD" w:rsidRDefault="00E06EC4" w:rsidP="0070784B">
      <w:pPr>
        <w:pStyle w:val="Heading2"/>
        <w:rPr>
          <w:rFonts w:eastAsia="Arial"/>
        </w:rPr>
      </w:pPr>
      <w:bookmarkStart w:id="31" w:name="_Toc404355675"/>
      <w:r w:rsidRPr="00237CBD">
        <w:rPr>
          <w:rFonts w:eastAsia="Arial"/>
        </w:rPr>
        <w:t>In-depth feedback from care providers</w:t>
      </w:r>
      <w:bookmarkEnd w:id="31"/>
    </w:p>
    <w:p w:rsidR="00E06EC4" w:rsidRPr="00237CBD" w:rsidRDefault="00E06EC4" w:rsidP="0070784B">
      <w:pPr>
        <w:pStyle w:val="Heading3"/>
        <w:rPr>
          <w:rFonts w:eastAsia="Arial"/>
        </w:rPr>
      </w:pPr>
      <w:r w:rsidRPr="00237CBD">
        <w:rPr>
          <w:rFonts w:eastAsia="Arial"/>
        </w:rPr>
        <w:t>Complexity of care</w:t>
      </w:r>
    </w:p>
    <w:p w:rsidR="00E06EC4" w:rsidRPr="00237CBD" w:rsidRDefault="00E06EC4" w:rsidP="0070784B">
      <w:pPr>
        <w:rPr>
          <w:rFonts w:eastAsia="Arial"/>
        </w:rPr>
      </w:pPr>
      <w:r w:rsidRPr="00237CBD">
        <w:rPr>
          <w:rFonts w:eastAsia="Arial"/>
        </w:rPr>
        <w:t xml:space="preserve">A number of stakeholders noted that the complexity of care of pregnant women is increasing. This includes increases in average BMI, older maternal age, more assisted reproductive technology and more mothers with co-morbidities. They noted that women with high BMIs are more difficult to palpate making assessment of </w:t>
      </w:r>
      <w:proofErr w:type="spellStart"/>
      <w:r w:rsidRPr="00237CBD">
        <w:rPr>
          <w:rFonts w:eastAsia="Arial"/>
        </w:rPr>
        <w:t>fetal</w:t>
      </w:r>
      <w:proofErr w:type="spellEnd"/>
      <w:r w:rsidRPr="00237CBD">
        <w:rPr>
          <w:rFonts w:eastAsia="Arial"/>
        </w:rPr>
        <w:t xml:space="preserve"> growth through abdominal palpation difficult, and as such, ultrasound a more useful tool.</w:t>
      </w:r>
    </w:p>
    <w:p w:rsidR="00E06EC4" w:rsidRPr="00237CBD" w:rsidRDefault="00E06EC4" w:rsidP="0070784B"/>
    <w:p w:rsidR="00E06EC4" w:rsidRPr="00237CBD" w:rsidRDefault="00E06EC4" w:rsidP="0070784B">
      <w:pPr>
        <w:pStyle w:val="Heading3"/>
        <w:rPr>
          <w:rFonts w:eastAsia="Arial"/>
        </w:rPr>
      </w:pPr>
      <w:r w:rsidRPr="00237CBD">
        <w:rPr>
          <w:rFonts w:eastAsia="Arial"/>
        </w:rPr>
        <w:t>Normalisation of extra scans</w:t>
      </w:r>
    </w:p>
    <w:p w:rsidR="00E06EC4" w:rsidRPr="00237CBD" w:rsidRDefault="00E06EC4" w:rsidP="0070784B">
      <w:pPr>
        <w:rPr>
          <w:rFonts w:eastAsia="Arial"/>
        </w:rPr>
      </w:pPr>
      <w:r w:rsidRPr="00237CBD">
        <w:rPr>
          <w:rFonts w:eastAsia="Arial"/>
        </w:rPr>
        <w:t>Midwives reported increasing pressure from women to have a scan, or a repeat scan, if the baby</w:t>
      </w:r>
      <w:r w:rsidR="00F71BF6" w:rsidRPr="00237CBD">
        <w:rPr>
          <w:rFonts w:eastAsia="Arial"/>
        </w:rPr>
        <w:t>’</w:t>
      </w:r>
      <w:r w:rsidRPr="00237CBD">
        <w:rPr>
          <w:rFonts w:eastAsia="Arial"/>
        </w:rPr>
        <w:t>s face or gender has not been seen. There is also pressure to have a further scan at later gestations to ensure that the baby is healthy. The scan makes the baby more accessible and real for the woman and her partner.</w:t>
      </w:r>
    </w:p>
    <w:p w:rsidR="00E06EC4" w:rsidRPr="00237CBD" w:rsidRDefault="00E06EC4" w:rsidP="0070784B"/>
    <w:p w:rsidR="00E06EC4" w:rsidRPr="00237CBD" w:rsidRDefault="00E06EC4" w:rsidP="0070784B">
      <w:pPr>
        <w:pStyle w:val="Heading3"/>
        <w:rPr>
          <w:rFonts w:eastAsia="Arial"/>
        </w:rPr>
      </w:pPr>
      <w:r w:rsidRPr="00237CBD">
        <w:rPr>
          <w:rFonts w:eastAsia="Arial"/>
        </w:rPr>
        <w:lastRenderedPageBreak/>
        <w:t>Increasing awareness of the need for detecting small-for-gestational-age (SGA) babies</w:t>
      </w:r>
    </w:p>
    <w:p w:rsidR="00E06EC4" w:rsidRPr="00237CBD" w:rsidRDefault="00E06EC4" w:rsidP="0070784B">
      <w:pPr>
        <w:rPr>
          <w:rFonts w:eastAsia="Arial"/>
        </w:rPr>
      </w:pPr>
      <w:r w:rsidRPr="00237CBD">
        <w:rPr>
          <w:rFonts w:eastAsia="Arial"/>
        </w:rPr>
        <w:t>Stakeholders also commented that increasing awareness of risks to SGA babies</w:t>
      </w:r>
      <w:r w:rsidR="00F71BF6" w:rsidRPr="00237CBD">
        <w:rPr>
          <w:rFonts w:eastAsia="Arial"/>
        </w:rPr>
        <w:t xml:space="preserve"> </w:t>
      </w:r>
      <w:r w:rsidRPr="00237CBD">
        <w:rPr>
          <w:rFonts w:eastAsia="Arial"/>
        </w:rPr>
        <w:t>is contributing to the rise in scan numbers. Although Gestational Related Optimal Weight (GROW) charts are being used for the antenatal detection of SGA babies, ultrasounds are also used to confirm optimal growth. Some DHBs and midwives believe that this is resulting in significantly more non-SGA babies being scanned. Moreover, once a baby is scanned it is likely to get repeat growth scans to monitor ongoing growth, even if the first did not show SGA.</w:t>
      </w:r>
    </w:p>
    <w:p w:rsidR="00E06EC4" w:rsidRPr="00237CBD" w:rsidRDefault="00E06EC4" w:rsidP="0070784B"/>
    <w:p w:rsidR="00E06EC4" w:rsidRPr="00237CBD" w:rsidRDefault="00E06EC4" w:rsidP="0070784B">
      <w:pPr>
        <w:pStyle w:val="Heading3"/>
        <w:spacing w:before="180"/>
        <w:rPr>
          <w:rFonts w:eastAsia="Arial"/>
        </w:rPr>
      </w:pPr>
      <w:r w:rsidRPr="00237CBD">
        <w:rPr>
          <w:rFonts w:eastAsia="Arial"/>
        </w:rPr>
        <w:t>Scans being used for dating</w:t>
      </w:r>
    </w:p>
    <w:p w:rsidR="00E06EC4" w:rsidRPr="00237CBD" w:rsidRDefault="00E06EC4" w:rsidP="0070784B">
      <w:pPr>
        <w:rPr>
          <w:rFonts w:eastAsia="Arial"/>
        </w:rPr>
      </w:pPr>
      <w:r w:rsidRPr="00237CBD">
        <w:rPr>
          <w:rFonts w:eastAsia="Arial"/>
        </w:rPr>
        <w:t xml:space="preserve">A first scan should be carried out at 10-12 weeks as a nuchal translucency scan and dating scan. There should be no need for an earlier dating scan </w:t>
      </w:r>
      <w:r w:rsidR="00F71BF6" w:rsidRPr="00237CBD">
        <w:rPr>
          <w:rFonts w:eastAsia="Arial"/>
        </w:rPr>
        <w:t>“</w:t>
      </w:r>
      <w:r w:rsidRPr="00237CBD">
        <w:rPr>
          <w:rFonts w:eastAsia="Arial"/>
        </w:rPr>
        <w:t>just to ensure the timing is right</w:t>
      </w:r>
      <w:r w:rsidR="00F71BF6" w:rsidRPr="00237CBD">
        <w:rPr>
          <w:rFonts w:eastAsia="Arial"/>
        </w:rPr>
        <w:t>”</w:t>
      </w:r>
      <w:r w:rsidRPr="00237CBD">
        <w:rPr>
          <w:rFonts w:eastAsia="Arial"/>
        </w:rPr>
        <w:t xml:space="preserve"> for the screening scan, yet feedback to the NMMG indicated that such a scan at six weeks was occurring consistently in some areas.</w:t>
      </w:r>
    </w:p>
    <w:p w:rsidR="00E06EC4" w:rsidRPr="00237CBD" w:rsidRDefault="00E06EC4" w:rsidP="0070784B"/>
    <w:p w:rsidR="00E06EC4" w:rsidRPr="00237CBD" w:rsidRDefault="00E06EC4" w:rsidP="0070784B">
      <w:pPr>
        <w:pStyle w:val="Heading3"/>
        <w:spacing w:before="180"/>
        <w:rPr>
          <w:rFonts w:eastAsia="Arial"/>
        </w:rPr>
      </w:pPr>
      <w:r w:rsidRPr="00237CBD">
        <w:rPr>
          <w:rFonts w:eastAsia="Arial"/>
        </w:rPr>
        <w:t>Request for repeat scans</w:t>
      </w:r>
    </w:p>
    <w:p w:rsidR="00E06EC4" w:rsidRPr="00237CBD" w:rsidRDefault="00E06EC4" w:rsidP="0070784B">
      <w:pPr>
        <w:rPr>
          <w:rFonts w:eastAsia="Arial"/>
        </w:rPr>
      </w:pPr>
      <w:r w:rsidRPr="00237CBD">
        <w:rPr>
          <w:rFonts w:eastAsia="Arial"/>
        </w:rPr>
        <w:t>Some feedback noted that there seemed to be an increase in requests for repeat scans. From radiologists the reasons for this were varied, but it was noted that it may be related to inadequate time for scans to be completed properly.</w:t>
      </w:r>
    </w:p>
    <w:p w:rsidR="00E06EC4" w:rsidRPr="00237CBD" w:rsidRDefault="00E06EC4" w:rsidP="0070784B"/>
    <w:p w:rsidR="00E06EC4" w:rsidRPr="00237CBD" w:rsidRDefault="00E06EC4" w:rsidP="0070784B">
      <w:pPr>
        <w:pStyle w:val="Heading3"/>
        <w:spacing w:before="180"/>
        <w:rPr>
          <w:rFonts w:eastAsia="Arial"/>
        </w:rPr>
      </w:pPr>
      <w:r w:rsidRPr="00237CBD">
        <w:rPr>
          <w:rFonts w:eastAsia="Arial"/>
        </w:rPr>
        <w:t>Education of women</w:t>
      </w:r>
    </w:p>
    <w:p w:rsidR="00E06EC4" w:rsidRPr="00237CBD" w:rsidRDefault="00E06EC4" w:rsidP="0070784B">
      <w:pPr>
        <w:rPr>
          <w:rFonts w:eastAsia="Arial"/>
        </w:rPr>
      </w:pPr>
      <w:r w:rsidRPr="00237CBD">
        <w:rPr>
          <w:rFonts w:eastAsia="Arial"/>
        </w:rPr>
        <w:t>Some stakeholders noted inadequate preparation by the woman resulted in women needing to be rebooked for a scan.</w:t>
      </w:r>
    </w:p>
    <w:p w:rsidR="00E06EC4" w:rsidRPr="00237CBD" w:rsidRDefault="00E06EC4" w:rsidP="0070784B"/>
    <w:p w:rsidR="00E06EC4" w:rsidRPr="00237CBD" w:rsidRDefault="00E06EC4" w:rsidP="0070784B">
      <w:pPr>
        <w:rPr>
          <w:rFonts w:eastAsia="Arial"/>
        </w:rPr>
      </w:pPr>
      <w:r w:rsidRPr="00237CBD">
        <w:rPr>
          <w:rFonts w:eastAsia="Arial"/>
        </w:rPr>
        <w:t>DHBs were asked about the maternity ultrasound information given to women by providers. Mostly they noted that pamphlets, such as those produced by the Maternity Services Consumer Council, the National Screening Unit and local private radiology providers, are distributed</w:t>
      </w:r>
      <w:r w:rsidR="0070784B">
        <w:rPr>
          <w:rFonts w:eastAsia="Arial"/>
        </w:rPr>
        <w:t xml:space="preserve"> </w:t>
      </w:r>
      <w:r w:rsidRPr="00237CBD">
        <w:rPr>
          <w:rFonts w:eastAsia="Arial"/>
        </w:rPr>
        <w:t>when a scan is booked by an LMC. In a small number of DHBs, websites</w:t>
      </w:r>
      <w:r w:rsidR="00F71BF6" w:rsidRPr="00237CBD">
        <w:rPr>
          <w:rFonts w:eastAsia="Arial"/>
        </w:rPr>
        <w:t xml:space="preserve"> </w:t>
      </w:r>
      <w:r w:rsidRPr="00237CBD">
        <w:rPr>
          <w:rFonts w:eastAsia="Arial"/>
        </w:rPr>
        <w:t>are also used to provide information.</w:t>
      </w:r>
    </w:p>
    <w:p w:rsidR="00E06EC4" w:rsidRPr="00237CBD" w:rsidRDefault="00E06EC4" w:rsidP="0070784B"/>
    <w:p w:rsidR="00E06EC4" w:rsidRPr="00237CBD" w:rsidRDefault="00E06EC4" w:rsidP="0070784B">
      <w:pPr>
        <w:pStyle w:val="Heading3"/>
        <w:spacing w:before="180"/>
        <w:rPr>
          <w:rFonts w:eastAsia="Arial"/>
        </w:rPr>
      </w:pPr>
      <w:r w:rsidRPr="00237CBD">
        <w:rPr>
          <w:rFonts w:eastAsia="Arial"/>
        </w:rPr>
        <w:t>Most DHBs do not provide primary maternity ultrasounds</w:t>
      </w:r>
    </w:p>
    <w:p w:rsidR="00E06EC4" w:rsidRPr="00237CBD" w:rsidRDefault="00E06EC4" w:rsidP="0070784B">
      <w:pPr>
        <w:rPr>
          <w:rFonts w:eastAsia="Arial"/>
        </w:rPr>
      </w:pPr>
      <w:r w:rsidRPr="00237CBD">
        <w:rPr>
          <w:rFonts w:eastAsia="Arial"/>
        </w:rPr>
        <w:t>Most DHBs reported they do not provide any primary maternity ultrasound scans; these are provided in the community and claimed for under the Section 88 Notice with all providers charging the woman a co-payment fee. Essentially, the NMMG uncovered large variation, inequity in relation to co-payments, and potential for women to refuse to attend a scan due to access issues and an inability to pay.</w:t>
      </w:r>
    </w:p>
    <w:p w:rsidR="00E06EC4" w:rsidRPr="00237CBD" w:rsidRDefault="00E06EC4" w:rsidP="0070784B"/>
    <w:p w:rsidR="00E06EC4" w:rsidRPr="00237CBD" w:rsidRDefault="00E06EC4" w:rsidP="0070784B">
      <w:pPr>
        <w:pStyle w:val="Heading3"/>
        <w:spacing w:before="180"/>
        <w:rPr>
          <w:rFonts w:eastAsia="Arial"/>
        </w:rPr>
      </w:pPr>
      <w:r w:rsidRPr="00237CBD">
        <w:rPr>
          <w:rFonts w:eastAsia="Arial"/>
        </w:rPr>
        <w:t>The training and competency of obstetric sonographers</w:t>
      </w:r>
    </w:p>
    <w:p w:rsidR="00E06EC4" w:rsidRPr="00237CBD" w:rsidRDefault="00E06EC4" w:rsidP="00B84BD1">
      <w:pPr>
        <w:spacing w:after="240"/>
        <w:rPr>
          <w:rFonts w:eastAsia="Arial"/>
        </w:rPr>
      </w:pPr>
      <w:r w:rsidRPr="00237CBD">
        <w:rPr>
          <w:rFonts w:eastAsia="Arial"/>
        </w:rPr>
        <w:t xml:space="preserve">We wanted to see whether there were </w:t>
      </w:r>
      <w:proofErr w:type="gramStart"/>
      <w:r w:rsidRPr="00237CBD">
        <w:rPr>
          <w:rFonts w:eastAsia="Arial"/>
        </w:rPr>
        <w:t>standards regarding obstetric ultrasound quality in New Zealand, as this issue was</w:t>
      </w:r>
      <w:proofErr w:type="gramEnd"/>
      <w:r w:rsidRPr="00237CBD">
        <w:rPr>
          <w:rFonts w:eastAsia="Arial"/>
        </w:rPr>
        <w:t xml:space="preserve"> raised in our correspondence with various stakeholders. The Medical Radiation Technologists Board (</w:t>
      </w:r>
      <w:r w:rsidR="00F71BF6" w:rsidRPr="00237CBD">
        <w:rPr>
          <w:rFonts w:eastAsia="Arial"/>
        </w:rPr>
        <w:t>“</w:t>
      </w:r>
      <w:r w:rsidRPr="00237CBD">
        <w:rPr>
          <w:rFonts w:eastAsia="Arial"/>
        </w:rPr>
        <w:t>the Board</w:t>
      </w:r>
      <w:r w:rsidR="00F71BF6" w:rsidRPr="00237CBD">
        <w:rPr>
          <w:rFonts w:eastAsia="Arial"/>
        </w:rPr>
        <w:t>”</w:t>
      </w:r>
      <w:r w:rsidRPr="00237CBD">
        <w:rPr>
          <w:rFonts w:eastAsia="Arial"/>
        </w:rPr>
        <w:t>) provided us with information about the training and ongoing professional competency standards that obstetric sonographers are required to meet.</w:t>
      </w:r>
    </w:p>
    <w:p w:rsidR="00E06EC4" w:rsidRPr="00237CBD" w:rsidRDefault="00E06EC4" w:rsidP="00B84BD1">
      <w:pPr>
        <w:pStyle w:val="BoxHeading"/>
        <w:rPr>
          <w:rFonts w:eastAsia="Arial"/>
        </w:rPr>
      </w:pPr>
      <w:r w:rsidRPr="00237CBD">
        <w:rPr>
          <w:rFonts w:eastAsia="Arial"/>
        </w:rPr>
        <w:lastRenderedPageBreak/>
        <w:t>The changes we expect to see next</w:t>
      </w:r>
    </w:p>
    <w:p w:rsidR="00E06EC4" w:rsidRPr="00237CBD" w:rsidRDefault="00E06EC4" w:rsidP="00B84BD1">
      <w:pPr>
        <w:pStyle w:val="Box"/>
        <w:rPr>
          <w:rFonts w:eastAsia="Arial"/>
        </w:rPr>
      </w:pPr>
      <w:r w:rsidRPr="00237CBD">
        <w:rPr>
          <w:rFonts w:eastAsia="Arial"/>
        </w:rPr>
        <w:t>During our investigations into primary maternity ultrasounds this year, we have found a number of interrelated factors that may be contributing to rising ultrasound rates in New Zealand. This work stream has raised more questions for the NMMG than it has provided answers. There is much work to be done and, in light of this, we expect the following to occur:</w:t>
      </w:r>
    </w:p>
    <w:p w:rsidR="00E06EC4" w:rsidRPr="00237CBD" w:rsidRDefault="00E06EC4" w:rsidP="00B84BD1">
      <w:pPr>
        <w:pStyle w:val="Box"/>
        <w:ind w:left="709" w:hanging="567"/>
        <w:rPr>
          <w:rFonts w:eastAsia="Arial"/>
        </w:rPr>
      </w:pPr>
      <w:r w:rsidRPr="00237CBD">
        <w:rPr>
          <w:rFonts w:eastAsia="Arial"/>
        </w:rPr>
        <w:t>1</w:t>
      </w:r>
      <w:r w:rsidR="00B84BD1">
        <w:rPr>
          <w:rFonts w:eastAsia="Arial"/>
        </w:rPr>
        <w:tab/>
      </w:r>
      <w:r w:rsidRPr="00237CBD">
        <w:rPr>
          <w:rFonts w:eastAsia="Arial"/>
        </w:rPr>
        <w:t>We ask the Ministry to conduct a quality audit and investigation into the rising numbers of ultrasound scans being claimed for against the Section 88 Maternity Notice</w:t>
      </w:r>
      <w:r w:rsidR="00B84BD1">
        <w:rPr>
          <w:rFonts w:eastAsia="Arial"/>
        </w:rPr>
        <w:t>.</w:t>
      </w:r>
    </w:p>
    <w:p w:rsidR="00E06EC4" w:rsidRPr="00237CBD" w:rsidRDefault="00E06EC4" w:rsidP="00B84BD1">
      <w:pPr>
        <w:pStyle w:val="Box"/>
        <w:ind w:left="709" w:hanging="567"/>
        <w:rPr>
          <w:rFonts w:eastAsia="Arial"/>
        </w:rPr>
      </w:pPr>
      <w:r w:rsidRPr="00237CBD">
        <w:rPr>
          <w:rFonts w:eastAsia="Arial"/>
        </w:rPr>
        <w:t>2</w:t>
      </w:r>
      <w:r w:rsidR="00B84BD1">
        <w:rPr>
          <w:rFonts w:eastAsia="Arial"/>
        </w:rPr>
        <w:tab/>
      </w:r>
      <w:r w:rsidRPr="00237CBD">
        <w:rPr>
          <w:rFonts w:eastAsia="Arial"/>
        </w:rPr>
        <w:t xml:space="preserve">We intend to </w:t>
      </w:r>
      <w:proofErr w:type="spellStart"/>
      <w:r w:rsidRPr="00237CBD">
        <w:rPr>
          <w:rFonts w:eastAsia="Arial"/>
        </w:rPr>
        <w:t>co opt</w:t>
      </w:r>
      <w:proofErr w:type="spellEnd"/>
      <w:r w:rsidRPr="00237CBD">
        <w:rPr>
          <w:rFonts w:eastAsia="Arial"/>
        </w:rPr>
        <w:t xml:space="preserve"> a College of Radiology member onto the NMMG for the next year</w:t>
      </w:r>
      <w:r w:rsidR="00B84BD1">
        <w:rPr>
          <w:rFonts w:eastAsia="Arial"/>
        </w:rPr>
        <w:t xml:space="preserve"> </w:t>
      </w:r>
      <w:r w:rsidRPr="00237CBD">
        <w:rPr>
          <w:rFonts w:eastAsia="Arial"/>
        </w:rPr>
        <w:t>to provide specialist advice as part of the NMMG whilst we uncover the rationale behind increasing ultrasound numbers</w:t>
      </w:r>
      <w:r w:rsidR="00B84BD1">
        <w:rPr>
          <w:rFonts w:eastAsia="Arial"/>
        </w:rPr>
        <w:t>.</w:t>
      </w:r>
    </w:p>
    <w:p w:rsidR="00E06EC4" w:rsidRPr="00237CBD" w:rsidRDefault="00E06EC4" w:rsidP="00B84BD1">
      <w:pPr>
        <w:pStyle w:val="Box"/>
        <w:ind w:left="709" w:hanging="567"/>
        <w:rPr>
          <w:rFonts w:eastAsia="Arial"/>
        </w:rPr>
      </w:pPr>
      <w:r w:rsidRPr="00237CBD">
        <w:rPr>
          <w:rFonts w:eastAsia="Arial"/>
        </w:rPr>
        <w:t>3</w:t>
      </w:r>
      <w:r w:rsidR="00B84BD1">
        <w:rPr>
          <w:rFonts w:eastAsia="Arial"/>
        </w:rPr>
        <w:tab/>
      </w:r>
      <w:r w:rsidRPr="00237CBD">
        <w:rPr>
          <w:rFonts w:eastAsia="Arial"/>
        </w:rPr>
        <w:t>We invite the Ministry to consider the best way to fund ultrasound scans so that there is no charge for women, and no incentive to request more scans</w:t>
      </w:r>
      <w:r w:rsidR="00B84BD1">
        <w:rPr>
          <w:rFonts w:eastAsia="Arial"/>
        </w:rPr>
        <w:t>.</w:t>
      </w:r>
    </w:p>
    <w:p w:rsidR="00E06EC4" w:rsidRPr="00237CBD" w:rsidRDefault="00E06EC4" w:rsidP="00B84BD1">
      <w:pPr>
        <w:pStyle w:val="Box"/>
        <w:ind w:left="709" w:hanging="567"/>
        <w:rPr>
          <w:rFonts w:eastAsia="Arial"/>
        </w:rPr>
      </w:pPr>
      <w:r w:rsidRPr="00237CBD">
        <w:rPr>
          <w:rFonts w:eastAsia="Arial"/>
        </w:rPr>
        <w:t>4</w:t>
      </w:r>
      <w:r w:rsidR="00B84BD1">
        <w:rPr>
          <w:rFonts w:eastAsia="Arial"/>
        </w:rPr>
        <w:tab/>
      </w:r>
      <w:r w:rsidRPr="00237CBD">
        <w:rPr>
          <w:rFonts w:eastAsia="Arial"/>
        </w:rPr>
        <w:t>DHB should work with consumer networks through the MQSP to ensure they</w:t>
      </w:r>
      <w:r w:rsidR="00F71BF6" w:rsidRPr="00237CBD">
        <w:rPr>
          <w:rFonts w:eastAsia="Arial"/>
        </w:rPr>
        <w:t>’</w:t>
      </w:r>
      <w:r w:rsidRPr="00237CBD">
        <w:rPr>
          <w:rFonts w:eastAsia="Arial"/>
        </w:rPr>
        <w:t>re fully informed about the reason for ultrasounds and their screening purpose</w:t>
      </w:r>
      <w:r w:rsidR="00B84BD1">
        <w:rPr>
          <w:rFonts w:eastAsia="Arial"/>
        </w:rPr>
        <w:t>.</w:t>
      </w:r>
    </w:p>
    <w:p w:rsidR="00E06EC4" w:rsidRPr="00237CBD" w:rsidRDefault="00E06EC4" w:rsidP="00B84BD1">
      <w:pPr>
        <w:pStyle w:val="Box"/>
        <w:ind w:left="709" w:hanging="567"/>
        <w:rPr>
          <w:rFonts w:eastAsia="Arial"/>
        </w:rPr>
      </w:pPr>
      <w:r w:rsidRPr="00237CBD">
        <w:rPr>
          <w:rFonts w:eastAsia="Arial"/>
        </w:rPr>
        <w:t>5</w:t>
      </w:r>
      <w:r w:rsidR="00B84BD1">
        <w:rPr>
          <w:rFonts w:eastAsia="Arial"/>
        </w:rPr>
        <w:tab/>
      </w:r>
      <w:r w:rsidRPr="00237CBD">
        <w:rPr>
          <w:rFonts w:eastAsia="Arial"/>
        </w:rPr>
        <w:t>DHBs and the professional colleges to prioritise ultrasounds by jointly reviewing the evidence in relation to scans and the indications for ordering them in relation to the evidence</w:t>
      </w:r>
      <w:r w:rsidR="00B84BD1">
        <w:rPr>
          <w:rFonts w:eastAsia="Arial"/>
        </w:rPr>
        <w:t>.</w:t>
      </w:r>
    </w:p>
    <w:p w:rsidR="00E06EC4" w:rsidRPr="00237CBD" w:rsidRDefault="00E06EC4" w:rsidP="00B84BD1">
      <w:pPr>
        <w:pStyle w:val="Box"/>
        <w:ind w:left="709" w:hanging="567"/>
        <w:rPr>
          <w:rFonts w:eastAsia="Arial"/>
        </w:rPr>
      </w:pPr>
      <w:r w:rsidRPr="00237CBD">
        <w:rPr>
          <w:rFonts w:eastAsia="Arial"/>
        </w:rPr>
        <w:t>6</w:t>
      </w:r>
      <w:r w:rsidR="00B84BD1">
        <w:rPr>
          <w:rFonts w:eastAsia="Arial"/>
        </w:rPr>
        <w:tab/>
      </w:r>
      <w:r w:rsidRPr="00237CBD">
        <w:rPr>
          <w:rFonts w:eastAsia="Arial"/>
        </w:rPr>
        <w:t>Relevant professional colleges to look at this information and provide clinical leadership by discussing the following with their members:</w:t>
      </w:r>
    </w:p>
    <w:p w:rsidR="00E06EC4" w:rsidRPr="00237CBD" w:rsidRDefault="00B84BD1" w:rsidP="000F2BF5">
      <w:pPr>
        <w:pStyle w:val="Box"/>
        <w:tabs>
          <w:tab w:val="left" w:pos="709"/>
          <w:tab w:val="left" w:pos="1134"/>
        </w:tabs>
        <w:spacing w:before="60"/>
        <w:ind w:left="1134" w:hanging="992"/>
        <w:rPr>
          <w:rFonts w:eastAsia="Arial"/>
        </w:rPr>
      </w:pPr>
      <w:r>
        <w:rPr>
          <w:rFonts w:eastAsia="Arial"/>
        </w:rPr>
        <w:tab/>
      </w:r>
      <w:r w:rsidR="00E06EC4" w:rsidRPr="00237CBD">
        <w:rPr>
          <w:rFonts w:eastAsia="Arial"/>
        </w:rPr>
        <w:t>•</w:t>
      </w:r>
      <w:r w:rsidR="00E06EC4" w:rsidRPr="00237CBD">
        <w:rPr>
          <w:rFonts w:eastAsia="Arial"/>
        </w:rPr>
        <w:tab/>
      </w:r>
      <w:proofErr w:type="gramStart"/>
      <w:r>
        <w:rPr>
          <w:rFonts w:eastAsia="Arial"/>
        </w:rPr>
        <w:t>w</w:t>
      </w:r>
      <w:r w:rsidR="00E06EC4" w:rsidRPr="00237CBD">
        <w:rPr>
          <w:rFonts w:eastAsia="Arial"/>
        </w:rPr>
        <w:t>hether</w:t>
      </w:r>
      <w:proofErr w:type="gramEnd"/>
      <w:r w:rsidR="00E06EC4" w:rsidRPr="00237CBD">
        <w:rPr>
          <w:rFonts w:eastAsia="Arial"/>
        </w:rPr>
        <w:t xml:space="preserve"> professional standards are being followed in relation to requests for scans, and</w:t>
      </w:r>
    </w:p>
    <w:p w:rsidR="00E06EC4" w:rsidRPr="00237CBD" w:rsidRDefault="00B84BD1" w:rsidP="000F2BF5">
      <w:pPr>
        <w:pStyle w:val="Box"/>
        <w:tabs>
          <w:tab w:val="left" w:pos="709"/>
          <w:tab w:val="left" w:pos="1134"/>
        </w:tabs>
        <w:spacing w:before="60"/>
        <w:ind w:left="1134" w:hanging="992"/>
        <w:rPr>
          <w:rFonts w:eastAsia="Arial"/>
        </w:rPr>
      </w:pPr>
      <w:r>
        <w:rPr>
          <w:rFonts w:eastAsia="Arial"/>
        </w:rPr>
        <w:tab/>
      </w:r>
      <w:r w:rsidR="00E06EC4" w:rsidRPr="00237CBD">
        <w:rPr>
          <w:rFonts w:eastAsia="Arial"/>
        </w:rPr>
        <w:t>•</w:t>
      </w:r>
      <w:r w:rsidR="00E06EC4" w:rsidRPr="00237CBD">
        <w:rPr>
          <w:rFonts w:eastAsia="Arial"/>
        </w:rPr>
        <w:tab/>
      </w:r>
      <w:proofErr w:type="gramStart"/>
      <w:r>
        <w:rPr>
          <w:rFonts w:eastAsia="Arial"/>
        </w:rPr>
        <w:t>t</w:t>
      </w:r>
      <w:r w:rsidR="00E06EC4" w:rsidRPr="00237CBD">
        <w:rPr>
          <w:rFonts w:eastAsia="Arial"/>
        </w:rPr>
        <w:t>he</w:t>
      </w:r>
      <w:proofErr w:type="gramEnd"/>
      <w:r w:rsidR="00E06EC4" w:rsidRPr="00237CBD">
        <w:rPr>
          <w:rFonts w:eastAsia="Arial"/>
        </w:rPr>
        <w:t xml:space="preserve"> factors driving the increase in ultrasounds and whether these are based on evidence.</w:t>
      </w:r>
    </w:p>
    <w:p w:rsidR="00E06EC4" w:rsidRPr="00237CBD" w:rsidRDefault="00E06EC4" w:rsidP="000F2BF5"/>
    <w:p w:rsidR="00E06EC4" w:rsidRPr="00237CBD" w:rsidRDefault="00E06EC4" w:rsidP="000F2BF5">
      <w:pPr>
        <w:pStyle w:val="Heading2"/>
        <w:rPr>
          <w:rFonts w:eastAsia="Arial"/>
        </w:rPr>
      </w:pPr>
      <w:bookmarkStart w:id="32" w:name="_Toc404355676"/>
      <w:r w:rsidRPr="00237CBD">
        <w:rPr>
          <w:rFonts w:eastAsia="Arial"/>
        </w:rPr>
        <w:t>Good example of</w:t>
      </w:r>
      <w:r w:rsidR="000F2BF5">
        <w:rPr>
          <w:rFonts w:eastAsia="Arial"/>
        </w:rPr>
        <w:t xml:space="preserve"> </w:t>
      </w:r>
      <w:r w:rsidRPr="00237CBD">
        <w:rPr>
          <w:rFonts w:eastAsia="Arial"/>
        </w:rPr>
        <w:t>investing in ultrasounds</w:t>
      </w:r>
      <w:bookmarkEnd w:id="32"/>
    </w:p>
    <w:p w:rsidR="00E06EC4" w:rsidRPr="00237CBD" w:rsidRDefault="00E06EC4" w:rsidP="000F2BF5">
      <w:pPr>
        <w:pStyle w:val="Heading3"/>
        <w:rPr>
          <w:rFonts w:eastAsia="Arial"/>
        </w:rPr>
      </w:pPr>
      <w:r w:rsidRPr="00237CBD">
        <w:rPr>
          <w:rFonts w:eastAsia="Arial"/>
        </w:rPr>
        <w:t xml:space="preserve">Northland DHB, Auckland DHB, Counties </w:t>
      </w:r>
      <w:proofErr w:type="spellStart"/>
      <w:r w:rsidRPr="00237CBD">
        <w:rPr>
          <w:rFonts w:eastAsia="Arial"/>
        </w:rPr>
        <w:t>Manukau</w:t>
      </w:r>
      <w:proofErr w:type="spellEnd"/>
      <w:r w:rsidRPr="00237CBD">
        <w:rPr>
          <w:rFonts w:eastAsia="Arial"/>
        </w:rPr>
        <w:t xml:space="preserve"> DHB</w:t>
      </w:r>
      <w:r w:rsidR="000F2BF5">
        <w:rPr>
          <w:rFonts w:eastAsia="Arial"/>
        </w:rPr>
        <w:t xml:space="preserve"> </w:t>
      </w:r>
      <w:r w:rsidRPr="00237CBD">
        <w:rPr>
          <w:rFonts w:eastAsia="Arial"/>
        </w:rPr>
        <w:t xml:space="preserve">and </w:t>
      </w:r>
      <w:proofErr w:type="spellStart"/>
      <w:r w:rsidRPr="00237CBD">
        <w:rPr>
          <w:rFonts w:eastAsia="Arial"/>
        </w:rPr>
        <w:t>Waitemata</w:t>
      </w:r>
      <w:proofErr w:type="spellEnd"/>
      <w:r w:rsidRPr="00237CBD">
        <w:rPr>
          <w:rFonts w:eastAsia="Arial"/>
        </w:rPr>
        <w:t xml:space="preserve"> DHB</w:t>
      </w:r>
    </w:p>
    <w:p w:rsidR="00E06EC4" w:rsidRPr="00237CBD" w:rsidRDefault="00E06EC4" w:rsidP="00C14EBE">
      <w:pPr>
        <w:rPr>
          <w:rFonts w:eastAsia="Arial"/>
        </w:rPr>
      </w:pPr>
      <w:r w:rsidRPr="00237CBD">
        <w:rPr>
          <w:rFonts w:eastAsia="Arial"/>
        </w:rPr>
        <w:t xml:space="preserve">The Northern Region Radiology Network has recently formed a group to focus specifically on obstetric ultrasound quality assurance. The initiative which includes representation from the four Northern DHBs (Northland, Auckland, Counties </w:t>
      </w:r>
      <w:proofErr w:type="spellStart"/>
      <w:r w:rsidRPr="00237CBD">
        <w:rPr>
          <w:rFonts w:eastAsia="Arial"/>
        </w:rPr>
        <w:t>Manukau</w:t>
      </w:r>
      <w:proofErr w:type="spellEnd"/>
      <w:r w:rsidRPr="00237CBD">
        <w:rPr>
          <w:rFonts w:eastAsia="Arial"/>
        </w:rPr>
        <w:t xml:space="preserve"> and </w:t>
      </w:r>
      <w:proofErr w:type="spellStart"/>
      <w:r w:rsidRPr="00237CBD">
        <w:rPr>
          <w:rFonts w:eastAsia="Arial"/>
        </w:rPr>
        <w:t>Waitemata</w:t>
      </w:r>
      <w:proofErr w:type="spellEnd"/>
      <w:r w:rsidRPr="00237CBD">
        <w:rPr>
          <w:rFonts w:eastAsia="Arial"/>
        </w:rPr>
        <w:t>) has arisen as a direct result of the concerns raised earlier in the year by the NMMG.</w:t>
      </w:r>
    </w:p>
    <w:p w:rsidR="00E06EC4" w:rsidRPr="00237CBD" w:rsidRDefault="00E06EC4" w:rsidP="00C14EBE"/>
    <w:p w:rsidR="00E06EC4" w:rsidRPr="00237CBD" w:rsidRDefault="00E06EC4" w:rsidP="00C14EBE">
      <w:pPr>
        <w:rPr>
          <w:rFonts w:eastAsia="Arial"/>
        </w:rPr>
      </w:pPr>
      <w:r w:rsidRPr="00237CBD">
        <w:rPr>
          <w:rFonts w:eastAsia="Arial"/>
        </w:rPr>
        <w:t>The group also includes representatives from private ultrasound providers in the region</w:t>
      </w:r>
      <w:r w:rsidR="00F71BF6" w:rsidRPr="00237CBD">
        <w:rPr>
          <w:rFonts w:eastAsia="Arial"/>
        </w:rPr>
        <w:t xml:space="preserve"> </w:t>
      </w:r>
      <w:r w:rsidRPr="00237CBD">
        <w:rPr>
          <w:rFonts w:eastAsia="Arial"/>
        </w:rPr>
        <w:t xml:space="preserve">as well as obstetric and </w:t>
      </w:r>
      <w:proofErr w:type="spellStart"/>
      <w:r w:rsidRPr="00237CBD">
        <w:rPr>
          <w:rFonts w:eastAsia="Arial"/>
        </w:rPr>
        <w:t>fetal</w:t>
      </w:r>
      <w:proofErr w:type="spellEnd"/>
      <w:r w:rsidRPr="00237CBD">
        <w:rPr>
          <w:rFonts w:eastAsia="Arial"/>
        </w:rPr>
        <w:t xml:space="preserve"> medicine specialists and a midwife.</w:t>
      </w:r>
    </w:p>
    <w:p w:rsidR="00E06EC4" w:rsidRPr="00237CBD" w:rsidRDefault="00E06EC4" w:rsidP="00C14EBE"/>
    <w:p w:rsidR="00E06EC4" w:rsidRPr="00237CBD" w:rsidRDefault="00E06EC4" w:rsidP="00C14EBE">
      <w:pPr>
        <w:rPr>
          <w:rFonts w:eastAsia="Arial"/>
        </w:rPr>
      </w:pPr>
      <w:r w:rsidRPr="00237CBD">
        <w:rPr>
          <w:rFonts w:eastAsia="Arial"/>
        </w:rPr>
        <w:t>Although the group is currently still in its initial planning and establishment phase, it has already received support from many of the stakeholders involved.</w:t>
      </w:r>
    </w:p>
    <w:p w:rsidR="00E06EC4" w:rsidRPr="00237CBD" w:rsidRDefault="00E06EC4" w:rsidP="00C14EBE"/>
    <w:p w:rsidR="00E06EC4" w:rsidRPr="00C14EBE" w:rsidRDefault="00E06EC4" w:rsidP="00C14EBE">
      <w:pPr>
        <w:rPr>
          <w:rFonts w:eastAsia="Arial"/>
          <w:spacing w:val="-2"/>
        </w:rPr>
      </w:pPr>
      <w:r w:rsidRPr="00C14EBE">
        <w:rPr>
          <w:rFonts w:eastAsia="Arial"/>
          <w:spacing w:val="-2"/>
        </w:rPr>
        <w:t>As part of their focus on quality ultrasound services, the group will be connecting with maternity groups in order to share ideas and information regarding the issues seen within this area.</w:t>
      </w:r>
    </w:p>
    <w:p w:rsidR="007254D8" w:rsidRDefault="007254D8" w:rsidP="00C14EBE">
      <w:pPr>
        <w:rPr>
          <w:rFonts w:eastAsia="Arial"/>
        </w:rPr>
      </w:pPr>
      <w:r>
        <w:rPr>
          <w:rFonts w:eastAsia="Arial"/>
        </w:rPr>
        <w:br w:type="page"/>
      </w:r>
    </w:p>
    <w:p w:rsidR="00E06EC4" w:rsidRPr="00237CBD" w:rsidRDefault="00E06EC4" w:rsidP="007254D8">
      <w:pPr>
        <w:pStyle w:val="Heading1"/>
        <w:rPr>
          <w:rFonts w:eastAsia="Arial"/>
        </w:rPr>
      </w:pPr>
      <w:bookmarkStart w:id="33" w:name="_Toc404355677"/>
      <w:r w:rsidRPr="00237CBD">
        <w:rPr>
          <w:rFonts w:eastAsia="Arial"/>
        </w:rPr>
        <w:lastRenderedPageBreak/>
        <w:t xml:space="preserve">Connecting and </w:t>
      </w:r>
      <w:r w:rsidR="00D23192">
        <w:rPr>
          <w:rFonts w:eastAsia="Arial"/>
        </w:rPr>
        <w:t>S</w:t>
      </w:r>
      <w:r w:rsidRPr="00237CBD">
        <w:rPr>
          <w:rFonts w:eastAsia="Arial"/>
        </w:rPr>
        <w:t>upporting</w:t>
      </w:r>
      <w:r w:rsidR="007254D8">
        <w:rPr>
          <w:rFonts w:eastAsia="Arial"/>
        </w:rPr>
        <w:t xml:space="preserve"> </w:t>
      </w:r>
      <w:r w:rsidR="00D23192">
        <w:rPr>
          <w:rFonts w:eastAsia="Arial"/>
        </w:rPr>
        <w:t>M</w:t>
      </w:r>
      <w:r w:rsidRPr="00237CBD">
        <w:rPr>
          <w:rFonts w:eastAsia="Arial"/>
        </w:rPr>
        <w:t xml:space="preserve">aternity </w:t>
      </w:r>
      <w:r w:rsidR="00D23192">
        <w:rPr>
          <w:rFonts w:eastAsia="Arial"/>
        </w:rPr>
        <w:t>C</w:t>
      </w:r>
      <w:r w:rsidRPr="00237CBD">
        <w:rPr>
          <w:rFonts w:eastAsia="Arial"/>
        </w:rPr>
        <w:t xml:space="preserve">onsumer </w:t>
      </w:r>
      <w:r w:rsidR="00D23192">
        <w:rPr>
          <w:rFonts w:eastAsia="Arial"/>
        </w:rPr>
        <w:t>M</w:t>
      </w:r>
      <w:r w:rsidRPr="00237CBD">
        <w:rPr>
          <w:rFonts w:eastAsia="Arial"/>
        </w:rPr>
        <w:t xml:space="preserve">embers of the </w:t>
      </w:r>
      <w:r w:rsidR="00D23192">
        <w:rPr>
          <w:rFonts w:eastAsia="Arial"/>
        </w:rPr>
        <w:t>M</w:t>
      </w:r>
      <w:r w:rsidRPr="00237CBD">
        <w:rPr>
          <w:rFonts w:eastAsia="Arial"/>
        </w:rPr>
        <w:t xml:space="preserve">aternity </w:t>
      </w:r>
      <w:r w:rsidR="00D23192">
        <w:rPr>
          <w:rFonts w:eastAsia="Arial"/>
        </w:rPr>
        <w:t>Q</w:t>
      </w:r>
      <w:r w:rsidRPr="00237CBD">
        <w:rPr>
          <w:rFonts w:eastAsia="Arial"/>
        </w:rPr>
        <w:t xml:space="preserve">uality and </w:t>
      </w:r>
      <w:r w:rsidR="00D23192">
        <w:rPr>
          <w:rFonts w:eastAsia="Arial"/>
        </w:rPr>
        <w:t>S</w:t>
      </w:r>
      <w:r w:rsidRPr="00237CBD">
        <w:rPr>
          <w:rFonts w:eastAsia="Arial"/>
        </w:rPr>
        <w:t xml:space="preserve">afety </w:t>
      </w:r>
      <w:r w:rsidR="00D23192">
        <w:rPr>
          <w:rFonts w:eastAsia="Arial"/>
        </w:rPr>
        <w:t>P</w:t>
      </w:r>
      <w:r w:rsidRPr="00237CBD">
        <w:rPr>
          <w:rFonts w:eastAsia="Arial"/>
        </w:rPr>
        <w:t>rogram</w:t>
      </w:r>
      <w:r w:rsidR="007254D8">
        <w:rPr>
          <w:rFonts w:eastAsia="Arial"/>
        </w:rPr>
        <w:t>me</w:t>
      </w:r>
      <w:r w:rsidRPr="00237CBD">
        <w:rPr>
          <w:rFonts w:eastAsia="Arial"/>
        </w:rPr>
        <w:t>s</w:t>
      </w:r>
      <w:bookmarkEnd w:id="33"/>
    </w:p>
    <w:p w:rsidR="00E06EC4" w:rsidRPr="00237CBD" w:rsidRDefault="00E06EC4" w:rsidP="007254D8">
      <w:pPr>
        <w:pStyle w:val="Heading2"/>
        <w:rPr>
          <w:rFonts w:eastAsia="Arial"/>
        </w:rPr>
      </w:pPr>
      <w:bookmarkStart w:id="34" w:name="_Toc404355678"/>
      <w:r w:rsidRPr="00237CBD">
        <w:rPr>
          <w:rFonts w:eastAsia="Arial"/>
        </w:rPr>
        <w:t>Our focus</w:t>
      </w:r>
      <w:bookmarkEnd w:id="34"/>
    </w:p>
    <w:p w:rsidR="00E06EC4" w:rsidRPr="00237CBD" w:rsidRDefault="00E06EC4" w:rsidP="00BB34CA">
      <w:pPr>
        <w:pStyle w:val="Introparagraph"/>
      </w:pPr>
      <w:r w:rsidRPr="00237CBD">
        <w:t>To investigate the issue of consumer me</w:t>
      </w:r>
      <w:r w:rsidR="00BB34CA">
        <w:t>mbership</w:t>
      </w:r>
      <w:r w:rsidRPr="00237CBD">
        <w:t xml:space="preserve"> to ensure consumer perspectives are inte</w:t>
      </w:r>
      <w:r w:rsidR="00BB34CA">
        <w:t>gral to</w:t>
      </w:r>
      <w:r w:rsidRPr="00237CBD">
        <w:t xml:space="preserve"> the development of DHB Maternity Qualit</w:t>
      </w:r>
      <w:r w:rsidR="00BB34CA">
        <w:t>y</w:t>
      </w:r>
      <w:r w:rsidRPr="00237CBD">
        <w:t xml:space="preserve"> and Safety Programmes (MQSPs). In our l</w:t>
      </w:r>
      <w:r w:rsidR="00BB34CA">
        <w:t>ast</w:t>
      </w:r>
      <w:r w:rsidRPr="00237CBD">
        <w:t xml:space="preserve"> annual report it was noted that a number of DHB MQSPs</w:t>
      </w:r>
      <w:r w:rsidR="00BB34CA">
        <w:t xml:space="preserve"> had not engaged with, or utilis</w:t>
      </w:r>
      <w:r w:rsidRPr="00237CBD">
        <w:t>ed, consumer representatives well over the previous year.</w:t>
      </w:r>
    </w:p>
    <w:p w:rsidR="00E06EC4" w:rsidRPr="00237CBD" w:rsidRDefault="00E06EC4" w:rsidP="00BB34CA"/>
    <w:p w:rsidR="00E06EC4" w:rsidRPr="00237CBD" w:rsidRDefault="00E06EC4" w:rsidP="00BB34CA">
      <w:pPr>
        <w:rPr>
          <w:rFonts w:eastAsia="Arial"/>
        </w:rPr>
      </w:pPr>
      <w:r w:rsidRPr="00237CBD">
        <w:rPr>
          <w:rFonts w:eastAsia="Arial"/>
        </w:rPr>
        <w:t>Consumers need to be involved in discussions and decision-making at every level of the maternity sector. Consumer members should be able to gather information and support from their communities and from organisations aligned to th</w:t>
      </w:r>
      <w:r w:rsidR="00BB34CA">
        <w:rPr>
          <w:rFonts w:eastAsia="Arial"/>
        </w:rPr>
        <w:t xml:space="preserve">e </w:t>
      </w:r>
      <w:r w:rsidRPr="00237CBD">
        <w:rPr>
          <w:rFonts w:eastAsia="Arial"/>
        </w:rPr>
        <w:t>maternity sector to be most effective. We want to e</w:t>
      </w:r>
      <w:r w:rsidR="00BB34CA">
        <w:rPr>
          <w:rFonts w:eastAsia="Arial"/>
        </w:rPr>
        <w:t>nsure</w:t>
      </w:r>
      <w:r w:rsidRPr="00237CBD">
        <w:rPr>
          <w:rFonts w:eastAsia="Arial"/>
        </w:rPr>
        <w:t xml:space="preserve"> that MQSP consumer members are properly involv</w:t>
      </w:r>
      <w:r w:rsidR="00BB34CA">
        <w:rPr>
          <w:rFonts w:eastAsia="Arial"/>
        </w:rPr>
        <w:t>ed</w:t>
      </w:r>
      <w:r w:rsidRPr="00237CBD">
        <w:rPr>
          <w:rFonts w:eastAsia="Arial"/>
        </w:rPr>
        <w:t xml:space="preserve"> in MQSP decision-making and are aware of the wi</w:t>
      </w:r>
      <w:r w:rsidR="00BB34CA">
        <w:rPr>
          <w:rFonts w:eastAsia="Arial"/>
        </w:rPr>
        <w:t>der</w:t>
      </w:r>
      <w:r w:rsidRPr="00237CBD">
        <w:rPr>
          <w:rFonts w:eastAsia="Arial"/>
        </w:rPr>
        <w:t xml:space="preserve"> context of consumer involvement in health care.</w:t>
      </w:r>
    </w:p>
    <w:p w:rsidR="00E06EC4" w:rsidRPr="00237CBD" w:rsidRDefault="00E06EC4" w:rsidP="00BB34CA"/>
    <w:p w:rsidR="00E06EC4" w:rsidRPr="00237CBD" w:rsidRDefault="00E06EC4" w:rsidP="00BB34CA">
      <w:pPr>
        <w:rPr>
          <w:rFonts w:eastAsia="Arial"/>
        </w:rPr>
      </w:pPr>
      <w:r w:rsidRPr="00237CBD">
        <w:rPr>
          <w:rFonts w:eastAsia="Arial"/>
        </w:rPr>
        <w:t xml:space="preserve">MQSP governance group should engage consumer members to help determine the work streams within </w:t>
      </w:r>
      <w:r w:rsidR="00BB34CA">
        <w:rPr>
          <w:rFonts w:eastAsia="Arial"/>
        </w:rPr>
        <w:t xml:space="preserve">the </w:t>
      </w:r>
      <w:r w:rsidRPr="00237CBD">
        <w:rPr>
          <w:rFonts w:eastAsia="Arial"/>
        </w:rPr>
        <w:t>DHB</w:t>
      </w:r>
      <w:r w:rsidR="00F71BF6" w:rsidRPr="00237CBD">
        <w:rPr>
          <w:rFonts w:eastAsia="Arial"/>
        </w:rPr>
        <w:t>’</w:t>
      </w:r>
      <w:r w:rsidRPr="00237CBD">
        <w:rPr>
          <w:rFonts w:eastAsia="Arial"/>
        </w:rPr>
        <w:t>s Maternity Quality and Safety Programme. Work done under the MQSP will then reflect the consumer members</w:t>
      </w:r>
      <w:r w:rsidR="00F71BF6" w:rsidRPr="00237CBD">
        <w:rPr>
          <w:rFonts w:eastAsia="Arial"/>
        </w:rPr>
        <w:t>’</w:t>
      </w:r>
      <w:r w:rsidRPr="00237CBD">
        <w:rPr>
          <w:rFonts w:eastAsia="Arial"/>
        </w:rPr>
        <w:t xml:space="preserve"> priorities for that community.</w:t>
      </w:r>
    </w:p>
    <w:p w:rsidR="00E06EC4" w:rsidRPr="00237CBD" w:rsidRDefault="00E06EC4" w:rsidP="00BB34CA"/>
    <w:p w:rsidR="00E06EC4" w:rsidRPr="00237CBD" w:rsidRDefault="00E06EC4" w:rsidP="008C6535">
      <w:pPr>
        <w:pStyle w:val="Heading2"/>
        <w:rPr>
          <w:rFonts w:eastAsia="Arial"/>
        </w:rPr>
      </w:pPr>
      <w:bookmarkStart w:id="35" w:name="_Toc404355679"/>
      <w:r w:rsidRPr="00237CBD">
        <w:rPr>
          <w:rFonts w:eastAsia="Arial"/>
        </w:rPr>
        <w:t>What we</w:t>
      </w:r>
      <w:r w:rsidR="00F71BF6" w:rsidRPr="00237CBD">
        <w:rPr>
          <w:rFonts w:eastAsia="Arial"/>
        </w:rPr>
        <w:t>’</w:t>
      </w:r>
      <w:r w:rsidRPr="00237CBD">
        <w:rPr>
          <w:rFonts w:eastAsia="Arial"/>
        </w:rPr>
        <w:t>ve done this year</w:t>
      </w:r>
      <w:bookmarkEnd w:id="35"/>
    </w:p>
    <w:p w:rsidR="00E06EC4" w:rsidRPr="00237CBD" w:rsidRDefault="00E06EC4" w:rsidP="00BB34CA">
      <w:pPr>
        <w:rPr>
          <w:rFonts w:eastAsia="Arial"/>
        </w:rPr>
      </w:pPr>
      <w:r w:rsidRPr="00237CBD">
        <w:rPr>
          <w:rFonts w:eastAsia="Arial"/>
        </w:rPr>
        <w:t>The NMMG</w:t>
      </w:r>
      <w:r w:rsidR="00F71BF6" w:rsidRPr="00237CBD">
        <w:rPr>
          <w:rFonts w:eastAsia="Arial"/>
        </w:rPr>
        <w:t>’</w:t>
      </w:r>
      <w:r w:rsidRPr="00237CBD">
        <w:rPr>
          <w:rFonts w:eastAsia="Arial"/>
        </w:rPr>
        <w:t xml:space="preserve">s consumer member, Rose </w:t>
      </w:r>
      <w:proofErr w:type="spellStart"/>
      <w:r w:rsidRPr="00237CBD">
        <w:rPr>
          <w:rFonts w:eastAsia="Arial"/>
        </w:rPr>
        <w:t>Swindells</w:t>
      </w:r>
      <w:proofErr w:type="spellEnd"/>
      <w:r w:rsidRPr="00237CBD">
        <w:rPr>
          <w:rFonts w:eastAsia="Arial"/>
        </w:rPr>
        <w:t xml:space="preserve">, got </w:t>
      </w:r>
      <w:r w:rsidR="00BB34CA">
        <w:rPr>
          <w:rFonts w:eastAsia="Arial"/>
        </w:rPr>
        <w:t xml:space="preserve">in touch with MQSP </w:t>
      </w:r>
      <w:r w:rsidRPr="00237CBD">
        <w:rPr>
          <w:rFonts w:eastAsia="Arial"/>
        </w:rPr>
        <w:t>coordinators and consumer members in many DHBs.</w:t>
      </w:r>
      <w:r w:rsidR="00BB34CA">
        <w:rPr>
          <w:rFonts w:eastAsia="Arial"/>
        </w:rPr>
        <w:t xml:space="preserve"> She asked them about the </w:t>
      </w:r>
      <w:r w:rsidRPr="00237CBD">
        <w:rPr>
          <w:rFonts w:eastAsia="Arial"/>
        </w:rPr>
        <w:t>consumer representation on their MQSP, other ways they involve consumers and how they support consumer members of the MQSP. She asked consumers whether</w:t>
      </w:r>
      <w:r w:rsidR="00F71BF6" w:rsidRPr="00237CBD">
        <w:rPr>
          <w:rFonts w:eastAsia="Arial"/>
        </w:rPr>
        <w:t xml:space="preserve"> </w:t>
      </w:r>
      <w:r w:rsidRPr="00237CBD">
        <w:rPr>
          <w:rFonts w:eastAsia="Arial"/>
        </w:rPr>
        <w:t>they feel involved and listened to within the MQSP discussions.</w:t>
      </w:r>
    </w:p>
    <w:p w:rsidR="00E06EC4" w:rsidRPr="00237CBD" w:rsidRDefault="00E06EC4" w:rsidP="00BB34CA"/>
    <w:p w:rsidR="00E06EC4" w:rsidRPr="00237CBD" w:rsidRDefault="00E06EC4" w:rsidP="00BB34CA">
      <w:pPr>
        <w:rPr>
          <w:rFonts w:eastAsia="Arial"/>
        </w:rPr>
      </w:pPr>
      <w:r w:rsidRPr="00237CBD">
        <w:rPr>
          <w:rFonts w:eastAsia="Arial"/>
        </w:rPr>
        <w:t>We also asked the Ministry to host a DHB MQSP consumer representative forum, which will</w:t>
      </w:r>
      <w:r w:rsidR="00BB34CA">
        <w:rPr>
          <w:rFonts w:eastAsia="Arial"/>
        </w:rPr>
        <w:t xml:space="preserve"> </w:t>
      </w:r>
      <w:r w:rsidRPr="00237CBD">
        <w:rPr>
          <w:rFonts w:eastAsia="Arial"/>
        </w:rPr>
        <w:t>be held in August 2014. The aim of this being for consumer members of the MQSP in DHBs to share experiences and different ways of working as consumer</w:t>
      </w:r>
      <w:r w:rsidR="00F71BF6" w:rsidRPr="00237CBD">
        <w:rPr>
          <w:rFonts w:eastAsia="Arial"/>
        </w:rPr>
        <w:t xml:space="preserve"> </w:t>
      </w:r>
      <w:r w:rsidRPr="00237CBD">
        <w:rPr>
          <w:rFonts w:eastAsia="Arial"/>
        </w:rPr>
        <w:t>members, and build linkages with consumer organisations with an interest in maternity, in order to support consumer members in their local MQSP roles. We are invited to attend this consumer forum.</w:t>
      </w:r>
    </w:p>
    <w:p w:rsidR="00E06EC4" w:rsidRPr="00237CBD" w:rsidRDefault="00E06EC4" w:rsidP="00BB34CA"/>
    <w:p w:rsidR="00E06EC4" w:rsidRPr="00237CBD" w:rsidRDefault="00E06EC4" w:rsidP="00B8660B">
      <w:pPr>
        <w:pStyle w:val="BoxHeading"/>
        <w:shd w:val="clear" w:color="auto" w:fill="F2F2F2" w:themeFill="background1" w:themeFillShade="F2"/>
        <w:rPr>
          <w:rFonts w:eastAsia="Arial"/>
        </w:rPr>
      </w:pPr>
      <w:r w:rsidRPr="00237CBD">
        <w:rPr>
          <w:rFonts w:eastAsia="Arial"/>
        </w:rPr>
        <w:lastRenderedPageBreak/>
        <w:t>What we found</w:t>
      </w:r>
    </w:p>
    <w:p w:rsidR="00E06EC4" w:rsidRPr="00BB34CA" w:rsidRDefault="00E06EC4" w:rsidP="00B8660B">
      <w:pPr>
        <w:pStyle w:val="Box"/>
        <w:keepNext/>
        <w:shd w:val="clear" w:color="auto" w:fill="F2F2F2" w:themeFill="background1" w:themeFillShade="F2"/>
        <w:spacing w:before="240"/>
        <w:rPr>
          <w:rFonts w:eastAsia="Arial"/>
          <w:b/>
        </w:rPr>
      </w:pPr>
      <w:r w:rsidRPr="00BB34CA">
        <w:rPr>
          <w:rFonts w:eastAsia="Arial"/>
          <w:b/>
        </w:rPr>
        <w:t>Engaging consumers</w:t>
      </w:r>
    </w:p>
    <w:p w:rsidR="00E06EC4" w:rsidRPr="00237CBD" w:rsidRDefault="00E06EC4" w:rsidP="00B8660B">
      <w:pPr>
        <w:pStyle w:val="Box"/>
        <w:shd w:val="clear" w:color="auto" w:fill="F2F2F2" w:themeFill="background1" w:themeFillShade="F2"/>
        <w:rPr>
          <w:rFonts w:eastAsia="Arial"/>
        </w:rPr>
      </w:pPr>
      <w:r w:rsidRPr="00237CBD">
        <w:rPr>
          <w:rFonts w:eastAsia="Arial"/>
        </w:rPr>
        <w:t>We found that most DHBs engage consumers</w:t>
      </w:r>
      <w:r w:rsidR="00F71BF6" w:rsidRPr="00237CBD">
        <w:rPr>
          <w:rFonts w:eastAsia="Arial"/>
        </w:rPr>
        <w:t xml:space="preserve"> </w:t>
      </w:r>
      <w:r w:rsidRPr="00237CBD">
        <w:rPr>
          <w:rFonts w:eastAsia="Arial"/>
        </w:rPr>
        <w:t>in their MQSP by having a consumer member on the governance and operational groups rather than other forms of consumer involvement such as surveys, consumer groups, or links to community groups.</w:t>
      </w:r>
    </w:p>
    <w:p w:rsidR="00E06EC4" w:rsidRPr="00237CBD" w:rsidRDefault="00E06EC4" w:rsidP="00B8660B">
      <w:pPr>
        <w:pStyle w:val="Box"/>
        <w:shd w:val="clear" w:color="auto" w:fill="F2F2F2" w:themeFill="background1" w:themeFillShade="F2"/>
        <w:rPr>
          <w:rFonts w:eastAsia="Arial"/>
        </w:rPr>
      </w:pPr>
      <w:r w:rsidRPr="00237CBD">
        <w:rPr>
          <w:rFonts w:eastAsia="Arial"/>
        </w:rPr>
        <w:t>In general, most DHBs had one consumer</w:t>
      </w:r>
      <w:r w:rsidR="00F71BF6" w:rsidRPr="00237CBD">
        <w:rPr>
          <w:rFonts w:eastAsia="Arial"/>
        </w:rPr>
        <w:t xml:space="preserve"> </w:t>
      </w:r>
      <w:r w:rsidRPr="00237CBD">
        <w:rPr>
          <w:rFonts w:eastAsia="Arial"/>
        </w:rPr>
        <w:t xml:space="preserve">member, except one DHB, which has opted to hold dual consumer and provider meetings. Mostly, consumers were either </w:t>
      </w:r>
      <w:r w:rsidR="00F71BF6" w:rsidRPr="00237CBD">
        <w:rPr>
          <w:rFonts w:eastAsia="Arial"/>
        </w:rPr>
        <w:t>‘</w:t>
      </w:r>
      <w:r w:rsidRPr="00237CBD">
        <w:rPr>
          <w:rFonts w:eastAsia="Arial"/>
        </w:rPr>
        <w:t>shoulder-tapped</w:t>
      </w:r>
      <w:r w:rsidR="00F71BF6" w:rsidRPr="00237CBD">
        <w:rPr>
          <w:rFonts w:eastAsia="Arial"/>
        </w:rPr>
        <w:t>’</w:t>
      </w:r>
      <w:r w:rsidRPr="00237CBD">
        <w:rPr>
          <w:rFonts w:eastAsia="Arial"/>
        </w:rPr>
        <w:t xml:space="preserve"> by MQSP members or were recruited via an Expression of Interest put out by the DHB. In some cases consumers were aligned to community maternity groups.</w:t>
      </w:r>
    </w:p>
    <w:p w:rsidR="00E06EC4" w:rsidRPr="00237CBD" w:rsidRDefault="00E06EC4" w:rsidP="00B8660B">
      <w:pPr>
        <w:pStyle w:val="Box"/>
        <w:shd w:val="clear" w:color="auto" w:fill="F2F2F2" w:themeFill="background1" w:themeFillShade="F2"/>
        <w:rPr>
          <w:rFonts w:eastAsia="Arial"/>
        </w:rPr>
      </w:pPr>
      <w:r w:rsidRPr="00237CBD">
        <w:rPr>
          <w:rFonts w:eastAsia="Arial"/>
        </w:rPr>
        <w:t xml:space="preserve">Some DHBs have tried to invite consumers from specific populations, such as Māori, </w:t>
      </w:r>
      <w:proofErr w:type="spellStart"/>
      <w:r w:rsidRPr="00237CBD">
        <w:rPr>
          <w:rFonts w:eastAsia="Arial"/>
        </w:rPr>
        <w:t>Pasifika</w:t>
      </w:r>
      <w:proofErr w:type="spellEnd"/>
      <w:r w:rsidRPr="00237CBD">
        <w:rPr>
          <w:rFonts w:eastAsia="Arial"/>
        </w:rPr>
        <w:t>, young</w:t>
      </w:r>
      <w:r w:rsidR="00F71BF6" w:rsidRPr="00237CBD">
        <w:rPr>
          <w:rFonts w:eastAsia="Arial"/>
        </w:rPr>
        <w:t xml:space="preserve"> </w:t>
      </w:r>
      <w:r w:rsidRPr="00237CBD">
        <w:rPr>
          <w:rFonts w:eastAsia="Arial"/>
        </w:rPr>
        <w:t>mothers</w:t>
      </w:r>
      <w:r w:rsidR="00F71BF6" w:rsidRPr="00237CBD">
        <w:rPr>
          <w:rFonts w:eastAsia="Arial"/>
        </w:rPr>
        <w:t xml:space="preserve"> </w:t>
      </w:r>
      <w:r w:rsidRPr="00237CBD">
        <w:rPr>
          <w:rFonts w:eastAsia="Arial"/>
        </w:rPr>
        <w:t>or rural communities, to ensure that the MQSP consumers are more representative of the DHB population.</w:t>
      </w:r>
    </w:p>
    <w:p w:rsidR="00E06EC4" w:rsidRPr="00BB34CA" w:rsidRDefault="00E06EC4" w:rsidP="00B8660B">
      <w:pPr>
        <w:pStyle w:val="Box"/>
        <w:shd w:val="clear" w:color="auto" w:fill="F2F2F2" w:themeFill="background1" w:themeFillShade="F2"/>
        <w:spacing w:before="240"/>
        <w:rPr>
          <w:rFonts w:eastAsia="Arial"/>
          <w:b/>
        </w:rPr>
      </w:pPr>
      <w:r w:rsidRPr="00BB34CA">
        <w:rPr>
          <w:rFonts w:eastAsia="Arial"/>
          <w:b/>
        </w:rPr>
        <w:t>The role of consumers</w:t>
      </w:r>
    </w:p>
    <w:p w:rsidR="00E06EC4" w:rsidRPr="00237CBD" w:rsidRDefault="00E06EC4" w:rsidP="00B8660B">
      <w:pPr>
        <w:pStyle w:val="Box"/>
        <w:shd w:val="clear" w:color="auto" w:fill="F2F2F2" w:themeFill="background1" w:themeFillShade="F2"/>
        <w:rPr>
          <w:rFonts w:eastAsia="Arial"/>
        </w:rPr>
      </w:pPr>
      <w:r w:rsidRPr="00237CBD">
        <w:rPr>
          <w:rFonts w:eastAsia="Arial"/>
        </w:rPr>
        <w:t>The consumers who spoke about their role at DHB meetings were still, in the main, struggling and some felt overwhelmed. They believed this was because they have had limited guidance on their role and because they were isolated in their role. The NMMG notes there has been high turnover of consumer members within the MQSP.</w:t>
      </w:r>
    </w:p>
    <w:p w:rsidR="00E06EC4" w:rsidRPr="00237CBD" w:rsidRDefault="00E06EC4" w:rsidP="00B8660B">
      <w:pPr>
        <w:pStyle w:val="Box"/>
        <w:shd w:val="clear" w:color="auto" w:fill="F2F2F2" w:themeFill="background1" w:themeFillShade="F2"/>
        <w:rPr>
          <w:rFonts w:eastAsia="Arial"/>
        </w:rPr>
      </w:pPr>
      <w:r w:rsidRPr="00237CBD">
        <w:rPr>
          <w:rFonts w:eastAsia="Arial"/>
        </w:rPr>
        <w:t>Some consumers also felt as though they were expected to represent the views of all consumers. They were unsure when and how they were expected to engage with other consumers in the community and how they might bring up issues in meetings, even if they have received feedback from their community.</w:t>
      </w:r>
    </w:p>
    <w:p w:rsidR="00E06EC4" w:rsidRPr="00237CBD" w:rsidRDefault="00E06EC4" w:rsidP="00B8660B">
      <w:pPr>
        <w:pStyle w:val="Box"/>
        <w:shd w:val="clear" w:color="auto" w:fill="F2F2F2" w:themeFill="background1" w:themeFillShade="F2"/>
        <w:rPr>
          <w:rFonts w:eastAsia="Arial"/>
        </w:rPr>
      </w:pPr>
      <w:r w:rsidRPr="00237CBD">
        <w:rPr>
          <w:rFonts w:eastAsia="Arial"/>
        </w:rPr>
        <w:t>Most of the consumers acknowledged that there is no clear process for feeding back to the community or even to the women they have spoken with individually. The work at this level is often strategic and it makes it hard to align specific feedback given to consumer members. This was particularly</w:t>
      </w:r>
      <w:r w:rsidR="00F71BF6" w:rsidRPr="00237CBD">
        <w:rPr>
          <w:rFonts w:eastAsia="Arial"/>
        </w:rPr>
        <w:t xml:space="preserve"> </w:t>
      </w:r>
      <w:r w:rsidRPr="00237CBD">
        <w:rPr>
          <w:rFonts w:eastAsia="Arial"/>
        </w:rPr>
        <w:t>difficult when the outcomes of the MQSP group meetings were not always clear.</w:t>
      </w:r>
    </w:p>
    <w:p w:rsidR="00E06EC4" w:rsidRPr="00237CBD" w:rsidRDefault="00E06EC4" w:rsidP="00B8660B">
      <w:pPr>
        <w:pStyle w:val="Box"/>
        <w:shd w:val="clear" w:color="auto" w:fill="F2F2F2" w:themeFill="background1" w:themeFillShade="F2"/>
        <w:rPr>
          <w:rFonts w:eastAsia="Arial"/>
        </w:rPr>
      </w:pPr>
      <w:r w:rsidRPr="00237CBD">
        <w:rPr>
          <w:rFonts w:eastAsia="Arial"/>
        </w:rPr>
        <w:t xml:space="preserve">Many consumer members are uncertain about their on-going role due to the </w:t>
      </w:r>
      <w:r w:rsidR="00F71BF6" w:rsidRPr="00237CBD">
        <w:rPr>
          <w:rFonts w:eastAsia="Arial"/>
        </w:rPr>
        <w:t>“</w:t>
      </w:r>
      <w:r w:rsidRPr="00237CBD">
        <w:rPr>
          <w:rFonts w:eastAsia="Arial"/>
        </w:rPr>
        <w:t>business as usual</w:t>
      </w:r>
      <w:r w:rsidR="00F71BF6" w:rsidRPr="00237CBD">
        <w:rPr>
          <w:rFonts w:eastAsia="Arial"/>
        </w:rPr>
        <w:t>”</w:t>
      </w:r>
      <w:r w:rsidRPr="00237CBD">
        <w:rPr>
          <w:rFonts w:eastAsia="Arial"/>
        </w:rPr>
        <w:t xml:space="preserve"> wording used by the Ministry when discussing the MQSP. Whilst we understand that the Ministry is referring to fact that MQSP will now become a core component of daily DHB practice, consumer members interpreted this as DHBs will be returning to their </w:t>
      </w:r>
      <w:r w:rsidR="00F71BF6" w:rsidRPr="00237CBD">
        <w:rPr>
          <w:rFonts w:eastAsia="Arial"/>
        </w:rPr>
        <w:t>“</w:t>
      </w:r>
      <w:r w:rsidRPr="00237CBD">
        <w:rPr>
          <w:rFonts w:eastAsia="Arial"/>
        </w:rPr>
        <w:t>business as usual</w:t>
      </w:r>
      <w:r w:rsidR="00F71BF6" w:rsidRPr="00237CBD">
        <w:rPr>
          <w:rFonts w:eastAsia="Arial"/>
        </w:rPr>
        <w:t>”</w:t>
      </w:r>
      <w:r w:rsidRPr="00237CBD">
        <w:rPr>
          <w:rFonts w:eastAsia="Arial"/>
        </w:rPr>
        <w:t xml:space="preserve"> model, thereby removing MQSP (and MQSP funding) from their priorities list.</w:t>
      </w:r>
    </w:p>
    <w:p w:rsidR="00E06EC4" w:rsidRPr="00BB34CA" w:rsidRDefault="00E06EC4" w:rsidP="00B8660B">
      <w:pPr>
        <w:pStyle w:val="Box"/>
        <w:shd w:val="clear" w:color="auto" w:fill="F2F2F2" w:themeFill="background1" w:themeFillShade="F2"/>
        <w:spacing w:before="240"/>
        <w:rPr>
          <w:rFonts w:eastAsia="Arial"/>
          <w:b/>
        </w:rPr>
      </w:pPr>
      <w:r w:rsidRPr="00BB34CA">
        <w:rPr>
          <w:rFonts w:eastAsia="Arial"/>
          <w:b/>
        </w:rPr>
        <w:t>Support provided to help consumer members</w:t>
      </w:r>
    </w:p>
    <w:p w:rsidR="00E06EC4" w:rsidRPr="00237CBD" w:rsidRDefault="00E06EC4" w:rsidP="00B8660B">
      <w:pPr>
        <w:pStyle w:val="Box"/>
        <w:shd w:val="clear" w:color="auto" w:fill="F2F2F2" w:themeFill="background1" w:themeFillShade="F2"/>
        <w:rPr>
          <w:rFonts w:eastAsia="Arial"/>
        </w:rPr>
      </w:pPr>
      <w:r w:rsidRPr="00237CBD">
        <w:rPr>
          <w:rFonts w:eastAsia="Arial"/>
        </w:rPr>
        <w:t>All consumer members that we talked to were paid in some form, mostly on an hourly rate, for meetings. It was unclear whether consumers were reimbursed for preparation time outside of meetings. One member is employed as a staff member by the DHB for a small number of hours per week. This representative</w:t>
      </w:r>
      <w:r w:rsidR="00F71BF6" w:rsidRPr="00237CBD">
        <w:rPr>
          <w:rFonts w:eastAsia="Arial"/>
        </w:rPr>
        <w:t xml:space="preserve"> </w:t>
      </w:r>
      <w:r w:rsidRPr="00237CBD">
        <w:rPr>
          <w:rFonts w:eastAsia="Arial"/>
        </w:rPr>
        <w:t>reported having more time to be able to engage with different consumers to reflect the DHB population. All the consumer members we spoke to are keen to collaborate and work hard to improve maternity services in their area. Giving them clarity around their roles and supporting them to contribute fully will ensure this process has integrity.</w:t>
      </w:r>
    </w:p>
    <w:p w:rsidR="00E06EC4" w:rsidRPr="00237CBD" w:rsidRDefault="00E06EC4" w:rsidP="00BB34CA"/>
    <w:p w:rsidR="00E06EC4" w:rsidRPr="00237CBD" w:rsidRDefault="00E06EC4" w:rsidP="007254D8">
      <w:pPr>
        <w:pStyle w:val="BoxHeading"/>
        <w:rPr>
          <w:rFonts w:eastAsia="Arial"/>
        </w:rPr>
      </w:pPr>
      <w:r w:rsidRPr="00237CBD">
        <w:rPr>
          <w:rFonts w:eastAsia="Arial"/>
        </w:rPr>
        <w:lastRenderedPageBreak/>
        <w:t>The changes we expect to see next</w:t>
      </w:r>
    </w:p>
    <w:p w:rsidR="00E06EC4" w:rsidRPr="00237CBD" w:rsidRDefault="00E06EC4" w:rsidP="00B719DC">
      <w:pPr>
        <w:pStyle w:val="Box"/>
        <w:spacing w:before="90"/>
        <w:ind w:left="567" w:hanging="425"/>
        <w:rPr>
          <w:rFonts w:eastAsia="Arial"/>
        </w:rPr>
      </w:pPr>
      <w:r w:rsidRPr="00237CBD">
        <w:rPr>
          <w:rFonts w:eastAsia="Arial"/>
        </w:rPr>
        <w:t>1</w:t>
      </w:r>
      <w:r w:rsidR="007254D8">
        <w:rPr>
          <w:rFonts w:eastAsia="Arial"/>
        </w:rPr>
        <w:tab/>
      </w:r>
      <w:r w:rsidRPr="00237CBD">
        <w:rPr>
          <w:rFonts w:eastAsia="Arial"/>
        </w:rPr>
        <w:t>All DHBs must be clear that the role of consumer representatives on maternity groups is not to represent the individual views of every consumer. Instead, it is to provide a consumer perspective and to link with other consumers or organisations representing consumers in the region. As such, we recommend that the Ministry reconsider the title of the consumers and refer to them as consumer</w:t>
      </w:r>
      <w:r w:rsidR="00F71BF6" w:rsidRPr="00237CBD">
        <w:rPr>
          <w:rFonts w:eastAsia="Arial"/>
        </w:rPr>
        <w:t xml:space="preserve"> </w:t>
      </w:r>
      <w:r w:rsidRPr="00237CBD">
        <w:rPr>
          <w:rFonts w:eastAsia="Arial"/>
        </w:rPr>
        <w:t>members</w:t>
      </w:r>
      <w:r w:rsidR="00F71BF6" w:rsidRPr="00237CBD">
        <w:rPr>
          <w:rFonts w:eastAsia="Arial"/>
        </w:rPr>
        <w:t xml:space="preserve"> </w:t>
      </w:r>
      <w:r w:rsidRPr="00237CBD">
        <w:rPr>
          <w:rFonts w:eastAsia="Arial"/>
        </w:rPr>
        <w:t>of MQSP rather than consumer representatives.</w:t>
      </w:r>
    </w:p>
    <w:p w:rsidR="00E06EC4" w:rsidRPr="00237CBD" w:rsidRDefault="00E06EC4" w:rsidP="00B719DC">
      <w:pPr>
        <w:pStyle w:val="Box"/>
        <w:spacing w:before="90"/>
        <w:ind w:left="567" w:hanging="425"/>
        <w:rPr>
          <w:rFonts w:eastAsia="Arial"/>
        </w:rPr>
      </w:pPr>
      <w:r w:rsidRPr="00237CBD">
        <w:rPr>
          <w:rFonts w:eastAsia="Arial"/>
        </w:rPr>
        <w:t>2</w:t>
      </w:r>
      <w:r w:rsidR="007254D8">
        <w:rPr>
          <w:rFonts w:eastAsia="Arial"/>
        </w:rPr>
        <w:tab/>
      </w:r>
      <w:r w:rsidRPr="00237CBD">
        <w:rPr>
          <w:rFonts w:eastAsia="Arial"/>
        </w:rPr>
        <w:t>Consumer members must be reimbursed in some way for their time.</w:t>
      </w:r>
    </w:p>
    <w:p w:rsidR="00E06EC4" w:rsidRPr="00237CBD" w:rsidRDefault="00E06EC4" w:rsidP="00B719DC">
      <w:pPr>
        <w:pStyle w:val="Box"/>
        <w:spacing w:before="90"/>
        <w:ind w:left="567" w:hanging="425"/>
        <w:rPr>
          <w:rFonts w:eastAsia="Arial"/>
        </w:rPr>
      </w:pPr>
      <w:r w:rsidRPr="00237CBD">
        <w:rPr>
          <w:rFonts w:eastAsia="Arial"/>
        </w:rPr>
        <w:t>3</w:t>
      </w:r>
      <w:r w:rsidR="007254D8">
        <w:rPr>
          <w:rFonts w:eastAsia="Arial"/>
        </w:rPr>
        <w:tab/>
      </w:r>
      <w:r w:rsidRPr="00237CBD">
        <w:rPr>
          <w:rFonts w:eastAsia="Arial"/>
        </w:rPr>
        <w:t xml:space="preserve">DHBs must support consumer members by facilitating different ways for them to link in with women in the community and give them the means to </w:t>
      </w:r>
      <w:proofErr w:type="spellStart"/>
      <w:r w:rsidRPr="00237CBD">
        <w:rPr>
          <w:rFonts w:eastAsia="Arial"/>
        </w:rPr>
        <w:t>feed back</w:t>
      </w:r>
      <w:proofErr w:type="spellEnd"/>
      <w:r w:rsidRPr="00237CBD">
        <w:rPr>
          <w:rFonts w:eastAsia="Arial"/>
        </w:rPr>
        <w:t xml:space="preserve"> information to the MQSP.</w:t>
      </w:r>
    </w:p>
    <w:p w:rsidR="00E06EC4" w:rsidRPr="00237CBD" w:rsidRDefault="00E06EC4" w:rsidP="00B719DC">
      <w:pPr>
        <w:pStyle w:val="Box"/>
        <w:spacing w:before="90"/>
        <w:ind w:left="567" w:hanging="425"/>
        <w:rPr>
          <w:rFonts w:eastAsia="Arial"/>
        </w:rPr>
      </w:pPr>
      <w:r w:rsidRPr="00237CBD">
        <w:rPr>
          <w:rFonts w:eastAsia="Arial"/>
        </w:rPr>
        <w:t>4</w:t>
      </w:r>
      <w:r w:rsidR="007254D8">
        <w:rPr>
          <w:rFonts w:eastAsia="Arial"/>
        </w:rPr>
        <w:tab/>
      </w:r>
      <w:r w:rsidRPr="00237CBD">
        <w:rPr>
          <w:rFonts w:eastAsia="Arial"/>
        </w:rPr>
        <w:t>The Ministry needs to reassure consumer members that MQSP remains a core component of DHB practice.</w:t>
      </w:r>
    </w:p>
    <w:p w:rsidR="00E06EC4" w:rsidRPr="00237CBD" w:rsidRDefault="00E06EC4" w:rsidP="00B719DC">
      <w:pPr>
        <w:pStyle w:val="Box"/>
        <w:spacing w:before="90"/>
        <w:ind w:left="567" w:hanging="425"/>
        <w:rPr>
          <w:rFonts w:eastAsia="Arial"/>
        </w:rPr>
      </w:pPr>
      <w:r w:rsidRPr="00237CBD">
        <w:rPr>
          <w:rFonts w:eastAsia="Arial"/>
        </w:rPr>
        <w:t>5</w:t>
      </w:r>
      <w:r w:rsidR="007254D8">
        <w:rPr>
          <w:rFonts w:eastAsia="Arial"/>
        </w:rPr>
        <w:tab/>
      </w:r>
      <w:r w:rsidRPr="00237CBD">
        <w:rPr>
          <w:rFonts w:eastAsia="Arial"/>
        </w:rPr>
        <w:t>We also expect the Ministry to hold a second consumer member forum in 2015 to ensure that consumer members can build on this year</w:t>
      </w:r>
      <w:r w:rsidR="00F71BF6" w:rsidRPr="00237CBD">
        <w:rPr>
          <w:rFonts w:eastAsia="Arial"/>
        </w:rPr>
        <w:t>’</w:t>
      </w:r>
      <w:r w:rsidRPr="00237CBD">
        <w:rPr>
          <w:rFonts w:eastAsia="Arial"/>
        </w:rPr>
        <w:t>s forum with a further chance to meet and provide support to each other nationally.</w:t>
      </w:r>
    </w:p>
    <w:p w:rsidR="00E06EC4" w:rsidRPr="00237CBD" w:rsidRDefault="00E06EC4" w:rsidP="00B719DC">
      <w:pPr>
        <w:pStyle w:val="Box"/>
        <w:spacing w:before="90"/>
        <w:ind w:left="567" w:hanging="425"/>
        <w:rPr>
          <w:rFonts w:eastAsia="Arial"/>
        </w:rPr>
      </w:pPr>
      <w:r w:rsidRPr="00237CBD">
        <w:rPr>
          <w:rFonts w:eastAsia="Arial"/>
        </w:rPr>
        <w:t>6</w:t>
      </w:r>
      <w:r w:rsidR="007254D8">
        <w:rPr>
          <w:rFonts w:eastAsia="Arial"/>
        </w:rPr>
        <w:tab/>
      </w:r>
      <w:r w:rsidRPr="00237CBD">
        <w:rPr>
          <w:rFonts w:eastAsia="Arial"/>
        </w:rPr>
        <w:t xml:space="preserve">We would also like to see the development of networking tools such as a </w:t>
      </w:r>
      <w:proofErr w:type="spellStart"/>
      <w:r w:rsidRPr="00237CBD">
        <w:rPr>
          <w:rFonts w:eastAsia="Arial"/>
        </w:rPr>
        <w:t>facebook</w:t>
      </w:r>
      <w:proofErr w:type="spellEnd"/>
      <w:r w:rsidR="00F71BF6" w:rsidRPr="00237CBD">
        <w:rPr>
          <w:rFonts w:eastAsia="Arial"/>
        </w:rPr>
        <w:t xml:space="preserve"> </w:t>
      </w:r>
      <w:r w:rsidRPr="00237CBD">
        <w:rPr>
          <w:rFonts w:eastAsia="Arial"/>
        </w:rPr>
        <w:t>page so that consumer members can build their networks and have a platform to share concerns or raise issues that are occurring within their DHBs.</w:t>
      </w:r>
    </w:p>
    <w:p w:rsidR="00E06EC4" w:rsidRPr="00237CBD" w:rsidRDefault="00E06EC4" w:rsidP="00E06EC4"/>
    <w:p w:rsidR="00E06EC4" w:rsidRPr="00237CBD" w:rsidRDefault="00E06EC4" w:rsidP="007254D8">
      <w:pPr>
        <w:pStyle w:val="Heading2"/>
        <w:rPr>
          <w:rFonts w:eastAsia="Arial"/>
        </w:rPr>
      </w:pPr>
      <w:bookmarkStart w:id="36" w:name="_Toc404355680"/>
      <w:r w:rsidRPr="00237CBD">
        <w:rPr>
          <w:rFonts w:eastAsia="Arial"/>
        </w:rPr>
        <w:t>Good example of promoting</w:t>
      </w:r>
      <w:r w:rsidR="007254D8">
        <w:rPr>
          <w:rFonts w:eastAsia="Arial"/>
        </w:rPr>
        <w:t xml:space="preserve"> </w:t>
      </w:r>
      <w:r w:rsidRPr="00237CBD">
        <w:rPr>
          <w:rFonts w:eastAsia="Arial"/>
        </w:rPr>
        <w:t>consumer engagement</w:t>
      </w:r>
      <w:bookmarkEnd w:id="36"/>
    </w:p>
    <w:p w:rsidR="00E06EC4" w:rsidRPr="00237CBD" w:rsidRDefault="00E06EC4" w:rsidP="007254D8">
      <w:pPr>
        <w:pStyle w:val="Heading3"/>
        <w:rPr>
          <w:rFonts w:eastAsia="Arial"/>
        </w:rPr>
      </w:pPr>
      <w:proofErr w:type="spellStart"/>
      <w:r w:rsidRPr="00237CBD">
        <w:rPr>
          <w:rFonts w:eastAsia="Arial"/>
        </w:rPr>
        <w:t>Waitemata</w:t>
      </w:r>
      <w:proofErr w:type="spellEnd"/>
      <w:r w:rsidRPr="00237CBD">
        <w:rPr>
          <w:rFonts w:eastAsia="Arial"/>
        </w:rPr>
        <w:t xml:space="preserve"> DHB</w:t>
      </w:r>
    </w:p>
    <w:p w:rsidR="00E06EC4" w:rsidRPr="00237CBD" w:rsidRDefault="00E06EC4" w:rsidP="00E864E6">
      <w:pPr>
        <w:rPr>
          <w:rFonts w:eastAsia="Arial"/>
        </w:rPr>
      </w:pPr>
      <w:proofErr w:type="spellStart"/>
      <w:r w:rsidRPr="00237CBD">
        <w:rPr>
          <w:rFonts w:eastAsia="Arial"/>
        </w:rPr>
        <w:t>Waitemata</w:t>
      </w:r>
      <w:proofErr w:type="spellEnd"/>
      <w:r w:rsidRPr="00237CBD">
        <w:rPr>
          <w:rFonts w:eastAsia="Arial"/>
        </w:rPr>
        <w:t xml:space="preserve"> DHB provided</w:t>
      </w:r>
      <w:r w:rsidR="00F71BF6" w:rsidRPr="00237CBD">
        <w:rPr>
          <w:rFonts w:eastAsia="Arial"/>
        </w:rPr>
        <w:t xml:space="preserve"> </w:t>
      </w:r>
      <w:r w:rsidRPr="00237CBD">
        <w:rPr>
          <w:rFonts w:eastAsia="Arial"/>
        </w:rPr>
        <w:t>information on their consumer representatives as part of their draft MQSP annual</w:t>
      </w:r>
      <w:r w:rsidR="00F71BF6" w:rsidRPr="00237CBD">
        <w:rPr>
          <w:rFonts w:eastAsia="Arial"/>
        </w:rPr>
        <w:t xml:space="preserve"> </w:t>
      </w:r>
      <w:r w:rsidRPr="00237CBD">
        <w:rPr>
          <w:rFonts w:eastAsia="Arial"/>
        </w:rPr>
        <w:t>report. The DHB</w:t>
      </w:r>
      <w:r w:rsidR="00F71BF6" w:rsidRPr="00237CBD">
        <w:rPr>
          <w:rFonts w:eastAsia="Arial"/>
        </w:rPr>
        <w:t>’</w:t>
      </w:r>
      <w:r w:rsidRPr="00237CBD">
        <w:rPr>
          <w:rFonts w:eastAsia="Arial"/>
        </w:rPr>
        <w:t>s MQSP clinical governance group has two consumer representatives. They have been part of these meetings since mid-2013.</w:t>
      </w:r>
    </w:p>
    <w:p w:rsidR="00E06EC4" w:rsidRPr="00237CBD" w:rsidRDefault="00E06EC4" w:rsidP="00B719DC">
      <w:pPr>
        <w:spacing w:before="180"/>
        <w:rPr>
          <w:rFonts w:eastAsia="Arial"/>
        </w:rPr>
      </w:pPr>
      <w:r w:rsidRPr="00237CBD">
        <w:rPr>
          <w:rFonts w:eastAsia="Arial"/>
        </w:rPr>
        <w:t xml:space="preserve">The consumer representatives are supported by the MQSP coordinator. The coordinator provides training, as well as regular contact and meetings to support them in their role. They receive remuneration for attendance at meetings which includes time for reading required information. Remuneration is given in accordance with the </w:t>
      </w:r>
      <w:proofErr w:type="spellStart"/>
      <w:r w:rsidRPr="00237CBD">
        <w:rPr>
          <w:rFonts w:eastAsia="Arial"/>
        </w:rPr>
        <w:t>Waitemata</w:t>
      </w:r>
      <w:proofErr w:type="spellEnd"/>
      <w:r w:rsidRPr="00237CBD">
        <w:rPr>
          <w:rFonts w:eastAsia="Arial"/>
        </w:rPr>
        <w:t xml:space="preserve"> DHB non-employee schedule.</w:t>
      </w:r>
    </w:p>
    <w:p w:rsidR="00E06EC4" w:rsidRPr="00237CBD" w:rsidRDefault="00E06EC4" w:rsidP="00B719DC">
      <w:pPr>
        <w:spacing w:before="180"/>
        <w:rPr>
          <w:rFonts w:eastAsia="Arial"/>
        </w:rPr>
      </w:pPr>
      <w:r w:rsidRPr="00237CBD">
        <w:rPr>
          <w:rFonts w:eastAsia="Arial"/>
        </w:rPr>
        <w:t>Both consumer representatives provide feedback to the clinical governance group. They are also actively involved in planning and providing oversight to the consumer feedback process.</w:t>
      </w:r>
      <w:r w:rsidR="00E864E6">
        <w:rPr>
          <w:rFonts w:eastAsia="Arial"/>
        </w:rPr>
        <w:t xml:space="preserve"> </w:t>
      </w:r>
      <w:r w:rsidRPr="00237CBD">
        <w:rPr>
          <w:rFonts w:eastAsia="Arial"/>
        </w:rPr>
        <w:t xml:space="preserve">In the </w:t>
      </w:r>
      <w:proofErr w:type="spellStart"/>
      <w:r w:rsidRPr="00237CBD">
        <w:rPr>
          <w:rFonts w:eastAsia="Arial"/>
        </w:rPr>
        <w:t>Waitemata</w:t>
      </w:r>
      <w:proofErr w:type="spellEnd"/>
      <w:r w:rsidRPr="00237CBD">
        <w:rPr>
          <w:rFonts w:eastAsia="Arial"/>
        </w:rPr>
        <w:t xml:space="preserve"> MQSP draft annual report, there was also a small section written by these two consumer representatives.</w:t>
      </w:r>
    </w:p>
    <w:p w:rsidR="00E06EC4" w:rsidRPr="00237CBD" w:rsidRDefault="00E06EC4" w:rsidP="00B719DC">
      <w:pPr>
        <w:spacing w:before="180"/>
        <w:rPr>
          <w:rFonts w:eastAsia="Arial"/>
        </w:rPr>
      </w:pPr>
      <w:r w:rsidRPr="00237CBD">
        <w:rPr>
          <w:rFonts w:eastAsia="Arial"/>
        </w:rPr>
        <w:t>Both representatives feel acknowledged and respected at the monthly meetings. They pointed out that other members of the clinical governance group make a particular effort to explain and engage them during meetings. They believe that their greatest impact has been on representing consumers with regard to proposed research, and in developing the idea of electronic feedback stations for consumers within services.</w:t>
      </w:r>
    </w:p>
    <w:p w:rsidR="00E06EC4" w:rsidRPr="00237CBD" w:rsidRDefault="00E06EC4" w:rsidP="00B719DC">
      <w:pPr>
        <w:spacing w:before="180"/>
        <w:rPr>
          <w:rFonts w:eastAsia="Arial"/>
        </w:rPr>
      </w:pPr>
      <w:r w:rsidRPr="00237CBD">
        <w:rPr>
          <w:rFonts w:eastAsia="Arial"/>
        </w:rPr>
        <w:t>The DHB</w:t>
      </w:r>
      <w:r w:rsidR="00F71BF6" w:rsidRPr="00237CBD">
        <w:rPr>
          <w:rFonts w:eastAsia="Arial"/>
        </w:rPr>
        <w:t>’</w:t>
      </w:r>
      <w:r w:rsidRPr="00237CBD">
        <w:rPr>
          <w:rFonts w:eastAsia="Arial"/>
        </w:rPr>
        <w:t xml:space="preserve">s MQSP draft annual report states that they are also currently considering how best to communicate regularly with consumers of </w:t>
      </w:r>
      <w:proofErr w:type="spellStart"/>
      <w:r w:rsidRPr="00237CBD">
        <w:rPr>
          <w:rFonts w:eastAsia="Arial"/>
        </w:rPr>
        <w:t>Waitemata</w:t>
      </w:r>
      <w:proofErr w:type="spellEnd"/>
      <w:r w:rsidRPr="00237CBD">
        <w:rPr>
          <w:rFonts w:eastAsia="Arial"/>
        </w:rPr>
        <w:t xml:space="preserve"> DHB services in a broader sense.</w:t>
      </w:r>
    </w:p>
    <w:p w:rsidR="007254D8" w:rsidRDefault="007254D8" w:rsidP="007254D8">
      <w:pPr>
        <w:rPr>
          <w:rFonts w:eastAsia="Arial"/>
        </w:rPr>
      </w:pPr>
      <w:r>
        <w:rPr>
          <w:rFonts w:eastAsia="Arial"/>
        </w:rPr>
        <w:br w:type="page"/>
      </w:r>
    </w:p>
    <w:p w:rsidR="00E06EC4" w:rsidRPr="00237CBD" w:rsidRDefault="00E06EC4" w:rsidP="007254D8">
      <w:pPr>
        <w:pStyle w:val="Heading1"/>
        <w:rPr>
          <w:rFonts w:eastAsia="Arial"/>
        </w:rPr>
      </w:pPr>
      <w:bookmarkStart w:id="37" w:name="_Toc404355681"/>
      <w:r w:rsidRPr="00237CBD">
        <w:rPr>
          <w:rFonts w:eastAsia="Arial"/>
        </w:rPr>
        <w:lastRenderedPageBreak/>
        <w:t>The New Zealand</w:t>
      </w:r>
      <w:r w:rsidR="007254D8">
        <w:rPr>
          <w:rFonts w:eastAsia="Arial"/>
        </w:rPr>
        <w:t xml:space="preserve"> </w:t>
      </w:r>
      <w:r w:rsidRPr="00237CBD">
        <w:rPr>
          <w:rFonts w:eastAsia="Arial"/>
        </w:rPr>
        <w:t>Maternity Clinical Indicators</w:t>
      </w:r>
      <w:bookmarkEnd w:id="37"/>
    </w:p>
    <w:p w:rsidR="00E06EC4" w:rsidRPr="00237CBD" w:rsidRDefault="00E06EC4" w:rsidP="007254D8">
      <w:pPr>
        <w:pStyle w:val="Heading2"/>
        <w:rPr>
          <w:rFonts w:eastAsia="Arial"/>
        </w:rPr>
      </w:pPr>
      <w:bookmarkStart w:id="38" w:name="_Toc404355682"/>
      <w:r w:rsidRPr="00237CBD">
        <w:rPr>
          <w:rFonts w:eastAsia="Arial"/>
        </w:rPr>
        <w:t>Our focus</w:t>
      </w:r>
      <w:bookmarkEnd w:id="38"/>
    </w:p>
    <w:p w:rsidR="00E06EC4" w:rsidRPr="00237CBD" w:rsidRDefault="00E06EC4" w:rsidP="00B719DC">
      <w:pPr>
        <w:pStyle w:val="Introparagraph"/>
      </w:pPr>
      <w:proofErr w:type="gramStart"/>
      <w:r w:rsidRPr="00237CBD">
        <w:t>To review and contribute advice on the N</w:t>
      </w:r>
      <w:r w:rsidR="00B719DC">
        <w:t>ew Zealand</w:t>
      </w:r>
      <w:r w:rsidRPr="00237CBD">
        <w:t xml:space="preserve"> Maternity Clinical Indicators to the Ministr</w:t>
      </w:r>
      <w:r w:rsidR="00B719DC">
        <w:t>y.</w:t>
      </w:r>
      <w:proofErr w:type="gramEnd"/>
    </w:p>
    <w:p w:rsidR="00E06EC4" w:rsidRPr="00237CBD" w:rsidRDefault="00E06EC4" w:rsidP="00B719DC"/>
    <w:p w:rsidR="00E06EC4" w:rsidRPr="00B719DC" w:rsidRDefault="00E06EC4" w:rsidP="00B719DC">
      <w:pPr>
        <w:rPr>
          <w:rFonts w:eastAsia="Arial"/>
        </w:rPr>
      </w:pPr>
      <w:r w:rsidRPr="00237CBD">
        <w:rPr>
          <w:rFonts w:eastAsia="Arial"/>
        </w:rPr>
        <w:t xml:space="preserve">The Clinical Indicators are a set of clinically relevant </w:t>
      </w:r>
      <w:r w:rsidR="00B719DC">
        <w:rPr>
          <w:rFonts w:eastAsia="Arial"/>
        </w:rPr>
        <w:t xml:space="preserve">issues, </w:t>
      </w:r>
      <w:r w:rsidRPr="00237CBD">
        <w:rPr>
          <w:rFonts w:eastAsia="Arial"/>
        </w:rPr>
        <w:t>which can be measured using available data collec</w:t>
      </w:r>
      <w:r w:rsidR="00B719DC">
        <w:rPr>
          <w:rFonts w:eastAsia="Arial"/>
        </w:rPr>
        <w:t>tions.</w:t>
      </w:r>
      <w:r w:rsidRPr="00237CBD">
        <w:rPr>
          <w:rFonts w:eastAsia="Arial"/>
        </w:rPr>
        <w:t xml:space="preserve"> They are a key part of the national MQSP as they a</w:t>
      </w:r>
      <w:r w:rsidR="00B719DC">
        <w:rPr>
          <w:rFonts w:eastAsia="Arial"/>
        </w:rPr>
        <w:t>llow</w:t>
      </w:r>
      <w:r w:rsidRPr="00237CBD">
        <w:rPr>
          <w:rFonts w:eastAsia="Arial"/>
        </w:rPr>
        <w:t xml:space="preserve"> clinical data to be benchmarked at the national level using standardised definitions. The Clinical Indicators were chosen by an expert working gro</w:t>
      </w:r>
      <w:r w:rsidR="00B719DC">
        <w:rPr>
          <w:rFonts w:eastAsia="Arial"/>
        </w:rPr>
        <w:t>up</w:t>
      </w:r>
      <w:r w:rsidRPr="00237CBD">
        <w:rPr>
          <w:rFonts w:eastAsia="Arial"/>
        </w:rPr>
        <w:t xml:space="preserve"> established by the Ministry and indicators build</w:t>
      </w:r>
      <w:r w:rsidR="00B719DC">
        <w:rPr>
          <w:rFonts w:eastAsia="Arial"/>
        </w:rPr>
        <w:t xml:space="preserve"> </w:t>
      </w:r>
      <w:r w:rsidRPr="00237CBD">
        <w:rPr>
          <w:rFonts w:eastAsia="Arial"/>
        </w:rPr>
        <w:t>on previous work undertaken across Australasia. Reports discussing the Clinical Indicators have now been released containing data from 2009,</w:t>
      </w:r>
      <w:r w:rsidR="00B719DC">
        <w:rPr>
          <w:rFonts w:eastAsia="Arial"/>
        </w:rPr>
        <w:t xml:space="preserve"> </w:t>
      </w:r>
      <w:r w:rsidRPr="00237CBD">
        <w:rPr>
          <w:rFonts w:eastAsia="Arial"/>
        </w:rPr>
        <w:t>2010 and 2011.</w:t>
      </w:r>
      <w:r w:rsidR="00B719DC">
        <w:rPr>
          <w:rStyle w:val="FootnoteReference"/>
          <w:rFonts w:eastAsia="Arial"/>
        </w:rPr>
        <w:footnoteReference w:id="11"/>
      </w:r>
      <w:proofErr w:type="gramStart"/>
      <w:r w:rsidR="00B719DC" w:rsidRPr="00B719DC">
        <w:rPr>
          <w:rFonts w:eastAsia="Arial"/>
          <w:vertAlign w:val="superscript"/>
        </w:rPr>
        <w:t xml:space="preserve">, </w:t>
      </w:r>
      <w:proofErr w:type="gramEnd"/>
      <w:r w:rsidR="00B719DC">
        <w:rPr>
          <w:rStyle w:val="FootnoteReference"/>
          <w:rFonts w:eastAsia="Arial"/>
        </w:rPr>
        <w:footnoteReference w:id="12"/>
      </w:r>
      <w:r w:rsidR="00B719DC" w:rsidRPr="00B719DC">
        <w:rPr>
          <w:rFonts w:eastAsia="Arial"/>
          <w:vertAlign w:val="superscript"/>
        </w:rPr>
        <w:t xml:space="preserve">, </w:t>
      </w:r>
      <w:r w:rsidR="00B719DC">
        <w:rPr>
          <w:rStyle w:val="FootnoteReference"/>
          <w:rFonts w:eastAsia="Arial"/>
        </w:rPr>
        <w:footnoteReference w:id="13"/>
      </w:r>
    </w:p>
    <w:p w:rsidR="00E06EC4" w:rsidRPr="00237CBD" w:rsidRDefault="00E06EC4" w:rsidP="00B719DC"/>
    <w:p w:rsidR="00E06EC4" w:rsidRPr="00237CBD" w:rsidRDefault="00E06EC4" w:rsidP="00B719DC">
      <w:pPr>
        <w:rPr>
          <w:rFonts w:eastAsia="Arial"/>
        </w:rPr>
      </w:pPr>
      <w:r w:rsidRPr="00237CBD">
        <w:rPr>
          <w:rFonts w:eastAsia="Arial"/>
        </w:rPr>
        <w:t>Last year, the NMMG reviewed the 2011 Clinical</w:t>
      </w:r>
      <w:r w:rsidR="00B719DC">
        <w:rPr>
          <w:rFonts w:eastAsia="Arial"/>
        </w:rPr>
        <w:t xml:space="preserve"> </w:t>
      </w:r>
      <w:r w:rsidRPr="00237CBD">
        <w:rPr>
          <w:rFonts w:eastAsia="Arial"/>
        </w:rPr>
        <w:t>Indicators as a part of ensuring that Standard</w:t>
      </w:r>
      <w:r w:rsidR="00B719DC">
        <w:rPr>
          <w:rFonts w:eastAsia="Arial"/>
        </w:rPr>
        <w:t xml:space="preserve"> </w:t>
      </w:r>
      <w:r w:rsidRPr="00237CBD">
        <w:rPr>
          <w:rFonts w:eastAsia="Arial"/>
        </w:rPr>
        <w:t>One of the National Maternity Standards is met, in that maternity services provide</w:t>
      </w:r>
      <w:r w:rsidR="00F71BF6" w:rsidRPr="00237CBD">
        <w:rPr>
          <w:rFonts w:eastAsia="Arial"/>
        </w:rPr>
        <w:t xml:space="preserve"> </w:t>
      </w:r>
      <w:r w:rsidRPr="00237CBD">
        <w:rPr>
          <w:rFonts w:eastAsia="Arial"/>
        </w:rPr>
        <w:t xml:space="preserve">safe, high-quality services that are nationally consistent and achieve optimal health outcomes for mothers and babies. </w:t>
      </w:r>
      <w:r w:rsidR="00B719DC">
        <w:rPr>
          <w:rFonts w:eastAsia="Arial"/>
        </w:rPr>
        <w:t xml:space="preserve">We </w:t>
      </w:r>
      <w:r w:rsidRPr="00237CBD">
        <w:rPr>
          <w:rFonts w:eastAsia="Arial"/>
        </w:rPr>
        <w:t>also supported revisions to the Clinical Indicators t</w:t>
      </w:r>
      <w:r w:rsidR="00B719DC">
        <w:rPr>
          <w:rFonts w:eastAsia="Arial"/>
        </w:rPr>
        <w:t>o</w:t>
      </w:r>
      <w:r w:rsidRPr="00237CBD">
        <w:rPr>
          <w:rFonts w:eastAsia="Arial"/>
        </w:rPr>
        <w:t xml:space="preserve"> support the 2012 report.</w:t>
      </w:r>
    </w:p>
    <w:p w:rsidR="00E06EC4" w:rsidRPr="00237CBD" w:rsidRDefault="00E06EC4" w:rsidP="00B719DC"/>
    <w:p w:rsidR="00E06EC4" w:rsidRPr="00237CBD" w:rsidRDefault="00E06EC4" w:rsidP="00B719DC">
      <w:pPr>
        <w:rPr>
          <w:rFonts w:eastAsia="Arial"/>
        </w:rPr>
      </w:pPr>
      <w:r w:rsidRPr="00237CBD">
        <w:rPr>
          <w:rFonts w:eastAsia="Arial"/>
        </w:rPr>
        <w:t>Due to the timing of the development of the next C</w:t>
      </w:r>
      <w:r w:rsidR="00B719DC">
        <w:rPr>
          <w:rFonts w:eastAsia="Arial"/>
        </w:rPr>
        <w:t>linical</w:t>
      </w:r>
      <w:r w:rsidRPr="00237CBD">
        <w:rPr>
          <w:rFonts w:eastAsia="Arial"/>
        </w:rPr>
        <w:t xml:space="preserve"> Indicators report, we were not able to review the 2</w:t>
      </w:r>
      <w:r w:rsidR="00B719DC">
        <w:rPr>
          <w:rFonts w:eastAsia="Arial"/>
        </w:rPr>
        <w:t xml:space="preserve">012 Clinical </w:t>
      </w:r>
      <w:r w:rsidRPr="00237CBD">
        <w:rPr>
          <w:rFonts w:eastAsia="Arial"/>
        </w:rPr>
        <w:t>Indicators prior to the publication of this report. In</w:t>
      </w:r>
      <w:r w:rsidR="00B719DC">
        <w:rPr>
          <w:rFonts w:eastAsia="Arial"/>
        </w:rPr>
        <w:t>stead, we focused</w:t>
      </w:r>
      <w:r w:rsidRPr="00237CBD">
        <w:rPr>
          <w:rFonts w:eastAsia="Arial"/>
        </w:rPr>
        <w:t xml:space="preserve"> on the clinical coding that affects the data collated</w:t>
      </w:r>
      <w:r w:rsidR="00B719DC">
        <w:rPr>
          <w:rFonts w:eastAsia="Arial"/>
        </w:rPr>
        <w:t xml:space="preserve"> in the Clinical Indicators </w:t>
      </w:r>
      <w:r w:rsidRPr="00237CBD">
        <w:rPr>
          <w:rFonts w:eastAsia="Arial"/>
        </w:rPr>
        <w:t>reports. The aim of this was to ensure that the quality of data collected is nationally consistent. This issue is also particularly</w:t>
      </w:r>
      <w:r w:rsidR="00F71BF6" w:rsidRPr="00237CBD">
        <w:rPr>
          <w:rFonts w:eastAsia="Arial"/>
        </w:rPr>
        <w:t xml:space="preserve"> </w:t>
      </w:r>
      <w:r w:rsidRPr="00237CBD">
        <w:rPr>
          <w:rFonts w:eastAsia="Arial"/>
        </w:rPr>
        <w:t>important to ensuring that Standard One is met.</w:t>
      </w:r>
    </w:p>
    <w:p w:rsidR="00E06EC4" w:rsidRPr="00237CBD" w:rsidRDefault="00E06EC4" w:rsidP="00B719DC"/>
    <w:p w:rsidR="00E06EC4" w:rsidRPr="00237CBD" w:rsidRDefault="00E06EC4" w:rsidP="008C6535">
      <w:pPr>
        <w:pStyle w:val="Heading2"/>
        <w:rPr>
          <w:rFonts w:eastAsia="Arial"/>
        </w:rPr>
      </w:pPr>
      <w:bookmarkStart w:id="39" w:name="_Toc404355683"/>
      <w:r w:rsidRPr="00237CBD">
        <w:rPr>
          <w:rFonts w:eastAsia="Arial"/>
        </w:rPr>
        <w:t>What we</w:t>
      </w:r>
      <w:r w:rsidR="00F71BF6" w:rsidRPr="00237CBD">
        <w:rPr>
          <w:rFonts w:eastAsia="Arial"/>
        </w:rPr>
        <w:t>’</w:t>
      </w:r>
      <w:r w:rsidRPr="00237CBD">
        <w:rPr>
          <w:rFonts w:eastAsia="Arial"/>
        </w:rPr>
        <w:t>ve done this year</w:t>
      </w:r>
      <w:bookmarkEnd w:id="39"/>
    </w:p>
    <w:p w:rsidR="00E06EC4" w:rsidRPr="00237CBD" w:rsidRDefault="00E06EC4" w:rsidP="00B719DC">
      <w:pPr>
        <w:rPr>
          <w:rFonts w:eastAsia="Arial"/>
        </w:rPr>
      </w:pPr>
      <w:r w:rsidRPr="00237CBD">
        <w:rPr>
          <w:rFonts w:eastAsia="Arial"/>
        </w:rPr>
        <w:t>We liaised with the Ministry regarding the information used in the 2012 Clinic</w:t>
      </w:r>
      <w:r w:rsidR="00B719DC">
        <w:rPr>
          <w:rFonts w:eastAsia="Arial"/>
        </w:rPr>
        <w:t>al</w:t>
      </w:r>
      <w:r w:rsidRPr="00237CBD">
        <w:rPr>
          <w:rFonts w:eastAsia="Arial"/>
        </w:rPr>
        <w:t xml:space="preserve"> Indicators and the recommendations we made in the NMMG</w:t>
      </w:r>
      <w:r w:rsidR="00F71BF6" w:rsidRPr="00237CBD">
        <w:rPr>
          <w:rFonts w:eastAsia="Arial"/>
        </w:rPr>
        <w:t>’</w:t>
      </w:r>
      <w:r w:rsidRPr="00237CBD">
        <w:rPr>
          <w:rFonts w:eastAsia="Arial"/>
        </w:rPr>
        <w:t>s 2013 Annual Re</w:t>
      </w:r>
      <w:r w:rsidR="00B719DC">
        <w:rPr>
          <w:rFonts w:eastAsia="Arial"/>
        </w:rPr>
        <w:t>port. We</w:t>
      </w:r>
      <w:r w:rsidRPr="00237CBD">
        <w:rPr>
          <w:rFonts w:eastAsia="Arial"/>
        </w:rPr>
        <w:t xml:space="preserve"> were keen for the Ministry to consult with the original expert working group re</w:t>
      </w:r>
      <w:r w:rsidR="00B719DC">
        <w:rPr>
          <w:rFonts w:eastAsia="Arial"/>
        </w:rPr>
        <w:t>sponsible for</w:t>
      </w:r>
      <w:r w:rsidRPr="00237CBD">
        <w:rPr>
          <w:rFonts w:eastAsia="Arial"/>
        </w:rPr>
        <w:t xml:space="preserve"> developing the Maternity Clinical Indicators. Unfortunately, this process mean</w:t>
      </w:r>
      <w:r w:rsidR="00B719DC">
        <w:rPr>
          <w:rFonts w:eastAsia="Arial"/>
        </w:rPr>
        <w:t>t that the 2012 Clinical Indicators were not</w:t>
      </w:r>
      <w:r w:rsidRPr="00237CBD">
        <w:rPr>
          <w:rFonts w:eastAsia="Arial"/>
        </w:rPr>
        <w:t xml:space="preserve"> published prior to the publication of the NMMG</w:t>
      </w:r>
      <w:r w:rsidR="00F71BF6" w:rsidRPr="00237CBD">
        <w:rPr>
          <w:rFonts w:eastAsia="Arial"/>
        </w:rPr>
        <w:t>’</w:t>
      </w:r>
      <w:r w:rsidRPr="00237CBD">
        <w:rPr>
          <w:rFonts w:eastAsia="Arial"/>
        </w:rPr>
        <w:t>s 2014 Annual Report.</w:t>
      </w:r>
    </w:p>
    <w:p w:rsidR="00E06EC4" w:rsidRPr="00237CBD" w:rsidRDefault="00E06EC4" w:rsidP="00B719DC"/>
    <w:p w:rsidR="00E06EC4" w:rsidRPr="00237CBD" w:rsidRDefault="00E06EC4" w:rsidP="00B719DC">
      <w:pPr>
        <w:rPr>
          <w:rFonts w:eastAsia="Arial"/>
        </w:rPr>
      </w:pPr>
      <w:r w:rsidRPr="00237CBD">
        <w:rPr>
          <w:rFonts w:eastAsia="Arial"/>
        </w:rPr>
        <w:t>Due to this delay, we focused instead on the national consistency of maternity clinical coding. This coding can affect the data reviewed in the Maternity Clinical Indicators reports. In feedback to the NMMG, some DHBs expressed concern</w:t>
      </w:r>
      <w:r w:rsidR="00F71BF6" w:rsidRPr="00237CBD">
        <w:rPr>
          <w:rFonts w:eastAsia="Arial"/>
        </w:rPr>
        <w:t xml:space="preserve"> </w:t>
      </w:r>
      <w:r w:rsidRPr="00237CBD">
        <w:rPr>
          <w:rFonts w:eastAsia="Arial"/>
        </w:rPr>
        <w:t>that their data did not match the data collected by the Ministry and subsequently reviewed by the NMMG. We asked MQSP coordinators for their thoughts on clinical coding in their regions.</w:t>
      </w:r>
    </w:p>
    <w:p w:rsidR="00E06EC4" w:rsidRPr="00237CBD" w:rsidRDefault="00E06EC4" w:rsidP="00B719DC"/>
    <w:bookmarkStart w:id="40" w:name="_Toc404355684"/>
    <w:p w:rsidR="00E06EC4" w:rsidRPr="00237CBD" w:rsidRDefault="001171C6" w:rsidP="00B719DC">
      <w:pPr>
        <w:pStyle w:val="Heading2"/>
        <w:rPr>
          <w:rFonts w:eastAsia="Arial"/>
        </w:rPr>
      </w:pPr>
      <w:r>
        <w:rPr>
          <w:noProof/>
          <w:lang w:eastAsia="en-NZ"/>
        </w:rPr>
        <w:lastRenderedPageBreak/>
        <mc:AlternateContent>
          <mc:Choice Requires="wps">
            <w:drawing>
              <wp:anchor distT="0" distB="0" distL="114300" distR="0" simplePos="0" relativeHeight="251875328" behindDoc="0" locked="0" layoutInCell="1" allowOverlap="0" wp14:anchorId="1D5FCF7D" wp14:editId="7FA7BB82">
                <wp:simplePos x="0" y="0"/>
                <wp:positionH relativeFrom="column">
                  <wp:posOffset>3383280</wp:posOffset>
                </wp:positionH>
                <wp:positionV relativeFrom="paragraph">
                  <wp:posOffset>38100</wp:posOffset>
                </wp:positionV>
                <wp:extent cx="2148840" cy="3249930"/>
                <wp:effectExtent l="0" t="0" r="3810" b="7620"/>
                <wp:wrapSquare wrapText="lef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249930"/>
                        </a:xfrm>
                        <a:prstGeom prst="rect">
                          <a:avLst/>
                        </a:prstGeom>
                        <a:solidFill>
                          <a:schemeClr val="bg1">
                            <a:lumMod val="95000"/>
                          </a:schemeClr>
                        </a:solidFill>
                        <a:ln w="9525">
                          <a:noFill/>
                          <a:miter lim="800000"/>
                          <a:headEnd/>
                          <a:tailEnd/>
                        </a:ln>
                      </wps:spPr>
                      <wps:txbx>
                        <w:txbxContent>
                          <w:p w:rsidR="00EE698E" w:rsidRPr="00401EE8" w:rsidRDefault="00EE698E" w:rsidP="001171C6">
                            <w:pPr>
                              <w:pStyle w:val="Textbox"/>
                              <w:rPr>
                                <w:b/>
                                <w:sz w:val="24"/>
                              </w:rPr>
                            </w:pPr>
                            <w:r w:rsidRPr="00401EE8">
                              <w:rPr>
                                <w:b/>
                                <w:sz w:val="24"/>
                              </w:rPr>
                              <w:t>What we found</w:t>
                            </w:r>
                          </w:p>
                          <w:p w:rsidR="00EE698E" w:rsidRDefault="00EE698E" w:rsidP="001171C6">
                            <w:pPr>
                              <w:pStyle w:val="Textbox"/>
                            </w:pPr>
                            <w:r w:rsidRPr="00237CBD">
                              <w:t>The Ministry agreed to make the changes we recommended, which were supported by the Clinical Indicators Expert Working Group. The next Clinical Indicators report is in development.</w:t>
                            </w:r>
                          </w:p>
                          <w:p w:rsidR="00EE698E" w:rsidRDefault="00EE698E" w:rsidP="001171C6">
                            <w:pPr>
                              <w:pStyle w:val="Textbox"/>
                            </w:pPr>
                            <w:r w:rsidRPr="00237CBD">
                              <w:t>In terms of DHB clinical coding, we found that there is significant variation in the quality of maternity coding within, and between, DHBs. Some DHBs have only one person doing all the maternity coding (which helps with consistency), whilst others consider it a general item.</w:t>
                            </w:r>
                          </w:p>
                          <w:p w:rsidR="00EE698E" w:rsidRPr="00237CBD" w:rsidRDefault="00EE698E" w:rsidP="001171C6">
                            <w:pPr>
                              <w:pStyle w:val="Textbox"/>
                            </w:pPr>
                            <w:r w:rsidRPr="00237CBD">
                              <w:t>At present there are no national training programmes available for maternity coders.</w:t>
                            </w:r>
                          </w:p>
                        </w:txbxContent>
                      </wps:txbx>
                      <wps:bodyPr rot="0" vert="horz" wrap="square" lIns="0" tIns="72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66.4pt;margin-top:3pt;width:169.2pt;height:255.9pt;z-index:251875328;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" o:allowoverlap="f" fillcolor="#f2f2f2 [3052]" stroked="f">
                <v:textbox inset="0,2mm,0,0">
                  <w:txbxContent>
                    <w:p w:rsidR="00EE698E" w:rsidRPr="00401EE8" w:rsidRDefault="00EE698E" w:rsidP="001171C6">
                      <w:pPr>
                        <w:pStyle w:val="Textbox"/>
                        <w:rPr>
                          <w:b/>
                          <w:sz w:val="24"/>
                        </w:rPr>
                      </w:pPr>
                      <w:r w:rsidRPr="00401EE8">
                        <w:rPr>
                          <w:b/>
                          <w:sz w:val="24"/>
                        </w:rPr>
                        <w:t>What we found</w:t>
                      </w:r>
                    </w:p>
                    <w:p w:rsidR="00EE698E" w:rsidRDefault="00EE698E" w:rsidP="001171C6">
                      <w:pPr>
                        <w:pStyle w:val="Textbox"/>
                      </w:pPr>
                      <w:r w:rsidRPr="00237CBD">
                        <w:t>The Ministry agreed to make the changes we recommended, which were supported by the Clinical Indicators Expert Working Group. The next Clinical Indicators report is in development.</w:t>
                      </w:r>
                    </w:p>
                    <w:p w:rsidR="00EE698E" w:rsidRDefault="00EE698E" w:rsidP="001171C6">
                      <w:pPr>
                        <w:pStyle w:val="Textbox"/>
                      </w:pPr>
                      <w:r w:rsidRPr="00237CBD">
                        <w:t>In terms of DHB clinical coding, we found that there is significant variation in the quality of maternity coding within, and between, DHBs. Some DHBs have only one person doing all the maternity coding (which helps with consistency), whilst others consider it a general item.</w:t>
                      </w:r>
                    </w:p>
                    <w:p w:rsidR="00EE698E" w:rsidRPr="00237CBD" w:rsidRDefault="00EE698E" w:rsidP="001171C6">
                      <w:pPr>
                        <w:pStyle w:val="Textbox"/>
                      </w:pPr>
                      <w:r w:rsidRPr="00237CBD">
                        <w:t>At present there are no national training programmes available for maternity coders.</w:t>
                      </w:r>
                    </w:p>
                  </w:txbxContent>
                </v:textbox>
                <w10:wrap type="square" side="left"/>
              </v:shape>
            </w:pict>
          </mc:Fallback>
        </mc:AlternateContent>
      </w:r>
      <w:r w:rsidR="00E06EC4" w:rsidRPr="00237CBD">
        <w:rPr>
          <w:rFonts w:eastAsia="Arial"/>
        </w:rPr>
        <w:t xml:space="preserve">In 2013 we </w:t>
      </w:r>
      <w:proofErr w:type="gramStart"/>
      <w:r w:rsidR="00E06EC4" w:rsidRPr="00237CBD">
        <w:rPr>
          <w:rFonts w:eastAsia="Arial"/>
        </w:rPr>
        <w:t>recommended</w:t>
      </w:r>
      <w:r w:rsidR="00B719DC">
        <w:rPr>
          <w:rFonts w:eastAsia="Arial"/>
        </w:rPr>
        <w:t xml:space="preserve"> ...</w:t>
      </w:r>
      <w:bookmarkEnd w:id="40"/>
      <w:proofErr w:type="gramEnd"/>
    </w:p>
    <w:p w:rsidR="00E06EC4" w:rsidRPr="00237CBD" w:rsidRDefault="00E06EC4" w:rsidP="00B719DC">
      <w:pPr>
        <w:pStyle w:val="Introparagraph"/>
      </w:pPr>
      <w:r w:rsidRPr="00237CBD">
        <w:t>In our 2013 Annual Report, we suggested that the Ministry introduced to the current Maternity Clinical Indicators a number of new or revised indicators:</w:t>
      </w:r>
    </w:p>
    <w:p w:rsidR="00E06EC4" w:rsidRPr="00237CBD" w:rsidRDefault="00E06EC4" w:rsidP="00471058"/>
    <w:p w:rsidR="00E06EC4" w:rsidRPr="00237CBD" w:rsidRDefault="00E06EC4" w:rsidP="001C47E8">
      <w:pPr>
        <w:pStyle w:val="Heading3"/>
        <w:rPr>
          <w:rFonts w:eastAsia="Arial"/>
        </w:rPr>
      </w:pPr>
      <w:r w:rsidRPr="00237CBD">
        <w:rPr>
          <w:rFonts w:eastAsia="Arial"/>
        </w:rPr>
        <w:t>Additions to the indicator set</w:t>
      </w:r>
    </w:p>
    <w:p w:rsidR="00E06EC4" w:rsidRPr="00237CBD" w:rsidRDefault="00E06EC4" w:rsidP="001C47E8">
      <w:pPr>
        <w:spacing w:before="120"/>
        <w:ind w:left="425" w:hanging="425"/>
        <w:rPr>
          <w:rFonts w:eastAsia="Arial"/>
        </w:rPr>
      </w:pPr>
      <w:r w:rsidRPr="00237CBD">
        <w:rPr>
          <w:rFonts w:eastAsia="Arial"/>
        </w:rPr>
        <w:t>1</w:t>
      </w:r>
      <w:r w:rsidR="00471058">
        <w:rPr>
          <w:rFonts w:eastAsia="Arial"/>
        </w:rPr>
        <w:tab/>
      </w:r>
      <w:r w:rsidRPr="00237CBD">
        <w:rPr>
          <w:rFonts w:eastAsia="Arial"/>
        </w:rPr>
        <w:t>Timing of first registration with LMC or DHB maternity services (to reflect the NMMG</w:t>
      </w:r>
      <w:r w:rsidR="00F71BF6" w:rsidRPr="00237CBD">
        <w:rPr>
          <w:rFonts w:eastAsia="Arial"/>
        </w:rPr>
        <w:t>’</w:t>
      </w:r>
      <w:r w:rsidRPr="00237CBD">
        <w:rPr>
          <w:rFonts w:eastAsia="Arial"/>
        </w:rPr>
        <w:t>s work stream on this issue)</w:t>
      </w:r>
      <w:r w:rsidR="00471058">
        <w:rPr>
          <w:rFonts w:eastAsia="Arial"/>
        </w:rPr>
        <w:t>.</w:t>
      </w:r>
    </w:p>
    <w:p w:rsidR="00E06EC4" w:rsidRPr="00237CBD" w:rsidRDefault="00E06EC4" w:rsidP="001C47E8">
      <w:pPr>
        <w:spacing w:before="120"/>
        <w:ind w:left="425" w:hanging="425"/>
        <w:rPr>
          <w:rFonts w:eastAsia="Arial"/>
        </w:rPr>
      </w:pPr>
      <w:r w:rsidRPr="00237CBD">
        <w:rPr>
          <w:rFonts w:eastAsia="Arial"/>
        </w:rPr>
        <w:t>2</w:t>
      </w:r>
      <w:r w:rsidR="00471058">
        <w:rPr>
          <w:rFonts w:eastAsia="Arial"/>
        </w:rPr>
        <w:tab/>
      </w:r>
      <w:r w:rsidRPr="00237CBD">
        <w:rPr>
          <w:rFonts w:eastAsia="Arial"/>
        </w:rPr>
        <w:t xml:space="preserve">Maternal tobacco use (to support the work of the maternity indicator in the Better Help for Smokers to </w:t>
      </w:r>
      <w:proofErr w:type="gramStart"/>
      <w:r w:rsidRPr="00237CBD">
        <w:rPr>
          <w:rFonts w:eastAsia="Arial"/>
        </w:rPr>
        <w:t>Quit</w:t>
      </w:r>
      <w:proofErr w:type="gramEnd"/>
      <w:r w:rsidRPr="00237CBD">
        <w:rPr>
          <w:rFonts w:eastAsia="Arial"/>
        </w:rPr>
        <w:t xml:space="preserve"> target)</w:t>
      </w:r>
      <w:r w:rsidR="00471058">
        <w:rPr>
          <w:rFonts w:eastAsia="Arial"/>
        </w:rPr>
        <w:t>.</w:t>
      </w:r>
    </w:p>
    <w:p w:rsidR="00E06EC4" w:rsidRPr="00237CBD" w:rsidRDefault="001C47E8" w:rsidP="001C47E8">
      <w:pPr>
        <w:spacing w:before="120"/>
        <w:ind w:left="425" w:hanging="425"/>
        <w:rPr>
          <w:rFonts w:eastAsia="Arial"/>
        </w:rPr>
      </w:pPr>
      <w:r>
        <w:rPr>
          <w:noProof/>
          <w:lang w:eastAsia="en-NZ"/>
        </w:rPr>
        <mc:AlternateContent>
          <mc:Choice Requires="wps">
            <w:drawing>
              <wp:anchor distT="0" distB="0" distL="114300" distR="0" simplePos="0" relativeHeight="251877376" behindDoc="0" locked="0" layoutInCell="1" allowOverlap="0" wp14:anchorId="0DB143DA" wp14:editId="6484B093">
                <wp:simplePos x="0" y="0"/>
                <wp:positionH relativeFrom="column">
                  <wp:posOffset>3383280</wp:posOffset>
                </wp:positionH>
                <wp:positionV relativeFrom="paragraph">
                  <wp:posOffset>333375</wp:posOffset>
                </wp:positionV>
                <wp:extent cx="2148840" cy="5469255"/>
                <wp:effectExtent l="0" t="0" r="3810" b="0"/>
                <wp:wrapSquare wrapText="lef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5469255"/>
                        </a:xfrm>
                        <a:prstGeom prst="rect">
                          <a:avLst/>
                        </a:prstGeom>
                        <a:solidFill>
                          <a:srgbClr val="C0C0C0"/>
                        </a:solidFill>
                        <a:ln w="9525">
                          <a:noFill/>
                          <a:miter lim="800000"/>
                          <a:headEnd/>
                          <a:tailEnd/>
                        </a:ln>
                      </wps:spPr>
                      <wps:txbx>
                        <w:txbxContent>
                          <w:p w:rsidR="00EE698E" w:rsidRPr="00401EE8" w:rsidRDefault="00EE698E" w:rsidP="00AF1319">
                            <w:pPr>
                              <w:pStyle w:val="Textbox"/>
                              <w:shd w:val="clear" w:color="auto" w:fill="C0C0C0"/>
                              <w:rPr>
                                <w:b/>
                                <w:sz w:val="24"/>
                              </w:rPr>
                            </w:pPr>
                            <w:r>
                              <w:rPr>
                                <w:b/>
                                <w:sz w:val="24"/>
                              </w:rPr>
                              <w:t>The changes we expect to see next</w:t>
                            </w:r>
                          </w:p>
                          <w:p w:rsidR="00EE698E" w:rsidRPr="00237CBD" w:rsidRDefault="00EE698E" w:rsidP="00AF1319">
                            <w:pPr>
                              <w:pStyle w:val="Textbox"/>
                              <w:shd w:val="clear" w:color="auto" w:fill="C0C0C0"/>
                              <w:ind w:left="426" w:hanging="284"/>
                            </w:pPr>
                            <w:r>
                              <w:t>1</w:t>
                            </w:r>
                            <w:r>
                              <w:tab/>
                            </w:r>
                            <w:r w:rsidRPr="00237CBD">
                              <w:t>Ministry have been advised of our concerns and asked to meet with representatives of NMMG in relation to looking at coding of data concerns</w:t>
                            </w:r>
                            <w:r>
                              <w:t>.</w:t>
                            </w:r>
                          </w:p>
                          <w:p w:rsidR="00EE698E" w:rsidRPr="00237CBD" w:rsidRDefault="00EE698E" w:rsidP="00AF1319">
                            <w:pPr>
                              <w:pStyle w:val="Textbox"/>
                              <w:shd w:val="clear" w:color="auto" w:fill="C0C0C0"/>
                              <w:ind w:left="426" w:hanging="284"/>
                            </w:pPr>
                            <w:r w:rsidRPr="00237CBD">
                              <w:t>2</w:t>
                            </w:r>
                            <w:r>
                              <w:tab/>
                            </w:r>
                            <w:r w:rsidRPr="00237CBD">
                              <w:t>DHBs need to provide more support for clinical maternity coders, including appropriate documentation regarding guidelines for maternity coding, in order to improve their data quality.</w:t>
                            </w:r>
                          </w:p>
                          <w:p w:rsidR="00EE698E" w:rsidRPr="00237CBD" w:rsidRDefault="00EE698E" w:rsidP="00AF1319">
                            <w:pPr>
                              <w:pStyle w:val="Textbox"/>
                              <w:shd w:val="clear" w:color="auto" w:fill="C0C0C0"/>
                              <w:ind w:left="426" w:hanging="284"/>
                            </w:pPr>
                            <w:r w:rsidRPr="00237CBD">
                              <w:t>3</w:t>
                            </w:r>
                            <w:r>
                              <w:tab/>
                            </w:r>
                            <w:r w:rsidRPr="00237CBD">
                              <w:t>Communication between the coders and maternity clinicians in each DHB also needs attention. Therefore, we recommend that the Ministry runs maternity coding workshops with coders and maternity clinical leaders in each DHB. We expect these to be facilitated by a maternity clinical coding expert to ensure national consistency.</w:t>
                            </w:r>
                          </w:p>
                          <w:p w:rsidR="00EE698E" w:rsidRPr="00237CBD" w:rsidRDefault="00EE698E" w:rsidP="00AF1319">
                            <w:pPr>
                              <w:pStyle w:val="Textbox"/>
                              <w:shd w:val="clear" w:color="auto" w:fill="C0C0C0"/>
                              <w:ind w:left="426" w:hanging="284"/>
                            </w:pPr>
                            <w:r w:rsidRPr="00237CBD">
                              <w:t>4</w:t>
                            </w:r>
                            <w:r>
                              <w:tab/>
                            </w:r>
                            <w:r w:rsidRPr="00237CBD">
                              <w:t>The expert working group has</w:t>
                            </w:r>
                            <w:r>
                              <w:t xml:space="preserve"> </w:t>
                            </w:r>
                            <w:r w:rsidRPr="00237CBD">
                              <w:t>met and responded to the NMMG suggestions and we have, in the main, accepted their advice. The next publication of the indicators should now be released.</w:t>
                            </w:r>
                          </w:p>
                        </w:txbxContent>
                      </wps:txbx>
                      <wps:bodyPr rot="0" vert="horz" wrap="square" lIns="0" tIns="72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266.4pt;margin-top:26.25pt;width:169.2pt;height:430.65pt;z-index:251877376;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" o:allowoverlap="f" fillcolor="silver" stroked="f">
                <v:textbox inset="0,2mm,0,0">
                  <w:txbxContent>
                    <w:p w:rsidR="00EE698E" w:rsidRPr="00401EE8" w:rsidRDefault="00EE698E" w:rsidP="00AF1319">
                      <w:pPr>
                        <w:pStyle w:val="Textbox"/>
                        <w:shd w:val="clear" w:color="auto" w:fill="C0C0C0"/>
                        <w:rPr>
                          <w:b/>
                          <w:sz w:val="24"/>
                        </w:rPr>
                      </w:pPr>
                      <w:r>
                        <w:rPr>
                          <w:b/>
                          <w:sz w:val="24"/>
                        </w:rPr>
                        <w:t>The changes we expect to see next</w:t>
                      </w:r>
                    </w:p>
                    <w:p w:rsidR="00EE698E" w:rsidRPr="00237CBD" w:rsidRDefault="00EE698E" w:rsidP="00AF1319">
                      <w:pPr>
                        <w:pStyle w:val="Textbox"/>
                        <w:shd w:val="clear" w:color="auto" w:fill="C0C0C0"/>
                        <w:ind w:left="426" w:hanging="284"/>
                      </w:pPr>
                      <w:r>
                        <w:t>1</w:t>
                      </w:r>
                      <w:r>
                        <w:tab/>
                      </w:r>
                      <w:r w:rsidRPr="00237CBD">
                        <w:t>Ministry have been advised of our concerns and asked to meet with representatives of NMMG in relation to looking at coding of data concerns</w:t>
                      </w:r>
                      <w:r>
                        <w:t>.</w:t>
                      </w:r>
                    </w:p>
                    <w:p w:rsidR="00EE698E" w:rsidRPr="00237CBD" w:rsidRDefault="00EE698E" w:rsidP="00AF1319">
                      <w:pPr>
                        <w:pStyle w:val="Textbox"/>
                        <w:shd w:val="clear" w:color="auto" w:fill="C0C0C0"/>
                        <w:ind w:left="426" w:hanging="284"/>
                      </w:pPr>
                      <w:r w:rsidRPr="00237CBD">
                        <w:t>2</w:t>
                      </w:r>
                      <w:r>
                        <w:tab/>
                      </w:r>
                      <w:r w:rsidRPr="00237CBD">
                        <w:t>DHBs need to provide more support for clinical maternity coders, including appropriate documentation regarding guidelines for maternity coding, in order to improve their data quality.</w:t>
                      </w:r>
                    </w:p>
                    <w:p w:rsidR="00EE698E" w:rsidRPr="00237CBD" w:rsidRDefault="00EE698E" w:rsidP="00AF1319">
                      <w:pPr>
                        <w:pStyle w:val="Textbox"/>
                        <w:shd w:val="clear" w:color="auto" w:fill="C0C0C0"/>
                        <w:ind w:left="426" w:hanging="284"/>
                      </w:pPr>
                      <w:r w:rsidRPr="00237CBD">
                        <w:t>3</w:t>
                      </w:r>
                      <w:r>
                        <w:tab/>
                      </w:r>
                      <w:r w:rsidRPr="00237CBD">
                        <w:t>Communication between the coders and maternity clinicians in each DHB also needs attention. Therefore, we recommend that the Ministry runs maternity coding workshops with coders and maternity clinical leaders in each DHB. We expect these to be facilitated by a maternity clinical coding expert to ensure national consistency.</w:t>
                      </w:r>
                    </w:p>
                    <w:p w:rsidR="00EE698E" w:rsidRPr="00237CBD" w:rsidRDefault="00EE698E" w:rsidP="00AF1319">
                      <w:pPr>
                        <w:pStyle w:val="Textbox"/>
                        <w:shd w:val="clear" w:color="auto" w:fill="C0C0C0"/>
                        <w:ind w:left="426" w:hanging="284"/>
                      </w:pPr>
                      <w:r w:rsidRPr="00237CBD">
                        <w:t>4</w:t>
                      </w:r>
                      <w:r>
                        <w:tab/>
                      </w:r>
                      <w:r w:rsidRPr="00237CBD">
                        <w:t>The expert working group has</w:t>
                      </w:r>
                      <w:r>
                        <w:t xml:space="preserve"> </w:t>
                      </w:r>
                      <w:r w:rsidRPr="00237CBD">
                        <w:t>met and responded to the NMMG suggestions and we have, in the main, accepted their advice. The next publication of the indicators should now be released.</w:t>
                      </w:r>
                    </w:p>
                  </w:txbxContent>
                </v:textbox>
                <w10:wrap type="square" side="left"/>
              </v:shape>
            </w:pict>
          </mc:Fallback>
        </mc:AlternateContent>
      </w:r>
      <w:r w:rsidR="00E06EC4" w:rsidRPr="00237CBD">
        <w:rPr>
          <w:rFonts w:eastAsia="Arial"/>
        </w:rPr>
        <w:t>3</w:t>
      </w:r>
      <w:r w:rsidR="00471058">
        <w:rPr>
          <w:rFonts w:eastAsia="Arial"/>
        </w:rPr>
        <w:tab/>
      </w:r>
      <w:r w:rsidR="00E06EC4" w:rsidRPr="00237CBD">
        <w:rPr>
          <w:rFonts w:eastAsia="Arial"/>
        </w:rPr>
        <w:t>Maternal Intensive Care Unit (ICU) and High Dependency Unit</w:t>
      </w:r>
      <w:r w:rsidR="00471058">
        <w:rPr>
          <w:rFonts w:eastAsia="Arial"/>
        </w:rPr>
        <w:t xml:space="preserve"> </w:t>
      </w:r>
      <w:r w:rsidR="00E06EC4" w:rsidRPr="00237CBD">
        <w:rPr>
          <w:rFonts w:eastAsia="Arial"/>
        </w:rPr>
        <w:t>(HDU) admissions</w:t>
      </w:r>
      <w:r w:rsidR="00471058">
        <w:rPr>
          <w:rFonts w:eastAsia="Arial"/>
        </w:rPr>
        <w:t>.</w:t>
      </w:r>
    </w:p>
    <w:p w:rsidR="00E06EC4" w:rsidRPr="00237CBD" w:rsidRDefault="00E06EC4" w:rsidP="001C47E8">
      <w:pPr>
        <w:spacing w:before="120"/>
        <w:ind w:left="425" w:hanging="425"/>
        <w:rPr>
          <w:rFonts w:eastAsia="Arial"/>
        </w:rPr>
      </w:pPr>
      <w:r w:rsidRPr="00237CBD">
        <w:rPr>
          <w:rFonts w:eastAsia="Arial"/>
        </w:rPr>
        <w:t>4</w:t>
      </w:r>
      <w:r w:rsidR="00471058">
        <w:rPr>
          <w:rFonts w:eastAsia="Arial"/>
        </w:rPr>
        <w:tab/>
      </w:r>
      <w:r w:rsidRPr="00237CBD">
        <w:rPr>
          <w:rFonts w:eastAsia="Arial"/>
        </w:rPr>
        <w:t>Term babies (without congenital abnormality) transferred to</w:t>
      </w:r>
      <w:r w:rsidR="00471058">
        <w:rPr>
          <w:rFonts w:eastAsia="Arial"/>
        </w:rPr>
        <w:t xml:space="preserve"> </w:t>
      </w:r>
      <w:r w:rsidRPr="00237CBD">
        <w:rPr>
          <w:rFonts w:eastAsia="Arial"/>
        </w:rPr>
        <w:t>Neonatal Intensive Care Units/Special</w:t>
      </w:r>
      <w:r w:rsidR="00F71BF6" w:rsidRPr="00237CBD">
        <w:rPr>
          <w:rFonts w:eastAsia="Arial"/>
        </w:rPr>
        <w:t xml:space="preserve"> </w:t>
      </w:r>
      <w:r w:rsidRPr="00237CBD">
        <w:rPr>
          <w:rFonts w:eastAsia="Arial"/>
        </w:rPr>
        <w:t>Care Baby Units</w:t>
      </w:r>
      <w:r w:rsidR="00471058">
        <w:rPr>
          <w:rFonts w:eastAsia="Arial"/>
        </w:rPr>
        <w:t>.</w:t>
      </w:r>
    </w:p>
    <w:p w:rsidR="00E06EC4" w:rsidRPr="00237CBD" w:rsidRDefault="00E06EC4" w:rsidP="001C47E8">
      <w:pPr>
        <w:spacing w:before="120"/>
        <w:ind w:left="425" w:hanging="425"/>
        <w:rPr>
          <w:rFonts w:eastAsia="Arial"/>
        </w:rPr>
      </w:pPr>
      <w:r w:rsidRPr="00237CBD">
        <w:rPr>
          <w:rFonts w:eastAsia="Arial"/>
        </w:rPr>
        <w:t>5</w:t>
      </w:r>
      <w:r w:rsidR="00471058">
        <w:rPr>
          <w:rFonts w:eastAsia="Arial"/>
        </w:rPr>
        <w:tab/>
      </w:r>
      <w:r w:rsidRPr="00237CBD">
        <w:rPr>
          <w:rFonts w:eastAsia="Arial"/>
        </w:rPr>
        <w:t>Eclampsia</w:t>
      </w:r>
      <w:r w:rsidR="00471058">
        <w:rPr>
          <w:rFonts w:eastAsia="Arial"/>
        </w:rPr>
        <w:t>.</w:t>
      </w:r>
    </w:p>
    <w:p w:rsidR="00E06EC4" w:rsidRPr="00237CBD" w:rsidRDefault="00E06EC4" w:rsidP="001C47E8">
      <w:pPr>
        <w:spacing w:before="120"/>
        <w:ind w:left="425" w:hanging="425"/>
        <w:rPr>
          <w:rFonts w:eastAsia="Arial"/>
        </w:rPr>
      </w:pPr>
      <w:r w:rsidRPr="00237CBD">
        <w:rPr>
          <w:rFonts w:eastAsia="Arial"/>
        </w:rPr>
        <w:t>6</w:t>
      </w:r>
      <w:r w:rsidR="00471058">
        <w:rPr>
          <w:rFonts w:eastAsia="Arial"/>
        </w:rPr>
        <w:tab/>
      </w:r>
      <w:r w:rsidRPr="00237CBD">
        <w:rPr>
          <w:rFonts w:eastAsia="Arial"/>
        </w:rPr>
        <w:t>Small for gestational age (less than 10th percentile)</w:t>
      </w:r>
      <w:r w:rsidR="00471058">
        <w:rPr>
          <w:rFonts w:eastAsia="Arial"/>
        </w:rPr>
        <w:t>.</w:t>
      </w:r>
    </w:p>
    <w:p w:rsidR="00E06EC4" w:rsidRPr="00237CBD" w:rsidRDefault="00E06EC4" w:rsidP="001C47E8">
      <w:pPr>
        <w:spacing w:before="120"/>
        <w:ind w:left="425" w:hanging="425"/>
        <w:rPr>
          <w:rFonts w:eastAsia="Arial"/>
        </w:rPr>
      </w:pPr>
      <w:r w:rsidRPr="00237CBD">
        <w:rPr>
          <w:rFonts w:eastAsia="Arial"/>
        </w:rPr>
        <w:t>7</w:t>
      </w:r>
      <w:r w:rsidR="00471058">
        <w:rPr>
          <w:rFonts w:eastAsia="Arial"/>
        </w:rPr>
        <w:tab/>
      </w:r>
      <w:r w:rsidRPr="00237CBD">
        <w:rPr>
          <w:rFonts w:eastAsia="Arial"/>
        </w:rPr>
        <w:t xml:space="preserve">Vaginal Births </w:t>
      </w:r>
      <w:proofErr w:type="gramStart"/>
      <w:r w:rsidRPr="00237CBD">
        <w:rPr>
          <w:rFonts w:eastAsia="Arial"/>
        </w:rPr>
        <w:t>After</w:t>
      </w:r>
      <w:proofErr w:type="gramEnd"/>
      <w:r w:rsidRPr="00237CBD">
        <w:rPr>
          <w:rFonts w:eastAsia="Arial"/>
        </w:rPr>
        <w:t xml:space="preserve"> Caesarean (VBAC).</w:t>
      </w:r>
    </w:p>
    <w:p w:rsidR="00E06EC4" w:rsidRPr="00237CBD" w:rsidRDefault="00E06EC4" w:rsidP="001171C6"/>
    <w:p w:rsidR="00E06EC4" w:rsidRPr="00237CBD" w:rsidRDefault="00E06EC4" w:rsidP="001C47E8">
      <w:pPr>
        <w:pStyle w:val="Heading3"/>
        <w:rPr>
          <w:rFonts w:eastAsia="Arial"/>
        </w:rPr>
      </w:pPr>
      <w:r w:rsidRPr="00237CBD">
        <w:rPr>
          <w:rFonts w:eastAsia="Arial"/>
        </w:rPr>
        <w:t xml:space="preserve">Modifications to the definition of standard </w:t>
      </w:r>
      <w:proofErr w:type="spellStart"/>
      <w:r w:rsidRPr="00237CBD">
        <w:rPr>
          <w:rFonts w:eastAsia="Arial"/>
        </w:rPr>
        <w:t>primiparae</w:t>
      </w:r>
      <w:proofErr w:type="spellEnd"/>
      <w:r w:rsidRPr="00237CBD">
        <w:rPr>
          <w:rFonts w:eastAsia="Arial"/>
        </w:rPr>
        <w:t xml:space="preserve"> in the</w:t>
      </w:r>
      <w:r w:rsidR="00471058">
        <w:rPr>
          <w:rFonts w:eastAsia="Arial"/>
        </w:rPr>
        <w:t xml:space="preserve"> </w:t>
      </w:r>
      <w:r w:rsidRPr="00237CBD">
        <w:rPr>
          <w:rFonts w:eastAsia="Arial"/>
        </w:rPr>
        <w:t>Maternity</w:t>
      </w:r>
      <w:r w:rsidR="00F71BF6" w:rsidRPr="00237CBD">
        <w:rPr>
          <w:rFonts w:eastAsia="Arial"/>
        </w:rPr>
        <w:t xml:space="preserve"> </w:t>
      </w:r>
      <w:r w:rsidRPr="00237CBD">
        <w:rPr>
          <w:rFonts w:eastAsia="Arial"/>
        </w:rPr>
        <w:t>Clinical Indicators</w:t>
      </w:r>
    </w:p>
    <w:p w:rsidR="00E468EE" w:rsidRDefault="00E06EC4" w:rsidP="001C47E8">
      <w:pPr>
        <w:spacing w:before="120"/>
        <w:ind w:left="425" w:hanging="425"/>
        <w:rPr>
          <w:rFonts w:eastAsia="Arial"/>
        </w:rPr>
      </w:pPr>
      <w:r w:rsidRPr="00237CBD">
        <w:rPr>
          <w:rFonts w:eastAsia="Arial"/>
        </w:rPr>
        <w:t>1</w:t>
      </w:r>
      <w:r w:rsidR="00E468EE">
        <w:rPr>
          <w:rFonts w:eastAsia="Arial"/>
        </w:rPr>
        <w:tab/>
      </w:r>
      <w:r w:rsidRPr="00237CBD">
        <w:rPr>
          <w:rFonts w:eastAsia="Arial"/>
        </w:rPr>
        <w:t>Parity</w:t>
      </w:r>
      <w:r w:rsidR="00F71BF6" w:rsidRPr="00237CBD">
        <w:rPr>
          <w:rFonts w:eastAsia="Arial"/>
        </w:rPr>
        <w:t xml:space="preserve"> – </w:t>
      </w:r>
      <w:r w:rsidRPr="00237CBD">
        <w:rPr>
          <w:rFonts w:eastAsia="Arial"/>
        </w:rPr>
        <w:t>include data on parity status from the registration claims submitted by LMCs under the Primary Maternity Services Notice (Section 88 Notice). Where parity status is not available from registration claims, use the previous method of estimating parity</w:t>
      </w:r>
      <w:r w:rsidR="00E468EE">
        <w:rPr>
          <w:rFonts w:eastAsia="Arial"/>
        </w:rPr>
        <w:t>.</w:t>
      </w:r>
    </w:p>
    <w:p w:rsidR="00E06EC4" w:rsidRPr="00237CBD" w:rsidRDefault="00E06EC4" w:rsidP="001C47E8">
      <w:pPr>
        <w:spacing w:before="120"/>
        <w:ind w:left="425" w:hanging="425"/>
        <w:rPr>
          <w:rFonts w:eastAsia="Arial"/>
        </w:rPr>
      </w:pPr>
      <w:r w:rsidRPr="00237CBD">
        <w:rPr>
          <w:rFonts w:eastAsia="Arial"/>
        </w:rPr>
        <w:t>2</w:t>
      </w:r>
      <w:r w:rsidR="00E468EE">
        <w:rPr>
          <w:rFonts w:eastAsia="Arial"/>
        </w:rPr>
        <w:tab/>
      </w:r>
      <w:r w:rsidRPr="00237CBD">
        <w:rPr>
          <w:rFonts w:eastAsia="Arial"/>
        </w:rPr>
        <w:t>Gestation</w:t>
      </w:r>
      <w:r w:rsidR="00F71BF6" w:rsidRPr="00237CBD">
        <w:rPr>
          <w:rFonts w:eastAsia="Arial"/>
        </w:rPr>
        <w:t xml:space="preserve"> – </w:t>
      </w:r>
      <w:r w:rsidRPr="00237CBD">
        <w:rPr>
          <w:rFonts w:eastAsia="Arial"/>
        </w:rPr>
        <w:t>match records of the mother to those of the baby or babies, and use gestation at birth (weeks) where available.</w:t>
      </w:r>
    </w:p>
    <w:p w:rsidR="00E06EC4" w:rsidRPr="00237CBD" w:rsidRDefault="00E06EC4" w:rsidP="00E468EE"/>
    <w:p w:rsidR="00E06EC4" w:rsidRPr="00237CBD" w:rsidRDefault="00E06EC4" w:rsidP="00E468EE">
      <w:pPr>
        <w:rPr>
          <w:rFonts w:eastAsia="Arial"/>
        </w:rPr>
      </w:pPr>
      <w:r w:rsidRPr="00237CBD">
        <w:rPr>
          <w:rFonts w:eastAsia="Arial"/>
        </w:rPr>
        <w:t>We also suggested that the Maternity Clinical Indicators data should</w:t>
      </w:r>
      <w:r w:rsidR="00E468EE">
        <w:rPr>
          <w:rFonts w:eastAsia="Arial"/>
        </w:rPr>
        <w:t xml:space="preserve"> </w:t>
      </w:r>
      <w:r w:rsidRPr="00237CBD">
        <w:rPr>
          <w:rFonts w:eastAsia="Arial"/>
        </w:rPr>
        <w:t>be sourced from the National Maternity Collection for future reports to increase the scope and completeness of the data available.</w:t>
      </w:r>
    </w:p>
    <w:p w:rsidR="00E06EC4" w:rsidRPr="00237CBD" w:rsidRDefault="00E06EC4" w:rsidP="00E468EE"/>
    <w:p w:rsidR="00E06EC4" w:rsidRPr="00237CBD" w:rsidRDefault="00E06EC4" w:rsidP="001C47E8">
      <w:pPr>
        <w:keepLines/>
        <w:rPr>
          <w:rFonts w:eastAsia="Arial"/>
        </w:rPr>
      </w:pPr>
      <w:r w:rsidRPr="00237CBD">
        <w:rPr>
          <w:rFonts w:eastAsia="Arial"/>
        </w:rPr>
        <w:lastRenderedPageBreak/>
        <w:t>We expected that the Ministry would consult with other maternity stakeholders before making any changes to the current New Zealand Maternity Clinical Indicators. This might include those who were initially involved in the development of the Maternity Clinical</w:t>
      </w:r>
      <w:r w:rsidR="00E468EE">
        <w:rPr>
          <w:rFonts w:eastAsia="Arial"/>
        </w:rPr>
        <w:t xml:space="preserve"> </w:t>
      </w:r>
      <w:r w:rsidRPr="00237CBD">
        <w:rPr>
          <w:rFonts w:eastAsia="Arial"/>
        </w:rPr>
        <w:t>Indicators, the PMMRC and the respective health professional colleges.</w:t>
      </w:r>
    </w:p>
    <w:p w:rsidR="00E06EC4" w:rsidRPr="00237CBD" w:rsidRDefault="00E06EC4" w:rsidP="00E468EE"/>
    <w:p w:rsidR="00E06EC4" w:rsidRPr="00237CBD" w:rsidRDefault="00E06EC4" w:rsidP="00E468EE">
      <w:pPr>
        <w:rPr>
          <w:rFonts w:eastAsia="Arial"/>
        </w:rPr>
      </w:pPr>
      <w:r w:rsidRPr="00237CBD">
        <w:rPr>
          <w:rFonts w:eastAsia="Arial"/>
        </w:rPr>
        <w:t>We also asked all DHBs to comment on their Maternity Clinical Indicators data in their next MQSP annual reports</w:t>
      </w:r>
      <w:r w:rsidR="00F71BF6" w:rsidRPr="00237CBD">
        <w:rPr>
          <w:rFonts w:eastAsia="Arial"/>
        </w:rPr>
        <w:t xml:space="preserve"> </w:t>
      </w:r>
      <w:r w:rsidRPr="00237CBD">
        <w:rPr>
          <w:rFonts w:eastAsia="Arial"/>
        </w:rPr>
        <w:t>and give reasons for any variability. Any DHBs that were outliers in the data were to expect questions from the NMMG, including questions on the DHB</w:t>
      </w:r>
      <w:r w:rsidR="00F71BF6" w:rsidRPr="00237CBD">
        <w:rPr>
          <w:rFonts w:eastAsia="Arial"/>
        </w:rPr>
        <w:t>’</w:t>
      </w:r>
      <w:r w:rsidRPr="00237CBD">
        <w:rPr>
          <w:rFonts w:eastAsia="Arial"/>
        </w:rPr>
        <w:t>s plans to understand why this had occurred and how they expected to address it.</w:t>
      </w:r>
    </w:p>
    <w:p w:rsidR="00E06EC4" w:rsidRPr="00237CBD" w:rsidRDefault="00E06EC4" w:rsidP="001C47E8"/>
    <w:p w:rsidR="007254D8" w:rsidRDefault="007254D8" w:rsidP="001C47E8">
      <w:pPr>
        <w:rPr>
          <w:rFonts w:eastAsia="Arial"/>
        </w:rPr>
      </w:pPr>
      <w:r>
        <w:rPr>
          <w:rFonts w:eastAsia="Arial"/>
        </w:rPr>
        <w:br w:type="page"/>
      </w:r>
    </w:p>
    <w:p w:rsidR="00E06EC4" w:rsidRPr="00237CBD" w:rsidRDefault="00E06EC4" w:rsidP="007254D8">
      <w:pPr>
        <w:pStyle w:val="Heading1"/>
        <w:rPr>
          <w:rFonts w:eastAsia="Arial"/>
        </w:rPr>
      </w:pPr>
      <w:bookmarkStart w:id="41" w:name="_Toc404355685"/>
      <w:r w:rsidRPr="00237CBD">
        <w:rPr>
          <w:rFonts w:eastAsia="Arial"/>
          <w:sz w:val="52"/>
          <w:szCs w:val="52"/>
        </w:rPr>
        <w:lastRenderedPageBreak/>
        <w:t>Ministry of Health</w:t>
      </w:r>
      <w:r w:rsidR="007254D8">
        <w:rPr>
          <w:rFonts w:eastAsia="Arial"/>
          <w:sz w:val="52"/>
          <w:szCs w:val="52"/>
        </w:rPr>
        <w:t xml:space="preserve"> </w:t>
      </w:r>
      <w:r w:rsidRPr="00237CBD">
        <w:rPr>
          <w:rFonts w:eastAsia="Arial"/>
        </w:rPr>
        <w:t>Report on Maternity</w:t>
      </w:r>
      <w:bookmarkEnd w:id="41"/>
    </w:p>
    <w:p w:rsidR="00E06EC4" w:rsidRPr="00237CBD" w:rsidRDefault="00E06EC4" w:rsidP="007254D8">
      <w:pPr>
        <w:pStyle w:val="Heading2"/>
        <w:rPr>
          <w:rFonts w:eastAsia="Arial"/>
        </w:rPr>
      </w:pPr>
      <w:bookmarkStart w:id="42" w:name="_Toc404355686"/>
      <w:r w:rsidRPr="00237CBD">
        <w:rPr>
          <w:rFonts w:eastAsia="Arial"/>
        </w:rPr>
        <w:t>Our focus</w:t>
      </w:r>
      <w:bookmarkEnd w:id="42"/>
    </w:p>
    <w:p w:rsidR="00E06EC4" w:rsidRPr="00237CBD" w:rsidRDefault="00E06EC4" w:rsidP="001C47E8">
      <w:pPr>
        <w:pStyle w:val="Introparagraph"/>
      </w:pPr>
      <w:proofErr w:type="gramStart"/>
      <w:r w:rsidRPr="00237CBD">
        <w:t xml:space="preserve">To review the Ministry of Health Report </w:t>
      </w:r>
      <w:r w:rsidR="001C47E8">
        <w:t xml:space="preserve">on </w:t>
      </w:r>
      <w:r w:rsidRPr="00237CBD">
        <w:t>Maternity and give advice for future re</w:t>
      </w:r>
      <w:r w:rsidR="001C47E8">
        <w:t>ports.</w:t>
      </w:r>
      <w:proofErr w:type="gramEnd"/>
      <w:r w:rsidRPr="00237CBD">
        <w:t xml:space="preserve"> We continue to focus on this work stre</w:t>
      </w:r>
      <w:r w:rsidR="001C47E8">
        <w:t>am</w:t>
      </w:r>
      <w:r w:rsidRPr="00237CBD">
        <w:t xml:space="preserve"> as it is a key source of data for monitori</w:t>
      </w:r>
      <w:r w:rsidR="001C47E8">
        <w:t>ng</w:t>
      </w:r>
      <w:r w:rsidRPr="00237CBD">
        <w:t xml:space="preserve"> the standard of maternity services acro</w:t>
      </w:r>
      <w:r w:rsidR="001C47E8">
        <w:t>ss</w:t>
      </w:r>
      <w:r w:rsidRPr="00237CBD">
        <w:t xml:space="preserve"> New Zealand, and it is part of the NMMG</w:t>
      </w:r>
      <w:r w:rsidR="00F71BF6" w:rsidRPr="00237CBD">
        <w:t>’</w:t>
      </w:r>
      <w:r w:rsidRPr="00237CBD">
        <w:t>s Terms of Reference.</w:t>
      </w:r>
    </w:p>
    <w:p w:rsidR="00E06EC4" w:rsidRPr="00237CBD" w:rsidRDefault="00E06EC4" w:rsidP="001C47E8"/>
    <w:p w:rsidR="00E06EC4" w:rsidRPr="00237CBD" w:rsidRDefault="00E06EC4" w:rsidP="001C47E8">
      <w:pPr>
        <w:rPr>
          <w:rFonts w:eastAsia="Arial"/>
        </w:rPr>
      </w:pPr>
      <w:r w:rsidRPr="00237CBD">
        <w:rPr>
          <w:rFonts w:eastAsia="Arial"/>
        </w:rPr>
        <w:t>The Ministry</w:t>
      </w:r>
      <w:r w:rsidR="00F71BF6" w:rsidRPr="00237CBD">
        <w:rPr>
          <w:rFonts w:eastAsia="Arial"/>
        </w:rPr>
        <w:t>’</w:t>
      </w:r>
      <w:r w:rsidRPr="00237CBD">
        <w:rPr>
          <w:rFonts w:eastAsia="Arial"/>
        </w:rPr>
        <w:t>s Report on Maternity presents health statistics on the pregnancy and childbirth of women who gave birth in New Zealand (to live-born or stillborn babies). The report uses data collected in the National Maternity Collection, hospital discharge data from the National Minimum Dataset, and</w:t>
      </w:r>
      <w:r w:rsidR="001C47E8">
        <w:rPr>
          <w:rFonts w:eastAsia="Arial"/>
        </w:rPr>
        <w:t xml:space="preserve"> </w:t>
      </w:r>
      <w:r w:rsidRPr="00237CBD">
        <w:rPr>
          <w:rFonts w:eastAsia="Arial"/>
        </w:rPr>
        <w:t>information on primary community events from LMC claim forms. This report is statistical in natur</w:t>
      </w:r>
      <w:r w:rsidR="001C47E8">
        <w:rPr>
          <w:rFonts w:eastAsia="Arial"/>
        </w:rPr>
        <w:t>e</w:t>
      </w:r>
      <w:r w:rsidRPr="00237CBD">
        <w:rPr>
          <w:rFonts w:eastAsia="Arial"/>
        </w:rPr>
        <w:t xml:space="preserve"> and designed to inform debate.</w:t>
      </w:r>
    </w:p>
    <w:p w:rsidR="00E06EC4" w:rsidRPr="00237CBD" w:rsidRDefault="00E06EC4" w:rsidP="001C47E8"/>
    <w:p w:rsidR="00E06EC4" w:rsidRPr="00237CBD" w:rsidRDefault="00E06EC4" w:rsidP="008C6535">
      <w:pPr>
        <w:pStyle w:val="Heading2"/>
        <w:rPr>
          <w:rFonts w:eastAsia="Arial"/>
        </w:rPr>
      </w:pPr>
      <w:bookmarkStart w:id="43" w:name="_Toc404355687"/>
      <w:r w:rsidRPr="00237CBD">
        <w:rPr>
          <w:rFonts w:eastAsia="Arial"/>
        </w:rPr>
        <w:t>What we</w:t>
      </w:r>
      <w:r w:rsidR="00F71BF6" w:rsidRPr="00237CBD">
        <w:rPr>
          <w:rFonts w:eastAsia="Arial"/>
        </w:rPr>
        <w:t>’</w:t>
      </w:r>
      <w:r w:rsidRPr="00237CBD">
        <w:rPr>
          <w:rFonts w:eastAsia="Arial"/>
        </w:rPr>
        <w:t>ve done this year</w:t>
      </w:r>
      <w:bookmarkEnd w:id="43"/>
    </w:p>
    <w:p w:rsidR="00E06EC4" w:rsidRPr="00237CBD" w:rsidRDefault="00E06EC4" w:rsidP="001C47E8">
      <w:pPr>
        <w:rPr>
          <w:rFonts w:eastAsia="Arial"/>
        </w:rPr>
      </w:pPr>
      <w:r w:rsidRPr="00237CBD">
        <w:rPr>
          <w:rFonts w:eastAsia="Arial"/>
        </w:rPr>
        <w:t xml:space="preserve">We liaised with the Ministry to obtain an update </w:t>
      </w:r>
      <w:r w:rsidR="001C47E8">
        <w:rPr>
          <w:rFonts w:eastAsia="Arial"/>
        </w:rPr>
        <w:t xml:space="preserve">on when </w:t>
      </w:r>
      <w:r w:rsidRPr="00237CBD">
        <w:rPr>
          <w:rFonts w:eastAsia="Arial"/>
        </w:rPr>
        <w:t>their next Report on Maternity would be publis</w:t>
      </w:r>
      <w:r w:rsidR="001C47E8">
        <w:rPr>
          <w:rFonts w:eastAsia="Arial"/>
        </w:rPr>
        <w:t>hed.</w:t>
      </w:r>
    </w:p>
    <w:p w:rsidR="00E06EC4" w:rsidRPr="00237CBD" w:rsidRDefault="00E06EC4" w:rsidP="001C47E8"/>
    <w:p w:rsidR="00E06EC4" w:rsidRPr="00237CBD" w:rsidRDefault="00E06EC4" w:rsidP="001C47E8">
      <w:pPr>
        <w:pStyle w:val="Heading2"/>
        <w:rPr>
          <w:rFonts w:eastAsia="Arial"/>
        </w:rPr>
      </w:pPr>
      <w:bookmarkStart w:id="44" w:name="_Toc404355688"/>
      <w:r w:rsidRPr="00237CBD">
        <w:rPr>
          <w:rFonts w:eastAsia="Arial"/>
        </w:rPr>
        <w:t xml:space="preserve">In 2013 we </w:t>
      </w:r>
      <w:proofErr w:type="gramStart"/>
      <w:r w:rsidRPr="00237CBD">
        <w:rPr>
          <w:rFonts w:eastAsia="Arial"/>
        </w:rPr>
        <w:t>recommended</w:t>
      </w:r>
      <w:r w:rsidR="001C47E8">
        <w:rPr>
          <w:rFonts w:eastAsia="Arial"/>
        </w:rPr>
        <w:t xml:space="preserve"> ...</w:t>
      </w:r>
      <w:bookmarkEnd w:id="44"/>
      <w:proofErr w:type="gramEnd"/>
    </w:p>
    <w:p w:rsidR="00E06EC4" w:rsidRPr="00237CBD" w:rsidRDefault="00E06EC4" w:rsidP="001C47E8">
      <w:pPr>
        <w:rPr>
          <w:rFonts w:eastAsia="Arial"/>
        </w:rPr>
      </w:pPr>
      <w:r w:rsidRPr="00237CBD">
        <w:rPr>
          <w:rFonts w:eastAsia="Arial"/>
        </w:rPr>
        <w:t>In our 2013 Annual Report, we recommended that:</w:t>
      </w:r>
    </w:p>
    <w:p w:rsidR="00E06EC4" w:rsidRPr="00237CBD" w:rsidRDefault="00E06EC4" w:rsidP="001C47E8">
      <w:pPr>
        <w:spacing w:before="120"/>
        <w:ind w:left="567" w:hanging="567"/>
        <w:rPr>
          <w:rFonts w:eastAsia="Arial"/>
        </w:rPr>
      </w:pPr>
      <w:r w:rsidRPr="00237CBD">
        <w:rPr>
          <w:rFonts w:eastAsia="Arial"/>
        </w:rPr>
        <w:t>1</w:t>
      </w:r>
      <w:r w:rsidR="001C47E8">
        <w:rPr>
          <w:rFonts w:eastAsia="Arial"/>
        </w:rPr>
        <w:tab/>
        <w:t>w</w:t>
      </w:r>
      <w:r w:rsidRPr="00237CBD">
        <w:rPr>
          <w:rFonts w:eastAsia="Arial"/>
        </w:rPr>
        <w:t xml:space="preserve">e want to see the Ministry continue to produce an Annual Report on </w:t>
      </w:r>
      <w:proofErr w:type="gramStart"/>
      <w:r w:rsidRPr="00237CBD">
        <w:rPr>
          <w:rFonts w:eastAsia="Arial"/>
        </w:rPr>
        <w:t>Maternity,</w:t>
      </w:r>
      <w:proofErr w:type="gramEnd"/>
      <w:r w:rsidRPr="00237CBD">
        <w:rPr>
          <w:rFonts w:eastAsia="Arial"/>
        </w:rPr>
        <w:t xml:space="preserve"> and for its contents to be strengthened by:</w:t>
      </w:r>
    </w:p>
    <w:p w:rsidR="00E06EC4" w:rsidRPr="00237CBD" w:rsidRDefault="001C47E8" w:rsidP="001C47E8">
      <w:pPr>
        <w:pStyle w:val="Bullet"/>
        <w:ind w:left="851"/>
        <w:rPr>
          <w:rFonts w:eastAsia="Arial"/>
        </w:rPr>
      </w:pPr>
      <w:r>
        <w:rPr>
          <w:rFonts w:eastAsia="Arial"/>
        </w:rPr>
        <w:t>r</w:t>
      </w:r>
      <w:r w:rsidR="00E06EC4" w:rsidRPr="00237CBD">
        <w:rPr>
          <w:rFonts w:eastAsia="Arial"/>
        </w:rPr>
        <w:t>eporting preterm births as a percentage of total deliveries, and</w:t>
      </w:r>
    </w:p>
    <w:p w:rsidR="00E06EC4" w:rsidRPr="00237CBD" w:rsidRDefault="001C47E8" w:rsidP="001C47E8">
      <w:pPr>
        <w:pStyle w:val="Bullet"/>
        <w:ind w:left="851"/>
        <w:rPr>
          <w:rFonts w:eastAsia="Arial"/>
        </w:rPr>
      </w:pPr>
      <w:proofErr w:type="gramStart"/>
      <w:r>
        <w:rPr>
          <w:rFonts w:eastAsia="Arial"/>
        </w:rPr>
        <w:t>i</w:t>
      </w:r>
      <w:r w:rsidR="00E06EC4" w:rsidRPr="00237CBD">
        <w:rPr>
          <w:rFonts w:eastAsia="Arial"/>
        </w:rPr>
        <w:t>nvestigating</w:t>
      </w:r>
      <w:proofErr w:type="gramEnd"/>
      <w:r w:rsidR="00F71BF6" w:rsidRPr="00237CBD">
        <w:rPr>
          <w:rFonts w:eastAsia="Arial"/>
        </w:rPr>
        <w:t xml:space="preserve"> </w:t>
      </w:r>
      <w:r w:rsidR="00E06EC4" w:rsidRPr="00237CBD">
        <w:rPr>
          <w:rFonts w:eastAsia="Arial"/>
        </w:rPr>
        <w:t>other ways of classifying ethnicity</w:t>
      </w:r>
      <w:r w:rsidR="00F71BF6" w:rsidRPr="00237CBD">
        <w:rPr>
          <w:rFonts w:eastAsia="Arial"/>
        </w:rPr>
        <w:t xml:space="preserve"> – </w:t>
      </w:r>
      <w:r w:rsidR="00E06EC4" w:rsidRPr="00237CBD">
        <w:rPr>
          <w:rFonts w:eastAsia="Arial"/>
        </w:rPr>
        <w:t xml:space="preserve">we noted that the category </w:t>
      </w:r>
      <w:r w:rsidR="00F71BF6" w:rsidRPr="00237CBD">
        <w:rPr>
          <w:rFonts w:eastAsia="Arial"/>
        </w:rPr>
        <w:t>‘</w:t>
      </w:r>
      <w:r w:rsidR="00E06EC4" w:rsidRPr="00237CBD">
        <w:rPr>
          <w:rFonts w:eastAsia="Arial"/>
        </w:rPr>
        <w:t>Other</w:t>
      </w:r>
      <w:r w:rsidR="00F71BF6" w:rsidRPr="00237CBD">
        <w:rPr>
          <w:rFonts w:eastAsia="Arial"/>
        </w:rPr>
        <w:t>’</w:t>
      </w:r>
      <w:r w:rsidR="00E06EC4" w:rsidRPr="00237CBD">
        <w:rPr>
          <w:rFonts w:eastAsia="Arial"/>
        </w:rPr>
        <w:t xml:space="preserve"> included a number of diverse ethnic groups. We recognise that this is a commonly used way of classifying ethnicity, but we want the Ministry to explore d</w:t>
      </w:r>
      <w:r>
        <w:rPr>
          <w:rFonts w:eastAsia="Arial"/>
        </w:rPr>
        <w:t>ifferent classification methods</w:t>
      </w:r>
    </w:p>
    <w:p w:rsidR="00E06EC4" w:rsidRDefault="00E06EC4" w:rsidP="001C47E8">
      <w:pPr>
        <w:spacing w:before="120"/>
        <w:ind w:left="567" w:hanging="567"/>
        <w:rPr>
          <w:rFonts w:eastAsia="Arial"/>
        </w:rPr>
      </w:pPr>
      <w:r w:rsidRPr="00237CBD">
        <w:rPr>
          <w:rFonts w:eastAsia="Arial"/>
        </w:rPr>
        <w:t>2</w:t>
      </w:r>
      <w:r w:rsidR="001C47E8">
        <w:rPr>
          <w:rFonts w:eastAsia="Arial"/>
        </w:rPr>
        <w:tab/>
        <w:t>e</w:t>
      </w:r>
      <w:r w:rsidRPr="00237CBD">
        <w:rPr>
          <w:rFonts w:eastAsia="Arial"/>
        </w:rPr>
        <w:t>ach DHB must review its data and provide comment on the outcomes for women and their babies, and advise the work they have done as a result of this information in next year</w:t>
      </w:r>
      <w:r w:rsidR="00F71BF6" w:rsidRPr="00237CBD">
        <w:rPr>
          <w:rFonts w:eastAsia="Arial"/>
        </w:rPr>
        <w:t>’</w:t>
      </w:r>
      <w:r w:rsidRPr="00237CBD">
        <w:rPr>
          <w:rFonts w:eastAsia="Arial"/>
        </w:rPr>
        <w:t>s MQSP Annual</w:t>
      </w:r>
      <w:r w:rsidR="00F71BF6" w:rsidRPr="00237CBD">
        <w:rPr>
          <w:rFonts w:eastAsia="Arial"/>
        </w:rPr>
        <w:t xml:space="preserve"> </w:t>
      </w:r>
      <w:r w:rsidRPr="00237CBD">
        <w:rPr>
          <w:rFonts w:eastAsia="Arial"/>
        </w:rPr>
        <w:t>Reports.</w:t>
      </w:r>
    </w:p>
    <w:p w:rsidR="001C47E8" w:rsidRDefault="001C47E8" w:rsidP="001C47E8">
      <w:pPr>
        <w:rPr>
          <w:rFonts w:eastAsia="Arial"/>
        </w:rPr>
      </w:pPr>
    </w:p>
    <w:p w:rsidR="001C47E8" w:rsidRPr="00237CBD" w:rsidRDefault="001C47E8" w:rsidP="001C47E8">
      <w:pPr>
        <w:rPr>
          <w:rFonts w:eastAsia="Arial"/>
        </w:rPr>
      </w:pPr>
      <w:r>
        <w:rPr>
          <w:noProof/>
          <w:lang w:eastAsia="en-NZ"/>
        </w:rPr>
        <mc:AlternateContent>
          <mc:Choice Requires="wps">
            <w:drawing>
              <wp:anchor distT="0" distB="0" distL="114300" distR="0" simplePos="0" relativeHeight="251881472" behindDoc="0" locked="0" layoutInCell="1" allowOverlap="0" wp14:anchorId="26058C78" wp14:editId="3DEAA4B2">
                <wp:simplePos x="0" y="0"/>
                <wp:positionH relativeFrom="column">
                  <wp:posOffset>3291840</wp:posOffset>
                </wp:positionH>
                <wp:positionV relativeFrom="paragraph">
                  <wp:posOffset>3810</wp:posOffset>
                </wp:positionV>
                <wp:extent cx="2119630" cy="1412240"/>
                <wp:effectExtent l="0" t="0" r="0" b="0"/>
                <wp:wrapSquare wrapText="lef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1412240"/>
                        </a:xfrm>
                        <a:prstGeom prst="rect">
                          <a:avLst/>
                        </a:prstGeom>
                        <a:solidFill>
                          <a:srgbClr val="C0C0C0"/>
                        </a:solidFill>
                        <a:ln w="9525">
                          <a:noFill/>
                          <a:miter lim="800000"/>
                          <a:headEnd/>
                          <a:tailEnd/>
                        </a:ln>
                      </wps:spPr>
                      <wps:txbx>
                        <w:txbxContent>
                          <w:p w:rsidR="00EE698E" w:rsidRPr="00401EE8" w:rsidRDefault="00EE698E" w:rsidP="001C47E8">
                            <w:pPr>
                              <w:pStyle w:val="Textbox"/>
                              <w:shd w:val="clear" w:color="auto" w:fill="C0C0C0"/>
                              <w:rPr>
                                <w:b/>
                                <w:sz w:val="24"/>
                              </w:rPr>
                            </w:pPr>
                            <w:r>
                              <w:rPr>
                                <w:b/>
                                <w:sz w:val="24"/>
                              </w:rPr>
                              <w:t>The changes we expect to see next</w:t>
                            </w:r>
                          </w:p>
                          <w:p w:rsidR="00EE698E" w:rsidRPr="00237CBD" w:rsidRDefault="00EE698E" w:rsidP="001C47E8">
                            <w:pPr>
                              <w:pStyle w:val="Textbox"/>
                              <w:shd w:val="clear" w:color="auto" w:fill="C0C0C0"/>
                              <w:ind w:left="426" w:hanging="284"/>
                            </w:pPr>
                            <w:r>
                              <w:t>1</w:t>
                            </w:r>
                            <w:r w:rsidRPr="00237CBD">
                              <w:t>.</w:t>
                            </w:r>
                            <w:r>
                              <w:tab/>
                              <w:t>W</w:t>
                            </w:r>
                            <w:r w:rsidRPr="00237CBD">
                              <w:t>e expect to see the changes we recommended in 2013 incorporated in the Ministry’s next Report on Maternity</w:t>
                            </w:r>
                            <w:r>
                              <w:t>.</w:t>
                            </w:r>
                          </w:p>
                        </w:txbxContent>
                      </wps:txbx>
                      <wps:bodyPr rot="0" vert="horz" wrap="square" lIns="0" tIns="72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259.2pt;margin-top:.3pt;width:166.9pt;height:111.2pt;z-index:251881472;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" o:allowoverlap="f" fillcolor="silver" stroked="f">
                <v:textbox inset="0,2mm,0,0">
                  <w:txbxContent>
                    <w:p w:rsidR="00EE698E" w:rsidRPr="00401EE8" w:rsidRDefault="00EE698E" w:rsidP="001C47E8">
                      <w:pPr>
                        <w:pStyle w:val="Textbox"/>
                        <w:shd w:val="clear" w:color="auto" w:fill="C0C0C0"/>
                        <w:rPr>
                          <w:b/>
                          <w:sz w:val="24"/>
                        </w:rPr>
                      </w:pPr>
                      <w:bookmarkStart w:id="45" w:name="_GoBack"/>
                      <w:r>
                        <w:rPr>
                          <w:b/>
                          <w:sz w:val="24"/>
                        </w:rPr>
                        <w:t>The changes we expect to see next</w:t>
                      </w:r>
                    </w:p>
                    <w:p w:rsidR="00EE698E" w:rsidRPr="00237CBD" w:rsidRDefault="00EE698E" w:rsidP="001C47E8">
                      <w:pPr>
                        <w:pStyle w:val="Textbox"/>
                        <w:shd w:val="clear" w:color="auto" w:fill="C0C0C0"/>
                        <w:ind w:left="426" w:hanging="284"/>
                      </w:pPr>
                      <w:r>
                        <w:t>1</w:t>
                      </w:r>
                      <w:r w:rsidRPr="00237CBD">
                        <w:t>.</w:t>
                      </w:r>
                      <w:r>
                        <w:tab/>
                        <w:t>W</w:t>
                      </w:r>
                      <w:r w:rsidRPr="00237CBD">
                        <w:t>e expect to see the changes we recommended in 2013 incorporated in the Ministry’s next Report on Maternity</w:t>
                      </w:r>
                      <w:r>
                        <w:t>.</w:t>
                      </w:r>
                      <w:bookmarkEnd w:id="45"/>
                    </w:p>
                  </w:txbxContent>
                </v:textbox>
                <w10:wrap type="square" side="left"/>
              </v:shape>
            </w:pict>
          </mc:Fallback>
        </mc:AlternateContent>
      </w:r>
      <w:r>
        <w:rPr>
          <w:noProof/>
          <w:lang w:eastAsia="en-NZ"/>
        </w:rPr>
        <mc:AlternateContent>
          <mc:Choice Requires="wps">
            <w:drawing>
              <wp:anchor distT="0" distB="0" distL="0" distR="114935" simplePos="0" relativeHeight="251879424" behindDoc="0" locked="0" layoutInCell="1" allowOverlap="0" wp14:anchorId="03010021" wp14:editId="586E998D">
                <wp:simplePos x="0" y="0"/>
                <wp:positionH relativeFrom="column">
                  <wp:posOffset>0</wp:posOffset>
                </wp:positionH>
                <wp:positionV relativeFrom="paragraph">
                  <wp:posOffset>3810</wp:posOffset>
                </wp:positionV>
                <wp:extent cx="2784475" cy="1437640"/>
                <wp:effectExtent l="0" t="0" r="0" b="0"/>
                <wp:wrapSquare wrapText="r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1437640"/>
                        </a:xfrm>
                        <a:prstGeom prst="rect">
                          <a:avLst/>
                        </a:prstGeom>
                        <a:solidFill>
                          <a:schemeClr val="bg1">
                            <a:lumMod val="95000"/>
                          </a:schemeClr>
                        </a:solidFill>
                        <a:ln w="9525">
                          <a:noFill/>
                          <a:miter lim="800000"/>
                          <a:headEnd/>
                          <a:tailEnd/>
                        </a:ln>
                      </wps:spPr>
                      <wps:txbx>
                        <w:txbxContent>
                          <w:p w:rsidR="00EE698E" w:rsidRPr="00401EE8" w:rsidRDefault="00EE698E" w:rsidP="001C47E8">
                            <w:pPr>
                              <w:pStyle w:val="Textbox"/>
                              <w:rPr>
                                <w:b/>
                                <w:sz w:val="24"/>
                              </w:rPr>
                            </w:pPr>
                            <w:r w:rsidRPr="00401EE8">
                              <w:rPr>
                                <w:b/>
                                <w:sz w:val="24"/>
                              </w:rPr>
                              <w:t>What we found</w:t>
                            </w:r>
                          </w:p>
                          <w:p w:rsidR="00EE698E" w:rsidRPr="00237CBD" w:rsidRDefault="00EE698E" w:rsidP="001C47E8">
                            <w:pPr>
                              <w:pStyle w:val="Textbox"/>
                            </w:pPr>
                            <w:r w:rsidRPr="00237CBD">
                              <w:t>The next report will be published after the New Zealand Maternity</w:t>
                            </w:r>
                            <w:r>
                              <w:t xml:space="preserve"> </w:t>
                            </w:r>
                            <w:r w:rsidRPr="00237CBD">
                              <w:t>Clinical Indicators 2012 are published. It will be a full report for the</w:t>
                            </w:r>
                            <w:r>
                              <w:t xml:space="preserve"> </w:t>
                            </w:r>
                            <w:r w:rsidRPr="00237CBD">
                              <w:t>2012 period, and will be available in early 2015.</w:t>
                            </w:r>
                          </w:p>
                          <w:p w:rsidR="00EE698E" w:rsidRPr="00237CBD" w:rsidRDefault="00EE698E" w:rsidP="001C47E8">
                            <w:pPr>
                              <w:pStyle w:val="Textbox"/>
                            </w:pPr>
                            <w:r w:rsidRPr="00237CBD">
                              <w:t xml:space="preserve">The NMMG look </w:t>
                            </w:r>
                            <w:r w:rsidRPr="001C47E8">
                              <w:t>forward</w:t>
                            </w:r>
                            <w:r w:rsidRPr="00237CBD">
                              <w:t xml:space="preserve"> to reviewing this Report on Maternity as part of next year’s work plan.</w:t>
                            </w:r>
                          </w:p>
                        </w:txbxContent>
                      </wps:txbx>
                      <wps:bodyPr rot="0" vert="horz" wrap="square" lIns="0" tIns="72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0;margin-top:.3pt;width:219.25pt;height:113.2pt;z-index:251879424;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" o:allowoverlap="f" fillcolor="#f2f2f2 [3052]" stroked="f">
                <v:textbox inset="0,2mm,0,0">
                  <w:txbxContent>
                    <w:p w:rsidR="00EE698E" w:rsidRPr="00401EE8" w:rsidRDefault="00EE698E" w:rsidP="001C47E8">
                      <w:pPr>
                        <w:pStyle w:val="Textbox"/>
                        <w:rPr>
                          <w:b/>
                          <w:sz w:val="24"/>
                        </w:rPr>
                      </w:pPr>
                      <w:r w:rsidRPr="00401EE8">
                        <w:rPr>
                          <w:b/>
                          <w:sz w:val="24"/>
                        </w:rPr>
                        <w:t>What we found</w:t>
                      </w:r>
                    </w:p>
                    <w:p w:rsidR="00EE698E" w:rsidRPr="00237CBD" w:rsidRDefault="00EE698E" w:rsidP="001C47E8">
                      <w:pPr>
                        <w:pStyle w:val="Textbox"/>
                      </w:pPr>
                      <w:r w:rsidRPr="00237CBD">
                        <w:t>The next report will be published after the New Zealand Maternity</w:t>
                      </w:r>
                      <w:r>
                        <w:t xml:space="preserve"> </w:t>
                      </w:r>
                      <w:r w:rsidRPr="00237CBD">
                        <w:t>Clinical Indicators 2012 are published. It will be a full report for the</w:t>
                      </w:r>
                      <w:r>
                        <w:t xml:space="preserve"> </w:t>
                      </w:r>
                      <w:r w:rsidRPr="00237CBD">
                        <w:t>2012 period, and will be available in early 2015.</w:t>
                      </w:r>
                    </w:p>
                    <w:p w:rsidR="00EE698E" w:rsidRPr="00237CBD" w:rsidRDefault="00EE698E" w:rsidP="001C47E8">
                      <w:pPr>
                        <w:pStyle w:val="Textbox"/>
                      </w:pPr>
                      <w:r w:rsidRPr="00237CBD">
                        <w:t xml:space="preserve">The NMMG look </w:t>
                      </w:r>
                      <w:r w:rsidRPr="001C47E8">
                        <w:t>forward</w:t>
                      </w:r>
                      <w:r w:rsidRPr="00237CBD">
                        <w:t xml:space="preserve"> to reviewing this Report on Maternity as part of next year’s work plan.</w:t>
                      </w:r>
                    </w:p>
                  </w:txbxContent>
                </v:textbox>
                <w10:wrap type="square" side="right"/>
              </v:shape>
            </w:pict>
          </mc:Fallback>
        </mc:AlternateContent>
      </w:r>
    </w:p>
    <w:p w:rsidR="007254D8" w:rsidRDefault="007254D8" w:rsidP="007254D8">
      <w:pPr>
        <w:rPr>
          <w:rFonts w:eastAsia="Arial"/>
        </w:rPr>
      </w:pPr>
      <w:r>
        <w:rPr>
          <w:rFonts w:eastAsia="Arial"/>
        </w:rPr>
        <w:br w:type="page"/>
      </w:r>
    </w:p>
    <w:p w:rsidR="00E06EC4" w:rsidRPr="00237CBD" w:rsidRDefault="00E06EC4" w:rsidP="007254D8">
      <w:pPr>
        <w:pStyle w:val="Heading1"/>
        <w:rPr>
          <w:rFonts w:eastAsia="Arial"/>
        </w:rPr>
      </w:pPr>
      <w:bookmarkStart w:id="45" w:name="_Toc404355689"/>
      <w:r w:rsidRPr="00237CBD">
        <w:rPr>
          <w:rFonts w:eastAsia="Arial"/>
        </w:rPr>
        <w:lastRenderedPageBreak/>
        <w:t>District Health Board Maternity</w:t>
      </w:r>
      <w:r w:rsidR="007254D8">
        <w:rPr>
          <w:rFonts w:eastAsia="Arial"/>
        </w:rPr>
        <w:t xml:space="preserve"> </w:t>
      </w:r>
      <w:r w:rsidRPr="007254D8">
        <w:rPr>
          <w:rFonts w:eastAsia="Arial"/>
        </w:rPr>
        <w:t>Quality and Safety Programme</w:t>
      </w:r>
      <w:r w:rsidR="007254D8">
        <w:rPr>
          <w:rFonts w:eastAsia="Arial"/>
        </w:rPr>
        <w:t xml:space="preserve"> </w:t>
      </w:r>
      <w:r w:rsidRPr="00237CBD">
        <w:rPr>
          <w:rFonts w:eastAsia="Arial"/>
        </w:rPr>
        <w:t>Annual Reports</w:t>
      </w:r>
      <w:bookmarkEnd w:id="45"/>
    </w:p>
    <w:p w:rsidR="00E06EC4" w:rsidRPr="00237CBD" w:rsidRDefault="00E06EC4" w:rsidP="007254D8">
      <w:pPr>
        <w:pStyle w:val="Heading2"/>
        <w:rPr>
          <w:rFonts w:eastAsia="Arial"/>
        </w:rPr>
      </w:pPr>
      <w:bookmarkStart w:id="46" w:name="_Toc404355690"/>
      <w:r w:rsidRPr="00237CBD">
        <w:rPr>
          <w:rFonts w:eastAsia="Arial"/>
        </w:rPr>
        <w:t>Our focus</w:t>
      </w:r>
      <w:bookmarkEnd w:id="46"/>
    </w:p>
    <w:p w:rsidR="00E06EC4" w:rsidRPr="00237CBD" w:rsidRDefault="00E06EC4" w:rsidP="00B8660B">
      <w:pPr>
        <w:pStyle w:val="Introparagraph"/>
      </w:pPr>
      <w:proofErr w:type="gramStart"/>
      <w:r w:rsidRPr="00237CBD">
        <w:t>To review the Maternity Quality and Safety Programme annual reports produced by each DHB.</w:t>
      </w:r>
      <w:proofErr w:type="gramEnd"/>
      <w:r w:rsidRPr="00237CBD">
        <w:t xml:space="preserve"> Overview of the MQSP is one of the main activities of the NMMG in our role of ensuring the New Zealand Maternity Standards are met. We believe it is particularly important to give feedback to DHBs and support to those who are not delivering the MQSP at an acceptable level.</w:t>
      </w:r>
    </w:p>
    <w:p w:rsidR="00E06EC4" w:rsidRPr="00237CBD" w:rsidRDefault="00E06EC4" w:rsidP="00B8660B"/>
    <w:p w:rsidR="00E06EC4" w:rsidRPr="00237CBD" w:rsidRDefault="00E06EC4" w:rsidP="00B8660B">
      <w:pPr>
        <w:rPr>
          <w:rFonts w:eastAsia="Arial"/>
        </w:rPr>
      </w:pPr>
      <w:r w:rsidRPr="00237CBD">
        <w:rPr>
          <w:rFonts w:eastAsia="Arial"/>
        </w:rPr>
        <w:t>Last year we made a number of recommendations on the DHB 2012/13</w:t>
      </w:r>
      <w:r w:rsidR="00F71BF6" w:rsidRPr="00237CBD">
        <w:rPr>
          <w:rFonts w:eastAsia="Arial"/>
        </w:rPr>
        <w:t xml:space="preserve"> </w:t>
      </w:r>
      <w:r w:rsidRPr="00237CBD">
        <w:rPr>
          <w:rFonts w:eastAsia="Arial"/>
        </w:rPr>
        <w:t>MQSP annual</w:t>
      </w:r>
      <w:r w:rsidR="00F71BF6" w:rsidRPr="00237CBD">
        <w:rPr>
          <w:rFonts w:eastAsia="Arial"/>
        </w:rPr>
        <w:t xml:space="preserve"> </w:t>
      </w:r>
      <w:r w:rsidRPr="00237CBD">
        <w:rPr>
          <w:rFonts w:eastAsia="Arial"/>
        </w:rPr>
        <w:t>reports. This year we reviewed</w:t>
      </w:r>
      <w:r w:rsidR="00B8660B">
        <w:rPr>
          <w:rFonts w:eastAsia="Arial"/>
        </w:rPr>
        <w:t xml:space="preserve"> </w:t>
      </w:r>
      <w:r w:rsidRPr="00237CBD">
        <w:rPr>
          <w:rFonts w:eastAsia="Arial"/>
        </w:rPr>
        <w:t>2013/14</w:t>
      </w:r>
      <w:r w:rsidR="00F71BF6" w:rsidRPr="00237CBD">
        <w:rPr>
          <w:rFonts w:eastAsia="Arial"/>
        </w:rPr>
        <w:t xml:space="preserve"> </w:t>
      </w:r>
      <w:r w:rsidRPr="00237CBD">
        <w:rPr>
          <w:rFonts w:eastAsia="Arial"/>
        </w:rPr>
        <w:t>MQSP annual</w:t>
      </w:r>
      <w:r w:rsidR="00F71BF6" w:rsidRPr="00237CBD">
        <w:rPr>
          <w:rFonts w:eastAsia="Arial"/>
        </w:rPr>
        <w:t xml:space="preserve"> </w:t>
      </w:r>
      <w:r w:rsidRPr="00237CBD">
        <w:rPr>
          <w:rFonts w:eastAsia="Arial"/>
        </w:rPr>
        <w:t>reports</w:t>
      </w:r>
      <w:r w:rsidR="00F71BF6" w:rsidRPr="00237CBD">
        <w:rPr>
          <w:rFonts w:eastAsia="Arial"/>
        </w:rPr>
        <w:t xml:space="preserve"> </w:t>
      </w:r>
      <w:r w:rsidRPr="00237CBD">
        <w:rPr>
          <w:rFonts w:eastAsia="Arial"/>
        </w:rPr>
        <w:t>to ensure that DHBs considered our recommendations from 2013 and have achieved the goals they set out in their previous annual reports. We have also increased our monitoring role on the MQSP this year given that the MQSP is moving out of the implementation phase and into the continuous quality improvement phase.</w:t>
      </w:r>
    </w:p>
    <w:p w:rsidR="00E06EC4" w:rsidRPr="00237CBD" w:rsidRDefault="00E06EC4" w:rsidP="00B8660B"/>
    <w:p w:rsidR="00E06EC4" w:rsidRPr="00237CBD" w:rsidRDefault="00E06EC4" w:rsidP="00B8660B">
      <w:pPr>
        <w:rPr>
          <w:rFonts w:eastAsia="Arial"/>
        </w:rPr>
      </w:pPr>
      <w:proofErr w:type="gramStart"/>
      <w:r w:rsidRPr="00237CBD">
        <w:rPr>
          <w:rFonts w:eastAsia="Arial"/>
        </w:rPr>
        <w:t xml:space="preserve">As part of this work stream we are continuing to monitor implementation of the </w:t>
      </w:r>
      <w:r w:rsidR="00F71BF6" w:rsidRPr="00237CBD">
        <w:rPr>
          <w:rFonts w:eastAsia="Arial"/>
        </w:rPr>
        <w:t>‘</w:t>
      </w:r>
      <w:r w:rsidRPr="00237CBD">
        <w:rPr>
          <w:rFonts w:eastAsia="Arial"/>
        </w:rPr>
        <w:t>2012 Guidelines for Consultation with Obstetric and Related Medical Services (Referral Guidelines)</w:t>
      </w:r>
      <w:r w:rsidR="00F71BF6" w:rsidRPr="00237CBD">
        <w:rPr>
          <w:rFonts w:eastAsia="Arial"/>
        </w:rPr>
        <w:t>’</w:t>
      </w:r>
      <w:r w:rsidRPr="00237CBD">
        <w:rPr>
          <w:rFonts w:eastAsia="Arial"/>
        </w:rPr>
        <w:t>, a previous focus of the NMMG.</w:t>
      </w:r>
      <w:proofErr w:type="gramEnd"/>
      <w:r w:rsidRPr="00237CBD">
        <w:rPr>
          <w:rFonts w:eastAsia="Arial"/>
        </w:rPr>
        <w:t xml:space="preserve"> We particularly wanted to review whether DHBs have used clinical leadership</w:t>
      </w:r>
      <w:r w:rsidR="00F71BF6" w:rsidRPr="00237CBD">
        <w:rPr>
          <w:rFonts w:eastAsia="Arial"/>
        </w:rPr>
        <w:t xml:space="preserve"> </w:t>
      </w:r>
      <w:r w:rsidRPr="00237CBD">
        <w:rPr>
          <w:rFonts w:eastAsia="Arial"/>
        </w:rPr>
        <w:t>to introduce policies related to emergency transport and retrieval.</w:t>
      </w:r>
    </w:p>
    <w:p w:rsidR="00E06EC4" w:rsidRPr="00237CBD" w:rsidRDefault="00E06EC4" w:rsidP="00B8660B"/>
    <w:p w:rsidR="00E06EC4" w:rsidRPr="00237CBD" w:rsidRDefault="00E06EC4" w:rsidP="008C6535">
      <w:pPr>
        <w:pStyle w:val="Heading2"/>
        <w:rPr>
          <w:rFonts w:eastAsia="Arial"/>
        </w:rPr>
      </w:pPr>
      <w:bookmarkStart w:id="47" w:name="_Toc404355691"/>
      <w:r w:rsidRPr="00237CBD">
        <w:rPr>
          <w:rFonts w:eastAsia="Arial"/>
        </w:rPr>
        <w:t>What we</w:t>
      </w:r>
      <w:r w:rsidR="00F71BF6" w:rsidRPr="00237CBD">
        <w:rPr>
          <w:rFonts w:eastAsia="Arial"/>
        </w:rPr>
        <w:t>’</w:t>
      </w:r>
      <w:r w:rsidRPr="00237CBD">
        <w:rPr>
          <w:rFonts w:eastAsia="Arial"/>
        </w:rPr>
        <w:t>ve done this year</w:t>
      </w:r>
      <w:bookmarkEnd w:id="47"/>
    </w:p>
    <w:p w:rsidR="00E06EC4" w:rsidRPr="00237CBD" w:rsidRDefault="00E06EC4" w:rsidP="00B8660B">
      <w:pPr>
        <w:rPr>
          <w:rFonts w:eastAsia="Arial"/>
        </w:rPr>
      </w:pPr>
      <w:r w:rsidRPr="00237CBD">
        <w:rPr>
          <w:rFonts w:eastAsia="Arial"/>
        </w:rPr>
        <w:t>We reviewed</w:t>
      </w:r>
      <w:r w:rsidR="00F71BF6" w:rsidRPr="00237CBD">
        <w:rPr>
          <w:rFonts w:eastAsia="Arial"/>
        </w:rPr>
        <w:t xml:space="preserve"> </w:t>
      </w:r>
      <w:r w:rsidRPr="00237CBD">
        <w:rPr>
          <w:rFonts w:eastAsia="Arial"/>
        </w:rPr>
        <w:t>each DHB</w:t>
      </w:r>
      <w:r w:rsidR="00F71BF6" w:rsidRPr="00237CBD">
        <w:rPr>
          <w:rFonts w:eastAsia="Arial"/>
        </w:rPr>
        <w:t>’</w:t>
      </w:r>
      <w:r w:rsidRPr="00237CBD">
        <w:rPr>
          <w:rFonts w:eastAsia="Arial"/>
        </w:rPr>
        <w:t>s 2013/14 MQSP draft annual reports against criteria such as whether the DHB:</w:t>
      </w:r>
    </w:p>
    <w:p w:rsidR="00E06EC4" w:rsidRPr="00237CBD" w:rsidRDefault="00B8660B" w:rsidP="00B8660B">
      <w:pPr>
        <w:pStyle w:val="Bullet"/>
        <w:rPr>
          <w:rFonts w:eastAsia="Arial"/>
        </w:rPr>
      </w:pPr>
      <w:r>
        <w:rPr>
          <w:rFonts w:eastAsia="Arial"/>
        </w:rPr>
        <w:t>a</w:t>
      </w:r>
      <w:r w:rsidR="00E06EC4" w:rsidRPr="00237CBD">
        <w:rPr>
          <w:rFonts w:eastAsia="Arial"/>
        </w:rPr>
        <w:t>chieved</w:t>
      </w:r>
      <w:r w:rsidR="00F71BF6" w:rsidRPr="00237CBD">
        <w:rPr>
          <w:rFonts w:eastAsia="Arial"/>
        </w:rPr>
        <w:t xml:space="preserve"> </w:t>
      </w:r>
      <w:r w:rsidR="00E06EC4" w:rsidRPr="00237CBD">
        <w:rPr>
          <w:rFonts w:eastAsia="Arial"/>
        </w:rPr>
        <w:t>the goals set out in its previous</w:t>
      </w:r>
      <w:r w:rsidR="00F71BF6" w:rsidRPr="00237CBD">
        <w:rPr>
          <w:rFonts w:eastAsia="Arial"/>
        </w:rPr>
        <w:t xml:space="preserve"> </w:t>
      </w:r>
      <w:r w:rsidR="00E06EC4" w:rsidRPr="00237CBD">
        <w:rPr>
          <w:rFonts w:eastAsia="Arial"/>
        </w:rPr>
        <w:t>MQSP annual</w:t>
      </w:r>
      <w:r w:rsidR="00F71BF6" w:rsidRPr="00237CBD">
        <w:rPr>
          <w:rFonts w:eastAsia="Arial"/>
        </w:rPr>
        <w:t xml:space="preserve"> </w:t>
      </w:r>
      <w:r w:rsidR="00E06EC4" w:rsidRPr="00237CBD">
        <w:rPr>
          <w:rFonts w:eastAsia="Arial"/>
        </w:rPr>
        <w:t>report</w:t>
      </w:r>
    </w:p>
    <w:p w:rsidR="00E06EC4" w:rsidRPr="00237CBD" w:rsidRDefault="00B8660B" w:rsidP="00B8660B">
      <w:pPr>
        <w:pStyle w:val="Bullet"/>
        <w:rPr>
          <w:rFonts w:eastAsia="Arial"/>
        </w:rPr>
      </w:pPr>
      <w:r>
        <w:rPr>
          <w:rFonts w:eastAsia="Arial"/>
        </w:rPr>
        <w:t>c</w:t>
      </w:r>
      <w:r w:rsidR="00E06EC4" w:rsidRPr="00237CBD">
        <w:rPr>
          <w:rFonts w:eastAsia="Arial"/>
        </w:rPr>
        <w:t>onsidered and acted on the recommendations contained in the NMMG</w:t>
      </w:r>
      <w:r w:rsidR="00F71BF6" w:rsidRPr="00237CBD">
        <w:rPr>
          <w:rFonts w:eastAsia="Arial"/>
        </w:rPr>
        <w:t>’</w:t>
      </w:r>
      <w:r w:rsidR="00E06EC4" w:rsidRPr="00237CBD">
        <w:rPr>
          <w:rFonts w:eastAsia="Arial"/>
        </w:rPr>
        <w:t>s 2013 annual report</w:t>
      </w:r>
    </w:p>
    <w:p w:rsidR="00E06EC4" w:rsidRPr="00237CBD" w:rsidRDefault="00B8660B" w:rsidP="00B8660B">
      <w:pPr>
        <w:pStyle w:val="Bullet"/>
        <w:rPr>
          <w:rFonts w:eastAsia="Arial"/>
        </w:rPr>
      </w:pPr>
      <w:r>
        <w:rPr>
          <w:rFonts w:eastAsia="Arial"/>
        </w:rPr>
        <w:t>d</w:t>
      </w:r>
      <w:r w:rsidR="00E06EC4" w:rsidRPr="00237CBD">
        <w:rPr>
          <w:rFonts w:eastAsia="Arial"/>
        </w:rPr>
        <w:t xml:space="preserve">iscussed the </w:t>
      </w:r>
      <w:r w:rsidR="00F71BF6" w:rsidRPr="00237CBD">
        <w:rPr>
          <w:rFonts w:eastAsia="Arial"/>
        </w:rPr>
        <w:t>‘</w:t>
      </w:r>
      <w:r w:rsidR="00E06EC4" w:rsidRPr="00237CBD">
        <w:rPr>
          <w:rFonts w:eastAsia="Arial"/>
        </w:rPr>
        <w:t>2012 Guidelines for Consultation with Obstetric and Related Medical Services (Referral Guidelines)</w:t>
      </w:r>
      <w:r w:rsidR="00F71BF6" w:rsidRPr="00237CBD">
        <w:rPr>
          <w:rFonts w:eastAsia="Arial"/>
        </w:rPr>
        <w:t>’</w:t>
      </w:r>
      <w:r w:rsidR="00E06EC4" w:rsidRPr="00237CBD">
        <w:rPr>
          <w:rFonts w:eastAsia="Arial"/>
        </w:rPr>
        <w:t>, including whether they have used clinical leadership to introduce policies related to emergency transport and retrieval</w:t>
      </w:r>
    </w:p>
    <w:p w:rsidR="00E06EC4" w:rsidRPr="00237CBD" w:rsidRDefault="00B8660B" w:rsidP="00B8660B">
      <w:pPr>
        <w:pStyle w:val="Bullet"/>
        <w:rPr>
          <w:rFonts w:eastAsia="Arial"/>
        </w:rPr>
      </w:pPr>
      <w:r>
        <w:rPr>
          <w:rFonts w:eastAsia="Arial"/>
        </w:rPr>
        <w:t>d</w:t>
      </w:r>
      <w:r w:rsidR="00E06EC4" w:rsidRPr="00237CBD">
        <w:rPr>
          <w:rFonts w:eastAsia="Arial"/>
        </w:rPr>
        <w:t>iscussed the topics and information raised in letters from the NMMG</w:t>
      </w:r>
    </w:p>
    <w:p w:rsidR="00E06EC4" w:rsidRPr="00237CBD" w:rsidRDefault="00B8660B" w:rsidP="00B8660B">
      <w:pPr>
        <w:pStyle w:val="Bullet"/>
        <w:rPr>
          <w:rFonts w:eastAsia="Arial"/>
        </w:rPr>
      </w:pPr>
      <w:r>
        <w:rPr>
          <w:rFonts w:eastAsia="Arial"/>
        </w:rPr>
        <w:t>i</w:t>
      </w:r>
      <w:r w:rsidR="00E06EC4" w:rsidRPr="00237CBD">
        <w:rPr>
          <w:rFonts w:eastAsia="Arial"/>
        </w:rPr>
        <w:t>ncluded any discussion of national priorities, and</w:t>
      </w:r>
    </w:p>
    <w:p w:rsidR="00E06EC4" w:rsidRPr="00237CBD" w:rsidRDefault="00B8660B" w:rsidP="00B8660B">
      <w:pPr>
        <w:pStyle w:val="Bullet"/>
        <w:rPr>
          <w:rFonts w:eastAsia="Arial"/>
        </w:rPr>
      </w:pPr>
      <w:proofErr w:type="gramStart"/>
      <w:r>
        <w:rPr>
          <w:rFonts w:eastAsia="Arial"/>
        </w:rPr>
        <w:t>a</w:t>
      </w:r>
      <w:r w:rsidR="00E06EC4" w:rsidRPr="00237CBD">
        <w:rPr>
          <w:rFonts w:eastAsia="Arial"/>
        </w:rPr>
        <w:t>ligned</w:t>
      </w:r>
      <w:proofErr w:type="gramEnd"/>
      <w:r w:rsidR="00F71BF6" w:rsidRPr="00237CBD">
        <w:rPr>
          <w:rFonts w:eastAsia="Arial"/>
        </w:rPr>
        <w:t xml:space="preserve"> </w:t>
      </w:r>
      <w:r w:rsidR="00E06EC4" w:rsidRPr="00237CBD">
        <w:rPr>
          <w:rFonts w:eastAsia="Arial"/>
        </w:rPr>
        <w:t>future priorities with those identified by the NMMG.</w:t>
      </w:r>
    </w:p>
    <w:p w:rsidR="00E06EC4" w:rsidRPr="00237CBD" w:rsidRDefault="00E06EC4" w:rsidP="00B8660B"/>
    <w:p w:rsidR="00E06EC4" w:rsidRPr="00237CBD" w:rsidRDefault="00E06EC4" w:rsidP="00B8660B">
      <w:pPr>
        <w:keepLines/>
        <w:rPr>
          <w:rFonts w:eastAsia="Arial"/>
        </w:rPr>
      </w:pPr>
      <w:r w:rsidRPr="00237CBD">
        <w:rPr>
          <w:rFonts w:eastAsia="Arial"/>
        </w:rPr>
        <w:lastRenderedPageBreak/>
        <w:t>Specific feedback on each DHB</w:t>
      </w:r>
      <w:r w:rsidR="00F71BF6" w:rsidRPr="00237CBD">
        <w:rPr>
          <w:rFonts w:eastAsia="Arial"/>
        </w:rPr>
        <w:t>’</w:t>
      </w:r>
      <w:r w:rsidRPr="00237CBD">
        <w:rPr>
          <w:rFonts w:eastAsia="Arial"/>
        </w:rPr>
        <w:t>s draft annual report was provided to the Ministry. This was also provided</w:t>
      </w:r>
      <w:r w:rsidR="00F71BF6" w:rsidRPr="00237CBD">
        <w:rPr>
          <w:rFonts w:eastAsia="Arial"/>
        </w:rPr>
        <w:t xml:space="preserve"> </w:t>
      </w:r>
      <w:r w:rsidRPr="00237CBD">
        <w:rPr>
          <w:rFonts w:eastAsia="Arial"/>
        </w:rPr>
        <w:t>to each DHB (via Ministry feedback) in order to inform the final annual reports. The template used for the review of the Draft Annual Reports by the NMMG was also provided to the DHBs so that they can be used when drafting future annual reports.</w:t>
      </w:r>
    </w:p>
    <w:p w:rsidR="00E06EC4" w:rsidRPr="00237CBD" w:rsidRDefault="00E06EC4" w:rsidP="00B8660B"/>
    <w:p w:rsidR="00E06EC4" w:rsidRPr="00237CBD" w:rsidRDefault="00E06EC4" w:rsidP="00B8660B">
      <w:pPr>
        <w:rPr>
          <w:rFonts w:eastAsia="Arial"/>
        </w:rPr>
      </w:pPr>
      <w:r w:rsidRPr="00237CBD">
        <w:rPr>
          <w:rFonts w:eastAsia="Arial"/>
        </w:rPr>
        <w:t>We also liaised with the Ministry to better understand how the MQSP aligns with wider quality improvement work in each</w:t>
      </w:r>
      <w:r w:rsidR="00B8660B">
        <w:rPr>
          <w:rFonts w:eastAsia="Arial"/>
        </w:rPr>
        <w:t xml:space="preserve"> </w:t>
      </w:r>
      <w:r w:rsidRPr="00237CBD">
        <w:rPr>
          <w:rFonts w:eastAsia="Arial"/>
        </w:rPr>
        <w:t>DHB.</w:t>
      </w:r>
    </w:p>
    <w:p w:rsidR="00E06EC4" w:rsidRDefault="00B8660B" w:rsidP="00B8660B">
      <w:r>
        <w:rPr>
          <w:noProof/>
          <w:lang w:eastAsia="en-NZ"/>
        </w:rPr>
        <mc:AlternateContent>
          <mc:Choice Requires="wps">
            <w:drawing>
              <wp:anchor distT="0" distB="0" distL="0" distR="114300" simplePos="0" relativeHeight="251882496" behindDoc="0" locked="0" layoutInCell="1" allowOverlap="1" wp14:anchorId="14B0BE06" wp14:editId="5B76A426">
                <wp:simplePos x="0" y="0"/>
                <wp:positionH relativeFrom="column">
                  <wp:posOffset>0</wp:posOffset>
                </wp:positionH>
                <wp:positionV relativeFrom="paragraph">
                  <wp:posOffset>198120</wp:posOffset>
                </wp:positionV>
                <wp:extent cx="5436235" cy="1412875"/>
                <wp:effectExtent l="0" t="0" r="0" b="0"/>
                <wp:wrapSquare wrapText="r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1412875"/>
                        </a:xfrm>
                        <a:prstGeom prst="rect">
                          <a:avLst/>
                        </a:prstGeom>
                        <a:solidFill>
                          <a:schemeClr val="bg1">
                            <a:lumMod val="95000"/>
                          </a:schemeClr>
                        </a:solidFill>
                        <a:ln w="9525">
                          <a:noFill/>
                          <a:miter lim="800000"/>
                          <a:headEnd/>
                          <a:tailEnd/>
                        </a:ln>
                      </wps:spPr>
                      <wps:txbx>
                        <w:txbxContent>
                          <w:p w:rsidR="00EE698E" w:rsidRPr="00401EE8" w:rsidRDefault="00EE698E" w:rsidP="00B8660B">
                            <w:pPr>
                              <w:pStyle w:val="Textbox"/>
                              <w:rPr>
                                <w:b/>
                                <w:sz w:val="24"/>
                              </w:rPr>
                            </w:pPr>
                            <w:r w:rsidRPr="00401EE8">
                              <w:rPr>
                                <w:b/>
                                <w:sz w:val="24"/>
                              </w:rPr>
                              <w:t>What we found</w:t>
                            </w:r>
                          </w:p>
                          <w:p w:rsidR="00EE698E" w:rsidRPr="00237CBD" w:rsidRDefault="00EE698E" w:rsidP="00B8660B">
                            <w:pPr>
                              <w:pStyle w:val="Textbox"/>
                            </w:pPr>
                            <w:r w:rsidRPr="00237CBD">
                              <w:t xml:space="preserve">We found that much of the wider quality improvement work occurring in DHBs is guided by the Health Quality and Safety Commission (HQSC). DHBs are </w:t>
                            </w:r>
                            <w:r w:rsidRPr="00B8660B">
                              <w:t>informed</w:t>
                            </w:r>
                            <w:r w:rsidRPr="00237CBD">
                              <w:t xml:space="preserve"> on Ministry expectations as part of DHBs’ annual planning processes, and these expectations are discussed in DHB quality accounts. These expectations do not specifically mention the MQSP or maternity. In order for the MQSP to progress post June 2015 it is important that this work in maternity is aligned and incorporated as a distinct </w:t>
                            </w:r>
                            <w:proofErr w:type="spellStart"/>
                            <w:r w:rsidRPr="00237CBD">
                              <w:t>workstream</w:t>
                            </w:r>
                            <w:proofErr w:type="spellEnd"/>
                            <w:r w:rsidRPr="00237CBD">
                              <w:t xml:space="preserve"> within the DHB quality accounts.</w:t>
                            </w:r>
                          </w:p>
                        </w:txbxContent>
                      </wps:txbx>
                      <wps:bodyPr rot="0" vert="horz" wrap="square" lIns="0" tIns="72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0;margin-top:15.6pt;width:428.05pt;height:111.25pt;z-index:25188249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" fillcolor="#f2f2f2 [3052]" stroked="f">
                <v:textbox inset="0,2mm,0,0">
                  <w:txbxContent>
                    <w:p w:rsidR="00EE698E" w:rsidRPr="00401EE8" w:rsidRDefault="00EE698E" w:rsidP="00B8660B">
                      <w:pPr>
                        <w:pStyle w:val="Textbox"/>
                        <w:rPr>
                          <w:b/>
                          <w:sz w:val="24"/>
                        </w:rPr>
                      </w:pPr>
                      <w:r w:rsidRPr="00401EE8">
                        <w:rPr>
                          <w:b/>
                          <w:sz w:val="24"/>
                        </w:rPr>
                        <w:t>What we found</w:t>
                      </w:r>
                    </w:p>
                    <w:p w:rsidR="00EE698E" w:rsidRPr="00237CBD" w:rsidRDefault="00EE698E" w:rsidP="00B8660B">
                      <w:pPr>
                        <w:pStyle w:val="Textbox"/>
                      </w:pPr>
                      <w:r w:rsidRPr="00237CBD">
                        <w:t xml:space="preserve">We found that much of the wider quality improvement work occurring in DHBs is guided by the Health Quality and Safety Commission (HQSC). DHBs are </w:t>
                      </w:r>
                      <w:r w:rsidRPr="00B8660B">
                        <w:t>informed</w:t>
                      </w:r>
                      <w:r w:rsidRPr="00237CBD">
                        <w:t xml:space="preserve"> on Ministry expectations as part of DHBs’ annual planning processes, and these expectations are discussed in DHB quality accounts. These expectations do not specifically mention the MQSP or maternity. In order for the MQSP to progress post June 2015 it is important that this work in maternity is aligned and incorporated as a distinct </w:t>
                      </w:r>
                      <w:proofErr w:type="spellStart"/>
                      <w:r w:rsidRPr="00237CBD">
                        <w:t>workstream</w:t>
                      </w:r>
                      <w:proofErr w:type="spellEnd"/>
                      <w:r w:rsidRPr="00237CBD">
                        <w:t xml:space="preserve"> within the DHB quality accounts.</w:t>
                      </w:r>
                    </w:p>
                  </w:txbxContent>
                </v:textbox>
                <w10:wrap type="square" side="right"/>
              </v:shape>
            </w:pict>
          </mc:Fallback>
        </mc:AlternateContent>
      </w:r>
    </w:p>
    <w:p w:rsidR="00B8660B" w:rsidRPr="00237CBD" w:rsidRDefault="00B8660B" w:rsidP="00B8660B"/>
    <w:p w:rsidR="00E06EC4" w:rsidRPr="00237CBD" w:rsidRDefault="00E06EC4" w:rsidP="00B8660B">
      <w:pPr>
        <w:pStyle w:val="Heading2"/>
        <w:rPr>
          <w:rFonts w:eastAsia="Arial"/>
        </w:rPr>
      </w:pPr>
      <w:bookmarkStart w:id="48" w:name="_Toc404355692"/>
      <w:r w:rsidRPr="00237CBD">
        <w:rPr>
          <w:rFonts w:eastAsia="Arial"/>
        </w:rPr>
        <w:t xml:space="preserve">In 2013 we </w:t>
      </w:r>
      <w:proofErr w:type="gramStart"/>
      <w:r w:rsidRPr="00237CBD">
        <w:rPr>
          <w:rFonts w:eastAsia="Arial"/>
        </w:rPr>
        <w:t>recommended</w:t>
      </w:r>
      <w:r w:rsidR="00B8660B">
        <w:rPr>
          <w:rFonts w:eastAsia="Arial"/>
        </w:rPr>
        <w:t xml:space="preserve"> ...</w:t>
      </w:r>
      <w:bookmarkEnd w:id="48"/>
      <w:proofErr w:type="gramEnd"/>
    </w:p>
    <w:p w:rsidR="00E06EC4" w:rsidRPr="00237CBD" w:rsidRDefault="00E06EC4" w:rsidP="00B8660B">
      <w:pPr>
        <w:spacing w:before="120"/>
        <w:ind w:left="567" w:hanging="567"/>
        <w:rPr>
          <w:rFonts w:eastAsia="Arial"/>
        </w:rPr>
      </w:pPr>
      <w:r w:rsidRPr="00237CBD">
        <w:rPr>
          <w:rFonts w:eastAsia="Arial"/>
        </w:rPr>
        <w:t>1.</w:t>
      </w:r>
      <w:r w:rsidR="00B8660B">
        <w:rPr>
          <w:rFonts w:eastAsia="Arial"/>
        </w:rPr>
        <w:tab/>
      </w:r>
      <w:r w:rsidRPr="00237CBD">
        <w:rPr>
          <w:rFonts w:eastAsia="Arial"/>
        </w:rPr>
        <w:t>All DHBs should focus on national maternity priorities in their next MQSP. However, we do understand that there will be local variations on the work each DHB carries out in relation to improving maternity quality and safety.</w:t>
      </w:r>
    </w:p>
    <w:p w:rsidR="00E06EC4" w:rsidRPr="00237CBD" w:rsidRDefault="00E06EC4" w:rsidP="00B8660B">
      <w:pPr>
        <w:spacing w:before="120"/>
        <w:ind w:left="567" w:hanging="567"/>
        <w:rPr>
          <w:rFonts w:eastAsia="Arial"/>
        </w:rPr>
      </w:pPr>
      <w:r w:rsidRPr="00237CBD">
        <w:rPr>
          <w:rFonts w:eastAsia="Arial"/>
        </w:rPr>
        <w:t>2.</w:t>
      </w:r>
      <w:r w:rsidR="00B8660B">
        <w:rPr>
          <w:rFonts w:eastAsia="Arial"/>
        </w:rPr>
        <w:tab/>
      </w:r>
      <w:r w:rsidRPr="00237CBD">
        <w:rPr>
          <w:rFonts w:eastAsia="Arial"/>
        </w:rPr>
        <w:t>DHBs must improve engagement with maternity consumers in the coming year.</w:t>
      </w:r>
    </w:p>
    <w:p w:rsidR="00E06EC4" w:rsidRPr="00237CBD" w:rsidRDefault="00E06EC4" w:rsidP="00B8660B">
      <w:pPr>
        <w:spacing w:before="120"/>
        <w:ind w:left="567" w:hanging="567"/>
        <w:rPr>
          <w:rFonts w:eastAsia="Arial"/>
        </w:rPr>
      </w:pPr>
      <w:r w:rsidRPr="00237CBD">
        <w:rPr>
          <w:rFonts w:eastAsia="Arial"/>
        </w:rPr>
        <w:t>3.</w:t>
      </w:r>
      <w:r w:rsidR="00B8660B">
        <w:rPr>
          <w:rFonts w:eastAsia="Arial"/>
        </w:rPr>
        <w:tab/>
      </w:r>
      <w:r w:rsidRPr="00237CBD">
        <w:rPr>
          <w:rFonts w:eastAsia="Arial"/>
        </w:rPr>
        <w:t>We expect that all DHBs will:</w:t>
      </w:r>
    </w:p>
    <w:p w:rsidR="00E06EC4" w:rsidRPr="00237CBD" w:rsidRDefault="00E06EC4" w:rsidP="00B8660B">
      <w:pPr>
        <w:pStyle w:val="Heading3"/>
        <w:ind w:left="567"/>
        <w:rPr>
          <w:rFonts w:eastAsia="Arial"/>
        </w:rPr>
      </w:pPr>
      <w:r w:rsidRPr="00237CBD">
        <w:rPr>
          <w:rFonts w:eastAsia="Arial"/>
        </w:rPr>
        <w:t>Manage the MQSP process</w:t>
      </w:r>
    </w:p>
    <w:p w:rsidR="00E06EC4" w:rsidRPr="00237CBD" w:rsidRDefault="00B8660B" w:rsidP="00B8660B">
      <w:pPr>
        <w:pStyle w:val="Bullet"/>
        <w:ind w:left="851"/>
        <w:rPr>
          <w:rFonts w:eastAsia="Arial"/>
        </w:rPr>
      </w:pPr>
      <w:r>
        <w:rPr>
          <w:rFonts w:eastAsia="Arial"/>
        </w:rPr>
        <w:t>h</w:t>
      </w:r>
      <w:r w:rsidR="00E06EC4" w:rsidRPr="00237CBD">
        <w:rPr>
          <w:rFonts w:eastAsia="Arial"/>
        </w:rPr>
        <w:t>ire a permanent MQSP coordinator</w:t>
      </w:r>
    </w:p>
    <w:p w:rsidR="00E06EC4" w:rsidRPr="00237CBD" w:rsidRDefault="00B8660B" w:rsidP="00B8660B">
      <w:pPr>
        <w:pStyle w:val="Bullet"/>
        <w:ind w:left="851"/>
        <w:rPr>
          <w:rFonts w:eastAsia="Arial"/>
        </w:rPr>
      </w:pPr>
      <w:r>
        <w:rPr>
          <w:rFonts w:eastAsia="Arial"/>
        </w:rPr>
        <w:t>b</w:t>
      </w:r>
      <w:r w:rsidR="00E06EC4" w:rsidRPr="00237CBD">
        <w:rPr>
          <w:rFonts w:eastAsia="Arial"/>
        </w:rPr>
        <w:t>e able to demonstrate how they are working towards achieving the goals set out in their MQSP strategic plans</w:t>
      </w:r>
    </w:p>
    <w:p w:rsidR="00E06EC4" w:rsidRPr="00237CBD" w:rsidRDefault="00B8660B" w:rsidP="00B8660B">
      <w:pPr>
        <w:pStyle w:val="Bullet"/>
        <w:ind w:left="851"/>
        <w:rPr>
          <w:rFonts w:eastAsia="Arial"/>
        </w:rPr>
      </w:pPr>
      <w:r>
        <w:rPr>
          <w:rFonts w:eastAsia="Arial"/>
        </w:rPr>
        <w:t>m</w:t>
      </w:r>
      <w:r w:rsidR="00E06EC4" w:rsidRPr="00237CBD">
        <w:rPr>
          <w:rFonts w:eastAsia="Arial"/>
        </w:rPr>
        <w:t>ake more progress in 2013/14 given that this is the second year of the programme</w:t>
      </w:r>
    </w:p>
    <w:p w:rsidR="00E06EC4" w:rsidRPr="00237CBD" w:rsidRDefault="00B8660B" w:rsidP="00B8660B">
      <w:pPr>
        <w:pStyle w:val="Bullet"/>
        <w:ind w:left="851"/>
        <w:rPr>
          <w:rFonts w:eastAsia="Arial"/>
        </w:rPr>
      </w:pPr>
      <w:r>
        <w:rPr>
          <w:rFonts w:eastAsia="Arial"/>
        </w:rPr>
        <w:t>m</w:t>
      </w:r>
      <w:r w:rsidR="00E06EC4" w:rsidRPr="00237CBD">
        <w:rPr>
          <w:rFonts w:eastAsia="Arial"/>
        </w:rPr>
        <w:t>ake goals more specific</w:t>
      </w:r>
      <w:r w:rsidR="00F71BF6" w:rsidRPr="00237CBD">
        <w:rPr>
          <w:rFonts w:eastAsia="Arial"/>
        </w:rPr>
        <w:t xml:space="preserve"> – </w:t>
      </w:r>
      <w:r w:rsidR="00E06EC4" w:rsidRPr="00237CBD">
        <w:rPr>
          <w:rFonts w:eastAsia="Arial"/>
        </w:rPr>
        <w:t>they need to be measureable so they can be reported upon</w:t>
      </w:r>
    </w:p>
    <w:p w:rsidR="00E06EC4" w:rsidRPr="00237CBD" w:rsidRDefault="00B8660B" w:rsidP="00B8660B">
      <w:pPr>
        <w:pStyle w:val="Bullet"/>
        <w:ind w:left="851"/>
        <w:rPr>
          <w:rFonts w:eastAsia="Arial"/>
        </w:rPr>
      </w:pPr>
      <w:r>
        <w:rPr>
          <w:rFonts w:eastAsia="Arial"/>
        </w:rPr>
        <w:t>w</w:t>
      </w:r>
      <w:r w:rsidR="00E06EC4" w:rsidRPr="00237CBD">
        <w:rPr>
          <w:rFonts w:eastAsia="Arial"/>
        </w:rPr>
        <w:t>ork more closely with wider DHB quality improvement teams</w:t>
      </w:r>
    </w:p>
    <w:p w:rsidR="00E06EC4" w:rsidRPr="00237CBD" w:rsidRDefault="00B8660B" w:rsidP="00B8660B">
      <w:pPr>
        <w:pStyle w:val="Bullet"/>
        <w:ind w:left="851"/>
        <w:rPr>
          <w:rFonts w:eastAsia="Arial"/>
        </w:rPr>
      </w:pPr>
      <w:r>
        <w:rPr>
          <w:rFonts w:eastAsia="Arial"/>
        </w:rPr>
        <w:t>r</w:t>
      </w:r>
      <w:r w:rsidR="00E06EC4" w:rsidRPr="00237CBD">
        <w:rPr>
          <w:rFonts w:eastAsia="Arial"/>
        </w:rPr>
        <w:t>eflect national priorities in future work, and</w:t>
      </w:r>
    </w:p>
    <w:p w:rsidR="00E06EC4" w:rsidRPr="00237CBD" w:rsidRDefault="00B8660B" w:rsidP="00B8660B">
      <w:pPr>
        <w:pStyle w:val="Bullet"/>
        <w:ind w:left="851"/>
        <w:rPr>
          <w:rFonts w:eastAsia="Arial"/>
        </w:rPr>
      </w:pPr>
      <w:proofErr w:type="gramStart"/>
      <w:r>
        <w:rPr>
          <w:rFonts w:eastAsia="Arial"/>
        </w:rPr>
        <w:t>c</w:t>
      </w:r>
      <w:r w:rsidR="00E06EC4" w:rsidRPr="00237CBD">
        <w:rPr>
          <w:rFonts w:eastAsia="Arial"/>
        </w:rPr>
        <w:t>onsider</w:t>
      </w:r>
      <w:proofErr w:type="gramEnd"/>
      <w:r w:rsidR="00E06EC4" w:rsidRPr="00237CBD">
        <w:rPr>
          <w:rFonts w:eastAsia="Arial"/>
        </w:rPr>
        <w:t xml:space="preserve"> the NMMG</w:t>
      </w:r>
      <w:r w:rsidR="00F71BF6" w:rsidRPr="00237CBD">
        <w:rPr>
          <w:rFonts w:eastAsia="Arial"/>
        </w:rPr>
        <w:t>’</w:t>
      </w:r>
      <w:r w:rsidR="00E06EC4" w:rsidRPr="00237CBD">
        <w:rPr>
          <w:rFonts w:eastAsia="Arial"/>
        </w:rPr>
        <w:t>s priorities when outlining future activity.</w:t>
      </w:r>
    </w:p>
    <w:p w:rsidR="00E06EC4" w:rsidRPr="00237CBD" w:rsidRDefault="00E06EC4" w:rsidP="00B8660B">
      <w:pPr>
        <w:pStyle w:val="Heading3"/>
        <w:ind w:left="567"/>
        <w:rPr>
          <w:rFonts w:eastAsia="Arial"/>
        </w:rPr>
      </w:pPr>
      <w:r w:rsidRPr="00237CBD">
        <w:rPr>
          <w:rFonts w:eastAsia="Arial"/>
        </w:rPr>
        <w:t>Improve engagement with consumers</w:t>
      </w:r>
    </w:p>
    <w:p w:rsidR="00E06EC4" w:rsidRPr="00237CBD" w:rsidRDefault="00B8660B" w:rsidP="00B8660B">
      <w:pPr>
        <w:pStyle w:val="Bullet"/>
        <w:ind w:left="851"/>
        <w:rPr>
          <w:rFonts w:eastAsia="Arial"/>
        </w:rPr>
      </w:pPr>
      <w:r>
        <w:rPr>
          <w:rFonts w:eastAsia="Arial"/>
        </w:rPr>
        <w:t>h</w:t>
      </w:r>
      <w:r w:rsidR="00E06EC4" w:rsidRPr="00237CBD">
        <w:rPr>
          <w:rFonts w:eastAsia="Arial"/>
        </w:rPr>
        <w:t>ave at least one, if not more, consumer members on clinical governance groups and supply training to help them contribute effectively</w:t>
      </w:r>
    </w:p>
    <w:p w:rsidR="00E06EC4" w:rsidRPr="00237CBD" w:rsidRDefault="00B8660B" w:rsidP="00B8660B">
      <w:pPr>
        <w:pStyle w:val="Bullet"/>
        <w:ind w:left="851"/>
        <w:rPr>
          <w:rFonts w:eastAsia="Arial"/>
        </w:rPr>
      </w:pPr>
      <w:r>
        <w:rPr>
          <w:rFonts w:eastAsia="Arial"/>
        </w:rPr>
        <w:t>i</w:t>
      </w:r>
      <w:r w:rsidR="00E06EC4" w:rsidRPr="00237CBD">
        <w:rPr>
          <w:rFonts w:eastAsia="Arial"/>
        </w:rPr>
        <w:t>ncorporate other ways to get consumer feedback into reporting systems, and</w:t>
      </w:r>
    </w:p>
    <w:p w:rsidR="00E06EC4" w:rsidRPr="00237CBD" w:rsidRDefault="00B8660B" w:rsidP="00B8660B">
      <w:pPr>
        <w:pStyle w:val="Bullet"/>
        <w:ind w:left="851"/>
        <w:rPr>
          <w:rFonts w:eastAsia="Arial"/>
        </w:rPr>
      </w:pPr>
      <w:proofErr w:type="gramStart"/>
      <w:r>
        <w:rPr>
          <w:rFonts w:eastAsia="Arial"/>
        </w:rPr>
        <w:t>e</w:t>
      </w:r>
      <w:r w:rsidR="00E06EC4" w:rsidRPr="00237CBD">
        <w:rPr>
          <w:rFonts w:eastAsia="Arial"/>
        </w:rPr>
        <w:t>nsure</w:t>
      </w:r>
      <w:proofErr w:type="gramEnd"/>
      <w:r w:rsidR="00E06EC4" w:rsidRPr="00237CBD">
        <w:rPr>
          <w:rFonts w:eastAsia="Arial"/>
        </w:rPr>
        <w:t xml:space="preserve"> that MQSP publications</w:t>
      </w:r>
      <w:r w:rsidR="00F71BF6" w:rsidRPr="00237CBD">
        <w:rPr>
          <w:rFonts w:eastAsia="Arial"/>
        </w:rPr>
        <w:t xml:space="preserve"> </w:t>
      </w:r>
      <w:r w:rsidR="00E06EC4" w:rsidRPr="00237CBD">
        <w:rPr>
          <w:rFonts w:eastAsia="Arial"/>
        </w:rPr>
        <w:t>are accessible to consumers, and that they are relevant and easy to read.</w:t>
      </w:r>
    </w:p>
    <w:p w:rsidR="00E06EC4" w:rsidRPr="00237CBD" w:rsidRDefault="00E06EC4" w:rsidP="00B8660B"/>
    <w:p w:rsidR="00E06EC4" w:rsidRDefault="00E06EC4" w:rsidP="00B8660B">
      <w:pPr>
        <w:pStyle w:val="Heading2"/>
        <w:rPr>
          <w:rFonts w:eastAsia="Arial"/>
        </w:rPr>
      </w:pPr>
      <w:bookmarkStart w:id="49" w:name="_Toc404355693"/>
      <w:r w:rsidRPr="00237CBD">
        <w:rPr>
          <w:rFonts w:eastAsia="Arial"/>
        </w:rPr>
        <w:lastRenderedPageBreak/>
        <w:t>What has changed since then?</w:t>
      </w:r>
      <w:bookmarkEnd w:id="49"/>
    </w:p>
    <w:p w:rsidR="00E06EC4" w:rsidRPr="00237CBD" w:rsidRDefault="00E06EC4" w:rsidP="00C83DAD">
      <w:pPr>
        <w:rPr>
          <w:rFonts w:eastAsia="Arial"/>
        </w:rPr>
      </w:pPr>
      <w:r w:rsidRPr="00237CBD">
        <w:rPr>
          <w:rFonts w:eastAsia="Arial"/>
        </w:rPr>
        <w:t>We were pleased that there was an overall improvement in the quality of the 2013/14 annual reports in comparison to 2012/13. However, there were still areas that required attention. These included:</w:t>
      </w:r>
    </w:p>
    <w:p w:rsidR="00E06EC4" w:rsidRPr="00C83DAD" w:rsidRDefault="00C83DAD" w:rsidP="00C83DAD">
      <w:pPr>
        <w:pStyle w:val="Bullet"/>
        <w:rPr>
          <w:rFonts w:eastAsia="Arial"/>
        </w:rPr>
      </w:pPr>
      <w:r w:rsidRPr="00C83DAD">
        <w:rPr>
          <w:rFonts w:eastAsia="Arial"/>
        </w:rPr>
        <w:t>c</w:t>
      </w:r>
      <w:r w:rsidR="00E06EC4" w:rsidRPr="00C83DAD">
        <w:rPr>
          <w:rFonts w:eastAsia="Arial"/>
        </w:rPr>
        <w:t>onsumer members</w:t>
      </w:r>
      <w:r w:rsidR="00F71BF6" w:rsidRPr="00C83DAD">
        <w:rPr>
          <w:rFonts w:eastAsia="Arial"/>
        </w:rPr>
        <w:t xml:space="preserve"> – </w:t>
      </w:r>
      <w:r w:rsidR="00E06EC4" w:rsidRPr="00C83DAD">
        <w:rPr>
          <w:rFonts w:eastAsia="Arial"/>
        </w:rPr>
        <w:t>there were concerns that in some DHBs consumer members did not have a clearly defined role and were not networked with other local consumer groups aligned</w:t>
      </w:r>
      <w:r w:rsidRPr="00C83DAD">
        <w:rPr>
          <w:rFonts w:eastAsia="Arial"/>
        </w:rPr>
        <w:t xml:space="preserve"> </w:t>
      </w:r>
      <w:r w:rsidR="00E06EC4" w:rsidRPr="00C83DAD">
        <w:rPr>
          <w:rFonts w:eastAsia="Arial"/>
        </w:rPr>
        <w:t>with maternity. In one or two DHBs there were still no consumer members on the MQSP at any level including governance, or they had resigned and had not been replaced</w:t>
      </w:r>
    </w:p>
    <w:p w:rsidR="00E06EC4" w:rsidRPr="00237CBD" w:rsidRDefault="00C83DAD" w:rsidP="00C83DAD">
      <w:pPr>
        <w:pStyle w:val="Bullet"/>
        <w:rPr>
          <w:rFonts w:eastAsia="Arial"/>
        </w:rPr>
      </w:pPr>
      <w:r>
        <w:rPr>
          <w:rFonts w:eastAsia="Arial"/>
        </w:rPr>
        <w:t>n</w:t>
      </w:r>
      <w:r w:rsidR="00E06EC4" w:rsidRPr="00237CBD">
        <w:rPr>
          <w:rFonts w:eastAsia="Arial"/>
        </w:rPr>
        <w:t>o mention of previous goals</w:t>
      </w:r>
      <w:r w:rsidR="00F71BF6" w:rsidRPr="00237CBD">
        <w:rPr>
          <w:rFonts w:eastAsia="Arial"/>
        </w:rPr>
        <w:t xml:space="preserve"> – </w:t>
      </w:r>
      <w:r w:rsidR="00E06EC4" w:rsidRPr="00237CBD">
        <w:rPr>
          <w:rFonts w:eastAsia="Arial"/>
        </w:rPr>
        <w:t>the NMMG would like an update on the outcome of the previous years</w:t>
      </w:r>
      <w:r w:rsidR="00F71BF6" w:rsidRPr="00237CBD">
        <w:rPr>
          <w:rFonts w:eastAsia="Arial"/>
        </w:rPr>
        <w:t>’</w:t>
      </w:r>
      <w:r w:rsidR="00E06EC4" w:rsidRPr="00237CBD">
        <w:rPr>
          <w:rFonts w:eastAsia="Arial"/>
        </w:rPr>
        <w:t xml:space="preserve"> goals</w:t>
      </w:r>
    </w:p>
    <w:p w:rsidR="00E06EC4" w:rsidRPr="00237CBD" w:rsidRDefault="00C83DAD" w:rsidP="00C83DAD">
      <w:pPr>
        <w:pStyle w:val="Bullet"/>
        <w:rPr>
          <w:rFonts w:eastAsia="Arial"/>
        </w:rPr>
      </w:pPr>
      <w:r>
        <w:rPr>
          <w:rFonts w:eastAsia="Arial"/>
        </w:rPr>
        <w:t>f</w:t>
      </w:r>
      <w:r w:rsidR="00E06EC4" w:rsidRPr="00237CBD">
        <w:rPr>
          <w:rFonts w:eastAsia="Arial"/>
        </w:rPr>
        <w:t>uture priorities were not mentioned, nor were the NMMG</w:t>
      </w:r>
      <w:r w:rsidR="00F71BF6" w:rsidRPr="00237CBD">
        <w:rPr>
          <w:rFonts w:eastAsia="Arial"/>
        </w:rPr>
        <w:t>’</w:t>
      </w:r>
      <w:r w:rsidR="00E06EC4" w:rsidRPr="00237CBD">
        <w:rPr>
          <w:rFonts w:eastAsia="Arial"/>
        </w:rPr>
        <w:t>s priorities, in some reports, and</w:t>
      </w:r>
    </w:p>
    <w:p w:rsidR="00E06EC4" w:rsidRPr="00237CBD" w:rsidRDefault="00C83DAD" w:rsidP="00C83DAD">
      <w:pPr>
        <w:pStyle w:val="Bullet"/>
        <w:rPr>
          <w:rFonts w:eastAsia="Arial"/>
        </w:rPr>
      </w:pPr>
      <w:proofErr w:type="gramStart"/>
      <w:r>
        <w:rPr>
          <w:rFonts w:eastAsia="Arial"/>
        </w:rPr>
        <w:t>c</w:t>
      </w:r>
      <w:r w:rsidR="00E06EC4" w:rsidRPr="00237CBD">
        <w:rPr>
          <w:rFonts w:eastAsia="Arial"/>
        </w:rPr>
        <w:t>linical</w:t>
      </w:r>
      <w:proofErr w:type="gramEnd"/>
      <w:r w:rsidR="00E06EC4" w:rsidRPr="00237CBD">
        <w:rPr>
          <w:rFonts w:eastAsia="Arial"/>
        </w:rPr>
        <w:t xml:space="preserve"> leadership was unclear in a number of the reports.</w:t>
      </w:r>
    </w:p>
    <w:p w:rsidR="00E06EC4" w:rsidRPr="00237CBD" w:rsidRDefault="00E06EC4" w:rsidP="00C83DAD"/>
    <w:p w:rsidR="00E06EC4" w:rsidRPr="00237CBD" w:rsidRDefault="00E06EC4" w:rsidP="00C83DAD">
      <w:pPr>
        <w:rPr>
          <w:rFonts w:eastAsia="Arial"/>
        </w:rPr>
      </w:pPr>
      <w:r w:rsidRPr="00237CBD">
        <w:rPr>
          <w:rFonts w:eastAsia="Arial"/>
        </w:rPr>
        <w:t>We also noted in the MQSP draft reports that there seemed to be little alignment of maternity within the wider quality improvement work</w:t>
      </w:r>
      <w:r w:rsidR="00C83DAD">
        <w:rPr>
          <w:rFonts w:eastAsia="Arial"/>
        </w:rPr>
        <w:t xml:space="preserve"> </w:t>
      </w:r>
      <w:r w:rsidRPr="00237CBD">
        <w:rPr>
          <w:rFonts w:eastAsia="Arial"/>
        </w:rPr>
        <w:t>in their DHBs. If there is not some mutuality between the two areas of quality work in DHBs it may prove difficult to maintain the quality agenda in maternity, as it will not always be well understood by the wider organisation.</w:t>
      </w:r>
    </w:p>
    <w:p w:rsidR="00E06EC4" w:rsidRPr="00237CBD" w:rsidRDefault="00E06EC4" w:rsidP="00C83DAD"/>
    <w:p w:rsidR="00E06EC4" w:rsidRPr="00237CBD" w:rsidRDefault="00E06EC4" w:rsidP="00C83DAD">
      <w:pPr>
        <w:rPr>
          <w:rFonts w:eastAsia="Arial"/>
        </w:rPr>
      </w:pPr>
      <w:r w:rsidRPr="00237CBD">
        <w:rPr>
          <w:rFonts w:eastAsia="Arial"/>
        </w:rPr>
        <w:t>This feedback was provided</w:t>
      </w:r>
      <w:r w:rsidR="00F71BF6" w:rsidRPr="00237CBD">
        <w:rPr>
          <w:rFonts w:eastAsia="Arial"/>
        </w:rPr>
        <w:t xml:space="preserve"> </w:t>
      </w:r>
      <w:r w:rsidRPr="00237CBD">
        <w:rPr>
          <w:rFonts w:eastAsia="Arial"/>
        </w:rPr>
        <w:t>to DHBs by the Ministry of Health.</w:t>
      </w:r>
    </w:p>
    <w:p w:rsidR="00E06EC4" w:rsidRPr="00237CBD" w:rsidRDefault="00E06EC4" w:rsidP="00C83DAD"/>
    <w:p w:rsidR="00E06EC4" w:rsidRPr="00237CBD" w:rsidRDefault="00E06EC4" w:rsidP="00C83DAD">
      <w:pPr>
        <w:rPr>
          <w:rFonts w:eastAsia="Arial"/>
        </w:rPr>
      </w:pPr>
      <w:r w:rsidRPr="00237CBD">
        <w:rPr>
          <w:rFonts w:eastAsia="Arial"/>
        </w:rPr>
        <w:t>We accept that these were draft reports and that the final documents may be substantially different.</w:t>
      </w:r>
    </w:p>
    <w:p w:rsidR="00E06EC4" w:rsidRPr="00237CBD" w:rsidRDefault="00E06EC4" w:rsidP="00C83DAD"/>
    <w:p w:rsidR="00E06EC4" w:rsidRPr="00237CBD" w:rsidRDefault="00E06EC4" w:rsidP="007254D8">
      <w:pPr>
        <w:pStyle w:val="BoxHeading"/>
        <w:rPr>
          <w:rFonts w:eastAsia="Arial"/>
        </w:rPr>
      </w:pPr>
      <w:r w:rsidRPr="00237CBD">
        <w:rPr>
          <w:rFonts w:eastAsia="Arial"/>
        </w:rPr>
        <w:t>The changes we expect to see next</w:t>
      </w:r>
    </w:p>
    <w:p w:rsidR="00E06EC4" w:rsidRPr="00237CBD" w:rsidRDefault="00E06EC4" w:rsidP="007254D8">
      <w:pPr>
        <w:pStyle w:val="Box"/>
        <w:ind w:left="567" w:hanging="425"/>
        <w:rPr>
          <w:rFonts w:eastAsia="Arial"/>
        </w:rPr>
      </w:pPr>
      <w:r w:rsidRPr="00237CBD">
        <w:rPr>
          <w:rFonts w:eastAsia="Arial"/>
        </w:rPr>
        <w:t>1</w:t>
      </w:r>
      <w:r w:rsidR="007254D8">
        <w:rPr>
          <w:rFonts w:eastAsia="Arial"/>
        </w:rPr>
        <w:tab/>
      </w:r>
      <w:r w:rsidRPr="00237CBD">
        <w:rPr>
          <w:rFonts w:eastAsia="Arial"/>
        </w:rPr>
        <w:t>We expect the DHBs to incorporate feedback from the NMMG and the Ministry into their final 2013/14 MQSP annual reports.</w:t>
      </w:r>
    </w:p>
    <w:p w:rsidR="00E06EC4" w:rsidRPr="00237CBD" w:rsidRDefault="00E06EC4" w:rsidP="007254D8">
      <w:pPr>
        <w:pStyle w:val="Box"/>
        <w:ind w:left="567" w:hanging="425"/>
        <w:rPr>
          <w:rFonts w:eastAsia="Arial"/>
        </w:rPr>
      </w:pPr>
      <w:r w:rsidRPr="00237CBD">
        <w:rPr>
          <w:rFonts w:eastAsia="Arial"/>
        </w:rPr>
        <w:t>2</w:t>
      </w:r>
      <w:r w:rsidR="007254D8">
        <w:rPr>
          <w:rFonts w:eastAsia="Arial"/>
        </w:rPr>
        <w:tab/>
      </w:r>
      <w:r w:rsidRPr="00237CBD">
        <w:rPr>
          <w:rFonts w:eastAsia="Arial"/>
        </w:rPr>
        <w:t>Once the DHB MQSP annual</w:t>
      </w:r>
      <w:r w:rsidR="00F71BF6" w:rsidRPr="00237CBD">
        <w:rPr>
          <w:rFonts w:eastAsia="Arial"/>
        </w:rPr>
        <w:t xml:space="preserve"> </w:t>
      </w:r>
      <w:r w:rsidRPr="00237CBD">
        <w:rPr>
          <w:rFonts w:eastAsia="Arial"/>
        </w:rPr>
        <w:t>reports are finalised and published, they must be made publicly available on each DHB</w:t>
      </w:r>
      <w:r w:rsidR="00F71BF6" w:rsidRPr="00237CBD">
        <w:rPr>
          <w:rFonts w:eastAsia="Arial"/>
        </w:rPr>
        <w:t>’</w:t>
      </w:r>
      <w:r w:rsidRPr="00237CBD">
        <w:rPr>
          <w:rFonts w:eastAsia="Arial"/>
        </w:rPr>
        <w:t>s website.</w:t>
      </w:r>
    </w:p>
    <w:p w:rsidR="00E06EC4" w:rsidRPr="00237CBD" w:rsidRDefault="00E06EC4" w:rsidP="007254D8">
      <w:pPr>
        <w:pStyle w:val="Box"/>
        <w:ind w:left="567" w:hanging="425"/>
        <w:rPr>
          <w:rFonts w:eastAsia="Arial"/>
        </w:rPr>
      </w:pPr>
      <w:r w:rsidRPr="00237CBD">
        <w:rPr>
          <w:rFonts w:eastAsia="Arial"/>
        </w:rPr>
        <w:t>3</w:t>
      </w:r>
      <w:r w:rsidR="007254D8">
        <w:rPr>
          <w:rFonts w:eastAsia="Arial"/>
        </w:rPr>
        <w:tab/>
      </w:r>
      <w:r w:rsidRPr="00237CBD">
        <w:rPr>
          <w:rFonts w:eastAsia="Arial"/>
        </w:rPr>
        <w:t>The MQSP must be seen as business as usual for DHBs and should be aligned with, and supported by, the DHB quality framework.</w:t>
      </w:r>
    </w:p>
    <w:p w:rsidR="00E06EC4" w:rsidRPr="00237CBD" w:rsidRDefault="00E06EC4" w:rsidP="007254D8">
      <w:pPr>
        <w:pStyle w:val="Box"/>
        <w:ind w:left="567" w:hanging="425"/>
        <w:rPr>
          <w:rFonts w:eastAsia="Arial"/>
        </w:rPr>
      </w:pPr>
      <w:r w:rsidRPr="00237CBD">
        <w:rPr>
          <w:rFonts w:eastAsia="Arial"/>
        </w:rPr>
        <w:t>4</w:t>
      </w:r>
      <w:r w:rsidR="007254D8">
        <w:rPr>
          <w:rFonts w:eastAsia="Arial"/>
        </w:rPr>
        <w:tab/>
      </w:r>
      <w:r w:rsidRPr="00237CBD">
        <w:rPr>
          <w:rFonts w:eastAsia="Arial"/>
        </w:rPr>
        <w:t>We expect that DHBs will align their MQSP with their wider quality agenda, in order to support an integrated quality improvement approach. We want DHB Quality teams to have an understanding of the MQSP and link this to other relevant quality work in their region – it should not be kept separate. This is vital if the MQSP is</w:t>
      </w:r>
      <w:r w:rsidR="007254D8">
        <w:rPr>
          <w:rFonts w:eastAsia="Arial"/>
        </w:rPr>
        <w:t xml:space="preserve"> </w:t>
      </w:r>
      <w:r w:rsidRPr="00237CBD">
        <w:rPr>
          <w:rFonts w:eastAsia="Arial"/>
        </w:rPr>
        <w:t>to ever become a part of the wider quality work of DHBs.</w:t>
      </w:r>
    </w:p>
    <w:p w:rsidR="00E06EC4" w:rsidRPr="00237CBD" w:rsidRDefault="00E06EC4" w:rsidP="007254D8">
      <w:pPr>
        <w:pStyle w:val="Box"/>
        <w:ind w:left="567" w:hanging="425"/>
        <w:rPr>
          <w:rFonts w:eastAsia="Arial"/>
        </w:rPr>
      </w:pPr>
      <w:r w:rsidRPr="00237CBD">
        <w:rPr>
          <w:rFonts w:eastAsia="Arial"/>
        </w:rPr>
        <w:t>5</w:t>
      </w:r>
      <w:r w:rsidR="007254D8">
        <w:rPr>
          <w:rFonts w:eastAsia="Arial"/>
        </w:rPr>
        <w:tab/>
      </w:r>
      <w:r w:rsidRPr="00237CBD">
        <w:rPr>
          <w:rFonts w:eastAsia="Arial"/>
        </w:rPr>
        <w:t>In order to support DHBs to do this, we would like the Ministry (and the HQSC) to ask DHBs to discuss the MQSP as part of their wider quality work, including as part of the quality accounts.</w:t>
      </w:r>
    </w:p>
    <w:p w:rsidR="00E06EC4" w:rsidRPr="00237CBD" w:rsidRDefault="00E06EC4" w:rsidP="00C83DAD"/>
    <w:p w:rsidR="007254D8" w:rsidRDefault="007254D8" w:rsidP="007254D8">
      <w:pPr>
        <w:rPr>
          <w:rFonts w:eastAsia="Arial"/>
        </w:rPr>
      </w:pPr>
      <w:r>
        <w:rPr>
          <w:rFonts w:eastAsia="Arial"/>
        </w:rPr>
        <w:br w:type="page"/>
      </w:r>
    </w:p>
    <w:p w:rsidR="00E06EC4" w:rsidRPr="007254D8" w:rsidRDefault="00E06EC4" w:rsidP="007254D8">
      <w:pPr>
        <w:pStyle w:val="Heading1"/>
        <w:rPr>
          <w:rFonts w:eastAsia="Arial"/>
        </w:rPr>
      </w:pPr>
      <w:bookmarkStart w:id="50" w:name="_Toc404355694"/>
      <w:r w:rsidRPr="00237CBD">
        <w:rPr>
          <w:rFonts w:eastAsia="Arial"/>
        </w:rPr>
        <w:lastRenderedPageBreak/>
        <w:t>Update on Previous</w:t>
      </w:r>
      <w:r w:rsidR="007254D8">
        <w:rPr>
          <w:rFonts w:eastAsia="Arial"/>
        </w:rPr>
        <w:t xml:space="preserve"> </w:t>
      </w:r>
      <w:r w:rsidRPr="007254D8">
        <w:rPr>
          <w:rFonts w:eastAsia="Arial"/>
        </w:rPr>
        <w:t>NMMG Work</w:t>
      </w:r>
      <w:bookmarkEnd w:id="50"/>
    </w:p>
    <w:p w:rsidR="00E06EC4" w:rsidRPr="00237CBD" w:rsidRDefault="00E06EC4" w:rsidP="00C83DAD">
      <w:pPr>
        <w:pStyle w:val="Introparagraph"/>
      </w:pPr>
      <w:r w:rsidRPr="00237CBD">
        <w:t>In our 2013 Annual Report, the NMM</w:t>
      </w:r>
      <w:r w:rsidR="00CA6003">
        <w:t>G</w:t>
      </w:r>
      <w:r w:rsidRPr="00237CBD">
        <w:t xml:space="preserve"> </w:t>
      </w:r>
      <w:r w:rsidR="00CA6003">
        <w:t xml:space="preserve">made a </w:t>
      </w:r>
      <w:r w:rsidRPr="00237CBD">
        <w:t>number of recommendations for im</w:t>
      </w:r>
      <w:r w:rsidR="00CA6003">
        <w:t>provements</w:t>
      </w:r>
      <w:r w:rsidRPr="00237CBD">
        <w:t xml:space="preserve"> within the maternity system across n</w:t>
      </w:r>
      <w:r w:rsidR="00CA6003">
        <w:t>ine work</w:t>
      </w:r>
      <w:r w:rsidRPr="00237CBD">
        <w:t xml:space="preserve"> streams. Not all of these work strea</w:t>
      </w:r>
      <w:r w:rsidR="00CA6003">
        <w:t>ms</w:t>
      </w:r>
      <w:r w:rsidRPr="00237CBD">
        <w:t xml:space="preserve"> continued in 2014. This section outli</w:t>
      </w:r>
      <w:r w:rsidR="00CA6003">
        <w:t>nes</w:t>
      </w:r>
      <w:r w:rsidRPr="00237CBD">
        <w:t xml:space="preserve"> any progress made in relation to 201</w:t>
      </w:r>
      <w:r w:rsidR="00CA6003">
        <w:t>3</w:t>
      </w:r>
      <w:r w:rsidRPr="00237CBD">
        <w:t xml:space="preserve"> recommendations.</w:t>
      </w:r>
    </w:p>
    <w:p w:rsidR="00E06EC4" w:rsidRPr="00237CBD" w:rsidRDefault="00E06EC4" w:rsidP="00C83DAD"/>
    <w:p w:rsidR="00E06EC4" w:rsidRPr="00237CBD" w:rsidRDefault="00E06EC4" w:rsidP="00C83DAD">
      <w:pPr>
        <w:pStyle w:val="Heading2"/>
        <w:rPr>
          <w:rFonts w:eastAsia="Arial"/>
        </w:rPr>
      </w:pPr>
      <w:bookmarkStart w:id="51" w:name="_Toc404355695"/>
      <w:r w:rsidRPr="00237CBD">
        <w:rPr>
          <w:rFonts w:eastAsia="Arial"/>
        </w:rPr>
        <w:t>2013 work streams</w:t>
      </w:r>
      <w:bookmarkEnd w:id="51"/>
    </w:p>
    <w:p w:rsidR="00E06EC4" w:rsidRPr="00237CBD" w:rsidRDefault="00E06EC4" w:rsidP="00C83DAD">
      <w:pPr>
        <w:pStyle w:val="Heading3"/>
        <w:rPr>
          <w:rFonts w:eastAsia="Arial"/>
        </w:rPr>
      </w:pPr>
      <w:r w:rsidRPr="00237CBD">
        <w:rPr>
          <w:rFonts w:eastAsia="Arial"/>
        </w:rPr>
        <w:t>The 2012 Guidelines for Consultation with Obstetric and Related Medical Services (Referral Guidelines)</w:t>
      </w:r>
    </w:p>
    <w:p w:rsidR="00E06EC4" w:rsidRPr="00237CBD" w:rsidRDefault="00E06EC4" w:rsidP="00C83DAD">
      <w:pPr>
        <w:rPr>
          <w:rFonts w:eastAsia="Arial"/>
        </w:rPr>
      </w:pPr>
      <w:r w:rsidRPr="00237CBD">
        <w:rPr>
          <w:rFonts w:eastAsia="Arial"/>
        </w:rPr>
        <w:t>In 2013 we recommended that:</w:t>
      </w:r>
    </w:p>
    <w:p w:rsidR="00E06EC4" w:rsidRPr="00237CBD" w:rsidRDefault="00E06EC4" w:rsidP="00C83DAD">
      <w:pPr>
        <w:spacing w:before="120"/>
        <w:ind w:left="567" w:hanging="567"/>
        <w:rPr>
          <w:rFonts w:eastAsia="Arial"/>
        </w:rPr>
      </w:pPr>
      <w:r w:rsidRPr="00237CBD">
        <w:rPr>
          <w:rFonts w:eastAsia="Arial"/>
        </w:rPr>
        <w:t>1</w:t>
      </w:r>
      <w:r w:rsidR="00C83DAD">
        <w:rPr>
          <w:rFonts w:eastAsia="Arial"/>
        </w:rPr>
        <w:tab/>
      </w:r>
      <w:r w:rsidRPr="00237CBD">
        <w:rPr>
          <w:rFonts w:eastAsia="Arial"/>
        </w:rPr>
        <w:t>DHBs should be using MQSP governance groups to monitor the implementation of the Referral Guidelines</w:t>
      </w:r>
    </w:p>
    <w:p w:rsidR="00E06EC4" w:rsidRPr="00237CBD" w:rsidRDefault="00E06EC4" w:rsidP="00C83DAD">
      <w:pPr>
        <w:spacing w:before="120"/>
        <w:ind w:left="567" w:hanging="567"/>
        <w:rPr>
          <w:rFonts w:eastAsia="Arial"/>
        </w:rPr>
      </w:pPr>
      <w:r w:rsidRPr="00237CBD">
        <w:rPr>
          <w:rFonts w:eastAsia="Arial"/>
        </w:rPr>
        <w:t>2</w:t>
      </w:r>
      <w:r w:rsidR="00C83DAD">
        <w:rPr>
          <w:rFonts w:eastAsia="Arial"/>
        </w:rPr>
        <w:tab/>
      </w:r>
      <w:r w:rsidRPr="00237CBD">
        <w:rPr>
          <w:rFonts w:eastAsia="Arial"/>
        </w:rPr>
        <w:t>The Referral Guidelines should be communicated effectively to maternity consumers, making processes more trans</w:t>
      </w:r>
      <w:r w:rsidR="00CA6003">
        <w:rPr>
          <w:rFonts w:eastAsia="Arial"/>
        </w:rPr>
        <w:t>parent</w:t>
      </w:r>
    </w:p>
    <w:p w:rsidR="00E06EC4" w:rsidRPr="00237CBD" w:rsidRDefault="00E06EC4" w:rsidP="00C83DAD">
      <w:pPr>
        <w:spacing w:before="120"/>
        <w:ind w:left="567" w:hanging="567"/>
        <w:rPr>
          <w:rFonts w:eastAsia="Arial"/>
        </w:rPr>
      </w:pPr>
      <w:r w:rsidRPr="00237CBD">
        <w:rPr>
          <w:rFonts w:eastAsia="Arial"/>
        </w:rPr>
        <w:t>3</w:t>
      </w:r>
      <w:r w:rsidR="00C83DAD">
        <w:rPr>
          <w:rFonts w:eastAsia="Arial"/>
        </w:rPr>
        <w:tab/>
      </w:r>
      <w:r w:rsidRPr="00237CBD">
        <w:rPr>
          <w:rFonts w:eastAsia="Arial"/>
        </w:rPr>
        <w:t>Updates to referral policies need to be co</w:t>
      </w:r>
      <w:r w:rsidR="00CA6003">
        <w:rPr>
          <w:rFonts w:eastAsia="Arial"/>
        </w:rPr>
        <w:t>mpleted</w:t>
      </w:r>
      <w:r w:rsidRPr="00237CBD">
        <w:rPr>
          <w:rFonts w:eastAsia="Arial"/>
        </w:rPr>
        <w:t xml:space="preserve"> in conjunction with St John and other am</w:t>
      </w:r>
      <w:r w:rsidR="00CA6003">
        <w:rPr>
          <w:rFonts w:eastAsia="Arial"/>
        </w:rPr>
        <w:t>bulance</w:t>
      </w:r>
      <w:r w:rsidRPr="00237CBD">
        <w:rPr>
          <w:rFonts w:eastAsia="Arial"/>
        </w:rPr>
        <w:t xml:space="preserve"> services, and</w:t>
      </w:r>
    </w:p>
    <w:p w:rsidR="00E06EC4" w:rsidRPr="00237CBD" w:rsidRDefault="00E06EC4" w:rsidP="00C83DAD">
      <w:pPr>
        <w:spacing w:before="120"/>
        <w:ind w:left="567" w:hanging="567"/>
        <w:rPr>
          <w:rFonts w:eastAsia="Arial"/>
        </w:rPr>
      </w:pPr>
      <w:r w:rsidRPr="00237CBD">
        <w:rPr>
          <w:rFonts w:eastAsia="Arial"/>
        </w:rPr>
        <w:t>4</w:t>
      </w:r>
      <w:r w:rsidR="00C83DAD">
        <w:rPr>
          <w:rFonts w:eastAsia="Arial"/>
        </w:rPr>
        <w:tab/>
      </w:r>
      <w:r w:rsidRPr="00237CBD">
        <w:rPr>
          <w:rFonts w:eastAsia="Arial"/>
        </w:rPr>
        <w:t>We want to see that DHBs are engaging w</w:t>
      </w:r>
      <w:r w:rsidR="00CA6003">
        <w:rPr>
          <w:rFonts w:eastAsia="Arial"/>
        </w:rPr>
        <w:t xml:space="preserve">ith ambulance </w:t>
      </w:r>
      <w:r w:rsidRPr="00237CBD">
        <w:rPr>
          <w:rFonts w:eastAsia="Arial"/>
        </w:rPr>
        <w:t>services to improve the emergency transport of women in labour.</w:t>
      </w:r>
    </w:p>
    <w:p w:rsidR="00E06EC4" w:rsidRPr="00237CBD" w:rsidRDefault="00E06EC4" w:rsidP="00C83DAD"/>
    <w:p w:rsidR="00E06EC4" w:rsidRPr="00237CBD" w:rsidRDefault="00E06EC4" w:rsidP="00CA6003">
      <w:pPr>
        <w:pStyle w:val="Heading4"/>
        <w:rPr>
          <w:rFonts w:eastAsia="Arial"/>
        </w:rPr>
      </w:pPr>
      <w:r w:rsidRPr="00237CBD">
        <w:rPr>
          <w:rFonts w:eastAsia="Arial"/>
        </w:rPr>
        <w:t>This year we</w:t>
      </w:r>
      <w:r w:rsidR="00C83DAD">
        <w:rPr>
          <w:rFonts w:eastAsia="Arial"/>
        </w:rPr>
        <w:t xml:space="preserve"> noted a number of developments</w:t>
      </w:r>
    </w:p>
    <w:p w:rsidR="00E06EC4" w:rsidRPr="00237CBD" w:rsidRDefault="00E06EC4" w:rsidP="00C83DAD">
      <w:pPr>
        <w:pStyle w:val="Bullet"/>
        <w:rPr>
          <w:rFonts w:eastAsia="Arial"/>
        </w:rPr>
      </w:pPr>
      <w:r w:rsidRPr="00237CBD">
        <w:rPr>
          <w:rFonts w:eastAsia="Arial"/>
        </w:rPr>
        <w:t>Almost</w:t>
      </w:r>
      <w:r w:rsidR="00F71BF6" w:rsidRPr="00237CBD">
        <w:rPr>
          <w:rFonts w:eastAsia="Arial"/>
        </w:rPr>
        <w:t xml:space="preserve"> </w:t>
      </w:r>
      <w:r w:rsidRPr="00237CBD">
        <w:rPr>
          <w:rFonts w:eastAsia="Arial"/>
        </w:rPr>
        <w:t>all DHBs had discussed the implementation of the Referral Guidelines in the MQSP annual reports. Many had entire sections on this topic where they discussed work carried out to support implementation and planned future work, including audits. Some had also considered the recommendations of the NMMG in 2013, such as updating emergency transport processes</w:t>
      </w:r>
      <w:r w:rsidR="00C83DAD">
        <w:rPr>
          <w:rFonts w:eastAsia="Arial"/>
        </w:rPr>
        <w:t>.</w:t>
      </w:r>
    </w:p>
    <w:p w:rsidR="00E06EC4" w:rsidRPr="00237CBD" w:rsidRDefault="00E06EC4" w:rsidP="00C83DAD">
      <w:pPr>
        <w:pStyle w:val="Bullet"/>
        <w:rPr>
          <w:rFonts w:eastAsia="Arial"/>
        </w:rPr>
      </w:pPr>
      <w:r w:rsidRPr="00237CBD">
        <w:rPr>
          <w:rFonts w:eastAsia="Arial"/>
        </w:rPr>
        <w:t>We were pleased to see that many of our recommendations had been acted upon. However, we did note that some DHBs were struggling with the clinical leadership required for implementing the Referral Guidelines.</w:t>
      </w:r>
    </w:p>
    <w:p w:rsidR="00E06EC4" w:rsidRPr="00237CBD" w:rsidRDefault="00E06EC4" w:rsidP="00C83DAD"/>
    <w:p w:rsidR="00E06EC4" w:rsidRPr="00237CBD" w:rsidRDefault="00E06EC4" w:rsidP="00CA6003">
      <w:pPr>
        <w:pStyle w:val="Heading4"/>
        <w:rPr>
          <w:rFonts w:eastAsia="Arial"/>
        </w:rPr>
      </w:pPr>
      <w:r w:rsidRPr="00237CBD">
        <w:rPr>
          <w:rFonts w:eastAsia="Arial"/>
        </w:rPr>
        <w:t>Next year we expect to see more changes</w:t>
      </w:r>
    </w:p>
    <w:p w:rsidR="00E06EC4" w:rsidRPr="00237CBD" w:rsidRDefault="00E06EC4" w:rsidP="00C83DAD">
      <w:pPr>
        <w:spacing w:before="120"/>
        <w:ind w:left="567" w:hanging="567"/>
        <w:rPr>
          <w:rFonts w:eastAsia="Arial"/>
        </w:rPr>
      </w:pPr>
      <w:r w:rsidRPr="00237CBD">
        <w:rPr>
          <w:rFonts w:eastAsia="Arial"/>
        </w:rPr>
        <w:t>1</w:t>
      </w:r>
      <w:r w:rsidR="00C83DAD">
        <w:rPr>
          <w:rFonts w:eastAsia="Arial"/>
        </w:rPr>
        <w:tab/>
      </w:r>
      <w:r w:rsidRPr="00237CBD">
        <w:rPr>
          <w:rFonts w:eastAsia="Arial"/>
        </w:rPr>
        <w:t>We want to see all DHBs clearly discuss the clinical leadership and integration required to achieve the implementation of the Referral Guidelines in their area</w:t>
      </w:r>
      <w:r w:rsidR="00C83DAD">
        <w:rPr>
          <w:rFonts w:eastAsia="Arial"/>
        </w:rPr>
        <w:t>.</w:t>
      </w:r>
    </w:p>
    <w:p w:rsidR="00E06EC4" w:rsidRDefault="00E06EC4" w:rsidP="00C83DAD">
      <w:pPr>
        <w:spacing w:before="120"/>
        <w:ind w:left="567" w:hanging="567"/>
        <w:rPr>
          <w:rFonts w:eastAsia="Arial"/>
        </w:rPr>
      </w:pPr>
      <w:r w:rsidRPr="00237CBD">
        <w:rPr>
          <w:rFonts w:eastAsia="Arial"/>
        </w:rPr>
        <w:t>2</w:t>
      </w:r>
      <w:r w:rsidR="00C83DAD">
        <w:rPr>
          <w:rFonts w:eastAsia="Arial"/>
        </w:rPr>
        <w:tab/>
      </w:r>
      <w:r w:rsidRPr="00237CBD">
        <w:rPr>
          <w:rFonts w:eastAsia="Arial"/>
        </w:rPr>
        <w:t>The NMMG will continue to monitor this topic in upcoming MQSP annual</w:t>
      </w:r>
      <w:r w:rsidR="00F71BF6" w:rsidRPr="00237CBD">
        <w:rPr>
          <w:rFonts w:eastAsia="Arial"/>
        </w:rPr>
        <w:t xml:space="preserve"> </w:t>
      </w:r>
      <w:r w:rsidRPr="00237CBD">
        <w:rPr>
          <w:rFonts w:eastAsia="Arial"/>
        </w:rPr>
        <w:t>reports</w:t>
      </w:r>
      <w:r w:rsidR="00F71BF6" w:rsidRPr="00237CBD">
        <w:rPr>
          <w:rFonts w:eastAsia="Arial"/>
        </w:rPr>
        <w:t xml:space="preserve"> </w:t>
      </w:r>
      <w:r w:rsidRPr="00237CBD">
        <w:rPr>
          <w:rFonts w:eastAsia="Arial"/>
        </w:rPr>
        <w:t>as part of a wider focus on national guidelines.</w:t>
      </w:r>
    </w:p>
    <w:p w:rsidR="00C83DAD" w:rsidRPr="00237CBD" w:rsidRDefault="00C83DAD" w:rsidP="00C83DAD">
      <w:pPr>
        <w:rPr>
          <w:rFonts w:eastAsia="Arial"/>
        </w:rPr>
      </w:pPr>
    </w:p>
    <w:p w:rsidR="00E06EC4" w:rsidRPr="00237CBD" w:rsidRDefault="00E06EC4" w:rsidP="00CA6003">
      <w:pPr>
        <w:pStyle w:val="Heading3"/>
        <w:rPr>
          <w:rFonts w:eastAsia="Arial"/>
        </w:rPr>
      </w:pPr>
      <w:r w:rsidRPr="00237CBD">
        <w:rPr>
          <w:rFonts w:eastAsia="Arial"/>
        </w:rPr>
        <w:lastRenderedPageBreak/>
        <w:t>Smoking amongst pregnant women</w:t>
      </w:r>
    </w:p>
    <w:p w:rsidR="00E06EC4" w:rsidRPr="00237CBD" w:rsidRDefault="00E06EC4" w:rsidP="00CA6003">
      <w:pPr>
        <w:keepNext/>
        <w:rPr>
          <w:rFonts w:eastAsia="Arial"/>
        </w:rPr>
      </w:pPr>
      <w:r w:rsidRPr="00237CBD">
        <w:rPr>
          <w:rFonts w:eastAsia="Arial"/>
        </w:rPr>
        <w:t>In our 2013 Annual Report we recommended the following:</w:t>
      </w:r>
    </w:p>
    <w:p w:rsidR="00E06EC4" w:rsidRPr="00237CBD" w:rsidRDefault="00E06EC4" w:rsidP="00C83DAD">
      <w:pPr>
        <w:spacing w:before="120"/>
        <w:ind w:left="567" w:hanging="567"/>
        <w:rPr>
          <w:rFonts w:eastAsia="Arial"/>
        </w:rPr>
      </w:pPr>
      <w:r w:rsidRPr="00237CBD">
        <w:rPr>
          <w:rFonts w:eastAsia="Arial"/>
        </w:rPr>
        <w:t>1</w:t>
      </w:r>
      <w:r w:rsidR="00C83DAD">
        <w:rPr>
          <w:rFonts w:eastAsia="Arial"/>
        </w:rPr>
        <w:tab/>
      </w:r>
      <w:r w:rsidRPr="00237CBD">
        <w:rPr>
          <w:rFonts w:eastAsia="Arial"/>
        </w:rPr>
        <w:t xml:space="preserve">The Ministry should expand the maternity indicator of the </w:t>
      </w:r>
      <w:r w:rsidR="00F71BF6" w:rsidRPr="00237CBD">
        <w:rPr>
          <w:rFonts w:eastAsia="Arial"/>
        </w:rPr>
        <w:t>‘</w:t>
      </w:r>
      <w:r w:rsidRPr="00237CBD">
        <w:rPr>
          <w:rFonts w:eastAsia="Arial"/>
        </w:rPr>
        <w:t>Better help for smokers to quit</w:t>
      </w:r>
      <w:r w:rsidR="00F71BF6" w:rsidRPr="00237CBD">
        <w:rPr>
          <w:rFonts w:eastAsia="Arial"/>
        </w:rPr>
        <w:t>’</w:t>
      </w:r>
      <w:r w:rsidRPr="00237CBD">
        <w:rPr>
          <w:rFonts w:eastAsia="Arial"/>
        </w:rPr>
        <w:t xml:space="preserve"> target to include data from primary care providers (GPs and others). The sharing of information will help the integration of services, particularly between LMCs and GPs, and enable more effective monitoring of the success of intervention</w:t>
      </w:r>
      <w:r w:rsidR="00C83DAD">
        <w:rPr>
          <w:rFonts w:eastAsia="Arial"/>
        </w:rPr>
        <w:t>.</w:t>
      </w:r>
    </w:p>
    <w:p w:rsidR="00E06EC4" w:rsidRPr="00237CBD" w:rsidRDefault="00E06EC4" w:rsidP="00C83DAD">
      <w:pPr>
        <w:spacing w:before="120"/>
        <w:ind w:left="567" w:hanging="567"/>
        <w:rPr>
          <w:rFonts w:eastAsia="Arial"/>
        </w:rPr>
      </w:pPr>
      <w:r w:rsidRPr="00237CBD">
        <w:rPr>
          <w:rFonts w:eastAsia="Arial"/>
        </w:rPr>
        <w:t>2</w:t>
      </w:r>
      <w:r w:rsidR="00C83DAD">
        <w:rPr>
          <w:rFonts w:eastAsia="Arial"/>
        </w:rPr>
        <w:tab/>
      </w:r>
      <w:r w:rsidRPr="00237CBD">
        <w:rPr>
          <w:rFonts w:eastAsia="Arial"/>
        </w:rPr>
        <w:t>Every DHB will work with all aspects of maternity services in its area and meet the Ministry</w:t>
      </w:r>
      <w:r w:rsidR="00F71BF6" w:rsidRPr="00237CBD">
        <w:rPr>
          <w:rFonts w:eastAsia="Arial"/>
        </w:rPr>
        <w:t>’</w:t>
      </w:r>
      <w:r w:rsidRPr="00237CBD">
        <w:rPr>
          <w:rFonts w:eastAsia="Arial"/>
        </w:rPr>
        <w:t xml:space="preserve">s target of </w:t>
      </w:r>
      <w:r w:rsidR="00F71BF6" w:rsidRPr="00237CBD">
        <w:rPr>
          <w:rFonts w:eastAsia="Arial"/>
        </w:rPr>
        <w:t>“</w:t>
      </w:r>
      <w:r w:rsidRPr="00237CBD">
        <w:rPr>
          <w:rFonts w:eastAsia="Arial"/>
        </w:rPr>
        <w:t>Progress towards 90 percent of pregnant women who identify as smokers at the</w:t>
      </w:r>
      <w:r w:rsidR="00C83DAD">
        <w:rPr>
          <w:rFonts w:eastAsia="Arial"/>
        </w:rPr>
        <w:t xml:space="preserve"> </w:t>
      </w:r>
      <w:r w:rsidRPr="00237CBD">
        <w:rPr>
          <w:rFonts w:eastAsia="Arial"/>
        </w:rPr>
        <w:t>time of confirmation of pregnancy in general practice or booking with an LMC are offered advice and support to quit</w:t>
      </w:r>
      <w:r w:rsidR="00F71BF6" w:rsidRPr="00237CBD">
        <w:rPr>
          <w:rFonts w:eastAsia="Arial"/>
        </w:rPr>
        <w:t>”</w:t>
      </w:r>
      <w:r w:rsidR="00C83DAD">
        <w:rPr>
          <w:rFonts w:eastAsia="Arial"/>
        </w:rPr>
        <w:t>.</w:t>
      </w:r>
    </w:p>
    <w:p w:rsidR="00E06EC4" w:rsidRPr="00237CBD" w:rsidRDefault="00E06EC4" w:rsidP="00C83DAD">
      <w:pPr>
        <w:spacing w:before="120"/>
        <w:ind w:left="567" w:hanging="567"/>
        <w:rPr>
          <w:rFonts w:eastAsia="Arial"/>
        </w:rPr>
      </w:pPr>
      <w:r w:rsidRPr="00237CBD">
        <w:rPr>
          <w:rFonts w:eastAsia="Arial"/>
        </w:rPr>
        <w:t>3</w:t>
      </w:r>
      <w:r w:rsidR="00C83DAD">
        <w:rPr>
          <w:rFonts w:eastAsia="Arial"/>
        </w:rPr>
        <w:tab/>
      </w:r>
      <w:r w:rsidRPr="00237CBD">
        <w:rPr>
          <w:rFonts w:eastAsia="Arial"/>
        </w:rPr>
        <w:t>DHBs must discuss this target with LMCs and general practice</w:t>
      </w:r>
      <w:r w:rsidR="00F71BF6" w:rsidRPr="00237CBD">
        <w:rPr>
          <w:rFonts w:eastAsia="Arial"/>
        </w:rPr>
        <w:t xml:space="preserve"> </w:t>
      </w:r>
      <w:r w:rsidRPr="00237CBD">
        <w:rPr>
          <w:rFonts w:eastAsia="Arial"/>
        </w:rPr>
        <w:t>in any clinical governance groups that have been established as part of their DHB</w:t>
      </w:r>
      <w:r w:rsidR="00F71BF6" w:rsidRPr="00237CBD">
        <w:rPr>
          <w:rFonts w:eastAsia="Arial"/>
        </w:rPr>
        <w:t>’</w:t>
      </w:r>
      <w:r w:rsidRPr="00237CBD">
        <w:rPr>
          <w:rFonts w:eastAsia="Arial"/>
        </w:rPr>
        <w:t>s MQSP</w:t>
      </w:r>
      <w:r w:rsidR="00C83DAD">
        <w:rPr>
          <w:rFonts w:eastAsia="Arial"/>
        </w:rPr>
        <w:t>.</w:t>
      </w:r>
    </w:p>
    <w:p w:rsidR="00E06EC4" w:rsidRPr="00237CBD" w:rsidRDefault="00E06EC4" w:rsidP="00C83DAD">
      <w:pPr>
        <w:spacing w:before="120"/>
        <w:ind w:left="567" w:hanging="567"/>
        <w:rPr>
          <w:rFonts w:eastAsia="Arial"/>
        </w:rPr>
      </w:pPr>
      <w:r w:rsidRPr="00237CBD">
        <w:rPr>
          <w:rFonts w:eastAsia="Arial"/>
        </w:rPr>
        <w:t>4</w:t>
      </w:r>
      <w:r w:rsidR="00C83DAD">
        <w:rPr>
          <w:rFonts w:eastAsia="Arial"/>
        </w:rPr>
        <w:tab/>
      </w:r>
      <w:r w:rsidRPr="00237CBD">
        <w:rPr>
          <w:rFonts w:eastAsia="Arial"/>
        </w:rPr>
        <w:t>We expect each DHB to comment on this in its next MQSP annual</w:t>
      </w:r>
      <w:r w:rsidR="00F71BF6" w:rsidRPr="00237CBD">
        <w:rPr>
          <w:rFonts w:eastAsia="Arial"/>
        </w:rPr>
        <w:t xml:space="preserve"> </w:t>
      </w:r>
      <w:r w:rsidRPr="00237CBD">
        <w:rPr>
          <w:rFonts w:eastAsia="Arial"/>
        </w:rPr>
        <w:t>report.</w:t>
      </w:r>
    </w:p>
    <w:p w:rsidR="00E06EC4" w:rsidRPr="00237CBD" w:rsidRDefault="00E06EC4" w:rsidP="00C83DAD"/>
    <w:p w:rsidR="00E06EC4" w:rsidRPr="00237CBD" w:rsidRDefault="00E06EC4" w:rsidP="00CA6003">
      <w:pPr>
        <w:pStyle w:val="Heading4"/>
        <w:rPr>
          <w:rFonts w:eastAsia="Arial"/>
        </w:rPr>
      </w:pPr>
      <w:r w:rsidRPr="00237CBD">
        <w:rPr>
          <w:rFonts w:eastAsia="Arial"/>
        </w:rPr>
        <w:t>This year were pleased to see a major development</w:t>
      </w:r>
    </w:p>
    <w:p w:rsidR="00E06EC4" w:rsidRPr="00C83DAD" w:rsidRDefault="00E06EC4" w:rsidP="00C83DAD">
      <w:pPr>
        <w:pStyle w:val="Bullet"/>
        <w:rPr>
          <w:rFonts w:eastAsia="Arial"/>
        </w:rPr>
      </w:pPr>
      <w:r w:rsidRPr="00C83DAD">
        <w:rPr>
          <w:rFonts w:eastAsia="Arial"/>
        </w:rPr>
        <w:t>In 2014 we were notified by the Ministry</w:t>
      </w:r>
      <w:r w:rsidR="00F71BF6" w:rsidRPr="00C83DAD">
        <w:rPr>
          <w:rFonts w:eastAsia="Arial"/>
        </w:rPr>
        <w:t>’</w:t>
      </w:r>
      <w:r w:rsidRPr="00C83DAD">
        <w:rPr>
          <w:rFonts w:eastAsia="Arial"/>
        </w:rPr>
        <w:t xml:space="preserve">s Tobacco Control Team that there will soon be capacity to expand the monitoring of the </w:t>
      </w:r>
      <w:r w:rsidR="00F71BF6" w:rsidRPr="00C83DAD">
        <w:rPr>
          <w:rFonts w:eastAsia="Arial"/>
        </w:rPr>
        <w:t>‘</w:t>
      </w:r>
      <w:r w:rsidRPr="00C83DAD">
        <w:rPr>
          <w:rFonts w:eastAsia="Arial"/>
        </w:rPr>
        <w:t>Better help for smokers to quit</w:t>
      </w:r>
      <w:r w:rsidR="00F71BF6" w:rsidRPr="00C83DAD">
        <w:rPr>
          <w:rFonts w:eastAsia="Arial"/>
        </w:rPr>
        <w:t>’</w:t>
      </w:r>
      <w:r w:rsidRPr="00C83DAD">
        <w:rPr>
          <w:rFonts w:eastAsia="Arial"/>
        </w:rPr>
        <w:t xml:space="preserve"> maternity indicator to include primary care data. This was made possible by a new tool developed in conjunction with </w:t>
      </w:r>
      <w:proofErr w:type="spellStart"/>
      <w:r w:rsidRPr="00C83DAD">
        <w:rPr>
          <w:rFonts w:eastAsia="Arial"/>
        </w:rPr>
        <w:t>MedTech</w:t>
      </w:r>
      <w:proofErr w:type="spellEnd"/>
      <w:r w:rsidRPr="00C83DAD">
        <w:rPr>
          <w:rFonts w:eastAsia="Arial"/>
        </w:rPr>
        <w:t>, which will be used to create a separate record for pregnant mothers and collate data on smoking cessation advice when women are seen in pregnancy by their GP. We were very pleased to hear that our recommendation from last year had been taken forward</w:t>
      </w:r>
      <w:r w:rsidR="00C83DAD" w:rsidRPr="00C83DAD">
        <w:rPr>
          <w:rFonts w:eastAsia="Arial"/>
        </w:rPr>
        <w:t xml:space="preserve"> </w:t>
      </w:r>
      <w:r w:rsidRPr="00C83DAD">
        <w:rPr>
          <w:rFonts w:eastAsia="Arial"/>
        </w:rPr>
        <w:t>by the Ministry. As we noted in 2013, the sharing of information will help the integration of services, particularly between LMCs and GPs, and provide more effective monitoring of the success of intervention.</w:t>
      </w:r>
    </w:p>
    <w:p w:rsidR="00E06EC4" w:rsidRPr="00237CBD" w:rsidRDefault="00E06EC4" w:rsidP="00C83DAD">
      <w:pPr>
        <w:pStyle w:val="Bullet"/>
        <w:rPr>
          <w:rFonts w:eastAsia="Arial"/>
        </w:rPr>
      </w:pPr>
      <w:r w:rsidRPr="00237CBD">
        <w:rPr>
          <w:rFonts w:eastAsia="Arial"/>
        </w:rPr>
        <w:t>We were also pleased to see that DHBs commented on this target in their MQSP annual reports.</w:t>
      </w:r>
    </w:p>
    <w:p w:rsidR="00E06EC4" w:rsidRPr="00237CBD" w:rsidRDefault="00E06EC4" w:rsidP="00C83DAD"/>
    <w:p w:rsidR="00E06EC4" w:rsidRPr="00237CBD" w:rsidRDefault="00E06EC4" w:rsidP="00CA6003">
      <w:pPr>
        <w:pStyle w:val="Heading4"/>
        <w:rPr>
          <w:rFonts w:eastAsia="Arial"/>
        </w:rPr>
      </w:pPr>
      <w:r w:rsidRPr="00237CBD">
        <w:rPr>
          <w:rFonts w:eastAsia="Arial"/>
        </w:rPr>
        <w:t>Next year we expect to see more changes</w:t>
      </w:r>
    </w:p>
    <w:p w:rsidR="00E06EC4" w:rsidRPr="00237CBD" w:rsidRDefault="00E06EC4" w:rsidP="00C83DAD">
      <w:pPr>
        <w:ind w:left="567" w:hanging="567"/>
        <w:rPr>
          <w:rFonts w:eastAsia="Arial"/>
        </w:rPr>
      </w:pPr>
      <w:r w:rsidRPr="00237CBD">
        <w:rPr>
          <w:rFonts w:eastAsia="Arial"/>
        </w:rPr>
        <w:t>1</w:t>
      </w:r>
      <w:r w:rsidR="00C83DAD">
        <w:rPr>
          <w:rFonts w:eastAsia="Arial"/>
        </w:rPr>
        <w:tab/>
      </w:r>
      <w:r w:rsidRPr="00237CBD">
        <w:rPr>
          <w:rFonts w:eastAsia="Arial"/>
        </w:rPr>
        <w:t>We recommend that the Ministry considers requiring PHOs to use the new tool for recording the smoking cessation (ABC) advice given</w:t>
      </w:r>
      <w:r w:rsidR="00F71BF6" w:rsidRPr="00237CBD">
        <w:rPr>
          <w:rFonts w:eastAsia="Arial"/>
        </w:rPr>
        <w:t xml:space="preserve"> </w:t>
      </w:r>
      <w:r w:rsidRPr="00237CBD">
        <w:rPr>
          <w:rFonts w:eastAsia="Arial"/>
        </w:rPr>
        <w:t>to pregnant women in their general practices. Reporting on this to the Ministry could form part of the PHO contractual reporting requirements or as part of their quality framework.</w:t>
      </w:r>
    </w:p>
    <w:p w:rsidR="00E06EC4" w:rsidRPr="00237CBD" w:rsidRDefault="00E06EC4" w:rsidP="00C83DAD"/>
    <w:p w:rsidR="00C83DAD" w:rsidRDefault="00C83DAD" w:rsidP="00C83DAD">
      <w:pPr>
        <w:rPr>
          <w:rFonts w:eastAsia="Arial"/>
        </w:rPr>
      </w:pPr>
      <w:r>
        <w:rPr>
          <w:rFonts w:eastAsia="Arial"/>
        </w:rPr>
        <w:br w:type="page"/>
      </w:r>
    </w:p>
    <w:p w:rsidR="00E06EC4" w:rsidRPr="00237CBD" w:rsidRDefault="00E06EC4" w:rsidP="007254D8">
      <w:pPr>
        <w:pStyle w:val="Heading1"/>
        <w:rPr>
          <w:rFonts w:eastAsia="Arial"/>
        </w:rPr>
      </w:pPr>
      <w:bookmarkStart w:id="52" w:name="_Toc404355696"/>
      <w:r w:rsidRPr="00237CBD">
        <w:rPr>
          <w:rFonts w:eastAsia="Arial"/>
        </w:rPr>
        <w:lastRenderedPageBreak/>
        <w:t>The NMMG</w:t>
      </w:r>
      <w:r w:rsidR="007254D8">
        <w:rPr>
          <w:rFonts w:eastAsia="Arial"/>
        </w:rPr>
        <w:t xml:space="preserve"> </w:t>
      </w:r>
      <w:r w:rsidRPr="00237CBD">
        <w:rPr>
          <w:rFonts w:eastAsia="Arial"/>
        </w:rPr>
        <w:t>Going Forward</w:t>
      </w:r>
      <w:bookmarkEnd w:id="52"/>
    </w:p>
    <w:p w:rsidR="00E06EC4" w:rsidRPr="00237CBD" w:rsidRDefault="00E06EC4" w:rsidP="00C83DAD">
      <w:pPr>
        <w:pStyle w:val="Introparagraph"/>
      </w:pPr>
      <w:r w:rsidRPr="00237CBD">
        <w:t>In 2013/14, the key areas of focus for the NMMG were:</w:t>
      </w:r>
    </w:p>
    <w:p w:rsidR="00E06EC4" w:rsidRPr="00237CBD" w:rsidRDefault="00E06EC4" w:rsidP="00C83DAD">
      <w:pPr>
        <w:spacing w:before="120"/>
        <w:ind w:left="567" w:hanging="567"/>
        <w:rPr>
          <w:rFonts w:eastAsia="Arial"/>
        </w:rPr>
      </w:pPr>
      <w:r w:rsidRPr="00237CBD">
        <w:rPr>
          <w:rFonts w:eastAsia="Arial"/>
        </w:rPr>
        <w:t>1</w:t>
      </w:r>
      <w:r w:rsidR="00C83DAD">
        <w:rPr>
          <w:rFonts w:eastAsia="Arial"/>
        </w:rPr>
        <w:tab/>
        <w:t>t</w:t>
      </w:r>
      <w:r w:rsidRPr="00237CBD">
        <w:rPr>
          <w:rFonts w:eastAsia="Arial"/>
        </w:rPr>
        <w:t>iming of registration with an LMC including the quality of the first assessment by whichever practitioner the woman sees</w:t>
      </w:r>
    </w:p>
    <w:p w:rsidR="00E06EC4" w:rsidRPr="00237CBD" w:rsidRDefault="00E06EC4" w:rsidP="00C83DAD">
      <w:pPr>
        <w:spacing w:before="120"/>
        <w:ind w:left="567" w:hanging="567"/>
        <w:rPr>
          <w:rFonts w:eastAsia="Arial"/>
        </w:rPr>
      </w:pPr>
      <w:r w:rsidRPr="00237CBD">
        <w:rPr>
          <w:rFonts w:eastAsia="Arial"/>
        </w:rPr>
        <w:t>2</w:t>
      </w:r>
      <w:r w:rsidR="00C83DAD">
        <w:rPr>
          <w:rFonts w:eastAsia="Arial"/>
        </w:rPr>
        <w:tab/>
      </w:r>
      <w:proofErr w:type="gramStart"/>
      <w:r w:rsidR="00C83DAD">
        <w:rPr>
          <w:rFonts w:eastAsia="Arial"/>
        </w:rPr>
        <w:t>v</w:t>
      </w:r>
      <w:r w:rsidRPr="00237CBD">
        <w:rPr>
          <w:rFonts w:eastAsia="Arial"/>
        </w:rPr>
        <w:t>ariation</w:t>
      </w:r>
      <w:proofErr w:type="gramEnd"/>
      <w:r w:rsidRPr="00237CBD">
        <w:rPr>
          <w:rFonts w:eastAsia="Arial"/>
        </w:rPr>
        <w:t xml:space="preserve"> in gestation at birth</w:t>
      </w:r>
    </w:p>
    <w:p w:rsidR="00E06EC4" w:rsidRPr="00237CBD" w:rsidRDefault="00E06EC4" w:rsidP="00C83DAD">
      <w:pPr>
        <w:spacing w:before="120"/>
        <w:ind w:left="567" w:hanging="567"/>
        <w:rPr>
          <w:rFonts w:eastAsia="Arial"/>
        </w:rPr>
      </w:pPr>
      <w:r w:rsidRPr="00237CBD">
        <w:rPr>
          <w:rFonts w:eastAsia="Arial"/>
        </w:rPr>
        <w:t>3</w:t>
      </w:r>
      <w:r w:rsidR="00C83DAD">
        <w:rPr>
          <w:rFonts w:eastAsia="Arial"/>
        </w:rPr>
        <w:tab/>
        <w:t>n</w:t>
      </w:r>
      <w:r w:rsidRPr="00237CBD">
        <w:rPr>
          <w:rFonts w:eastAsia="Arial"/>
        </w:rPr>
        <w:t xml:space="preserve">ational </w:t>
      </w:r>
      <w:proofErr w:type="gramStart"/>
      <w:r w:rsidRPr="00237CBD">
        <w:rPr>
          <w:rFonts w:eastAsia="Arial"/>
        </w:rPr>
        <w:t>consistency</w:t>
      </w:r>
      <w:proofErr w:type="gramEnd"/>
      <w:r w:rsidRPr="00237CBD">
        <w:rPr>
          <w:rFonts w:eastAsia="Arial"/>
        </w:rPr>
        <w:t xml:space="preserve"> in the provision of coordinated maternal mental health services</w:t>
      </w:r>
    </w:p>
    <w:p w:rsidR="00E06EC4" w:rsidRPr="00237CBD" w:rsidRDefault="00E06EC4" w:rsidP="00C83DAD">
      <w:pPr>
        <w:spacing w:before="120"/>
        <w:ind w:left="567" w:hanging="567"/>
        <w:rPr>
          <w:rFonts w:eastAsia="Arial"/>
        </w:rPr>
      </w:pPr>
      <w:proofErr w:type="gramStart"/>
      <w:r w:rsidRPr="00237CBD">
        <w:rPr>
          <w:rFonts w:eastAsia="Arial"/>
        </w:rPr>
        <w:t>4</w:t>
      </w:r>
      <w:r w:rsidR="00C83DAD">
        <w:rPr>
          <w:rFonts w:eastAsia="Arial"/>
        </w:rPr>
        <w:tab/>
        <w:t>n</w:t>
      </w:r>
      <w:r w:rsidRPr="00237CBD">
        <w:rPr>
          <w:rFonts w:eastAsia="Arial"/>
        </w:rPr>
        <w:t>ational variability in access to, and quality, of primary maternity ultrasounds</w:t>
      </w:r>
      <w:proofErr w:type="gramEnd"/>
    </w:p>
    <w:p w:rsidR="00E06EC4" w:rsidRPr="00237CBD" w:rsidRDefault="00E06EC4" w:rsidP="00C83DAD">
      <w:pPr>
        <w:spacing w:before="120"/>
        <w:ind w:left="567" w:hanging="567"/>
        <w:rPr>
          <w:rFonts w:eastAsia="Arial"/>
        </w:rPr>
      </w:pPr>
      <w:r w:rsidRPr="00237CBD">
        <w:rPr>
          <w:rFonts w:eastAsia="Arial"/>
        </w:rPr>
        <w:t>5</w:t>
      </w:r>
      <w:r w:rsidR="00C83DAD">
        <w:rPr>
          <w:rFonts w:eastAsia="Arial"/>
        </w:rPr>
        <w:tab/>
        <w:t>c</w:t>
      </w:r>
      <w:r w:rsidRPr="00237CBD">
        <w:rPr>
          <w:rFonts w:eastAsia="Arial"/>
        </w:rPr>
        <w:t>onnecting and supporting maternity consumer representatives</w:t>
      </w:r>
    </w:p>
    <w:p w:rsidR="00E06EC4" w:rsidRPr="00237CBD" w:rsidRDefault="00E06EC4" w:rsidP="00C83DAD">
      <w:pPr>
        <w:spacing w:before="120"/>
        <w:ind w:left="567" w:hanging="567"/>
        <w:rPr>
          <w:rFonts w:eastAsia="Arial"/>
        </w:rPr>
      </w:pPr>
      <w:r w:rsidRPr="00237CBD">
        <w:rPr>
          <w:rFonts w:eastAsia="Arial"/>
        </w:rPr>
        <w:t>6</w:t>
      </w:r>
      <w:r w:rsidR="00C83DAD">
        <w:rPr>
          <w:rFonts w:eastAsia="Arial"/>
        </w:rPr>
        <w:tab/>
      </w:r>
      <w:r w:rsidRPr="00237CBD">
        <w:rPr>
          <w:rFonts w:eastAsia="Arial"/>
        </w:rPr>
        <w:t>The New Zealand Maternity Clinical Indicators</w:t>
      </w:r>
    </w:p>
    <w:p w:rsidR="00E06EC4" w:rsidRPr="00237CBD" w:rsidRDefault="00E06EC4" w:rsidP="00C83DAD">
      <w:pPr>
        <w:spacing w:before="120"/>
        <w:ind w:left="567" w:hanging="567"/>
        <w:rPr>
          <w:rFonts w:eastAsia="Arial"/>
        </w:rPr>
      </w:pPr>
      <w:r w:rsidRPr="00237CBD">
        <w:rPr>
          <w:rFonts w:eastAsia="Arial"/>
        </w:rPr>
        <w:t>7</w:t>
      </w:r>
      <w:r w:rsidR="00C83DAD">
        <w:rPr>
          <w:rFonts w:eastAsia="Arial"/>
        </w:rPr>
        <w:tab/>
      </w:r>
      <w:r w:rsidRPr="00237CBD">
        <w:rPr>
          <w:rFonts w:eastAsia="Arial"/>
        </w:rPr>
        <w:t>The Ministry of Health Annual Report on Maternity</w:t>
      </w:r>
    </w:p>
    <w:p w:rsidR="00E06EC4" w:rsidRPr="00237CBD" w:rsidRDefault="00E06EC4" w:rsidP="00C83DAD">
      <w:pPr>
        <w:spacing w:before="120"/>
        <w:ind w:left="567" w:hanging="567"/>
        <w:rPr>
          <w:rFonts w:eastAsia="Arial"/>
        </w:rPr>
      </w:pPr>
      <w:proofErr w:type="gramStart"/>
      <w:r w:rsidRPr="00237CBD">
        <w:rPr>
          <w:rFonts w:eastAsia="Arial"/>
        </w:rPr>
        <w:t>8</w:t>
      </w:r>
      <w:r w:rsidR="00C83DAD">
        <w:rPr>
          <w:rFonts w:eastAsia="Arial"/>
        </w:rPr>
        <w:tab/>
      </w:r>
      <w:r w:rsidRPr="00237CBD">
        <w:rPr>
          <w:rFonts w:eastAsia="Arial"/>
        </w:rPr>
        <w:t>DHB MQSP annual</w:t>
      </w:r>
      <w:r w:rsidR="00F71BF6" w:rsidRPr="00237CBD">
        <w:rPr>
          <w:rFonts w:eastAsia="Arial"/>
        </w:rPr>
        <w:t xml:space="preserve"> </w:t>
      </w:r>
      <w:r w:rsidRPr="00237CBD">
        <w:rPr>
          <w:rFonts w:eastAsia="Arial"/>
        </w:rPr>
        <w:t>reports.</w:t>
      </w:r>
      <w:proofErr w:type="gramEnd"/>
    </w:p>
    <w:p w:rsidR="00E06EC4" w:rsidRPr="00237CBD" w:rsidRDefault="00E06EC4" w:rsidP="00C83DAD"/>
    <w:p w:rsidR="00E06EC4" w:rsidRPr="00237CBD" w:rsidRDefault="00E06EC4" w:rsidP="00CA6003">
      <w:pPr>
        <w:pStyle w:val="Introparagraph"/>
      </w:pPr>
      <w:r w:rsidRPr="00237CBD">
        <w:t>We plan to continue our focus on these issues as well as maintaining a focus on Referral guidelines and smoking targets as we have done this year. Other potential areas of interest for the NMMG include:</w:t>
      </w:r>
    </w:p>
    <w:p w:rsidR="00E06EC4" w:rsidRPr="00237CBD" w:rsidRDefault="00C83DAD" w:rsidP="00C83DAD">
      <w:pPr>
        <w:pStyle w:val="Bullet"/>
        <w:rPr>
          <w:rFonts w:eastAsia="Arial"/>
        </w:rPr>
      </w:pPr>
      <w:r>
        <w:rPr>
          <w:rFonts w:eastAsia="Arial"/>
        </w:rPr>
        <w:t>r</w:t>
      </w:r>
      <w:r w:rsidR="00E06EC4" w:rsidRPr="00237CBD">
        <w:rPr>
          <w:rFonts w:eastAsia="Arial"/>
        </w:rPr>
        <w:t>ural maternity units and the accessibility of maternity services in these areas</w:t>
      </w:r>
    </w:p>
    <w:p w:rsidR="00E06EC4" w:rsidRPr="00237CBD" w:rsidRDefault="00E06EC4" w:rsidP="00C83DAD">
      <w:pPr>
        <w:pStyle w:val="Bullet"/>
        <w:rPr>
          <w:rFonts w:eastAsia="Arial"/>
        </w:rPr>
      </w:pPr>
      <w:r w:rsidRPr="00237CBD">
        <w:rPr>
          <w:rFonts w:eastAsia="Arial"/>
        </w:rPr>
        <w:t>National Maternity Clinical Guidelines</w:t>
      </w:r>
    </w:p>
    <w:p w:rsidR="00E06EC4" w:rsidRPr="00237CBD" w:rsidRDefault="00E06EC4" w:rsidP="00C83DAD">
      <w:pPr>
        <w:pStyle w:val="Bullet"/>
        <w:rPr>
          <w:rFonts w:eastAsia="Arial"/>
        </w:rPr>
      </w:pPr>
      <w:r w:rsidRPr="00237CBD">
        <w:rPr>
          <w:rFonts w:eastAsia="Arial"/>
        </w:rPr>
        <w:t>Clinical Coding.</w:t>
      </w:r>
    </w:p>
    <w:p w:rsidR="00E06EC4" w:rsidRPr="00237CBD" w:rsidRDefault="00E06EC4" w:rsidP="00C83DAD"/>
    <w:p w:rsidR="00E06EC4" w:rsidRPr="00237CBD" w:rsidRDefault="00E06EC4" w:rsidP="00CA6003">
      <w:pPr>
        <w:pStyle w:val="Introparagraph"/>
      </w:pPr>
      <w:r w:rsidRPr="00237CBD">
        <w:t>We are also interested in framing our next year</w:t>
      </w:r>
      <w:r w:rsidR="00F71BF6" w:rsidRPr="00237CBD">
        <w:t>’</w:t>
      </w:r>
      <w:r w:rsidRPr="00237CBD">
        <w:t>s work plan within the New</w:t>
      </w:r>
      <w:r w:rsidR="00C83DAD">
        <w:t xml:space="preserve"> </w:t>
      </w:r>
      <w:r w:rsidRPr="00237CBD">
        <w:t>Zealand Triple Aim for Quality Improvement, which is used by other groups including the Health Quality and Safe</w:t>
      </w:r>
      <w:r w:rsidR="00CA6003">
        <w:t>ty Commission.</w:t>
      </w:r>
      <w:r w:rsidR="00CA6003">
        <w:rPr>
          <w:rStyle w:val="FootnoteReference"/>
        </w:rPr>
        <w:footnoteReference w:id="14"/>
      </w:r>
      <w:r w:rsidR="00CA6003">
        <w:t xml:space="preserve"> </w:t>
      </w:r>
      <w:r w:rsidRPr="00237CBD">
        <w:t>The three a</w:t>
      </w:r>
      <w:r w:rsidR="00CA6003">
        <w:t>i</w:t>
      </w:r>
      <w:r w:rsidRPr="00237CBD">
        <w:t>ms of this are:</w:t>
      </w:r>
    </w:p>
    <w:p w:rsidR="00E06EC4" w:rsidRPr="00237CBD" w:rsidRDefault="00C83DAD" w:rsidP="00C83DAD">
      <w:pPr>
        <w:pStyle w:val="Bullet"/>
        <w:rPr>
          <w:rFonts w:eastAsia="Arial"/>
        </w:rPr>
      </w:pPr>
      <w:r>
        <w:rPr>
          <w:rFonts w:eastAsia="Arial"/>
        </w:rPr>
        <w:t>i</w:t>
      </w:r>
      <w:r w:rsidR="00E06EC4" w:rsidRPr="00237CBD">
        <w:rPr>
          <w:rFonts w:eastAsia="Arial"/>
        </w:rPr>
        <w:t>mproved</w:t>
      </w:r>
      <w:r w:rsidR="00F71BF6" w:rsidRPr="00237CBD">
        <w:rPr>
          <w:rFonts w:eastAsia="Arial"/>
        </w:rPr>
        <w:t xml:space="preserve"> </w:t>
      </w:r>
      <w:r w:rsidR="00E06EC4" w:rsidRPr="00237CBD">
        <w:rPr>
          <w:rFonts w:eastAsia="Arial"/>
        </w:rPr>
        <w:t>quality, safety and experience of care</w:t>
      </w:r>
    </w:p>
    <w:p w:rsidR="00E06EC4" w:rsidRPr="00237CBD" w:rsidRDefault="00C83DAD" w:rsidP="00C83DAD">
      <w:pPr>
        <w:pStyle w:val="Bullet"/>
        <w:rPr>
          <w:rFonts w:eastAsia="Arial"/>
        </w:rPr>
      </w:pPr>
      <w:r>
        <w:rPr>
          <w:rFonts w:eastAsia="Arial"/>
        </w:rPr>
        <w:t>i</w:t>
      </w:r>
      <w:r w:rsidR="00E06EC4" w:rsidRPr="00237CBD">
        <w:rPr>
          <w:rFonts w:eastAsia="Arial"/>
        </w:rPr>
        <w:t>mproved health and equity for all populations</w:t>
      </w:r>
    </w:p>
    <w:p w:rsidR="00E06EC4" w:rsidRPr="00237CBD" w:rsidRDefault="00C83DAD" w:rsidP="00C83DAD">
      <w:pPr>
        <w:pStyle w:val="Bullet"/>
        <w:rPr>
          <w:rFonts w:eastAsia="Arial"/>
        </w:rPr>
      </w:pPr>
      <w:proofErr w:type="gramStart"/>
      <w:r>
        <w:rPr>
          <w:rFonts w:eastAsia="Arial"/>
        </w:rPr>
        <w:t>b</w:t>
      </w:r>
      <w:r w:rsidR="00E06EC4" w:rsidRPr="00237CBD">
        <w:rPr>
          <w:rFonts w:eastAsia="Arial"/>
        </w:rPr>
        <w:t>est</w:t>
      </w:r>
      <w:proofErr w:type="gramEnd"/>
      <w:r w:rsidR="00E06EC4" w:rsidRPr="00237CBD">
        <w:rPr>
          <w:rFonts w:eastAsia="Arial"/>
        </w:rPr>
        <w:t xml:space="preserve"> value for public health system resources.</w:t>
      </w:r>
    </w:p>
    <w:p w:rsidR="00E06EC4" w:rsidRPr="00237CBD" w:rsidRDefault="00E06EC4" w:rsidP="00C83DAD"/>
    <w:p w:rsidR="00E06EC4" w:rsidRPr="00237CBD" w:rsidRDefault="00E06EC4" w:rsidP="00C83DAD">
      <w:pPr>
        <w:rPr>
          <w:rFonts w:eastAsia="Arial"/>
        </w:rPr>
      </w:pPr>
      <w:r w:rsidRPr="00237CBD">
        <w:rPr>
          <w:rFonts w:eastAsia="Arial"/>
        </w:rPr>
        <w:t>The work streams and work programme</w:t>
      </w:r>
      <w:r w:rsidR="00F71BF6" w:rsidRPr="00237CBD">
        <w:rPr>
          <w:rFonts w:eastAsia="Arial"/>
        </w:rPr>
        <w:t xml:space="preserve"> </w:t>
      </w:r>
      <w:r w:rsidRPr="00237CBD">
        <w:rPr>
          <w:rFonts w:eastAsia="Arial"/>
        </w:rPr>
        <w:t>of the NMMG</w:t>
      </w:r>
      <w:r w:rsidR="00C83DAD">
        <w:rPr>
          <w:rFonts w:eastAsia="Arial"/>
        </w:rPr>
        <w:t xml:space="preserve"> </w:t>
      </w:r>
      <w:r w:rsidRPr="00237CBD">
        <w:rPr>
          <w:rFonts w:eastAsia="Arial"/>
        </w:rPr>
        <w:t>for 2014/15 will be finalised in August 2014.</w:t>
      </w:r>
    </w:p>
    <w:p w:rsidR="00E06EC4" w:rsidRPr="00237CBD" w:rsidRDefault="00E06EC4" w:rsidP="00E06EC4">
      <w:pPr>
        <w:spacing w:line="200" w:lineRule="exact"/>
        <w:rPr>
          <w:sz w:val="20"/>
        </w:rPr>
      </w:pPr>
    </w:p>
    <w:p w:rsidR="007254D8" w:rsidRDefault="007254D8" w:rsidP="007254D8">
      <w:pPr>
        <w:rPr>
          <w:rFonts w:eastAsia="Arial"/>
        </w:rPr>
      </w:pPr>
      <w:r>
        <w:rPr>
          <w:rFonts w:eastAsia="Arial"/>
        </w:rPr>
        <w:br w:type="page"/>
      </w:r>
    </w:p>
    <w:p w:rsidR="00E06EC4" w:rsidRPr="00237CBD" w:rsidRDefault="00E06EC4" w:rsidP="007254D8">
      <w:pPr>
        <w:pStyle w:val="Heading1"/>
        <w:rPr>
          <w:rFonts w:eastAsia="Arial"/>
        </w:rPr>
      </w:pPr>
      <w:bookmarkStart w:id="53" w:name="_Toc404355697"/>
      <w:r w:rsidRPr="00237CBD">
        <w:rPr>
          <w:rFonts w:eastAsia="Arial"/>
        </w:rPr>
        <w:lastRenderedPageBreak/>
        <w:t>Acknowledgements</w:t>
      </w:r>
      <w:bookmarkEnd w:id="53"/>
    </w:p>
    <w:p w:rsidR="00E06EC4" w:rsidRPr="00237CBD" w:rsidRDefault="00E06EC4" w:rsidP="007254D8">
      <w:pPr>
        <w:pStyle w:val="Introparagraph"/>
      </w:pPr>
      <w:r w:rsidRPr="00237CBD">
        <w:t>We have seen tremendous energy in the maternity sector over the last 12</w:t>
      </w:r>
      <w:r w:rsidR="007254D8">
        <w:t> </w:t>
      </w:r>
      <w:r w:rsidRPr="00237CBD">
        <w:t>months. The NMMG would like to thank the following groups and individuals for their contribution to our work this year:</w:t>
      </w:r>
    </w:p>
    <w:p w:rsidR="00E06EC4" w:rsidRPr="00237CBD" w:rsidRDefault="008F25E2" w:rsidP="008F25E2">
      <w:pPr>
        <w:pStyle w:val="Bullet"/>
        <w:rPr>
          <w:rFonts w:eastAsia="Arial"/>
        </w:rPr>
      </w:pPr>
      <w:r>
        <w:rPr>
          <w:rFonts w:eastAsia="Arial"/>
        </w:rPr>
        <w:t>t</w:t>
      </w:r>
      <w:r w:rsidR="00E06EC4" w:rsidRPr="00237CBD">
        <w:rPr>
          <w:rFonts w:eastAsia="Arial"/>
        </w:rPr>
        <w:t>he consumers</w:t>
      </w:r>
      <w:r w:rsidR="00F71BF6" w:rsidRPr="00237CBD">
        <w:rPr>
          <w:rFonts w:eastAsia="Arial"/>
        </w:rPr>
        <w:t xml:space="preserve"> </w:t>
      </w:r>
      <w:r w:rsidR="00E06EC4" w:rsidRPr="00237CBD">
        <w:rPr>
          <w:rFonts w:eastAsia="Arial"/>
        </w:rPr>
        <w:t>who engaged so openly both with the NMMG and DHBs, so that we could all better understand the perspectives of pregnant women</w:t>
      </w:r>
    </w:p>
    <w:p w:rsidR="00E06EC4" w:rsidRPr="00237CBD" w:rsidRDefault="008F25E2" w:rsidP="008F25E2">
      <w:pPr>
        <w:pStyle w:val="Bullet"/>
        <w:rPr>
          <w:rFonts w:eastAsia="Arial"/>
        </w:rPr>
      </w:pPr>
      <w:r>
        <w:rPr>
          <w:rFonts w:eastAsia="Arial"/>
        </w:rPr>
        <w:t>t</w:t>
      </w:r>
      <w:r w:rsidR="00E06EC4" w:rsidRPr="00237CBD">
        <w:rPr>
          <w:rFonts w:eastAsia="Arial"/>
        </w:rPr>
        <w:t>he professionals</w:t>
      </w:r>
      <w:r w:rsidR="00F71BF6" w:rsidRPr="00237CBD">
        <w:rPr>
          <w:rFonts w:eastAsia="Arial"/>
        </w:rPr>
        <w:t xml:space="preserve"> </w:t>
      </w:r>
      <w:r w:rsidR="00E06EC4" w:rsidRPr="00237CBD">
        <w:rPr>
          <w:rFonts w:eastAsia="Arial"/>
        </w:rPr>
        <w:t>within the maternity sector who worked so hard to provide us with detailed information</w:t>
      </w:r>
    </w:p>
    <w:p w:rsidR="00E06EC4" w:rsidRPr="00237CBD" w:rsidRDefault="008F25E2" w:rsidP="008F25E2">
      <w:pPr>
        <w:pStyle w:val="Bullet"/>
        <w:rPr>
          <w:rFonts w:eastAsia="Arial"/>
        </w:rPr>
      </w:pPr>
      <w:r>
        <w:rPr>
          <w:rFonts w:eastAsia="Arial"/>
        </w:rPr>
        <w:t>s</w:t>
      </w:r>
      <w:r w:rsidR="00E06EC4" w:rsidRPr="00237CBD">
        <w:rPr>
          <w:rFonts w:eastAsia="Arial"/>
        </w:rPr>
        <w:t>taff at the Ministry of Health for their openness and transparency when dealing with all the members and secretariat of the NMMG</w:t>
      </w:r>
    </w:p>
    <w:p w:rsidR="00E06EC4" w:rsidRPr="00237CBD" w:rsidRDefault="008F25E2" w:rsidP="008F25E2">
      <w:pPr>
        <w:pStyle w:val="Bullet"/>
        <w:rPr>
          <w:rFonts w:eastAsia="Arial"/>
        </w:rPr>
      </w:pPr>
      <w:r>
        <w:rPr>
          <w:rFonts w:eastAsia="Arial"/>
        </w:rPr>
        <w:t>t</w:t>
      </w:r>
      <w:r w:rsidR="00E06EC4" w:rsidRPr="00237CBD">
        <w:rPr>
          <w:rFonts w:eastAsia="Arial"/>
        </w:rPr>
        <w:t>he Minister</w:t>
      </w:r>
      <w:r w:rsidR="00F71BF6" w:rsidRPr="00237CBD">
        <w:rPr>
          <w:rFonts w:eastAsia="Arial"/>
        </w:rPr>
        <w:t xml:space="preserve"> </w:t>
      </w:r>
      <w:r w:rsidR="00E06EC4" w:rsidRPr="00237CBD">
        <w:rPr>
          <w:rFonts w:eastAsia="Arial"/>
        </w:rPr>
        <w:t>of Health and the Acting Director-General of Health for ongoing commitment both to the NMMG and the maternity sector</w:t>
      </w:r>
    </w:p>
    <w:p w:rsidR="00E06EC4" w:rsidRPr="00237CBD" w:rsidRDefault="008F25E2" w:rsidP="008F25E2">
      <w:pPr>
        <w:pStyle w:val="Bullet"/>
        <w:rPr>
          <w:rFonts w:eastAsia="Arial"/>
        </w:rPr>
      </w:pPr>
      <w:r>
        <w:rPr>
          <w:rFonts w:eastAsia="Arial"/>
        </w:rPr>
        <w:t>a</w:t>
      </w:r>
      <w:r w:rsidR="00E06EC4" w:rsidRPr="00237CBD">
        <w:rPr>
          <w:rFonts w:eastAsia="Arial"/>
        </w:rPr>
        <w:t>ll involved in the delivery of the DHB Maternity Quality and Safety Programmes</w:t>
      </w:r>
      <w:r w:rsidR="00F71BF6" w:rsidRPr="00237CBD">
        <w:rPr>
          <w:rFonts w:eastAsia="Arial"/>
        </w:rPr>
        <w:t xml:space="preserve"> – </w:t>
      </w:r>
      <w:r w:rsidR="00E06EC4" w:rsidRPr="00237CBD">
        <w:rPr>
          <w:rFonts w:eastAsia="Arial"/>
        </w:rPr>
        <w:t>seeing collaboration between professionals and consumers has been particularly</w:t>
      </w:r>
      <w:r w:rsidR="00F71BF6" w:rsidRPr="00237CBD">
        <w:rPr>
          <w:rFonts w:eastAsia="Arial"/>
        </w:rPr>
        <w:t xml:space="preserve"> </w:t>
      </w:r>
      <w:r w:rsidR="00E06EC4" w:rsidRPr="00237CBD">
        <w:rPr>
          <w:rFonts w:eastAsia="Arial"/>
        </w:rPr>
        <w:t>encouraging</w:t>
      </w:r>
    </w:p>
    <w:p w:rsidR="00E06EC4" w:rsidRPr="00237CBD" w:rsidRDefault="00E06EC4" w:rsidP="008F25E2">
      <w:pPr>
        <w:pStyle w:val="Bullet"/>
        <w:rPr>
          <w:rFonts w:eastAsia="Arial"/>
        </w:rPr>
      </w:pPr>
      <w:r w:rsidRPr="00237CBD">
        <w:rPr>
          <w:rFonts w:eastAsia="Arial"/>
        </w:rPr>
        <w:t>Chief Executive Officers and other members of the DHBs throughout New Zealand who have taken responsibility for providing such timely and robust responses to questions from the NMMG. We could not do this important work without your support.</w:t>
      </w:r>
    </w:p>
    <w:p w:rsidR="00E06EC4" w:rsidRPr="00237CBD" w:rsidRDefault="00E06EC4" w:rsidP="008F25E2"/>
    <w:p w:rsidR="00E06EC4" w:rsidRPr="00237CBD" w:rsidRDefault="00E06EC4" w:rsidP="008F25E2">
      <w:pPr>
        <w:rPr>
          <w:rFonts w:eastAsia="Arial"/>
        </w:rPr>
      </w:pPr>
      <w:r w:rsidRPr="00237CBD">
        <w:rPr>
          <w:rFonts w:eastAsia="Arial"/>
        </w:rPr>
        <w:t>We look forward to working with you all again as our work continues into 2014/15.</w:t>
      </w:r>
    </w:p>
    <w:p w:rsidR="00E06EC4" w:rsidRPr="00237CBD" w:rsidRDefault="00E06EC4" w:rsidP="008F25E2"/>
    <w:p w:rsidR="007254D8" w:rsidRDefault="007254D8" w:rsidP="007254D8">
      <w:pPr>
        <w:rPr>
          <w:rFonts w:eastAsia="Arial"/>
        </w:rPr>
      </w:pPr>
      <w:r>
        <w:rPr>
          <w:rFonts w:eastAsia="Arial"/>
        </w:rPr>
        <w:br w:type="page"/>
      </w:r>
    </w:p>
    <w:p w:rsidR="00E06EC4" w:rsidRDefault="00E06EC4" w:rsidP="007254D8">
      <w:pPr>
        <w:pStyle w:val="Heading1"/>
        <w:rPr>
          <w:rFonts w:eastAsia="Arial"/>
        </w:rPr>
      </w:pPr>
      <w:bookmarkStart w:id="54" w:name="_Toc404355698"/>
      <w:r w:rsidRPr="00237CBD">
        <w:rPr>
          <w:rFonts w:eastAsia="Arial"/>
        </w:rPr>
        <w:lastRenderedPageBreak/>
        <w:t>Appendix One:</w:t>
      </w:r>
      <w:r w:rsidR="007254D8">
        <w:rPr>
          <w:rFonts w:eastAsia="Arial"/>
        </w:rPr>
        <w:t xml:space="preserve"> </w:t>
      </w:r>
      <w:r w:rsidRPr="00237CBD">
        <w:rPr>
          <w:rFonts w:eastAsia="Arial"/>
        </w:rPr>
        <w:t>Terms of Reference for the National Maternity Monitoring Group, 2013</w:t>
      </w:r>
      <w:r w:rsidR="007254D8">
        <w:rPr>
          <w:rFonts w:eastAsia="Arial"/>
        </w:rPr>
        <w:t>–</w:t>
      </w:r>
      <w:r w:rsidRPr="00237CBD">
        <w:rPr>
          <w:rFonts w:eastAsia="Arial"/>
        </w:rPr>
        <w:t>2016</w:t>
      </w:r>
      <w:bookmarkEnd w:id="54"/>
    </w:p>
    <w:p w:rsidR="00592F35" w:rsidRPr="00592F35" w:rsidRDefault="00592F35" w:rsidP="00592F35">
      <w:pPr>
        <w:rPr>
          <w:rFonts w:eastAsia="Arial"/>
        </w:rPr>
      </w:pPr>
    </w:p>
    <w:p w:rsidR="00CA6003" w:rsidRDefault="00CA6003" w:rsidP="008F25E2">
      <w:pPr>
        <w:pStyle w:val="Heading3"/>
        <w:rPr>
          <w:rFonts w:eastAsia="Arial"/>
        </w:rPr>
        <w:sectPr w:rsidR="00CA6003" w:rsidSect="00216D64">
          <w:footerReference w:type="even" r:id="rId37"/>
          <w:footerReference w:type="default" r:id="rId38"/>
          <w:pgSz w:w="11907" w:h="16834" w:code="9"/>
          <w:pgMar w:top="1418" w:right="1701" w:bottom="1134" w:left="1701" w:header="284" w:footer="567" w:gutter="0"/>
          <w:cols w:space="720"/>
        </w:sectPr>
      </w:pPr>
    </w:p>
    <w:p w:rsidR="00E06EC4" w:rsidRPr="00237CBD" w:rsidRDefault="00E06EC4" w:rsidP="00592F35">
      <w:pPr>
        <w:pStyle w:val="Heading3"/>
        <w:spacing w:before="0"/>
        <w:rPr>
          <w:rFonts w:eastAsia="Arial"/>
        </w:rPr>
      </w:pPr>
      <w:r w:rsidRPr="00237CBD">
        <w:rPr>
          <w:rFonts w:eastAsia="Arial"/>
        </w:rPr>
        <w:lastRenderedPageBreak/>
        <w:t>Introduction</w:t>
      </w:r>
    </w:p>
    <w:p w:rsidR="00E06EC4" w:rsidRPr="00237CBD" w:rsidRDefault="00E06EC4" w:rsidP="00EE6876">
      <w:pPr>
        <w:ind w:left="425" w:hanging="425"/>
        <w:rPr>
          <w:rFonts w:eastAsia="Arial"/>
        </w:rPr>
      </w:pPr>
      <w:r w:rsidRPr="00237CBD">
        <w:rPr>
          <w:rFonts w:eastAsia="Arial"/>
        </w:rPr>
        <w:t>1</w:t>
      </w:r>
      <w:r w:rsidR="008F25E2">
        <w:rPr>
          <w:rFonts w:eastAsia="Arial"/>
        </w:rPr>
        <w:tab/>
      </w:r>
      <w:r w:rsidRPr="00237CBD">
        <w:rPr>
          <w:rFonts w:eastAsia="Arial"/>
        </w:rPr>
        <w:t>This document sets out the:</w:t>
      </w:r>
    </w:p>
    <w:p w:rsidR="00E06EC4" w:rsidRPr="00237CBD" w:rsidRDefault="00E06EC4" w:rsidP="00EE6876">
      <w:pPr>
        <w:spacing w:before="120"/>
        <w:ind w:left="850" w:hanging="425"/>
        <w:rPr>
          <w:rFonts w:eastAsia="Arial"/>
        </w:rPr>
      </w:pPr>
      <w:r w:rsidRPr="00237CBD">
        <w:rPr>
          <w:rFonts w:eastAsia="Arial"/>
        </w:rPr>
        <w:t>a)</w:t>
      </w:r>
      <w:r w:rsidR="008F25E2">
        <w:rPr>
          <w:rFonts w:eastAsia="Arial"/>
        </w:rPr>
        <w:tab/>
      </w:r>
      <w:proofErr w:type="gramStart"/>
      <w:r w:rsidRPr="00237CBD">
        <w:rPr>
          <w:rFonts w:eastAsia="Arial"/>
        </w:rPr>
        <w:t>roles</w:t>
      </w:r>
      <w:proofErr w:type="gramEnd"/>
      <w:r w:rsidRPr="00237CBD">
        <w:rPr>
          <w:rFonts w:eastAsia="Arial"/>
        </w:rPr>
        <w:t xml:space="preserve"> and responsibilities of the National Maternity</w:t>
      </w:r>
      <w:r w:rsidR="008F25E2">
        <w:rPr>
          <w:rFonts w:eastAsia="Arial"/>
        </w:rPr>
        <w:t xml:space="preserve"> </w:t>
      </w:r>
      <w:r w:rsidRPr="00237CBD">
        <w:rPr>
          <w:rFonts w:eastAsia="Arial"/>
        </w:rPr>
        <w:t>Monitoring Group;</w:t>
      </w:r>
    </w:p>
    <w:p w:rsidR="00E06EC4" w:rsidRPr="00237CBD" w:rsidRDefault="00E06EC4" w:rsidP="00EE6876">
      <w:pPr>
        <w:spacing w:before="120"/>
        <w:ind w:left="850" w:hanging="425"/>
        <w:rPr>
          <w:rFonts w:eastAsia="Arial"/>
        </w:rPr>
      </w:pPr>
      <w:r w:rsidRPr="00237CBD">
        <w:rPr>
          <w:rFonts w:eastAsia="Arial"/>
        </w:rPr>
        <w:t>b)</w:t>
      </w:r>
      <w:r w:rsidR="008F25E2">
        <w:rPr>
          <w:rFonts w:eastAsia="Arial"/>
        </w:rPr>
        <w:tab/>
      </w:r>
      <w:proofErr w:type="gramStart"/>
      <w:r w:rsidRPr="00237CBD">
        <w:rPr>
          <w:rFonts w:eastAsia="Arial"/>
        </w:rPr>
        <w:t>work</w:t>
      </w:r>
      <w:proofErr w:type="gramEnd"/>
      <w:r w:rsidRPr="00237CBD">
        <w:rPr>
          <w:rFonts w:eastAsia="Arial"/>
        </w:rPr>
        <w:t xml:space="preserve"> programme and reporting requirements;</w:t>
      </w:r>
    </w:p>
    <w:p w:rsidR="00E06EC4" w:rsidRPr="00237CBD" w:rsidRDefault="00E06EC4" w:rsidP="00EE6876">
      <w:pPr>
        <w:spacing w:before="120"/>
        <w:ind w:left="850" w:hanging="425"/>
        <w:rPr>
          <w:rFonts w:eastAsia="Arial"/>
        </w:rPr>
      </w:pPr>
      <w:r w:rsidRPr="00237CBD">
        <w:rPr>
          <w:rFonts w:eastAsia="Arial"/>
        </w:rPr>
        <w:t>c)</w:t>
      </w:r>
      <w:r w:rsidR="008F25E2">
        <w:rPr>
          <w:rFonts w:eastAsia="Arial"/>
        </w:rPr>
        <w:tab/>
      </w:r>
      <w:proofErr w:type="gramStart"/>
      <w:r w:rsidRPr="00237CBD">
        <w:rPr>
          <w:rFonts w:eastAsia="Arial"/>
        </w:rPr>
        <w:t>composition</w:t>
      </w:r>
      <w:proofErr w:type="gramEnd"/>
      <w:r w:rsidRPr="00237CBD">
        <w:rPr>
          <w:rFonts w:eastAsia="Arial"/>
        </w:rPr>
        <w:t xml:space="preserve"> of the National Maternity Monitoring</w:t>
      </w:r>
      <w:r w:rsidR="008F25E2">
        <w:rPr>
          <w:rFonts w:eastAsia="Arial"/>
        </w:rPr>
        <w:t xml:space="preserve"> </w:t>
      </w:r>
      <w:r w:rsidRPr="00237CBD">
        <w:rPr>
          <w:rFonts w:eastAsia="Arial"/>
        </w:rPr>
        <w:t>Group, and</w:t>
      </w:r>
    </w:p>
    <w:p w:rsidR="00E06EC4" w:rsidRPr="00237CBD" w:rsidRDefault="00E06EC4" w:rsidP="00EE6876">
      <w:pPr>
        <w:spacing w:before="120"/>
        <w:ind w:left="850" w:hanging="425"/>
        <w:rPr>
          <w:rFonts w:eastAsia="Arial"/>
        </w:rPr>
      </w:pPr>
      <w:r w:rsidRPr="00237CBD">
        <w:rPr>
          <w:rFonts w:eastAsia="Arial"/>
        </w:rPr>
        <w:t>d)</w:t>
      </w:r>
      <w:r w:rsidR="008F25E2">
        <w:rPr>
          <w:rFonts w:eastAsia="Arial"/>
        </w:rPr>
        <w:tab/>
      </w:r>
      <w:proofErr w:type="gramStart"/>
      <w:r w:rsidRPr="00237CBD">
        <w:rPr>
          <w:rFonts w:eastAsia="Arial"/>
        </w:rPr>
        <w:t>terms</w:t>
      </w:r>
      <w:proofErr w:type="gramEnd"/>
      <w:r w:rsidRPr="00237CBD">
        <w:rPr>
          <w:rFonts w:eastAsia="Arial"/>
        </w:rPr>
        <w:t xml:space="preserve"> and conditions of appointment.</w:t>
      </w:r>
    </w:p>
    <w:p w:rsidR="00E06EC4" w:rsidRPr="00237CBD" w:rsidRDefault="00E06EC4" w:rsidP="00C071CC">
      <w:pPr>
        <w:ind w:left="425" w:hanging="425"/>
      </w:pPr>
    </w:p>
    <w:p w:rsidR="00E06EC4" w:rsidRPr="00237CBD" w:rsidRDefault="00E06EC4" w:rsidP="002B4282">
      <w:pPr>
        <w:pStyle w:val="Heading3"/>
        <w:rPr>
          <w:rFonts w:eastAsia="Arial"/>
        </w:rPr>
      </w:pPr>
      <w:r w:rsidRPr="00237CBD">
        <w:rPr>
          <w:rFonts w:eastAsia="Arial"/>
        </w:rPr>
        <w:t>Background</w:t>
      </w:r>
    </w:p>
    <w:p w:rsidR="00E06EC4" w:rsidRPr="00237CBD" w:rsidRDefault="00E06EC4" w:rsidP="00EE6876">
      <w:pPr>
        <w:ind w:left="425" w:hanging="425"/>
        <w:rPr>
          <w:rFonts w:eastAsia="Arial"/>
        </w:rPr>
      </w:pPr>
      <w:r w:rsidRPr="00237CBD">
        <w:rPr>
          <w:rFonts w:eastAsia="Arial"/>
        </w:rPr>
        <w:t>2</w:t>
      </w:r>
      <w:r w:rsidR="008F25E2">
        <w:rPr>
          <w:rFonts w:eastAsia="Arial"/>
        </w:rPr>
        <w:tab/>
      </w:r>
      <w:r w:rsidRPr="00237CBD">
        <w:rPr>
          <w:rFonts w:eastAsia="Arial"/>
        </w:rPr>
        <w:t>The New Zealand Maternity Standards (Ministry of Health 2011) consist of three high-level strategic statements to guide the planning, funding, provision and monitoring of maternity services:</w:t>
      </w:r>
    </w:p>
    <w:p w:rsidR="00E06EC4" w:rsidRPr="00237CBD" w:rsidRDefault="00E06EC4" w:rsidP="00EE6876">
      <w:pPr>
        <w:spacing w:before="120"/>
        <w:ind w:left="850" w:hanging="425"/>
        <w:rPr>
          <w:rFonts w:eastAsia="Arial"/>
        </w:rPr>
      </w:pPr>
      <w:r w:rsidRPr="00237CBD">
        <w:rPr>
          <w:rFonts w:eastAsia="Arial"/>
        </w:rPr>
        <w:t>a)</w:t>
      </w:r>
      <w:r w:rsidR="008F25E2">
        <w:rPr>
          <w:rFonts w:eastAsia="Arial"/>
        </w:rPr>
        <w:tab/>
      </w:r>
      <w:r w:rsidRPr="00237CBD">
        <w:rPr>
          <w:rFonts w:eastAsia="Arial"/>
        </w:rPr>
        <w:t>Standard 1: Maternity services provide</w:t>
      </w:r>
      <w:r w:rsidR="00F71BF6" w:rsidRPr="00237CBD">
        <w:rPr>
          <w:rFonts w:eastAsia="Arial"/>
        </w:rPr>
        <w:t xml:space="preserve"> </w:t>
      </w:r>
      <w:r w:rsidRPr="00237CBD">
        <w:rPr>
          <w:rFonts w:eastAsia="Arial"/>
        </w:rPr>
        <w:t>safe, high- quality services that are nationally consistent and achieve optimal health outcomes for mothers and babies</w:t>
      </w:r>
    </w:p>
    <w:p w:rsidR="00E06EC4" w:rsidRPr="00237CBD" w:rsidRDefault="00E06EC4" w:rsidP="00EE6876">
      <w:pPr>
        <w:spacing w:before="120"/>
        <w:ind w:left="850" w:hanging="425"/>
        <w:rPr>
          <w:rFonts w:eastAsia="Arial"/>
        </w:rPr>
      </w:pPr>
      <w:r w:rsidRPr="00237CBD">
        <w:rPr>
          <w:rFonts w:eastAsia="Arial"/>
        </w:rPr>
        <w:t>b)</w:t>
      </w:r>
      <w:r w:rsidR="008F25E2">
        <w:rPr>
          <w:rFonts w:eastAsia="Arial"/>
        </w:rPr>
        <w:tab/>
      </w:r>
      <w:r w:rsidRPr="00237CBD">
        <w:rPr>
          <w:rFonts w:eastAsia="Arial"/>
        </w:rPr>
        <w:t>Standard 2: Maternity services ensure a woman- centred approach that acknowledges pregnancy and childbirth as a normal</w:t>
      </w:r>
      <w:r w:rsidR="00F71BF6" w:rsidRPr="00237CBD">
        <w:rPr>
          <w:rFonts w:eastAsia="Arial"/>
        </w:rPr>
        <w:t xml:space="preserve"> </w:t>
      </w:r>
      <w:r w:rsidRPr="00237CBD">
        <w:rPr>
          <w:rFonts w:eastAsia="Arial"/>
        </w:rPr>
        <w:t>life stage</w:t>
      </w:r>
    </w:p>
    <w:p w:rsidR="00E06EC4" w:rsidRPr="00237CBD" w:rsidRDefault="00E06EC4" w:rsidP="00EE6876">
      <w:pPr>
        <w:spacing w:before="120"/>
        <w:ind w:left="850" w:hanging="425"/>
        <w:rPr>
          <w:rFonts w:eastAsia="Arial"/>
        </w:rPr>
      </w:pPr>
      <w:r w:rsidRPr="00237CBD">
        <w:rPr>
          <w:rFonts w:eastAsia="Arial"/>
        </w:rPr>
        <w:t>c)</w:t>
      </w:r>
      <w:r w:rsidR="008F25E2">
        <w:rPr>
          <w:rFonts w:eastAsia="Arial"/>
        </w:rPr>
        <w:tab/>
      </w:r>
      <w:r w:rsidRPr="00237CBD">
        <w:rPr>
          <w:rFonts w:eastAsia="Arial"/>
        </w:rPr>
        <w:t>Standard 3: All women have access to a nationally consistent, comprehensive range of maternity services that are funded and provided appropriately to ensure there are no financial barriers to access for eligible women.</w:t>
      </w:r>
    </w:p>
    <w:p w:rsidR="008F25E2" w:rsidRDefault="008F25E2" w:rsidP="00EE6876">
      <w:pPr>
        <w:ind w:left="567" w:hanging="425"/>
        <w:rPr>
          <w:rFonts w:eastAsia="Arial"/>
        </w:rPr>
      </w:pPr>
    </w:p>
    <w:p w:rsidR="00E06EC4" w:rsidRDefault="00E06EC4" w:rsidP="00C071CC">
      <w:pPr>
        <w:ind w:left="425" w:hanging="425"/>
        <w:rPr>
          <w:rFonts w:eastAsia="Arial"/>
        </w:rPr>
      </w:pPr>
      <w:r w:rsidRPr="00237CBD">
        <w:rPr>
          <w:rFonts w:eastAsia="Arial"/>
        </w:rPr>
        <w:lastRenderedPageBreak/>
        <w:t>3</w:t>
      </w:r>
      <w:r w:rsidR="008F25E2">
        <w:rPr>
          <w:rFonts w:eastAsia="Arial"/>
        </w:rPr>
        <w:tab/>
      </w:r>
      <w:r w:rsidRPr="00237CBD">
        <w:rPr>
          <w:rFonts w:eastAsia="Arial"/>
        </w:rPr>
        <w:t>These high-level</w:t>
      </w:r>
      <w:r w:rsidR="00F71BF6" w:rsidRPr="00237CBD">
        <w:rPr>
          <w:rFonts w:eastAsia="Arial"/>
        </w:rPr>
        <w:t xml:space="preserve"> </w:t>
      </w:r>
      <w:r w:rsidRPr="00237CBD">
        <w:rPr>
          <w:rFonts w:eastAsia="Arial"/>
        </w:rPr>
        <w:t>statements are accompanied by specific audit criteria and measurements of these criteria. One of the criteria is that a National Monitoring Group be established to oversee the maternity system and the implementation of the Standards.</w:t>
      </w:r>
    </w:p>
    <w:p w:rsidR="002B4282" w:rsidRPr="00237CBD" w:rsidRDefault="002B4282" w:rsidP="002B4282">
      <w:pPr>
        <w:rPr>
          <w:rFonts w:eastAsia="Arial"/>
        </w:rPr>
      </w:pPr>
    </w:p>
    <w:p w:rsidR="00E06EC4" w:rsidRPr="00237CBD" w:rsidRDefault="00E06EC4" w:rsidP="00EE6876">
      <w:pPr>
        <w:ind w:hanging="425"/>
      </w:pPr>
    </w:p>
    <w:p w:rsidR="00E06EC4" w:rsidRPr="00237CBD" w:rsidRDefault="00E06EC4" w:rsidP="002B4282">
      <w:pPr>
        <w:pStyle w:val="Heading3"/>
        <w:spacing w:before="0"/>
        <w:rPr>
          <w:rFonts w:eastAsia="Arial"/>
        </w:rPr>
      </w:pPr>
      <w:r w:rsidRPr="00237CBD">
        <w:rPr>
          <w:rFonts w:eastAsia="Arial"/>
        </w:rPr>
        <w:t>Role of the National Maternity Monitoring Group</w:t>
      </w:r>
    </w:p>
    <w:p w:rsidR="00E06EC4" w:rsidRPr="002B4282" w:rsidRDefault="00E06EC4" w:rsidP="00C071CC">
      <w:pPr>
        <w:ind w:left="425" w:hanging="425"/>
        <w:rPr>
          <w:rFonts w:eastAsia="Arial"/>
          <w:spacing w:val="-2"/>
        </w:rPr>
      </w:pPr>
      <w:r w:rsidRPr="00237CBD">
        <w:rPr>
          <w:rFonts w:eastAsia="Arial"/>
        </w:rPr>
        <w:t>4</w:t>
      </w:r>
      <w:r w:rsidR="008F25E2">
        <w:rPr>
          <w:rFonts w:eastAsia="Arial"/>
        </w:rPr>
        <w:tab/>
      </w:r>
      <w:r w:rsidRPr="002B4282">
        <w:rPr>
          <w:rFonts w:eastAsia="Arial"/>
          <w:spacing w:val="-2"/>
        </w:rPr>
        <w:t>The role of the National Maternity Monitoring Group is to oversee the New Zealand maternity system and</w:t>
      </w:r>
      <w:r w:rsidR="008F25E2" w:rsidRPr="002B4282">
        <w:rPr>
          <w:rFonts w:eastAsia="Arial"/>
          <w:spacing w:val="-2"/>
        </w:rPr>
        <w:t xml:space="preserve"> </w:t>
      </w:r>
      <w:r w:rsidRPr="002B4282">
        <w:rPr>
          <w:rFonts w:eastAsia="Arial"/>
          <w:spacing w:val="-2"/>
        </w:rPr>
        <w:t>to provide strategic advice to the Ministry of Health on priorities for improvement.</w:t>
      </w:r>
    </w:p>
    <w:p w:rsidR="008F25E2" w:rsidRDefault="008F25E2" w:rsidP="00C071CC">
      <w:pPr>
        <w:ind w:left="425" w:hanging="425"/>
        <w:rPr>
          <w:rFonts w:eastAsia="Arial"/>
        </w:rPr>
      </w:pPr>
    </w:p>
    <w:p w:rsidR="00E06EC4" w:rsidRPr="002B4282" w:rsidRDefault="00E06EC4" w:rsidP="00C071CC">
      <w:pPr>
        <w:ind w:left="425" w:hanging="425"/>
        <w:rPr>
          <w:rFonts w:eastAsia="Arial"/>
          <w:spacing w:val="-2"/>
        </w:rPr>
      </w:pPr>
      <w:r w:rsidRPr="00237CBD">
        <w:rPr>
          <w:rFonts w:eastAsia="Arial"/>
        </w:rPr>
        <w:t>5</w:t>
      </w:r>
      <w:r w:rsidR="008F25E2">
        <w:rPr>
          <w:rFonts w:eastAsia="Arial"/>
        </w:rPr>
        <w:tab/>
      </w:r>
      <w:r w:rsidRPr="002B4282">
        <w:rPr>
          <w:rFonts w:eastAsia="Arial"/>
          <w:spacing w:val="-2"/>
        </w:rPr>
        <w:t xml:space="preserve">Standard 1 of the New Zealand Maternity Standards states </w:t>
      </w:r>
      <w:r w:rsidR="00F71BF6" w:rsidRPr="002B4282">
        <w:rPr>
          <w:rFonts w:eastAsia="Arial"/>
          <w:spacing w:val="-2"/>
        </w:rPr>
        <w:t>“</w:t>
      </w:r>
      <w:r w:rsidRPr="002B4282">
        <w:rPr>
          <w:rFonts w:eastAsia="Arial"/>
          <w:spacing w:val="-2"/>
        </w:rPr>
        <w:t xml:space="preserve">a National Monitoring Group, consisting of a small number of clinical sector experts and consumer </w:t>
      </w:r>
      <w:proofErr w:type="gramStart"/>
      <w:r w:rsidRPr="002B4282">
        <w:rPr>
          <w:rFonts w:eastAsia="Arial"/>
          <w:spacing w:val="-2"/>
        </w:rPr>
        <w:t>representatives .</w:t>
      </w:r>
      <w:proofErr w:type="gramEnd"/>
      <w:r w:rsidRPr="002B4282">
        <w:rPr>
          <w:rFonts w:eastAsia="Arial"/>
          <w:spacing w:val="-2"/>
        </w:rPr>
        <w:t xml:space="preserve"> </w:t>
      </w:r>
      <w:proofErr w:type="gramStart"/>
      <w:r w:rsidRPr="002B4282">
        <w:rPr>
          <w:rFonts w:eastAsia="Arial"/>
          <w:spacing w:val="-2"/>
        </w:rPr>
        <w:t>provides</w:t>
      </w:r>
      <w:proofErr w:type="gramEnd"/>
      <w:r w:rsidRPr="002B4282">
        <w:rPr>
          <w:rFonts w:eastAsia="Arial"/>
          <w:spacing w:val="-2"/>
        </w:rPr>
        <w:t xml:space="preserve"> oversight and review of national maternity standards, analysis and reporting. The National Monitoring Group provides advice to</w:t>
      </w:r>
      <w:r w:rsidR="008F25E2" w:rsidRPr="002B4282">
        <w:rPr>
          <w:rFonts w:eastAsia="Arial"/>
          <w:spacing w:val="-2"/>
        </w:rPr>
        <w:t xml:space="preserve"> </w:t>
      </w:r>
      <w:r w:rsidRPr="002B4282">
        <w:rPr>
          <w:rFonts w:eastAsia="Arial"/>
          <w:spacing w:val="-2"/>
        </w:rPr>
        <w:t>the Ministry on priorities for national improvement based on the national maternity report, nationally standardised benchmarked data, the audited reports</w:t>
      </w:r>
      <w:r w:rsidR="007254D8" w:rsidRPr="002B4282">
        <w:rPr>
          <w:rFonts w:eastAsia="Arial"/>
          <w:spacing w:val="-2"/>
        </w:rPr>
        <w:t xml:space="preserve"> </w:t>
      </w:r>
      <w:r w:rsidRPr="002B4282">
        <w:rPr>
          <w:rFonts w:eastAsia="Arial"/>
          <w:spacing w:val="-2"/>
        </w:rPr>
        <w:t>from DHB service specifications, Maternity Referral</w:t>
      </w:r>
      <w:r w:rsidR="007254D8" w:rsidRPr="002B4282">
        <w:rPr>
          <w:rFonts w:eastAsia="Arial"/>
          <w:spacing w:val="-2"/>
        </w:rPr>
        <w:t xml:space="preserve"> </w:t>
      </w:r>
      <w:r w:rsidRPr="002B4282">
        <w:rPr>
          <w:rFonts w:eastAsia="Arial"/>
          <w:spacing w:val="-2"/>
        </w:rPr>
        <w:t>Guidelines, and the Primary Maternity Services Notice</w:t>
      </w:r>
      <w:r w:rsidR="007254D8" w:rsidRPr="002B4282">
        <w:rPr>
          <w:rFonts w:eastAsia="Arial"/>
          <w:spacing w:val="-2"/>
        </w:rPr>
        <w:t xml:space="preserve"> </w:t>
      </w:r>
      <w:r w:rsidRPr="002B4282">
        <w:rPr>
          <w:rFonts w:eastAsia="Arial"/>
          <w:spacing w:val="-2"/>
        </w:rPr>
        <w:t>2007</w:t>
      </w:r>
      <w:r w:rsidR="00F71BF6" w:rsidRPr="002B4282">
        <w:rPr>
          <w:rFonts w:eastAsia="Arial"/>
          <w:spacing w:val="-2"/>
        </w:rPr>
        <w:t>”</w:t>
      </w:r>
      <w:r w:rsidRPr="002B4282">
        <w:rPr>
          <w:rFonts w:eastAsia="Arial"/>
          <w:spacing w:val="-2"/>
        </w:rPr>
        <w:t>.</w:t>
      </w:r>
    </w:p>
    <w:p w:rsidR="008F25E2" w:rsidRDefault="008F25E2" w:rsidP="00C071CC">
      <w:pPr>
        <w:ind w:left="425" w:hanging="425"/>
        <w:rPr>
          <w:rFonts w:eastAsia="Arial"/>
        </w:rPr>
      </w:pPr>
    </w:p>
    <w:p w:rsidR="00E06EC4" w:rsidRPr="002B4282" w:rsidRDefault="00E06EC4" w:rsidP="002B4282">
      <w:pPr>
        <w:ind w:left="425" w:right="-142" w:hanging="425"/>
        <w:rPr>
          <w:rFonts w:eastAsia="Arial"/>
          <w:spacing w:val="-2"/>
        </w:rPr>
      </w:pPr>
      <w:r w:rsidRPr="00237CBD">
        <w:rPr>
          <w:rFonts w:eastAsia="Arial"/>
        </w:rPr>
        <w:t>6</w:t>
      </w:r>
      <w:r w:rsidR="008F25E2">
        <w:rPr>
          <w:rFonts w:eastAsia="Arial"/>
        </w:rPr>
        <w:tab/>
      </w:r>
      <w:r w:rsidRPr="002B4282">
        <w:rPr>
          <w:rFonts w:eastAsia="Arial"/>
          <w:spacing w:val="-2"/>
        </w:rPr>
        <w:t>Standard 1 sets out audit criteria, applicable at the national level, to which the Ministry of Health and the professional colleges are accountable to. These</w:t>
      </w:r>
      <w:r w:rsidR="008F25E2" w:rsidRPr="002B4282">
        <w:rPr>
          <w:rFonts w:eastAsia="Arial"/>
          <w:spacing w:val="-2"/>
        </w:rPr>
        <w:t xml:space="preserve"> </w:t>
      </w:r>
      <w:r w:rsidRPr="002B4282">
        <w:rPr>
          <w:rFonts w:eastAsia="Arial"/>
          <w:spacing w:val="-2"/>
        </w:rPr>
        <w:t>additionally inform the role of the National Maternity</w:t>
      </w:r>
      <w:r w:rsidR="008F25E2" w:rsidRPr="002B4282">
        <w:rPr>
          <w:rFonts w:eastAsia="Arial"/>
          <w:spacing w:val="-2"/>
        </w:rPr>
        <w:t xml:space="preserve"> </w:t>
      </w:r>
      <w:r w:rsidRPr="002B4282">
        <w:rPr>
          <w:rFonts w:eastAsia="Arial"/>
          <w:spacing w:val="-2"/>
        </w:rPr>
        <w:t>Monitoring Group.</w:t>
      </w:r>
    </w:p>
    <w:p w:rsidR="00E06EC4" w:rsidRPr="00237CBD" w:rsidRDefault="00E06EC4" w:rsidP="002B4282">
      <w:pPr>
        <w:spacing w:before="240"/>
        <w:ind w:left="425" w:hanging="425"/>
        <w:rPr>
          <w:rFonts w:eastAsia="Arial"/>
        </w:rPr>
      </w:pPr>
      <w:r w:rsidRPr="00237CBD">
        <w:rPr>
          <w:rFonts w:eastAsia="Arial"/>
        </w:rPr>
        <w:lastRenderedPageBreak/>
        <w:t>7</w:t>
      </w:r>
      <w:r w:rsidR="008F25E2">
        <w:rPr>
          <w:rFonts w:eastAsia="Arial"/>
        </w:rPr>
        <w:tab/>
      </w:r>
      <w:r w:rsidRPr="00237CBD">
        <w:rPr>
          <w:rFonts w:eastAsia="Arial"/>
        </w:rPr>
        <w:t>The National Maternity Monitoring Group is not a decision-making body. While it may provide recommendations to the Ministry of Health, responsibility for decision-making and implementation rests with the Ministry of Health and/or other relevant participants in the maternity system.</w:t>
      </w:r>
    </w:p>
    <w:p w:rsidR="00E06EC4" w:rsidRPr="00237CBD" w:rsidRDefault="00E06EC4" w:rsidP="00C071CC">
      <w:pPr>
        <w:ind w:left="425" w:hanging="425"/>
      </w:pPr>
    </w:p>
    <w:p w:rsidR="00E06EC4" w:rsidRPr="00237CBD" w:rsidRDefault="00E06EC4" w:rsidP="002B4282">
      <w:pPr>
        <w:pStyle w:val="Heading3"/>
        <w:rPr>
          <w:rFonts w:eastAsia="Arial"/>
        </w:rPr>
      </w:pPr>
      <w:r w:rsidRPr="00237CBD">
        <w:rPr>
          <w:rFonts w:eastAsia="Arial"/>
        </w:rPr>
        <w:t>Responsibilities and reporting requirements of the</w:t>
      </w:r>
      <w:r w:rsidR="008F25E2">
        <w:rPr>
          <w:rFonts w:eastAsia="Arial"/>
        </w:rPr>
        <w:t xml:space="preserve"> </w:t>
      </w:r>
      <w:r w:rsidRPr="00237CBD">
        <w:rPr>
          <w:rFonts w:eastAsia="Arial"/>
        </w:rPr>
        <w:t>National Maternity Monitoring Group</w:t>
      </w:r>
    </w:p>
    <w:p w:rsidR="00E06EC4" w:rsidRPr="00237CBD" w:rsidRDefault="00E06EC4" w:rsidP="00C071CC">
      <w:pPr>
        <w:ind w:left="425" w:hanging="425"/>
        <w:rPr>
          <w:rFonts w:eastAsia="Arial"/>
        </w:rPr>
      </w:pPr>
      <w:r w:rsidRPr="00237CBD">
        <w:rPr>
          <w:rFonts w:eastAsia="Arial"/>
        </w:rPr>
        <w:t>8</w:t>
      </w:r>
      <w:r w:rsidR="008F25E2">
        <w:rPr>
          <w:rFonts w:eastAsia="Arial"/>
        </w:rPr>
        <w:tab/>
      </w:r>
      <w:r w:rsidRPr="00237CBD">
        <w:rPr>
          <w:rFonts w:eastAsia="Arial"/>
        </w:rPr>
        <w:t>The National Maternity Monitoring Group will meet at least four times per annum, and will undertake other communication as necessary to deliver the agreed work programme.</w:t>
      </w:r>
    </w:p>
    <w:p w:rsidR="008F25E2" w:rsidRDefault="008F25E2" w:rsidP="00C071CC">
      <w:pPr>
        <w:ind w:left="425" w:hanging="425"/>
        <w:rPr>
          <w:rFonts w:eastAsia="Arial"/>
        </w:rPr>
      </w:pPr>
    </w:p>
    <w:p w:rsidR="00E06EC4" w:rsidRPr="00237CBD" w:rsidRDefault="00E06EC4" w:rsidP="00C071CC">
      <w:pPr>
        <w:ind w:left="425" w:hanging="425"/>
        <w:rPr>
          <w:rFonts w:eastAsia="Arial"/>
        </w:rPr>
      </w:pPr>
      <w:r w:rsidRPr="00237CBD">
        <w:rPr>
          <w:rFonts w:eastAsia="Arial"/>
        </w:rPr>
        <w:t>9</w:t>
      </w:r>
      <w:r w:rsidR="008F25E2">
        <w:rPr>
          <w:rFonts w:eastAsia="Arial"/>
        </w:rPr>
        <w:tab/>
      </w:r>
      <w:r w:rsidRPr="00237CBD">
        <w:rPr>
          <w:rFonts w:eastAsia="Arial"/>
        </w:rPr>
        <w:t>The National Maternity Monitoring Group is responsible for identifying priorities for action or investigation,</w:t>
      </w:r>
      <w:r w:rsidR="008F25E2">
        <w:rPr>
          <w:rFonts w:eastAsia="Arial"/>
        </w:rPr>
        <w:t xml:space="preserve"> </w:t>
      </w:r>
      <w:r w:rsidRPr="00237CBD">
        <w:rPr>
          <w:rFonts w:eastAsia="Arial"/>
        </w:rPr>
        <w:t>and agreeing a 12-month work programme with the Ministry of Health at the beginning of each year of operation.</w:t>
      </w:r>
    </w:p>
    <w:p w:rsidR="008F25E2" w:rsidRDefault="008F25E2" w:rsidP="00C071CC">
      <w:pPr>
        <w:ind w:left="425" w:hanging="425"/>
        <w:rPr>
          <w:rFonts w:eastAsia="Arial"/>
        </w:rPr>
      </w:pPr>
    </w:p>
    <w:p w:rsidR="00E06EC4" w:rsidRPr="00237CBD" w:rsidRDefault="00E06EC4" w:rsidP="00C071CC">
      <w:pPr>
        <w:ind w:left="425" w:hanging="425"/>
        <w:rPr>
          <w:rFonts w:eastAsia="Arial"/>
        </w:rPr>
      </w:pPr>
      <w:r w:rsidRPr="00237CBD">
        <w:rPr>
          <w:rFonts w:eastAsia="Arial"/>
        </w:rPr>
        <w:t>10</w:t>
      </w:r>
      <w:r w:rsidR="008F25E2">
        <w:rPr>
          <w:rFonts w:eastAsia="Arial"/>
        </w:rPr>
        <w:tab/>
      </w:r>
      <w:r w:rsidRPr="00237CBD">
        <w:rPr>
          <w:rFonts w:eastAsia="Arial"/>
        </w:rPr>
        <w:t>The work programme may include but is not limited to:</w:t>
      </w:r>
    </w:p>
    <w:p w:rsidR="00E06EC4" w:rsidRPr="00237CBD" w:rsidRDefault="00E06EC4" w:rsidP="002B4282">
      <w:pPr>
        <w:spacing w:before="120"/>
        <w:ind w:left="850" w:hanging="425"/>
        <w:rPr>
          <w:rFonts w:eastAsia="Arial"/>
        </w:rPr>
      </w:pPr>
      <w:r w:rsidRPr="00237CBD">
        <w:rPr>
          <w:rFonts w:eastAsia="Arial"/>
        </w:rPr>
        <w:t>a)</w:t>
      </w:r>
      <w:r w:rsidR="008F25E2">
        <w:rPr>
          <w:rFonts w:eastAsia="Arial"/>
        </w:rPr>
        <w:tab/>
      </w:r>
      <w:proofErr w:type="gramStart"/>
      <w:r w:rsidR="008F25E2">
        <w:rPr>
          <w:rFonts w:eastAsia="Arial"/>
        </w:rPr>
        <w:t>p</w:t>
      </w:r>
      <w:r w:rsidRPr="00237CBD">
        <w:rPr>
          <w:rFonts w:eastAsia="Arial"/>
        </w:rPr>
        <w:t>roviding</w:t>
      </w:r>
      <w:proofErr w:type="gramEnd"/>
      <w:r w:rsidRPr="00237CBD">
        <w:rPr>
          <w:rFonts w:eastAsia="Arial"/>
        </w:rPr>
        <w:t xml:space="preserve"> expert advice on data released through the New Zealand Maternity Clinical Indicators, national maternity consumer surveys and the New Zealand Maternity Report, which are published from time to time by the Ministry of Health</w:t>
      </w:r>
    </w:p>
    <w:p w:rsidR="00E06EC4" w:rsidRPr="00237CBD" w:rsidRDefault="00E06EC4" w:rsidP="002B4282">
      <w:pPr>
        <w:spacing w:before="120"/>
        <w:ind w:left="850" w:hanging="425"/>
        <w:rPr>
          <w:rFonts w:eastAsia="Arial"/>
        </w:rPr>
      </w:pPr>
      <w:r w:rsidRPr="00237CBD">
        <w:rPr>
          <w:rFonts w:eastAsia="Arial"/>
        </w:rPr>
        <w:t>b)</w:t>
      </w:r>
      <w:r w:rsidR="008F25E2">
        <w:rPr>
          <w:rFonts w:eastAsia="Arial"/>
        </w:rPr>
        <w:tab/>
      </w:r>
      <w:proofErr w:type="gramStart"/>
      <w:r w:rsidR="008F25E2">
        <w:rPr>
          <w:rFonts w:eastAsia="Arial"/>
        </w:rPr>
        <w:t>c</w:t>
      </w:r>
      <w:r w:rsidRPr="00237CBD">
        <w:rPr>
          <w:rFonts w:eastAsia="Arial"/>
        </w:rPr>
        <w:t>ontributing</w:t>
      </w:r>
      <w:proofErr w:type="gramEnd"/>
      <w:r w:rsidRPr="00237CBD">
        <w:rPr>
          <w:rFonts w:eastAsia="Arial"/>
        </w:rPr>
        <w:t xml:space="preserve"> to the review of the New Zealand Maternity Clinical Indicators at a minimum of three-year intervals and providing advice on the modification, addition or withdrawal of any indicators</w:t>
      </w:r>
    </w:p>
    <w:p w:rsidR="00E06EC4" w:rsidRPr="00237CBD" w:rsidRDefault="00E06EC4" w:rsidP="00802E5C">
      <w:pPr>
        <w:keepLines/>
        <w:spacing w:before="120"/>
        <w:ind w:left="850" w:hanging="425"/>
        <w:rPr>
          <w:rFonts w:eastAsia="Arial"/>
        </w:rPr>
      </w:pPr>
      <w:r w:rsidRPr="00237CBD">
        <w:rPr>
          <w:rFonts w:eastAsia="Arial"/>
        </w:rPr>
        <w:lastRenderedPageBreak/>
        <w:t>c)</w:t>
      </w:r>
      <w:r w:rsidR="008F25E2">
        <w:rPr>
          <w:rFonts w:eastAsia="Arial"/>
        </w:rPr>
        <w:tab/>
      </w:r>
      <w:proofErr w:type="gramStart"/>
      <w:r w:rsidR="008F25E2">
        <w:rPr>
          <w:rFonts w:eastAsia="Arial"/>
        </w:rPr>
        <w:t>i</w:t>
      </w:r>
      <w:r w:rsidRPr="00237CBD">
        <w:rPr>
          <w:rFonts w:eastAsia="Arial"/>
        </w:rPr>
        <w:t>dentifying</w:t>
      </w:r>
      <w:proofErr w:type="gramEnd"/>
      <w:r w:rsidR="00F71BF6" w:rsidRPr="00237CBD">
        <w:rPr>
          <w:rFonts w:eastAsia="Arial"/>
        </w:rPr>
        <w:t xml:space="preserve"> </w:t>
      </w:r>
      <w:r w:rsidRPr="00237CBD">
        <w:rPr>
          <w:rFonts w:eastAsia="Arial"/>
        </w:rPr>
        <w:t>priorities for national clinical guidelines</w:t>
      </w:r>
      <w:r w:rsidR="008F25E2">
        <w:rPr>
          <w:rFonts w:eastAsia="Arial"/>
        </w:rPr>
        <w:t xml:space="preserve"> </w:t>
      </w:r>
      <w:r w:rsidRPr="00237CBD">
        <w:rPr>
          <w:rFonts w:eastAsia="Arial"/>
        </w:rPr>
        <w:t>/ guidance for maternity including recommendations on best clinical practice, and providing advice on how these should be developed and implemented</w:t>
      </w:r>
    </w:p>
    <w:p w:rsidR="00E06EC4" w:rsidRPr="00237CBD" w:rsidRDefault="00E06EC4" w:rsidP="002B4282">
      <w:pPr>
        <w:spacing w:before="120"/>
        <w:ind w:left="850" w:hanging="425"/>
        <w:rPr>
          <w:rFonts w:eastAsia="Arial"/>
        </w:rPr>
      </w:pPr>
      <w:r w:rsidRPr="00237CBD">
        <w:rPr>
          <w:rFonts w:eastAsia="Arial"/>
        </w:rPr>
        <w:t>d)</w:t>
      </w:r>
      <w:r w:rsidR="008F25E2">
        <w:rPr>
          <w:rFonts w:eastAsia="Arial"/>
        </w:rPr>
        <w:tab/>
      </w:r>
      <w:proofErr w:type="gramStart"/>
      <w:r w:rsidR="008F25E2">
        <w:rPr>
          <w:rFonts w:eastAsia="Arial"/>
        </w:rPr>
        <w:t>r</w:t>
      </w:r>
      <w:r w:rsidRPr="00237CBD">
        <w:rPr>
          <w:rFonts w:eastAsia="Arial"/>
        </w:rPr>
        <w:t>eviewing</w:t>
      </w:r>
      <w:proofErr w:type="gramEnd"/>
      <w:r w:rsidRPr="00237CBD">
        <w:rPr>
          <w:rFonts w:eastAsia="Arial"/>
        </w:rPr>
        <w:t xml:space="preserve"> reports of the Perinatal and Maternal Mortality Review Committee (PMMRC), identifying the implications for the maternity system of the findings of the PMMRC and providing advice on system response to these findings</w:t>
      </w:r>
    </w:p>
    <w:p w:rsidR="00E06EC4" w:rsidRPr="00237CBD" w:rsidRDefault="00E06EC4" w:rsidP="002B4282">
      <w:pPr>
        <w:spacing w:before="120"/>
        <w:ind w:left="850" w:hanging="425"/>
        <w:rPr>
          <w:rFonts w:eastAsia="Arial"/>
        </w:rPr>
      </w:pPr>
      <w:r w:rsidRPr="00237CBD">
        <w:rPr>
          <w:rFonts w:eastAsia="Arial"/>
        </w:rPr>
        <w:t>e)</w:t>
      </w:r>
      <w:r w:rsidR="008F25E2">
        <w:rPr>
          <w:rFonts w:eastAsia="Arial"/>
        </w:rPr>
        <w:tab/>
      </w:r>
      <w:proofErr w:type="gramStart"/>
      <w:r w:rsidR="008F25E2">
        <w:rPr>
          <w:rFonts w:eastAsia="Arial"/>
        </w:rPr>
        <w:t>r</w:t>
      </w:r>
      <w:r w:rsidRPr="00237CBD">
        <w:rPr>
          <w:rFonts w:eastAsia="Arial"/>
        </w:rPr>
        <w:t>eviewing</w:t>
      </w:r>
      <w:proofErr w:type="gramEnd"/>
      <w:r w:rsidRPr="00237CBD">
        <w:rPr>
          <w:rFonts w:eastAsia="Arial"/>
        </w:rPr>
        <w:t xml:space="preserve"> and assessing the annual reports</w:t>
      </w:r>
      <w:r w:rsidR="007254D8">
        <w:rPr>
          <w:rFonts w:eastAsia="Arial"/>
        </w:rPr>
        <w:t xml:space="preserve"> </w:t>
      </w:r>
      <w:r w:rsidRPr="00237CBD">
        <w:rPr>
          <w:rFonts w:eastAsia="Arial"/>
        </w:rPr>
        <w:t>produced by each DHB as part of its Maternity Quality and Safety Programme</w:t>
      </w:r>
    </w:p>
    <w:p w:rsidR="00E06EC4" w:rsidRDefault="00E06EC4" w:rsidP="002B4282">
      <w:pPr>
        <w:spacing w:before="120"/>
        <w:ind w:left="850" w:hanging="425"/>
        <w:rPr>
          <w:rFonts w:eastAsia="Arial"/>
        </w:rPr>
      </w:pPr>
      <w:r w:rsidRPr="00237CBD">
        <w:rPr>
          <w:rFonts w:eastAsia="Arial"/>
        </w:rPr>
        <w:t>f)</w:t>
      </w:r>
      <w:r w:rsidR="008F25E2">
        <w:rPr>
          <w:rFonts w:eastAsia="Arial"/>
        </w:rPr>
        <w:tab/>
      </w:r>
      <w:proofErr w:type="gramStart"/>
      <w:r w:rsidR="008F25E2">
        <w:rPr>
          <w:rFonts w:eastAsia="Arial"/>
        </w:rPr>
        <w:t>r</w:t>
      </w:r>
      <w:r w:rsidRPr="00237CBD">
        <w:rPr>
          <w:rFonts w:eastAsia="Arial"/>
        </w:rPr>
        <w:t>eviewing</w:t>
      </w:r>
      <w:proofErr w:type="gramEnd"/>
      <w:r w:rsidRPr="00237CBD">
        <w:rPr>
          <w:rFonts w:eastAsia="Arial"/>
        </w:rPr>
        <w:t xml:space="preserve"> and assessing other maternity reports produced or commissioned by the Ministry of Health, DHBs, professional colleges, consumer groups or other stakeholders as requested</w:t>
      </w:r>
      <w:r w:rsidR="00F71BF6" w:rsidRPr="00237CBD">
        <w:rPr>
          <w:rFonts w:eastAsia="Arial"/>
        </w:rPr>
        <w:t xml:space="preserve"> </w:t>
      </w:r>
      <w:r w:rsidRPr="00237CBD">
        <w:rPr>
          <w:rFonts w:eastAsia="Arial"/>
        </w:rPr>
        <w:t>from time to time.</w:t>
      </w:r>
    </w:p>
    <w:p w:rsidR="008F25E2" w:rsidRDefault="008F25E2" w:rsidP="00EE6876">
      <w:pPr>
        <w:ind w:hanging="425"/>
        <w:rPr>
          <w:rFonts w:eastAsia="Arial"/>
        </w:rPr>
      </w:pPr>
    </w:p>
    <w:p w:rsidR="00E06EC4" w:rsidRDefault="00E06EC4" w:rsidP="002B4282">
      <w:pPr>
        <w:ind w:left="567" w:hanging="567"/>
        <w:rPr>
          <w:rFonts w:eastAsia="Arial"/>
        </w:rPr>
      </w:pPr>
      <w:r w:rsidRPr="00237CBD">
        <w:rPr>
          <w:rFonts w:eastAsia="Arial"/>
        </w:rPr>
        <w:t>11</w:t>
      </w:r>
      <w:r w:rsidR="008F25E2">
        <w:rPr>
          <w:rFonts w:eastAsia="Arial"/>
        </w:rPr>
        <w:tab/>
      </w:r>
      <w:r w:rsidRPr="00237CBD">
        <w:rPr>
          <w:rFonts w:eastAsia="Arial"/>
        </w:rPr>
        <w:t>The National Maternity Monitoring Group may be</w:t>
      </w:r>
      <w:r w:rsidR="008F25E2">
        <w:rPr>
          <w:rFonts w:eastAsia="Arial"/>
        </w:rPr>
        <w:t xml:space="preserve"> </w:t>
      </w:r>
      <w:r w:rsidRPr="00237CBD">
        <w:rPr>
          <w:rFonts w:eastAsia="Arial"/>
        </w:rPr>
        <w:t>asked to provide advice on any other matters related to the quality and safety of maternity care and services by the Ministry of Health from time to time.</w:t>
      </w:r>
    </w:p>
    <w:p w:rsidR="008F25E2" w:rsidRPr="00237CBD" w:rsidRDefault="008F25E2" w:rsidP="00C071CC">
      <w:pPr>
        <w:ind w:left="425" w:hanging="425"/>
        <w:rPr>
          <w:rFonts w:eastAsia="Arial"/>
        </w:rPr>
      </w:pPr>
    </w:p>
    <w:p w:rsidR="00E06EC4" w:rsidRPr="00237CBD" w:rsidRDefault="00E06EC4" w:rsidP="00C071CC">
      <w:pPr>
        <w:ind w:left="425" w:hanging="425"/>
        <w:rPr>
          <w:rFonts w:eastAsia="Arial"/>
        </w:rPr>
      </w:pPr>
      <w:r w:rsidRPr="00237CBD">
        <w:rPr>
          <w:rFonts w:eastAsia="Arial"/>
        </w:rPr>
        <w:t>12</w:t>
      </w:r>
      <w:r w:rsidR="008F25E2">
        <w:rPr>
          <w:rFonts w:eastAsia="Arial"/>
        </w:rPr>
        <w:tab/>
      </w:r>
      <w:r w:rsidRPr="00237CBD">
        <w:rPr>
          <w:rFonts w:eastAsia="Arial"/>
        </w:rPr>
        <w:t>The National Maternity Monitoring Group will produce an Annual Report by a date negotiated with the Ministry of Health detailing:</w:t>
      </w:r>
    </w:p>
    <w:p w:rsidR="00E06EC4" w:rsidRPr="00237CBD" w:rsidRDefault="00E06EC4" w:rsidP="002B4282">
      <w:pPr>
        <w:spacing w:before="120"/>
        <w:ind w:left="850" w:hanging="425"/>
        <w:rPr>
          <w:rFonts w:eastAsia="Arial"/>
        </w:rPr>
      </w:pPr>
      <w:r w:rsidRPr="00237CBD">
        <w:rPr>
          <w:rFonts w:eastAsia="Arial"/>
        </w:rPr>
        <w:t>a)</w:t>
      </w:r>
      <w:r w:rsidR="008F25E2">
        <w:rPr>
          <w:rFonts w:eastAsia="Arial"/>
        </w:rPr>
        <w:tab/>
      </w:r>
      <w:proofErr w:type="gramStart"/>
      <w:r w:rsidR="008F25E2">
        <w:rPr>
          <w:rFonts w:eastAsia="Arial"/>
        </w:rPr>
        <w:t>w</w:t>
      </w:r>
      <w:r w:rsidRPr="00237CBD">
        <w:rPr>
          <w:rFonts w:eastAsia="Arial"/>
        </w:rPr>
        <w:t>ork</w:t>
      </w:r>
      <w:proofErr w:type="gramEnd"/>
      <w:r w:rsidRPr="00237CBD">
        <w:rPr>
          <w:rFonts w:eastAsia="Arial"/>
        </w:rPr>
        <w:t xml:space="preserve"> carried out, conclusions reached and recommendations made during the previous year</w:t>
      </w:r>
    </w:p>
    <w:p w:rsidR="00E06EC4" w:rsidRPr="00237CBD" w:rsidRDefault="00E06EC4" w:rsidP="002B4282">
      <w:pPr>
        <w:spacing w:before="120"/>
        <w:ind w:left="850" w:hanging="425"/>
        <w:rPr>
          <w:rFonts w:eastAsia="Arial"/>
        </w:rPr>
      </w:pPr>
      <w:r w:rsidRPr="00237CBD">
        <w:rPr>
          <w:rFonts w:eastAsia="Arial"/>
        </w:rPr>
        <w:t>b)</w:t>
      </w:r>
      <w:r w:rsidR="008F25E2">
        <w:rPr>
          <w:rFonts w:eastAsia="Arial"/>
        </w:rPr>
        <w:tab/>
      </w:r>
      <w:proofErr w:type="gramStart"/>
      <w:r w:rsidR="008F25E2">
        <w:rPr>
          <w:rFonts w:eastAsia="Arial"/>
        </w:rPr>
        <w:t>i</w:t>
      </w:r>
      <w:r w:rsidRPr="00237CBD">
        <w:rPr>
          <w:rFonts w:eastAsia="Arial"/>
        </w:rPr>
        <w:t>ts</w:t>
      </w:r>
      <w:proofErr w:type="gramEnd"/>
      <w:r w:rsidRPr="00237CBD">
        <w:rPr>
          <w:rFonts w:eastAsia="Arial"/>
        </w:rPr>
        <w:t xml:space="preserve"> priorities and work programme for the following year.</w:t>
      </w:r>
    </w:p>
    <w:p w:rsidR="00E06EC4" w:rsidRPr="00237CBD" w:rsidRDefault="00E06EC4" w:rsidP="00EE6876">
      <w:pPr>
        <w:ind w:hanging="425"/>
      </w:pPr>
    </w:p>
    <w:p w:rsidR="00E06EC4" w:rsidRPr="00237CBD" w:rsidRDefault="00E06EC4" w:rsidP="00802E5C">
      <w:pPr>
        <w:pStyle w:val="Heading3"/>
        <w:keepLines/>
        <w:rPr>
          <w:rFonts w:eastAsia="Arial"/>
        </w:rPr>
      </w:pPr>
      <w:r w:rsidRPr="00237CBD">
        <w:rPr>
          <w:rFonts w:eastAsia="Arial"/>
        </w:rPr>
        <w:lastRenderedPageBreak/>
        <w:t>Relationship of the National Maternity Monitoring Group to the Perinatal and Maternal Mortality Review Commission</w:t>
      </w:r>
    </w:p>
    <w:p w:rsidR="00E06EC4" w:rsidRPr="00237CBD" w:rsidRDefault="00E06EC4" w:rsidP="00B4514C">
      <w:pPr>
        <w:keepLines/>
        <w:ind w:left="425" w:hanging="425"/>
        <w:rPr>
          <w:rFonts w:eastAsia="Arial"/>
        </w:rPr>
      </w:pPr>
      <w:r w:rsidRPr="00237CBD">
        <w:rPr>
          <w:rFonts w:eastAsia="Arial"/>
        </w:rPr>
        <w:t>13</w:t>
      </w:r>
      <w:r w:rsidR="008F25E2">
        <w:rPr>
          <w:rFonts w:eastAsia="Arial"/>
        </w:rPr>
        <w:tab/>
      </w:r>
      <w:r w:rsidRPr="00237CBD">
        <w:rPr>
          <w:rFonts w:eastAsia="Arial"/>
        </w:rPr>
        <w:t>The Perinatal and Maternal Mortality Review Committee (PMMRC) is a Mortality Review Committee, appointed under section 59E of the New Zealand Public Health and Disability Act 2000 by the Health Quality and Safety Commission.</w:t>
      </w:r>
    </w:p>
    <w:p w:rsidR="008F25E2" w:rsidRDefault="008F25E2" w:rsidP="00C071CC">
      <w:pPr>
        <w:ind w:left="425" w:hanging="425"/>
        <w:rPr>
          <w:rFonts w:eastAsia="Arial"/>
        </w:rPr>
      </w:pPr>
    </w:p>
    <w:p w:rsidR="00E06EC4" w:rsidRPr="00237CBD" w:rsidRDefault="00E06EC4" w:rsidP="00C071CC">
      <w:pPr>
        <w:ind w:left="425" w:hanging="425"/>
        <w:rPr>
          <w:rFonts w:eastAsia="Arial"/>
        </w:rPr>
      </w:pPr>
      <w:r w:rsidRPr="00237CBD">
        <w:rPr>
          <w:rFonts w:eastAsia="Arial"/>
        </w:rPr>
        <w:t>14</w:t>
      </w:r>
      <w:r w:rsidR="008F25E2">
        <w:rPr>
          <w:rFonts w:eastAsia="Arial"/>
        </w:rPr>
        <w:tab/>
      </w:r>
      <w:r w:rsidRPr="00237CBD">
        <w:rPr>
          <w:rFonts w:eastAsia="Arial"/>
        </w:rPr>
        <w:t>The PMMRC considers</w:t>
      </w:r>
      <w:r w:rsidR="00F71BF6" w:rsidRPr="00237CBD">
        <w:rPr>
          <w:rFonts w:eastAsia="Arial"/>
        </w:rPr>
        <w:t xml:space="preserve"> </w:t>
      </w:r>
      <w:r w:rsidRPr="00237CBD">
        <w:rPr>
          <w:rFonts w:eastAsia="Arial"/>
        </w:rPr>
        <w:t>maternal and perinatal mortality, and other morbidity as directed by the Minister in writing. It prepares an Annual Report, which includes its advice and recommendations.</w:t>
      </w:r>
    </w:p>
    <w:p w:rsidR="008F25E2" w:rsidRDefault="008F25E2" w:rsidP="00C071CC">
      <w:pPr>
        <w:ind w:left="425" w:hanging="425"/>
        <w:rPr>
          <w:rFonts w:eastAsia="Arial"/>
        </w:rPr>
      </w:pPr>
    </w:p>
    <w:p w:rsidR="00E06EC4" w:rsidRPr="00237CBD" w:rsidRDefault="00E06EC4" w:rsidP="00C071CC">
      <w:pPr>
        <w:ind w:left="425" w:hanging="425"/>
        <w:rPr>
          <w:rFonts w:eastAsia="Arial"/>
        </w:rPr>
      </w:pPr>
      <w:r w:rsidRPr="00237CBD">
        <w:rPr>
          <w:rFonts w:eastAsia="Arial"/>
        </w:rPr>
        <w:t>15</w:t>
      </w:r>
      <w:r w:rsidR="008F25E2">
        <w:rPr>
          <w:rFonts w:eastAsia="Arial"/>
        </w:rPr>
        <w:tab/>
      </w:r>
      <w:r w:rsidRPr="00237CBD">
        <w:rPr>
          <w:rFonts w:eastAsia="Arial"/>
        </w:rPr>
        <w:t>In providing its advice, the National Maternity Monitoring Group will take account of the findings on maternal and perinatal mortality and morbidity by the PMMRC set out in its Annual Report.</w:t>
      </w:r>
    </w:p>
    <w:p w:rsidR="008F25E2" w:rsidRDefault="008F25E2" w:rsidP="00C071CC">
      <w:pPr>
        <w:ind w:left="425" w:hanging="425"/>
        <w:rPr>
          <w:rFonts w:eastAsia="Arial"/>
        </w:rPr>
      </w:pPr>
    </w:p>
    <w:p w:rsidR="00E06EC4" w:rsidRPr="00237CBD" w:rsidRDefault="00E06EC4" w:rsidP="00C071CC">
      <w:pPr>
        <w:ind w:left="425" w:hanging="425"/>
        <w:rPr>
          <w:rFonts w:eastAsia="Arial"/>
        </w:rPr>
      </w:pPr>
      <w:r w:rsidRPr="00237CBD">
        <w:rPr>
          <w:rFonts w:eastAsia="Arial"/>
        </w:rPr>
        <w:t>16</w:t>
      </w:r>
      <w:r w:rsidR="008F25E2">
        <w:rPr>
          <w:rFonts w:eastAsia="Arial"/>
        </w:rPr>
        <w:tab/>
      </w:r>
      <w:r w:rsidRPr="00237CBD">
        <w:rPr>
          <w:rFonts w:eastAsia="Arial"/>
        </w:rPr>
        <w:t>Where the PMMRC recommends specific action by maternity system stakeholders, the National Maternity Monitoring Group will advise the Ministry on an appropriate response to these recommendations.</w:t>
      </w:r>
    </w:p>
    <w:p w:rsidR="008F25E2" w:rsidRDefault="008F25E2" w:rsidP="00C071CC">
      <w:pPr>
        <w:ind w:left="425" w:hanging="425"/>
        <w:rPr>
          <w:rFonts w:eastAsia="Arial"/>
        </w:rPr>
      </w:pPr>
    </w:p>
    <w:p w:rsidR="00E06EC4" w:rsidRPr="00237CBD" w:rsidRDefault="00E06EC4" w:rsidP="00C071CC">
      <w:pPr>
        <w:ind w:left="425" w:hanging="425"/>
        <w:rPr>
          <w:rFonts w:eastAsia="Arial"/>
        </w:rPr>
      </w:pPr>
      <w:r w:rsidRPr="00237CBD">
        <w:rPr>
          <w:rFonts w:eastAsia="Arial"/>
        </w:rPr>
        <w:t>17</w:t>
      </w:r>
      <w:r w:rsidR="008F25E2">
        <w:rPr>
          <w:rFonts w:eastAsia="Arial"/>
        </w:rPr>
        <w:tab/>
      </w:r>
      <w:r w:rsidRPr="00237CBD">
        <w:rPr>
          <w:rFonts w:eastAsia="Arial"/>
        </w:rPr>
        <w:t>The National Maternity Monitoring Group will meet at least once annually with the PMMRC.</w:t>
      </w:r>
    </w:p>
    <w:p w:rsidR="00E06EC4" w:rsidRPr="00237CBD" w:rsidRDefault="00E06EC4" w:rsidP="00C071CC">
      <w:pPr>
        <w:ind w:left="425" w:hanging="425"/>
      </w:pPr>
    </w:p>
    <w:p w:rsidR="00E06EC4" w:rsidRPr="00237CBD" w:rsidRDefault="00E06EC4" w:rsidP="00B4514C">
      <w:pPr>
        <w:pStyle w:val="Heading3"/>
        <w:rPr>
          <w:rFonts w:eastAsia="Arial"/>
        </w:rPr>
      </w:pPr>
      <w:r w:rsidRPr="00237CBD">
        <w:rPr>
          <w:rFonts w:eastAsia="Arial"/>
        </w:rPr>
        <w:t>Composition of the National Maternity Monitoring</w:t>
      </w:r>
      <w:r w:rsidR="008F25E2">
        <w:rPr>
          <w:rFonts w:eastAsia="Arial"/>
        </w:rPr>
        <w:t xml:space="preserve"> </w:t>
      </w:r>
      <w:r w:rsidRPr="00237CBD">
        <w:rPr>
          <w:rFonts w:eastAsia="Arial"/>
        </w:rPr>
        <w:t>Group</w:t>
      </w:r>
    </w:p>
    <w:p w:rsidR="00E06EC4" w:rsidRPr="00237CBD" w:rsidRDefault="00E06EC4" w:rsidP="00C071CC">
      <w:pPr>
        <w:ind w:left="425" w:hanging="425"/>
        <w:rPr>
          <w:rFonts w:eastAsia="Arial"/>
        </w:rPr>
      </w:pPr>
      <w:r w:rsidRPr="00237CBD">
        <w:rPr>
          <w:rFonts w:eastAsia="Arial"/>
        </w:rPr>
        <w:t>18</w:t>
      </w:r>
      <w:r w:rsidR="008F25E2">
        <w:rPr>
          <w:rFonts w:eastAsia="Arial"/>
        </w:rPr>
        <w:tab/>
      </w:r>
      <w:r w:rsidRPr="00237CBD">
        <w:rPr>
          <w:rFonts w:eastAsia="Arial"/>
        </w:rPr>
        <w:t>The National Maternity Monitoring Group will have a maximum of eight members, not including ex-officio members from the Health Quality and Safety Commission and Ministry of Health.</w:t>
      </w:r>
    </w:p>
    <w:p w:rsidR="008F25E2" w:rsidRDefault="008F25E2" w:rsidP="00B4514C">
      <w:pPr>
        <w:rPr>
          <w:rFonts w:eastAsia="Arial"/>
        </w:rPr>
      </w:pPr>
    </w:p>
    <w:p w:rsidR="00E06EC4" w:rsidRPr="00237CBD" w:rsidRDefault="00E06EC4" w:rsidP="00C071CC">
      <w:pPr>
        <w:ind w:left="425" w:hanging="425"/>
        <w:rPr>
          <w:rFonts w:eastAsia="Arial"/>
        </w:rPr>
      </w:pPr>
      <w:r w:rsidRPr="00237CBD">
        <w:rPr>
          <w:rFonts w:eastAsia="Arial"/>
        </w:rPr>
        <w:lastRenderedPageBreak/>
        <w:t>19</w:t>
      </w:r>
      <w:r w:rsidR="008F25E2">
        <w:rPr>
          <w:rFonts w:eastAsia="Arial"/>
        </w:rPr>
        <w:tab/>
      </w:r>
      <w:r w:rsidRPr="00237CBD">
        <w:rPr>
          <w:rFonts w:eastAsia="Arial"/>
        </w:rPr>
        <w:t>Composition</w:t>
      </w:r>
      <w:r w:rsidR="00F71BF6" w:rsidRPr="00237CBD">
        <w:rPr>
          <w:rFonts w:eastAsia="Arial"/>
        </w:rPr>
        <w:t xml:space="preserve"> </w:t>
      </w:r>
      <w:r w:rsidRPr="00237CBD">
        <w:rPr>
          <w:rFonts w:eastAsia="Arial"/>
        </w:rPr>
        <w:t>of the National Maternity Monitoring</w:t>
      </w:r>
      <w:r w:rsidR="008F25E2">
        <w:rPr>
          <w:rFonts w:eastAsia="Arial"/>
        </w:rPr>
        <w:t xml:space="preserve"> </w:t>
      </w:r>
      <w:r w:rsidRPr="00237CBD">
        <w:rPr>
          <w:rFonts w:eastAsia="Arial"/>
        </w:rPr>
        <w:t>Group will balance requirements for:</w:t>
      </w:r>
    </w:p>
    <w:p w:rsidR="00E06EC4" w:rsidRPr="00237CBD" w:rsidRDefault="00E06EC4" w:rsidP="00B4514C">
      <w:pPr>
        <w:spacing w:before="120"/>
        <w:ind w:left="850" w:hanging="425"/>
        <w:rPr>
          <w:rFonts w:eastAsia="Arial"/>
        </w:rPr>
      </w:pPr>
      <w:r w:rsidRPr="00237CBD">
        <w:rPr>
          <w:rFonts w:eastAsia="Arial"/>
        </w:rPr>
        <w:t>a)</w:t>
      </w:r>
      <w:r w:rsidR="008F25E2">
        <w:rPr>
          <w:rFonts w:eastAsia="Arial"/>
        </w:rPr>
        <w:tab/>
      </w:r>
      <w:proofErr w:type="gramStart"/>
      <w:r w:rsidR="008F25E2">
        <w:rPr>
          <w:rFonts w:eastAsia="Arial"/>
        </w:rPr>
        <w:t>e</w:t>
      </w:r>
      <w:r w:rsidRPr="00237CBD">
        <w:rPr>
          <w:rFonts w:eastAsia="Arial"/>
        </w:rPr>
        <w:t>xpertise</w:t>
      </w:r>
      <w:proofErr w:type="gramEnd"/>
      <w:r w:rsidRPr="00237CBD">
        <w:rPr>
          <w:rFonts w:eastAsia="Arial"/>
        </w:rPr>
        <w:t xml:space="preserve"> necessary to analyse different sources of information on the maternity system and make recommendations based on this analysis</w:t>
      </w:r>
    </w:p>
    <w:p w:rsidR="00E06EC4" w:rsidRDefault="00E06EC4" w:rsidP="00B4514C">
      <w:pPr>
        <w:spacing w:before="120"/>
        <w:ind w:left="850" w:hanging="425"/>
        <w:rPr>
          <w:rFonts w:eastAsia="Arial"/>
        </w:rPr>
      </w:pPr>
      <w:r w:rsidRPr="00237CBD">
        <w:rPr>
          <w:rFonts w:eastAsia="Arial"/>
        </w:rPr>
        <w:t>b)</w:t>
      </w:r>
      <w:r w:rsidR="008F25E2">
        <w:rPr>
          <w:rFonts w:eastAsia="Arial"/>
        </w:rPr>
        <w:tab/>
      </w:r>
      <w:proofErr w:type="gramStart"/>
      <w:r w:rsidR="008F25E2">
        <w:rPr>
          <w:rFonts w:eastAsia="Arial"/>
        </w:rPr>
        <w:t>p</w:t>
      </w:r>
      <w:r w:rsidRPr="00237CBD">
        <w:rPr>
          <w:rFonts w:eastAsia="Arial"/>
        </w:rPr>
        <w:t>erspectives</w:t>
      </w:r>
      <w:proofErr w:type="gramEnd"/>
      <w:r w:rsidRPr="00237CBD">
        <w:rPr>
          <w:rFonts w:eastAsia="Arial"/>
        </w:rPr>
        <w:t xml:space="preserve"> of key stakeholders in the maternity system.</w:t>
      </w:r>
    </w:p>
    <w:p w:rsidR="008F25E2" w:rsidRPr="00237CBD" w:rsidRDefault="008F25E2" w:rsidP="00EE6876">
      <w:pPr>
        <w:ind w:hanging="425"/>
        <w:rPr>
          <w:rFonts w:eastAsia="Arial"/>
        </w:rPr>
      </w:pPr>
    </w:p>
    <w:p w:rsidR="00E06EC4" w:rsidRPr="00237CBD" w:rsidRDefault="00E06EC4" w:rsidP="00C071CC">
      <w:pPr>
        <w:ind w:left="425" w:hanging="425"/>
        <w:rPr>
          <w:rFonts w:eastAsia="Arial"/>
        </w:rPr>
      </w:pPr>
      <w:r w:rsidRPr="00237CBD">
        <w:rPr>
          <w:rFonts w:eastAsia="Arial"/>
        </w:rPr>
        <w:t>20</w:t>
      </w:r>
      <w:r w:rsidR="008F25E2">
        <w:rPr>
          <w:rFonts w:eastAsia="Arial"/>
        </w:rPr>
        <w:tab/>
      </w:r>
      <w:r w:rsidRPr="00237CBD">
        <w:rPr>
          <w:rFonts w:eastAsia="Arial"/>
        </w:rPr>
        <w:t>The National Maternity Monitoring Group will include the following skill sets or expertise:</w:t>
      </w:r>
    </w:p>
    <w:p w:rsidR="00E06EC4" w:rsidRPr="00237CBD" w:rsidRDefault="00E06EC4" w:rsidP="00B4514C">
      <w:pPr>
        <w:spacing w:before="120"/>
        <w:ind w:left="850" w:hanging="425"/>
        <w:rPr>
          <w:rFonts w:eastAsia="Arial"/>
        </w:rPr>
      </w:pPr>
      <w:r w:rsidRPr="00237CBD">
        <w:rPr>
          <w:rFonts w:eastAsia="Arial"/>
        </w:rPr>
        <w:t>a)</w:t>
      </w:r>
      <w:r w:rsidR="008F25E2">
        <w:rPr>
          <w:rFonts w:eastAsia="Arial"/>
        </w:rPr>
        <w:tab/>
      </w:r>
      <w:proofErr w:type="gramStart"/>
      <w:r w:rsidR="008F25E2">
        <w:rPr>
          <w:rFonts w:eastAsia="Arial"/>
        </w:rPr>
        <w:t>e</w:t>
      </w:r>
      <w:r w:rsidRPr="00237CBD">
        <w:rPr>
          <w:rFonts w:eastAsia="Arial"/>
        </w:rPr>
        <w:t>xpertise</w:t>
      </w:r>
      <w:proofErr w:type="gramEnd"/>
      <w:r w:rsidRPr="00237CBD">
        <w:rPr>
          <w:rFonts w:eastAsia="Arial"/>
        </w:rPr>
        <w:t xml:space="preserve"> in epidemiological research and analysis of health data/statistics</w:t>
      </w:r>
    </w:p>
    <w:p w:rsidR="00E06EC4" w:rsidRPr="00237CBD" w:rsidRDefault="00E06EC4" w:rsidP="00B4514C">
      <w:pPr>
        <w:spacing w:before="120"/>
        <w:ind w:left="850" w:hanging="425"/>
        <w:rPr>
          <w:rFonts w:eastAsia="Arial"/>
        </w:rPr>
      </w:pPr>
      <w:r w:rsidRPr="00237CBD">
        <w:rPr>
          <w:rFonts w:eastAsia="Arial"/>
        </w:rPr>
        <w:t>b)</w:t>
      </w:r>
      <w:r w:rsidR="008F25E2">
        <w:rPr>
          <w:rFonts w:eastAsia="Arial"/>
        </w:rPr>
        <w:tab/>
      </w:r>
      <w:proofErr w:type="gramStart"/>
      <w:r w:rsidR="008F25E2">
        <w:rPr>
          <w:rFonts w:eastAsia="Arial"/>
        </w:rPr>
        <w:t>e</w:t>
      </w:r>
      <w:r w:rsidRPr="00237CBD">
        <w:rPr>
          <w:rFonts w:eastAsia="Arial"/>
        </w:rPr>
        <w:t>xperience</w:t>
      </w:r>
      <w:proofErr w:type="gramEnd"/>
      <w:r w:rsidRPr="00237CBD">
        <w:rPr>
          <w:rFonts w:eastAsia="Arial"/>
        </w:rPr>
        <w:t xml:space="preserve"> and expertise in midwifery care</w:t>
      </w:r>
    </w:p>
    <w:p w:rsidR="00E06EC4" w:rsidRPr="00237CBD" w:rsidRDefault="00E06EC4" w:rsidP="00B4514C">
      <w:pPr>
        <w:spacing w:before="120"/>
        <w:ind w:left="850" w:hanging="425"/>
        <w:rPr>
          <w:rFonts w:eastAsia="Arial"/>
        </w:rPr>
      </w:pPr>
      <w:r w:rsidRPr="00237CBD">
        <w:rPr>
          <w:rFonts w:eastAsia="Arial"/>
        </w:rPr>
        <w:t>c)</w:t>
      </w:r>
      <w:r w:rsidR="008F25E2">
        <w:rPr>
          <w:rFonts w:eastAsia="Arial"/>
        </w:rPr>
        <w:tab/>
      </w:r>
      <w:proofErr w:type="gramStart"/>
      <w:r w:rsidR="008F25E2">
        <w:rPr>
          <w:rFonts w:eastAsia="Arial"/>
        </w:rPr>
        <w:t>e</w:t>
      </w:r>
      <w:r w:rsidRPr="00237CBD">
        <w:rPr>
          <w:rFonts w:eastAsia="Arial"/>
        </w:rPr>
        <w:t>xperience</w:t>
      </w:r>
      <w:proofErr w:type="gramEnd"/>
      <w:r w:rsidRPr="00237CBD">
        <w:rPr>
          <w:rFonts w:eastAsia="Arial"/>
        </w:rPr>
        <w:t xml:space="preserve"> and expertise in specialist medical maternity care</w:t>
      </w:r>
    </w:p>
    <w:p w:rsidR="008F25E2" w:rsidRDefault="00E06EC4" w:rsidP="00B4514C">
      <w:pPr>
        <w:spacing w:before="120"/>
        <w:ind w:left="850" w:hanging="425"/>
        <w:rPr>
          <w:rFonts w:eastAsia="Arial"/>
        </w:rPr>
      </w:pPr>
      <w:r w:rsidRPr="00237CBD">
        <w:rPr>
          <w:rFonts w:eastAsia="Arial"/>
        </w:rPr>
        <w:t>d)</w:t>
      </w:r>
      <w:r w:rsidR="008F25E2">
        <w:rPr>
          <w:rFonts w:eastAsia="Arial"/>
        </w:rPr>
        <w:tab/>
      </w:r>
      <w:proofErr w:type="gramStart"/>
      <w:r w:rsidR="008F25E2">
        <w:rPr>
          <w:rFonts w:eastAsia="Arial"/>
        </w:rPr>
        <w:t>e</w:t>
      </w:r>
      <w:r w:rsidRPr="00237CBD">
        <w:rPr>
          <w:rFonts w:eastAsia="Arial"/>
        </w:rPr>
        <w:t>xperience</w:t>
      </w:r>
      <w:proofErr w:type="gramEnd"/>
      <w:r w:rsidRPr="00237CBD">
        <w:rPr>
          <w:rFonts w:eastAsia="Arial"/>
        </w:rPr>
        <w:t xml:space="preserve"> and expertise in specialist neonatal care</w:t>
      </w:r>
    </w:p>
    <w:p w:rsidR="00E06EC4" w:rsidRPr="00237CBD" w:rsidRDefault="00E06EC4" w:rsidP="00B4514C">
      <w:pPr>
        <w:spacing w:before="120"/>
        <w:ind w:left="850" w:hanging="425"/>
        <w:rPr>
          <w:rFonts w:eastAsia="Arial"/>
        </w:rPr>
      </w:pPr>
      <w:r w:rsidRPr="00237CBD">
        <w:rPr>
          <w:rFonts w:eastAsia="Arial"/>
        </w:rPr>
        <w:t>e)</w:t>
      </w:r>
      <w:r w:rsidR="008F25E2">
        <w:rPr>
          <w:rFonts w:eastAsia="Arial"/>
        </w:rPr>
        <w:tab/>
      </w:r>
      <w:proofErr w:type="gramStart"/>
      <w:r w:rsidR="008F25E2">
        <w:rPr>
          <w:rFonts w:eastAsia="Arial"/>
        </w:rPr>
        <w:t>e</w:t>
      </w:r>
      <w:r w:rsidRPr="00237CBD">
        <w:rPr>
          <w:rFonts w:eastAsia="Arial"/>
        </w:rPr>
        <w:t>xpertise</w:t>
      </w:r>
      <w:proofErr w:type="gramEnd"/>
      <w:r w:rsidRPr="00237CBD">
        <w:rPr>
          <w:rFonts w:eastAsia="Arial"/>
        </w:rPr>
        <w:t xml:space="preserve"> in Māori health</w:t>
      </w:r>
    </w:p>
    <w:p w:rsidR="00E06EC4" w:rsidRPr="00237CBD" w:rsidRDefault="00E06EC4" w:rsidP="00B4514C">
      <w:pPr>
        <w:spacing w:before="120"/>
        <w:ind w:left="850" w:hanging="425"/>
        <w:rPr>
          <w:rFonts w:eastAsia="Arial"/>
        </w:rPr>
      </w:pPr>
      <w:r w:rsidRPr="00237CBD">
        <w:rPr>
          <w:rFonts w:eastAsia="Arial"/>
        </w:rPr>
        <w:t>f)</w:t>
      </w:r>
      <w:r w:rsidR="008F25E2">
        <w:rPr>
          <w:rFonts w:eastAsia="Arial"/>
        </w:rPr>
        <w:tab/>
      </w:r>
      <w:proofErr w:type="gramStart"/>
      <w:r w:rsidR="008F25E2">
        <w:rPr>
          <w:rFonts w:eastAsia="Arial"/>
        </w:rPr>
        <w:t>e</w:t>
      </w:r>
      <w:r w:rsidRPr="00237CBD">
        <w:rPr>
          <w:rFonts w:eastAsia="Arial"/>
        </w:rPr>
        <w:t>xpertise</w:t>
      </w:r>
      <w:proofErr w:type="gramEnd"/>
      <w:r w:rsidRPr="00237CBD">
        <w:rPr>
          <w:rFonts w:eastAsia="Arial"/>
        </w:rPr>
        <w:t xml:space="preserve"> in Pacific health</w:t>
      </w:r>
    </w:p>
    <w:p w:rsidR="00E06EC4" w:rsidRPr="00237CBD" w:rsidRDefault="00E06EC4" w:rsidP="00B4514C">
      <w:pPr>
        <w:spacing w:before="120"/>
        <w:ind w:left="850" w:hanging="425"/>
        <w:rPr>
          <w:rFonts w:eastAsia="Arial"/>
        </w:rPr>
      </w:pPr>
      <w:r w:rsidRPr="00237CBD">
        <w:rPr>
          <w:rFonts w:eastAsia="Arial"/>
        </w:rPr>
        <w:t>g)</w:t>
      </w:r>
      <w:r w:rsidR="008F25E2">
        <w:rPr>
          <w:rFonts w:eastAsia="Arial"/>
        </w:rPr>
        <w:tab/>
      </w:r>
      <w:proofErr w:type="gramStart"/>
      <w:r w:rsidR="008F25E2">
        <w:rPr>
          <w:rFonts w:eastAsia="Arial"/>
        </w:rPr>
        <w:t>e</w:t>
      </w:r>
      <w:r w:rsidRPr="00237CBD">
        <w:rPr>
          <w:rFonts w:eastAsia="Arial"/>
        </w:rPr>
        <w:t>xperience</w:t>
      </w:r>
      <w:proofErr w:type="gramEnd"/>
      <w:r w:rsidRPr="00237CBD">
        <w:rPr>
          <w:rFonts w:eastAsia="Arial"/>
        </w:rPr>
        <w:t xml:space="preserve"> and expertise in representing a consumer perspective on maternity issues.</w:t>
      </w:r>
    </w:p>
    <w:p w:rsidR="008F25E2" w:rsidRDefault="008F25E2" w:rsidP="00EE6876">
      <w:pPr>
        <w:ind w:hanging="425"/>
        <w:rPr>
          <w:rFonts w:eastAsia="Arial"/>
        </w:rPr>
      </w:pPr>
    </w:p>
    <w:p w:rsidR="00E06EC4" w:rsidRPr="00237CBD" w:rsidRDefault="00E06EC4" w:rsidP="00C071CC">
      <w:pPr>
        <w:ind w:left="425" w:hanging="425"/>
        <w:rPr>
          <w:rFonts w:eastAsia="Arial"/>
        </w:rPr>
      </w:pPr>
      <w:r w:rsidRPr="00237CBD">
        <w:rPr>
          <w:rFonts w:eastAsia="Arial"/>
        </w:rPr>
        <w:t>21</w:t>
      </w:r>
      <w:r w:rsidR="008F25E2">
        <w:rPr>
          <w:rFonts w:eastAsia="Arial"/>
        </w:rPr>
        <w:tab/>
      </w:r>
      <w:r w:rsidRPr="00237CBD">
        <w:rPr>
          <w:rFonts w:eastAsia="Arial"/>
        </w:rPr>
        <w:t>All members of the National Maternity Monitoring Group will have basic skills and confidence in working with and interpreting health data.</w:t>
      </w:r>
    </w:p>
    <w:p w:rsidR="008F25E2" w:rsidRDefault="008F25E2" w:rsidP="00EE6876">
      <w:pPr>
        <w:ind w:hanging="425"/>
        <w:rPr>
          <w:rFonts w:eastAsia="Arial"/>
        </w:rPr>
      </w:pPr>
    </w:p>
    <w:p w:rsidR="00E06EC4" w:rsidRPr="00237CBD" w:rsidRDefault="00E06EC4" w:rsidP="00C071CC">
      <w:pPr>
        <w:ind w:left="425" w:hanging="425"/>
        <w:rPr>
          <w:rFonts w:eastAsia="Arial"/>
        </w:rPr>
      </w:pPr>
      <w:r w:rsidRPr="00237CBD">
        <w:rPr>
          <w:rFonts w:eastAsia="Arial"/>
        </w:rPr>
        <w:t>22</w:t>
      </w:r>
      <w:r w:rsidR="008F25E2">
        <w:rPr>
          <w:rFonts w:eastAsia="Arial"/>
        </w:rPr>
        <w:tab/>
      </w:r>
      <w:r w:rsidRPr="00237CBD">
        <w:rPr>
          <w:rFonts w:eastAsia="Arial"/>
        </w:rPr>
        <w:t>The Ministry</w:t>
      </w:r>
      <w:r w:rsidR="00F71BF6" w:rsidRPr="00237CBD">
        <w:rPr>
          <w:rFonts w:eastAsia="Arial"/>
        </w:rPr>
        <w:t xml:space="preserve"> </w:t>
      </w:r>
      <w:r w:rsidRPr="00237CBD">
        <w:rPr>
          <w:rFonts w:eastAsia="Arial"/>
        </w:rPr>
        <w:t>will seek nominations from relevant organisations and professional colleges, including the Health Quality and Safety Commission. The Ministry reserves the right to appoint more than one member from an organisation or college or to appoint members not officially nominated by an organisation or college, in order to ensure the balance of skills and expertise outlined in 20 a) to f ).</w:t>
      </w:r>
    </w:p>
    <w:p w:rsidR="008F25E2" w:rsidRDefault="008F25E2" w:rsidP="00C071CC">
      <w:pPr>
        <w:ind w:left="425" w:hanging="425"/>
        <w:rPr>
          <w:rFonts w:eastAsia="Arial"/>
        </w:rPr>
      </w:pPr>
    </w:p>
    <w:p w:rsidR="00E06EC4" w:rsidRDefault="00E06EC4" w:rsidP="00C071CC">
      <w:pPr>
        <w:ind w:left="425" w:hanging="425"/>
        <w:rPr>
          <w:rFonts w:eastAsia="Arial"/>
        </w:rPr>
      </w:pPr>
      <w:r w:rsidRPr="00237CBD">
        <w:rPr>
          <w:rFonts w:eastAsia="Arial"/>
        </w:rPr>
        <w:lastRenderedPageBreak/>
        <w:t>23</w:t>
      </w:r>
      <w:r w:rsidR="008F25E2">
        <w:rPr>
          <w:rFonts w:eastAsia="Arial"/>
        </w:rPr>
        <w:tab/>
      </w:r>
      <w:r w:rsidRPr="00237CBD">
        <w:rPr>
          <w:rFonts w:eastAsia="Arial"/>
        </w:rPr>
        <w:t>Members of the National Maternity Monitoring Group will share a commitment to working collaboratively and constructively to oversee the national maternity system.</w:t>
      </w:r>
    </w:p>
    <w:p w:rsidR="008F25E2" w:rsidRPr="00237CBD" w:rsidRDefault="008F25E2" w:rsidP="00C071CC">
      <w:pPr>
        <w:ind w:left="425" w:hanging="425"/>
        <w:rPr>
          <w:rFonts w:eastAsia="Arial"/>
        </w:rPr>
      </w:pPr>
    </w:p>
    <w:p w:rsidR="00E06EC4" w:rsidRPr="00237CBD" w:rsidRDefault="00E06EC4" w:rsidP="00C071CC">
      <w:pPr>
        <w:ind w:left="425" w:hanging="425"/>
        <w:rPr>
          <w:rFonts w:eastAsia="Arial"/>
        </w:rPr>
      </w:pPr>
      <w:r w:rsidRPr="00237CBD">
        <w:rPr>
          <w:rFonts w:eastAsia="Arial"/>
        </w:rPr>
        <w:t>24</w:t>
      </w:r>
      <w:r w:rsidR="008F25E2">
        <w:rPr>
          <w:rFonts w:eastAsia="Arial"/>
        </w:rPr>
        <w:tab/>
      </w:r>
      <w:r w:rsidRPr="00237CBD">
        <w:rPr>
          <w:rFonts w:eastAsia="Arial"/>
        </w:rPr>
        <w:t>The National Maternity Monitoring Group may identify that additional skills or expertise in a particular field or specialty is required to deliver aspects of the agreed work programme. The National Maternity Monitoring Group may seek additional (co-opted) members to</w:t>
      </w:r>
      <w:r w:rsidR="008F25E2">
        <w:rPr>
          <w:rFonts w:eastAsia="Arial"/>
        </w:rPr>
        <w:t xml:space="preserve"> </w:t>
      </w:r>
      <w:r w:rsidRPr="00237CBD">
        <w:rPr>
          <w:rFonts w:eastAsia="Arial"/>
        </w:rPr>
        <w:t>fill skill gaps. This will be done in agreement with the</w:t>
      </w:r>
      <w:r w:rsidR="008F25E2">
        <w:rPr>
          <w:rFonts w:eastAsia="Arial"/>
        </w:rPr>
        <w:t xml:space="preserve"> </w:t>
      </w:r>
      <w:r w:rsidRPr="00237CBD">
        <w:rPr>
          <w:rFonts w:eastAsia="Arial"/>
        </w:rPr>
        <w:t>Ministry of Health.</w:t>
      </w:r>
    </w:p>
    <w:p w:rsidR="008F25E2" w:rsidRDefault="008F25E2" w:rsidP="00C071CC">
      <w:pPr>
        <w:ind w:left="425" w:hanging="425"/>
        <w:rPr>
          <w:rFonts w:eastAsia="Arial"/>
        </w:rPr>
      </w:pPr>
    </w:p>
    <w:p w:rsidR="00E06EC4" w:rsidRPr="00237CBD" w:rsidRDefault="00E06EC4" w:rsidP="00C071CC">
      <w:pPr>
        <w:ind w:left="425" w:hanging="425"/>
        <w:rPr>
          <w:rFonts w:eastAsia="Arial"/>
        </w:rPr>
      </w:pPr>
      <w:r w:rsidRPr="00237CBD">
        <w:rPr>
          <w:rFonts w:eastAsia="Arial"/>
        </w:rPr>
        <w:t>25</w:t>
      </w:r>
      <w:r w:rsidR="008F25E2">
        <w:rPr>
          <w:rFonts w:eastAsia="Arial"/>
        </w:rPr>
        <w:tab/>
      </w:r>
      <w:r w:rsidRPr="00237CBD">
        <w:rPr>
          <w:rFonts w:eastAsia="Arial"/>
        </w:rPr>
        <w:t>At least one representative of the Ministry of Health will attend meetings in an ex-officio capacity.</w:t>
      </w:r>
    </w:p>
    <w:p w:rsidR="00E06EC4" w:rsidRPr="00237CBD" w:rsidRDefault="00E06EC4" w:rsidP="00C071CC">
      <w:pPr>
        <w:ind w:left="425" w:hanging="425"/>
      </w:pPr>
    </w:p>
    <w:p w:rsidR="00E06EC4" w:rsidRPr="00237CBD" w:rsidRDefault="00E06EC4" w:rsidP="00B4514C">
      <w:pPr>
        <w:pStyle w:val="Heading3"/>
        <w:rPr>
          <w:rFonts w:eastAsia="Arial"/>
        </w:rPr>
      </w:pPr>
      <w:r w:rsidRPr="00237CBD">
        <w:rPr>
          <w:rFonts w:eastAsia="Arial"/>
        </w:rPr>
        <w:t>Term of the National Maternity Monitoring Group</w:t>
      </w:r>
    </w:p>
    <w:p w:rsidR="00E06EC4" w:rsidRPr="00237CBD" w:rsidRDefault="00E06EC4" w:rsidP="00C071CC">
      <w:pPr>
        <w:ind w:left="425" w:hanging="425"/>
        <w:rPr>
          <w:rFonts w:eastAsia="Arial"/>
        </w:rPr>
      </w:pPr>
      <w:r w:rsidRPr="00237CBD">
        <w:rPr>
          <w:rFonts w:eastAsia="Arial"/>
        </w:rPr>
        <w:t>26</w:t>
      </w:r>
      <w:r w:rsidR="008F25E2">
        <w:rPr>
          <w:rFonts w:eastAsia="Arial"/>
        </w:rPr>
        <w:tab/>
      </w:r>
      <w:r w:rsidRPr="00237CBD">
        <w:rPr>
          <w:rFonts w:eastAsia="Arial"/>
        </w:rPr>
        <w:t>The National Maternity Monitoring Group will operate until the end of June 2016 unless otherwise notified by the Director General of Health.</w:t>
      </w:r>
    </w:p>
    <w:p w:rsidR="00E06EC4" w:rsidRPr="00237CBD" w:rsidRDefault="00E06EC4" w:rsidP="00C071CC">
      <w:pPr>
        <w:ind w:left="425" w:hanging="425"/>
      </w:pPr>
    </w:p>
    <w:p w:rsidR="00E06EC4" w:rsidRPr="00237CBD" w:rsidRDefault="00E06EC4" w:rsidP="00B4514C">
      <w:pPr>
        <w:pStyle w:val="Heading3"/>
        <w:rPr>
          <w:rFonts w:eastAsia="Arial"/>
        </w:rPr>
      </w:pPr>
      <w:r w:rsidRPr="00237CBD">
        <w:rPr>
          <w:rFonts w:eastAsia="Arial"/>
        </w:rPr>
        <w:t>Decision-making</w:t>
      </w:r>
    </w:p>
    <w:p w:rsidR="00E06EC4" w:rsidRPr="00237CBD" w:rsidRDefault="00E06EC4" w:rsidP="00C071CC">
      <w:pPr>
        <w:ind w:left="425" w:hanging="425"/>
        <w:rPr>
          <w:rFonts w:eastAsia="Arial"/>
        </w:rPr>
      </w:pPr>
      <w:r w:rsidRPr="00237CBD">
        <w:rPr>
          <w:rFonts w:eastAsia="Arial"/>
        </w:rPr>
        <w:t>27</w:t>
      </w:r>
      <w:r w:rsidR="008F25E2">
        <w:rPr>
          <w:rFonts w:eastAsia="Arial"/>
        </w:rPr>
        <w:tab/>
      </w:r>
      <w:r w:rsidRPr="00237CBD">
        <w:rPr>
          <w:rFonts w:eastAsia="Arial"/>
        </w:rPr>
        <w:t>Decisions within the National Maternity Monitoring Group are to be made by consensus. Members are expected to work as far as is possible to achieve consensus. Dissenting views of members can be noted for the record.</w:t>
      </w:r>
    </w:p>
    <w:p w:rsidR="00E06EC4" w:rsidRPr="00237CBD" w:rsidRDefault="00E06EC4" w:rsidP="00C071CC">
      <w:pPr>
        <w:ind w:left="425" w:hanging="425"/>
      </w:pPr>
    </w:p>
    <w:p w:rsidR="00E06EC4" w:rsidRPr="00237CBD" w:rsidRDefault="00E06EC4" w:rsidP="00B4514C">
      <w:pPr>
        <w:pStyle w:val="Heading3"/>
        <w:rPr>
          <w:rFonts w:eastAsia="Arial"/>
        </w:rPr>
      </w:pPr>
      <w:r w:rsidRPr="00237CBD">
        <w:rPr>
          <w:rFonts w:eastAsia="Arial"/>
        </w:rPr>
        <w:t>Appointment process</w:t>
      </w:r>
    </w:p>
    <w:p w:rsidR="00E06EC4" w:rsidRDefault="00E06EC4" w:rsidP="00C071CC">
      <w:pPr>
        <w:ind w:left="425" w:hanging="425"/>
        <w:rPr>
          <w:rFonts w:eastAsia="Arial"/>
        </w:rPr>
      </w:pPr>
      <w:r w:rsidRPr="00237CBD">
        <w:rPr>
          <w:rFonts w:eastAsia="Arial"/>
        </w:rPr>
        <w:t>28</w:t>
      </w:r>
      <w:r w:rsidR="008F25E2">
        <w:rPr>
          <w:rFonts w:eastAsia="Arial"/>
        </w:rPr>
        <w:tab/>
      </w:r>
      <w:r w:rsidRPr="00237CBD">
        <w:rPr>
          <w:rFonts w:eastAsia="Arial"/>
        </w:rPr>
        <w:t>The Director General of Health will appoint members to the National Maternity Monitoring Group.</w:t>
      </w:r>
    </w:p>
    <w:p w:rsidR="008F25E2" w:rsidRPr="00237CBD" w:rsidRDefault="008F25E2" w:rsidP="00B4514C">
      <w:pPr>
        <w:rPr>
          <w:rFonts w:eastAsia="Arial"/>
        </w:rPr>
      </w:pPr>
    </w:p>
    <w:p w:rsidR="00E06EC4" w:rsidRDefault="00E06EC4" w:rsidP="00C071CC">
      <w:pPr>
        <w:ind w:left="425" w:hanging="425"/>
        <w:rPr>
          <w:rFonts w:eastAsia="Arial"/>
        </w:rPr>
      </w:pPr>
      <w:r w:rsidRPr="00237CBD">
        <w:rPr>
          <w:rFonts w:eastAsia="Arial"/>
        </w:rPr>
        <w:t>29</w:t>
      </w:r>
      <w:r w:rsidR="008F25E2">
        <w:rPr>
          <w:rFonts w:eastAsia="Arial"/>
        </w:rPr>
        <w:tab/>
      </w:r>
      <w:r w:rsidRPr="00237CBD">
        <w:rPr>
          <w:rFonts w:eastAsia="Arial"/>
        </w:rPr>
        <w:t>Membership of the National Maternity Monitoring</w:t>
      </w:r>
      <w:r w:rsidR="008F25E2">
        <w:rPr>
          <w:rFonts w:eastAsia="Arial"/>
        </w:rPr>
        <w:t xml:space="preserve"> </w:t>
      </w:r>
      <w:r w:rsidRPr="00237CBD">
        <w:rPr>
          <w:rFonts w:eastAsia="Arial"/>
        </w:rPr>
        <w:t>Group will be for a period of three years to June 2016.</w:t>
      </w:r>
    </w:p>
    <w:p w:rsidR="008F25E2" w:rsidRPr="00237CBD" w:rsidRDefault="008F25E2" w:rsidP="00C071CC">
      <w:pPr>
        <w:ind w:left="425" w:hanging="425"/>
        <w:rPr>
          <w:rFonts w:eastAsia="Arial"/>
        </w:rPr>
      </w:pPr>
    </w:p>
    <w:p w:rsidR="00E06EC4" w:rsidRDefault="00E06EC4" w:rsidP="00C071CC">
      <w:pPr>
        <w:ind w:left="425" w:hanging="425"/>
        <w:rPr>
          <w:rFonts w:eastAsia="Arial"/>
        </w:rPr>
      </w:pPr>
      <w:r w:rsidRPr="00237CBD">
        <w:rPr>
          <w:rFonts w:eastAsia="Arial"/>
        </w:rPr>
        <w:lastRenderedPageBreak/>
        <w:t>30</w:t>
      </w:r>
      <w:r w:rsidR="008F25E2">
        <w:rPr>
          <w:rFonts w:eastAsia="Arial"/>
        </w:rPr>
        <w:tab/>
      </w:r>
      <w:r w:rsidRPr="00237CBD">
        <w:rPr>
          <w:rFonts w:eastAsia="Arial"/>
        </w:rPr>
        <w:t>A Chair and Vice Chair will be elected by the members of the National Maternity Monitoring Group for a term of one year and may be re-elected.</w:t>
      </w:r>
    </w:p>
    <w:p w:rsidR="008F25E2" w:rsidRPr="00237CBD" w:rsidRDefault="008F25E2" w:rsidP="00C071CC">
      <w:pPr>
        <w:ind w:left="425" w:hanging="425"/>
        <w:rPr>
          <w:rFonts w:eastAsia="Arial"/>
        </w:rPr>
      </w:pPr>
    </w:p>
    <w:p w:rsidR="00E06EC4" w:rsidRPr="00237CBD" w:rsidRDefault="00E06EC4" w:rsidP="00C071CC">
      <w:pPr>
        <w:ind w:left="425" w:hanging="425"/>
        <w:rPr>
          <w:rFonts w:eastAsia="Arial"/>
        </w:rPr>
      </w:pPr>
      <w:r w:rsidRPr="00237CBD">
        <w:rPr>
          <w:rFonts w:eastAsia="Arial"/>
        </w:rPr>
        <w:t>31</w:t>
      </w:r>
      <w:r w:rsidR="008F25E2">
        <w:rPr>
          <w:rFonts w:eastAsia="Arial"/>
        </w:rPr>
        <w:tab/>
      </w:r>
      <w:r w:rsidRPr="00237CBD">
        <w:rPr>
          <w:rFonts w:eastAsia="Arial"/>
        </w:rPr>
        <w:t>Co-opted appointments may be proposed by the National Maternity Monitoring Group and will be made by the Director General of Health.</w:t>
      </w:r>
    </w:p>
    <w:p w:rsidR="008F25E2" w:rsidRDefault="008F25E2" w:rsidP="00C071CC">
      <w:pPr>
        <w:ind w:left="425" w:hanging="425"/>
        <w:rPr>
          <w:rFonts w:eastAsia="Arial"/>
        </w:rPr>
      </w:pPr>
    </w:p>
    <w:p w:rsidR="00E06EC4" w:rsidRPr="00237CBD" w:rsidRDefault="00E06EC4" w:rsidP="00C071CC">
      <w:pPr>
        <w:ind w:left="425" w:hanging="425"/>
        <w:rPr>
          <w:rFonts w:eastAsia="Arial"/>
        </w:rPr>
      </w:pPr>
      <w:r w:rsidRPr="00237CBD">
        <w:rPr>
          <w:rFonts w:eastAsia="Arial"/>
        </w:rPr>
        <w:t>32</w:t>
      </w:r>
      <w:r w:rsidR="008F25E2">
        <w:rPr>
          <w:rFonts w:eastAsia="Arial"/>
        </w:rPr>
        <w:tab/>
      </w:r>
      <w:r w:rsidRPr="00237CBD">
        <w:rPr>
          <w:rFonts w:eastAsia="Arial"/>
        </w:rPr>
        <w:t>Any member of the National Maternity Monitoring</w:t>
      </w:r>
      <w:r w:rsidR="008F25E2">
        <w:rPr>
          <w:rFonts w:eastAsia="Arial"/>
        </w:rPr>
        <w:t xml:space="preserve"> </w:t>
      </w:r>
      <w:r w:rsidRPr="00237CBD">
        <w:rPr>
          <w:rFonts w:eastAsia="Arial"/>
        </w:rPr>
        <w:t>Group may at any time resign as a member by advising</w:t>
      </w:r>
      <w:r w:rsidR="008F25E2">
        <w:rPr>
          <w:rFonts w:eastAsia="Arial"/>
        </w:rPr>
        <w:t xml:space="preserve"> </w:t>
      </w:r>
      <w:r w:rsidR="00B4514C">
        <w:rPr>
          <w:rFonts w:eastAsia="Arial"/>
        </w:rPr>
        <w:t>the Ministry of Health in writing.</w:t>
      </w:r>
    </w:p>
    <w:p w:rsidR="00E06EC4" w:rsidRPr="00237CBD" w:rsidRDefault="00E06EC4" w:rsidP="00C071CC">
      <w:pPr>
        <w:ind w:left="425" w:hanging="425"/>
      </w:pPr>
    </w:p>
    <w:p w:rsidR="00E06EC4" w:rsidRPr="00237CBD" w:rsidRDefault="00E06EC4" w:rsidP="00C071CC">
      <w:pPr>
        <w:ind w:left="425" w:hanging="425"/>
        <w:rPr>
          <w:rFonts w:eastAsia="Arial"/>
        </w:rPr>
      </w:pPr>
      <w:r w:rsidRPr="00237CBD">
        <w:rPr>
          <w:rFonts w:eastAsia="Arial"/>
        </w:rPr>
        <w:t>33</w:t>
      </w:r>
      <w:r w:rsidR="008F25E2">
        <w:rPr>
          <w:rFonts w:eastAsia="Arial"/>
        </w:rPr>
        <w:tab/>
      </w:r>
      <w:r w:rsidRPr="00237CBD">
        <w:rPr>
          <w:rFonts w:eastAsia="Arial"/>
        </w:rPr>
        <w:t>The Director General of Health may choose to fill vacancies should resignations occur.</w:t>
      </w:r>
    </w:p>
    <w:p w:rsidR="00E06EC4" w:rsidRPr="00237CBD" w:rsidRDefault="00E06EC4" w:rsidP="00EE6876">
      <w:pPr>
        <w:ind w:hanging="425"/>
      </w:pPr>
    </w:p>
    <w:p w:rsidR="00E06EC4" w:rsidRPr="00237CBD" w:rsidRDefault="00E06EC4" w:rsidP="00B4514C">
      <w:pPr>
        <w:pStyle w:val="Heading3"/>
        <w:rPr>
          <w:rFonts w:eastAsia="Arial"/>
        </w:rPr>
      </w:pPr>
      <w:r w:rsidRPr="00237CBD">
        <w:rPr>
          <w:rFonts w:eastAsia="Arial"/>
        </w:rPr>
        <w:t>Support for the National Maternity Monitoring Group</w:t>
      </w:r>
    </w:p>
    <w:p w:rsidR="00E06EC4" w:rsidRPr="00237CBD" w:rsidRDefault="00E06EC4" w:rsidP="00C071CC">
      <w:pPr>
        <w:ind w:left="425" w:hanging="425"/>
        <w:rPr>
          <w:rFonts w:eastAsia="Arial"/>
        </w:rPr>
      </w:pPr>
      <w:r w:rsidRPr="00237CBD">
        <w:rPr>
          <w:rFonts w:eastAsia="Arial"/>
        </w:rPr>
        <w:t>34</w:t>
      </w:r>
      <w:r w:rsidR="008F25E2">
        <w:rPr>
          <w:rFonts w:eastAsia="Arial"/>
        </w:rPr>
        <w:tab/>
      </w:r>
      <w:r w:rsidRPr="00237CBD">
        <w:rPr>
          <w:rFonts w:eastAsia="Arial"/>
        </w:rPr>
        <w:t>The Ministry</w:t>
      </w:r>
      <w:r w:rsidR="00F71BF6" w:rsidRPr="00237CBD">
        <w:rPr>
          <w:rFonts w:eastAsia="Arial"/>
        </w:rPr>
        <w:t xml:space="preserve"> </w:t>
      </w:r>
      <w:r w:rsidRPr="00237CBD">
        <w:rPr>
          <w:rFonts w:eastAsia="Arial"/>
        </w:rPr>
        <w:t>of Health will arrange provision of</w:t>
      </w:r>
      <w:r w:rsidR="008F25E2">
        <w:rPr>
          <w:rFonts w:eastAsia="Arial"/>
        </w:rPr>
        <w:t xml:space="preserve"> </w:t>
      </w:r>
      <w:r w:rsidRPr="00237CBD">
        <w:rPr>
          <w:rFonts w:eastAsia="Arial"/>
        </w:rPr>
        <w:t>the secretariat function for the National Maternity Monitoring Group. This may be externally procured. This includes distribution of agendas and recording of the minutes. Agendas and any associated papers will be circulated at least five days prior to meetings. Minutes will be circulated no later than a fortnight following the meeting date.</w:t>
      </w:r>
    </w:p>
    <w:p w:rsidR="00E06EC4" w:rsidRPr="00237CBD" w:rsidRDefault="00E06EC4" w:rsidP="00EE6876">
      <w:pPr>
        <w:ind w:hanging="425"/>
      </w:pPr>
    </w:p>
    <w:p w:rsidR="00E06EC4" w:rsidRPr="00237CBD" w:rsidRDefault="00E06EC4" w:rsidP="00B4514C">
      <w:pPr>
        <w:pStyle w:val="Heading3"/>
        <w:rPr>
          <w:rFonts w:eastAsia="Arial"/>
        </w:rPr>
      </w:pPr>
      <w:r w:rsidRPr="00237CBD">
        <w:rPr>
          <w:rFonts w:eastAsia="Arial"/>
        </w:rPr>
        <w:t>Meeting arrangements</w:t>
      </w:r>
    </w:p>
    <w:p w:rsidR="00E06EC4" w:rsidRPr="00237CBD" w:rsidRDefault="00E06EC4" w:rsidP="00C071CC">
      <w:pPr>
        <w:ind w:left="425" w:hanging="425"/>
        <w:rPr>
          <w:rFonts w:eastAsia="Arial"/>
        </w:rPr>
      </w:pPr>
      <w:r w:rsidRPr="00237CBD">
        <w:rPr>
          <w:rFonts w:eastAsia="Arial"/>
        </w:rPr>
        <w:t>35</w:t>
      </w:r>
      <w:r w:rsidR="008F25E2">
        <w:rPr>
          <w:rFonts w:eastAsia="Arial"/>
        </w:rPr>
        <w:tab/>
      </w:r>
      <w:r w:rsidRPr="00237CBD">
        <w:rPr>
          <w:rFonts w:eastAsia="Arial"/>
        </w:rPr>
        <w:t>Meetings will normally be held in Wellington. Rooms and refreshments will be provided for the meetings.</w:t>
      </w:r>
    </w:p>
    <w:p w:rsidR="00E06EC4" w:rsidRPr="00237CBD" w:rsidRDefault="00E06EC4" w:rsidP="00EE6876">
      <w:pPr>
        <w:ind w:hanging="425"/>
      </w:pPr>
    </w:p>
    <w:p w:rsidR="00E06EC4" w:rsidRPr="00237CBD" w:rsidRDefault="00E06EC4" w:rsidP="00B4514C">
      <w:pPr>
        <w:pStyle w:val="Heading3"/>
        <w:rPr>
          <w:rFonts w:eastAsia="Arial"/>
        </w:rPr>
      </w:pPr>
      <w:r w:rsidRPr="00237CBD">
        <w:rPr>
          <w:rFonts w:eastAsia="Arial"/>
        </w:rPr>
        <w:lastRenderedPageBreak/>
        <w:t>Payment of meeting fees and travel costs</w:t>
      </w:r>
    </w:p>
    <w:p w:rsidR="00E06EC4" w:rsidRDefault="00E06EC4" w:rsidP="00802E5C">
      <w:pPr>
        <w:keepLines/>
        <w:ind w:left="425" w:hanging="425"/>
        <w:rPr>
          <w:rFonts w:eastAsia="Arial"/>
        </w:rPr>
      </w:pPr>
      <w:r w:rsidRPr="00237CBD">
        <w:rPr>
          <w:rFonts w:eastAsia="Arial"/>
        </w:rPr>
        <w:t>36</w:t>
      </w:r>
      <w:r w:rsidR="008F25E2">
        <w:rPr>
          <w:rFonts w:eastAsia="Arial"/>
        </w:rPr>
        <w:tab/>
      </w:r>
      <w:r w:rsidRPr="00237CBD">
        <w:rPr>
          <w:rFonts w:eastAsia="Arial"/>
        </w:rPr>
        <w:t>A fee of $325.00 (exclusive of GST) will be paid for attendance at face-to-face meetings and is based upon a full day meeting including travel time. Other work carried out as part of the National Maternity Monitoring Group will be reimbursed on a pro rata basis at the rate of $325.00 per day (exclusive of GST).</w:t>
      </w:r>
    </w:p>
    <w:p w:rsidR="008F25E2" w:rsidRPr="00237CBD" w:rsidRDefault="008F25E2" w:rsidP="00C071CC">
      <w:pPr>
        <w:ind w:left="425" w:hanging="425"/>
        <w:rPr>
          <w:rFonts w:eastAsia="Arial"/>
        </w:rPr>
      </w:pPr>
    </w:p>
    <w:p w:rsidR="00E06EC4" w:rsidRPr="00237CBD" w:rsidRDefault="00E06EC4" w:rsidP="00C071CC">
      <w:pPr>
        <w:ind w:left="425" w:hanging="425"/>
        <w:rPr>
          <w:rFonts w:eastAsia="Arial"/>
        </w:rPr>
      </w:pPr>
      <w:r w:rsidRPr="00237CBD">
        <w:rPr>
          <w:rFonts w:eastAsia="Arial"/>
        </w:rPr>
        <w:t>37</w:t>
      </w:r>
      <w:r w:rsidR="008F25E2">
        <w:rPr>
          <w:rFonts w:eastAsia="Arial"/>
        </w:rPr>
        <w:tab/>
      </w:r>
      <w:r w:rsidRPr="00237CBD">
        <w:rPr>
          <w:rFonts w:eastAsia="Arial"/>
        </w:rPr>
        <w:t>Public servant/state servants/</w:t>
      </w:r>
      <w:r w:rsidR="00B4514C">
        <w:rPr>
          <w:rFonts w:eastAsia="Arial"/>
        </w:rPr>
        <w:t xml:space="preserve"> </w:t>
      </w:r>
      <w:r w:rsidRPr="00237CBD">
        <w:rPr>
          <w:rFonts w:eastAsia="Arial"/>
        </w:rPr>
        <w:t>employees of Crown bodies are not paid for meetings of the National Maternity Monitoring Group. A public servant/state servant/employee of a Crown body should not retain both the fee and their ordinary pay where the duties of the outside organisation are undertaken during ordinary department or Crown body hours.</w:t>
      </w:r>
    </w:p>
    <w:p w:rsidR="008F25E2" w:rsidRDefault="008F25E2" w:rsidP="00C071CC">
      <w:pPr>
        <w:ind w:left="425" w:hanging="425"/>
        <w:rPr>
          <w:rFonts w:eastAsia="Arial"/>
        </w:rPr>
      </w:pPr>
    </w:p>
    <w:p w:rsidR="00E06EC4" w:rsidRPr="00237CBD" w:rsidRDefault="00E06EC4" w:rsidP="00C071CC">
      <w:pPr>
        <w:ind w:left="425" w:hanging="425"/>
        <w:rPr>
          <w:rFonts w:eastAsia="Arial"/>
        </w:rPr>
      </w:pPr>
      <w:r w:rsidRPr="00237CBD">
        <w:rPr>
          <w:rFonts w:eastAsia="Arial"/>
        </w:rPr>
        <w:t>38</w:t>
      </w:r>
      <w:r w:rsidR="008F25E2">
        <w:rPr>
          <w:rFonts w:eastAsia="Arial"/>
        </w:rPr>
        <w:tab/>
      </w:r>
      <w:r w:rsidRPr="00237CBD">
        <w:rPr>
          <w:rFonts w:eastAsia="Arial"/>
        </w:rPr>
        <w:t>Payment of meeting and other fees will be in accordance with the latest Cabinet circular on fees and guidelines for appointments for statutory bodies,</w:t>
      </w:r>
      <w:r w:rsidR="008F25E2">
        <w:rPr>
          <w:rFonts w:eastAsia="Arial"/>
        </w:rPr>
        <w:t xml:space="preserve"> </w:t>
      </w:r>
      <w:r w:rsidRPr="00237CBD">
        <w:rPr>
          <w:rFonts w:eastAsia="Arial"/>
        </w:rPr>
        <w:t xml:space="preserve">which can be found at: </w:t>
      </w:r>
      <w:hyperlink r:id="rId39" w:history="1">
        <w:r w:rsidR="008F25E2" w:rsidRPr="00611873">
          <w:rPr>
            <w:rStyle w:val="Hyperlink"/>
            <w:rFonts w:eastAsia="Arial"/>
          </w:rPr>
          <w:t>http://www.dpmc.govt.nz/sites/</w:t>
        </w:r>
      </w:hyperlink>
      <w:r w:rsidRPr="00237CBD">
        <w:rPr>
          <w:rFonts w:eastAsia="Arial"/>
        </w:rPr>
        <w:t>all/files/circulars/coc-12-06.pdf</w:t>
      </w:r>
    </w:p>
    <w:p w:rsidR="008F25E2" w:rsidRDefault="008F25E2" w:rsidP="00C071CC">
      <w:pPr>
        <w:ind w:left="425" w:hanging="425"/>
        <w:rPr>
          <w:rFonts w:eastAsia="Arial"/>
        </w:rPr>
      </w:pPr>
    </w:p>
    <w:p w:rsidR="00E06EC4" w:rsidRPr="00237CBD" w:rsidRDefault="00E06EC4" w:rsidP="00C071CC">
      <w:pPr>
        <w:ind w:left="425" w:hanging="425"/>
        <w:rPr>
          <w:rFonts w:eastAsia="Arial"/>
        </w:rPr>
      </w:pPr>
      <w:r w:rsidRPr="00237CBD">
        <w:rPr>
          <w:rFonts w:eastAsia="Arial"/>
        </w:rPr>
        <w:t>39</w:t>
      </w:r>
      <w:r w:rsidR="008F25E2">
        <w:rPr>
          <w:rFonts w:eastAsia="Arial"/>
        </w:rPr>
        <w:tab/>
      </w:r>
      <w:r w:rsidRPr="00237CBD">
        <w:rPr>
          <w:rFonts w:eastAsia="Arial"/>
        </w:rPr>
        <w:t xml:space="preserve">Travel to meetings and, if necessary, flights and accommodation will be arranged. Meal expenses (without alcohol) will also be paid, but other hotel charges including phone calls and items from the </w:t>
      </w:r>
      <w:r w:rsidR="00F71BF6" w:rsidRPr="00237CBD">
        <w:rPr>
          <w:rFonts w:eastAsia="Arial"/>
        </w:rPr>
        <w:t>‘</w:t>
      </w:r>
      <w:r w:rsidRPr="00237CBD">
        <w:rPr>
          <w:rFonts w:eastAsia="Arial"/>
        </w:rPr>
        <w:t>mini bar</w:t>
      </w:r>
      <w:r w:rsidR="00F71BF6" w:rsidRPr="00237CBD">
        <w:rPr>
          <w:rFonts w:eastAsia="Arial"/>
        </w:rPr>
        <w:t>’</w:t>
      </w:r>
      <w:r w:rsidRPr="00237CBD">
        <w:rPr>
          <w:rFonts w:eastAsia="Arial"/>
        </w:rPr>
        <w:t xml:space="preserve"> will not be paid. Any additional travel expenses incurred will be reimbursed, including taxis, mileage</w:t>
      </w:r>
      <w:r w:rsidR="008F25E2">
        <w:rPr>
          <w:rFonts w:eastAsia="Arial"/>
        </w:rPr>
        <w:t xml:space="preserve"> </w:t>
      </w:r>
      <w:r w:rsidRPr="00237CBD">
        <w:rPr>
          <w:rFonts w:eastAsia="Arial"/>
        </w:rPr>
        <w:t>(at the rate of 0.62c per km, GST not applicable) and parking. A valid receipt must accompany claims for expenses.</w:t>
      </w:r>
    </w:p>
    <w:p w:rsidR="00E06EC4" w:rsidRPr="00237CBD" w:rsidRDefault="00E06EC4" w:rsidP="00B4514C">
      <w:pPr>
        <w:pStyle w:val="Heading3"/>
        <w:rPr>
          <w:rFonts w:eastAsia="Arial"/>
        </w:rPr>
      </w:pPr>
      <w:r w:rsidRPr="00237CBD">
        <w:rPr>
          <w:rFonts w:eastAsia="Arial"/>
        </w:rPr>
        <w:lastRenderedPageBreak/>
        <w:t>Conflicts of interest</w:t>
      </w:r>
    </w:p>
    <w:p w:rsidR="00E06EC4" w:rsidRPr="00237CBD" w:rsidRDefault="00E06EC4" w:rsidP="00B4514C">
      <w:pPr>
        <w:keepLines/>
        <w:ind w:left="425" w:hanging="425"/>
        <w:rPr>
          <w:rFonts w:eastAsia="Arial"/>
        </w:rPr>
      </w:pPr>
      <w:r w:rsidRPr="00237CBD">
        <w:rPr>
          <w:rFonts w:eastAsia="Arial"/>
        </w:rPr>
        <w:t>40</w:t>
      </w:r>
      <w:r w:rsidR="008F25E2">
        <w:rPr>
          <w:rFonts w:eastAsia="Arial"/>
        </w:rPr>
        <w:tab/>
      </w:r>
      <w:r w:rsidRPr="00237CBD">
        <w:rPr>
          <w:rFonts w:eastAsia="Arial"/>
        </w:rPr>
        <w:t>Members of the National Maternity Monitoring Group should document their conflicts of interests and identify any conflict of interest prior to a discussion of a particular issue. The National Maternity Monitoring Group will then decide what part the member may take in any relevant discussion, and will identify whether the conflict needs to be escalated to the Ministry of Health for consideration. Guidance can be</w:t>
      </w:r>
      <w:r w:rsidR="008F25E2">
        <w:rPr>
          <w:rFonts w:eastAsia="Arial"/>
        </w:rPr>
        <w:t xml:space="preserve"> </w:t>
      </w:r>
      <w:r w:rsidRPr="00237CBD">
        <w:rPr>
          <w:rFonts w:eastAsia="Arial"/>
        </w:rPr>
        <w:t xml:space="preserve">found in the document </w:t>
      </w:r>
      <w:r w:rsidR="00F71BF6" w:rsidRPr="00237CBD">
        <w:rPr>
          <w:rFonts w:eastAsia="Arial"/>
        </w:rPr>
        <w:t>‘</w:t>
      </w:r>
      <w:r w:rsidRPr="00237CBD">
        <w:rPr>
          <w:rFonts w:eastAsia="Arial"/>
        </w:rPr>
        <w:t>Conflict of Interest Protocol for</w:t>
      </w:r>
      <w:r w:rsidR="008F25E2">
        <w:rPr>
          <w:rFonts w:eastAsia="Arial"/>
        </w:rPr>
        <w:t xml:space="preserve"> </w:t>
      </w:r>
      <w:r w:rsidRPr="00237CBD">
        <w:rPr>
          <w:rFonts w:eastAsia="Arial"/>
        </w:rPr>
        <w:t>Ministry of Health Advisory Committees</w:t>
      </w:r>
      <w:r w:rsidR="00F71BF6" w:rsidRPr="00237CBD">
        <w:rPr>
          <w:rFonts w:eastAsia="Arial"/>
        </w:rPr>
        <w:t>’</w:t>
      </w:r>
      <w:r w:rsidRPr="00237CBD">
        <w:rPr>
          <w:rFonts w:eastAsia="Arial"/>
        </w:rPr>
        <w:t>.</w:t>
      </w:r>
    </w:p>
    <w:p w:rsidR="00E06EC4" w:rsidRPr="00237CBD" w:rsidRDefault="00E06EC4" w:rsidP="00EE6876">
      <w:pPr>
        <w:ind w:hanging="425"/>
      </w:pPr>
    </w:p>
    <w:p w:rsidR="00E06EC4" w:rsidRPr="00237CBD" w:rsidRDefault="00E06EC4" w:rsidP="00B4514C">
      <w:pPr>
        <w:pStyle w:val="Heading3"/>
        <w:rPr>
          <w:rFonts w:eastAsia="Arial"/>
        </w:rPr>
      </w:pPr>
      <w:r w:rsidRPr="00237CBD">
        <w:rPr>
          <w:rFonts w:eastAsia="Arial"/>
        </w:rPr>
        <w:t>Confidentiality</w:t>
      </w:r>
    </w:p>
    <w:p w:rsidR="00E06EC4" w:rsidRDefault="00E06EC4" w:rsidP="00C071CC">
      <w:pPr>
        <w:ind w:left="425" w:hanging="425"/>
        <w:rPr>
          <w:rFonts w:eastAsia="Arial"/>
        </w:rPr>
      </w:pPr>
      <w:r w:rsidRPr="00237CBD">
        <w:rPr>
          <w:rFonts w:eastAsia="Arial"/>
        </w:rPr>
        <w:t>41</w:t>
      </w:r>
      <w:r w:rsidR="008F25E2">
        <w:rPr>
          <w:rFonts w:eastAsia="Arial"/>
        </w:rPr>
        <w:tab/>
      </w:r>
      <w:r w:rsidRPr="00237CBD">
        <w:rPr>
          <w:rFonts w:eastAsia="Arial"/>
        </w:rPr>
        <w:t>The National Maternity Monitoring Group will maintain</w:t>
      </w:r>
      <w:r w:rsidR="008F25E2">
        <w:rPr>
          <w:rFonts w:eastAsia="Arial"/>
        </w:rPr>
        <w:t xml:space="preserve"> </w:t>
      </w:r>
      <w:r w:rsidRPr="00237CBD">
        <w:rPr>
          <w:rFonts w:eastAsia="Arial"/>
        </w:rPr>
        <w:t>other matters forwarded to them unless otherwise</w:t>
      </w:r>
      <w:r w:rsidR="008F25E2">
        <w:rPr>
          <w:rFonts w:eastAsia="Arial"/>
        </w:rPr>
        <w:t xml:space="preserve"> </w:t>
      </w:r>
      <w:r w:rsidRPr="00237CBD">
        <w:rPr>
          <w:rFonts w:eastAsia="Arial"/>
        </w:rPr>
        <w:t>specified.</w:t>
      </w:r>
    </w:p>
    <w:p w:rsidR="008F25E2" w:rsidRPr="00237CBD" w:rsidRDefault="008F25E2" w:rsidP="00C071CC">
      <w:pPr>
        <w:ind w:left="425" w:hanging="425"/>
        <w:rPr>
          <w:rFonts w:eastAsia="Arial"/>
        </w:rPr>
      </w:pPr>
    </w:p>
    <w:p w:rsidR="00E06EC4" w:rsidRDefault="00E06EC4" w:rsidP="00C071CC">
      <w:pPr>
        <w:ind w:left="425" w:hanging="425"/>
        <w:rPr>
          <w:rFonts w:eastAsia="Arial"/>
        </w:rPr>
      </w:pPr>
      <w:r w:rsidRPr="00237CBD">
        <w:rPr>
          <w:rFonts w:eastAsia="Arial"/>
        </w:rPr>
        <w:t>42</w:t>
      </w:r>
      <w:r w:rsidR="008F25E2">
        <w:rPr>
          <w:rFonts w:eastAsia="Arial"/>
        </w:rPr>
        <w:tab/>
      </w:r>
      <w:r w:rsidRPr="00237CBD">
        <w:rPr>
          <w:rFonts w:eastAsia="Arial"/>
        </w:rPr>
        <w:t>Members of the National Maternity Monitoring Group are not to represent themselves</w:t>
      </w:r>
      <w:r w:rsidR="00F71BF6" w:rsidRPr="00237CBD">
        <w:rPr>
          <w:rFonts w:eastAsia="Arial"/>
        </w:rPr>
        <w:t xml:space="preserve"> </w:t>
      </w:r>
      <w:r w:rsidRPr="00237CBD">
        <w:rPr>
          <w:rFonts w:eastAsia="Arial"/>
        </w:rPr>
        <w:t>as agents of the Ministry of Health, and by reason of their membership of the National Maternity Monitoring Group, are not permitted to speak on behalf of the National Maternity Monitoring Group or the Ministry of Health.</w:t>
      </w:r>
    </w:p>
    <w:p w:rsidR="008F25E2" w:rsidRPr="00237CBD" w:rsidRDefault="008F25E2" w:rsidP="00C071CC">
      <w:pPr>
        <w:ind w:left="425" w:hanging="425"/>
        <w:rPr>
          <w:rFonts w:eastAsia="Arial"/>
        </w:rPr>
      </w:pPr>
    </w:p>
    <w:p w:rsidR="00E06EC4" w:rsidRDefault="00E06EC4" w:rsidP="00C071CC">
      <w:pPr>
        <w:ind w:left="425" w:hanging="425"/>
        <w:rPr>
          <w:rFonts w:eastAsia="Arial"/>
        </w:rPr>
      </w:pPr>
      <w:r w:rsidRPr="00237CBD">
        <w:rPr>
          <w:rFonts w:eastAsia="Arial"/>
        </w:rPr>
        <w:t>43</w:t>
      </w:r>
      <w:r w:rsidR="008F25E2">
        <w:rPr>
          <w:rFonts w:eastAsia="Arial"/>
        </w:rPr>
        <w:tab/>
      </w:r>
      <w:r w:rsidRPr="00237CBD">
        <w:rPr>
          <w:rFonts w:eastAsia="Arial"/>
        </w:rPr>
        <w:t>If a member receives a media request or enquiry relating to the work of the National Maternity Monitoring Group, they must inform the Ministry of Health including the Ministry</w:t>
      </w:r>
      <w:r w:rsidR="00F71BF6" w:rsidRPr="00237CBD">
        <w:rPr>
          <w:rFonts w:eastAsia="Arial"/>
        </w:rPr>
        <w:t>’</w:t>
      </w:r>
      <w:r w:rsidRPr="00237CBD">
        <w:rPr>
          <w:rFonts w:eastAsia="Arial"/>
        </w:rPr>
        <w:t>s Health Communications Manager. Any media communication will be via the Ministry of Health.</w:t>
      </w:r>
    </w:p>
    <w:p w:rsidR="00802E5C" w:rsidRPr="00237CBD" w:rsidRDefault="00802E5C" w:rsidP="00C071CC">
      <w:pPr>
        <w:ind w:left="425" w:hanging="425"/>
        <w:rPr>
          <w:rFonts w:eastAsia="Arial"/>
        </w:rPr>
      </w:pPr>
    </w:p>
    <w:p w:rsidR="00CA6003" w:rsidRDefault="00CA6003" w:rsidP="008F25E2">
      <w:pPr>
        <w:sectPr w:rsidR="00CA6003" w:rsidSect="00CA6003">
          <w:type w:val="continuous"/>
          <w:pgSz w:w="11907" w:h="16834" w:code="9"/>
          <w:pgMar w:top="1418" w:right="1701" w:bottom="1134" w:left="1701" w:header="284" w:footer="567" w:gutter="0"/>
          <w:cols w:num="2" w:space="567" w:equalWidth="0">
            <w:col w:w="3969" w:space="567"/>
            <w:col w:w="3969"/>
          </w:cols>
        </w:sectPr>
      </w:pPr>
    </w:p>
    <w:p w:rsidR="00E06EC4" w:rsidRPr="00237CBD" w:rsidRDefault="00E06EC4" w:rsidP="008F25E2"/>
    <w:p w:rsidR="007254D8" w:rsidRDefault="007254D8" w:rsidP="007254D8">
      <w:pPr>
        <w:rPr>
          <w:rFonts w:eastAsia="Arial"/>
        </w:rPr>
      </w:pPr>
      <w:r>
        <w:rPr>
          <w:rFonts w:eastAsia="Arial"/>
        </w:rPr>
        <w:br w:type="page"/>
      </w:r>
    </w:p>
    <w:p w:rsidR="00E06EC4" w:rsidRDefault="00E06EC4" w:rsidP="007254D8">
      <w:pPr>
        <w:pStyle w:val="Heading1"/>
        <w:rPr>
          <w:rFonts w:eastAsia="Arial"/>
        </w:rPr>
      </w:pPr>
      <w:bookmarkStart w:id="55" w:name="_Toc404355699"/>
      <w:r w:rsidRPr="00802E5C">
        <w:rPr>
          <w:rFonts w:eastAsia="Arial"/>
        </w:rPr>
        <w:lastRenderedPageBreak/>
        <w:t>Appendix Two:</w:t>
      </w:r>
      <w:r w:rsidR="007254D8">
        <w:rPr>
          <w:rFonts w:eastAsia="Arial"/>
        </w:rPr>
        <w:t xml:space="preserve"> </w:t>
      </w:r>
      <w:r w:rsidRPr="00802E5C">
        <w:rPr>
          <w:rFonts w:eastAsia="Arial"/>
        </w:rPr>
        <w:t>NMMG Year</w:t>
      </w:r>
      <w:r w:rsidR="007254D8" w:rsidRPr="00802E5C">
        <w:rPr>
          <w:rFonts w:eastAsia="Arial"/>
        </w:rPr>
        <w:t xml:space="preserve"> </w:t>
      </w:r>
      <w:r w:rsidRPr="00802E5C">
        <w:rPr>
          <w:rFonts w:eastAsia="Arial"/>
        </w:rPr>
        <w:t>Two</w:t>
      </w:r>
      <w:r w:rsidRPr="00237CBD">
        <w:rPr>
          <w:rFonts w:eastAsia="Arial"/>
        </w:rPr>
        <w:t xml:space="preserve"> Work Programme</w:t>
      </w:r>
      <w:bookmarkEnd w:id="55"/>
    </w:p>
    <w:tbl>
      <w:tblPr>
        <w:tblStyle w:val="TableGrid"/>
        <w:tblW w:w="8505"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448"/>
        <w:gridCol w:w="449"/>
        <w:gridCol w:w="449"/>
        <w:gridCol w:w="449"/>
        <w:gridCol w:w="449"/>
        <w:gridCol w:w="449"/>
        <w:gridCol w:w="448"/>
        <w:gridCol w:w="449"/>
        <w:gridCol w:w="449"/>
        <w:gridCol w:w="449"/>
        <w:gridCol w:w="449"/>
        <w:gridCol w:w="449"/>
      </w:tblGrid>
      <w:tr w:rsidR="00482F8D" w:rsidRPr="00482F8D" w:rsidTr="00E60086">
        <w:trPr>
          <w:cantSplit/>
        </w:trPr>
        <w:tc>
          <w:tcPr>
            <w:tcW w:w="3119" w:type="dxa"/>
            <w:tcBorders>
              <w:top w:val="single" w:sz="4" w:space="0" w:color="auto"/>
              <w:bottom w:val="nil"/>
              <w:right w:val="single" w:sz="4" w:space="0" w:color="auto"/>
            </w:tcBorders>
            <w:shd w:val="clear" w:color="auto" w:fill="auto"/>
          </w:tcPr>
          <w:p w:rsidR="00482F8D" w:rsidRPr="009E30A7" w:rsidRDefault="00482F8D" w:rsidP="00847CDB">
            <w:pPr>
              <w:pStyle w:val="TableText"/>
              <w:spacing w:before="40" w:after="40"/>
              <w:ind w:right="142"/>
              <w:rPr>
                <w:rFonts w:eastAsia="Arial"/>
                <w:sz w:val="18"/>
                <w:szCs w:val="18"/>
              </w:rPr>
            </w:pPr>
          </w:p>
        </w:tc>
        <w:tc>
          <w:tcPr>
            <w:tcW w:w="2693" w:type="dxa"/>
            <w:gridSpan w:val="6"/>
            <w:tcBorders>
              <w:top w:val="single" w:sz="4" w:space="0" w:color="auto"/>
              <w:left w:val="single" w:sz="4" w:space="0" w:color="auto"/>
              <w:bottom w:val="nil"/>
              <w:right w:val="single" w:sz="4" w:space="0" w:color="auto"/>
            </w:tcBorders>
            <w:shd w:val="clear" w:color="auto" w:fill="auto"/>
          </w:tcPr>
          <w:p w:rsidR="00482F8D" w:rsidRPr="00482F8D" w:rsidRDefault="00482F8D" w:rsidP="00847CDB">
            <w:pPr>
              <w:pStyle w:val="TableText"/>
              <w:spacing w:before="40" w:after="40"/>
              <w:jc w:val="center"/>
              <w:rPr>
                <w:rFonts w:eastAsia="Arial"/>
                <w:b/>
                <w:sz w:val="18"/>
                <w:szCs w:val="18"/>
              </w:rPr>
            </w:pPr>
            <w:r w:rsidRPr="00482F8D">
              <w:rPr>
                <w:rFonts w:eastAsia="Arial"/>
                <w:b/>
                <w:sz w:val="18"/>
                <w:szCs w:val="18"/>
              </w:rPr>
              <w:t>2013</w:t>
            </w:r>
          </w:p>
        </w:tc>
        <w:tc>
          <w:tcPr>
            <w:tcW w:w="2693" w:type="dxa"/>
            <w:gridSpan w:val="6"/>
            <w:tcBorders>
              <w:top w:val="single" w:sz="4" w:space="0" w:color="auto"/>
              <w:left w:val="single" w:sz="4" w:space="0" w:color="auto"/>
              <w:bottom w:val="nil"/>
            </w:tcBorders>
            <w:shd w:val="clear" w:color="auto" w:fill="auto"/>
          </w:tcPr>
          <w:p w:rsidR="00482F8D" w:rsidRPr="00482F8D" w:rsidRDefault="00482F8D" w:rsidP="00847CDB">
            <w:pPr>
              <w:pStyle w:val="TableText"/>
              <w:spacing w:before="40" w:after="40"/>
              <w:jc w:val="center"/>
              <w:rPr>
                <w:rFonts w:eastAsia="Arial"/>
                <w:b/>
                <w:sz w:val="18"/>
                <w:szCs w:val="18"/>
              </w:rPr>
            </w:pPr>
            <w:r w:rsidRPr="00482F8D">
              <w:rPr>
                <w:rFonts w:eastAsia="Arial"/>
                <w:b/>
                <w:sz w:val="18"/>
                <w:szCs w:val="18"/>
              </w:rPr>
              <w:t>2014</w:t>
            </w:r>
          </w:p>
        </w:tc>
      </w:tr>
      <w:tr w:rsidR="00E60086" w:rsidRPr="00482F8D" w:rsidTr="00E60086">
        <w:trPr>
          <w:cantSplit/>
        </w:trPr>
        <w:tc>
          <w:tcPr>
            <w:tcW w:w="3119" w:type="dxa"/>
            <w:tcBorders>
              <w:top w:val="nil"/>
              <w:bottom w:val="single" w:sz="4" w:space="0" w:color="auto"/>
              <w:right w:val="single" w:sz="4" w:space="0" w:color="auto"/>
            </w:tcBorders>
            <w:shd w:val="clear" w:color="auto" w:fill="EAEAEA"/>
          </w:tcPr>
          <w:p w:rsidR="00482F8D" w:rsidRPr="009E30A7" w:rsidRDefault="00482F8D" w:rsidP="00847CDB">
            <w:pPr>
              <w:pStyle w:val="TableText"/>
              <w:spacing w:before="40" w:after="40"/>
              <w:ind w:right="142"/>
              <w:rPr>
                <w:rFonts w:eastAsia="Arial"/>
                <w:sz w:val="18"/>
                <w:szCs w:val="18"/>
              </w:rPr>
            </w:pPr>
          </w:p>
        </w:tc>
        <w:tc>
          <w:tcPr>
            <w:tcW w:w="448" w:type="dxa"/>
            <w:tcBorders>
              <w:top w:val="nil"/>
              <w:left w:val="single" w:sz="4" w:space="0" w:color="auto"/>
              <w:bottom w:val="single" w:sz="4" w:space="0" w:color="auto"/>
              <w:right w:val="single" w:sz="4" w:space="0" w:color="D9D9D9" w:themeColor="background1" w:themeShade="D9"/>
            </w:tcBorders>
            <w:shd w:val="clear" w:color="auto" w:fill="EAEAEA"/>
          </w:tcPr>
          <w:p w:rsidR="00482F8D" w:rsidRPr="00482F8D" w:rsidRDefault="00482F8D" w:rsidP="00847CDB">
            <w:pPr>
              <w:pStyle w:val="TableText"/>
              <w:spacing w:before="40" w:after="40"/>
              <w:jc w:val="center"/>
              <w:rPr>
                <w:rFonts w:eastAsia="Arial"/>
                <w:b/>
                <w:sz w:val="18"/>
                <w:szCs w:val="18"/>
              </w:rPr>
            </w:pPr>
            <w:r w:rsidRPr="00482F8D">
              <w:rPr>
                <w:rFonts w:eastAsia="Arial"/>
                <w:b/>
                <w:sz w:val="18"/>
                <w:szCs w:val="18"/>
              </w:rPr>
              <w:t>July</w:t>
            </w:r>
          </w:p>
        </w:tc>
        <w:tc>
          <w:tcPr>
            <w:tcW w:w="4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EAEAEA"/>
          </w:tcPr>
          <w:p w:rsidR="00482F8D" w:rsidRPr="00482F8D" w:rsidRDefault="00482F8D" w:rsidP="00847CDB">
            <w:pPr>
              <w:pStyle w:val="TableText"/>
              <w:spacing w:before="40" w:after="40"/>
              <w:jc w:val="center"/>
              <w:rPr>
                <w:rFonts w:eastAsia="Arial"/>
                <w:b/>
                <w:sz w:val="18"/>
                <w:szCs w:val="18"/>
              </w:rPr>
            </w:pPr>
            <w:r w:rsidRPr="00482F8D">
              <w:rPr>
                <w:rFonts w:eastAsia="Arial"/>
                <w:b/>
                <w:sz w:val="18"/>
                <w:szCs w:val="18"/>
              </w:rPr>
              <w:t>Aug</w:t>
            </w:r>
          </w:p>
        </w:tc>
        <w:tc>
          <w:tcPr>
            <w:tcW w:w="4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EAEAEA"/>
          </w:tcPr>
          <w:p w:rsidR="00482F8D" w:rsidRPr="00482F8D" w:rsidRDefault="00482F8D" w:rsidP="00847CDB">
            <w:pPr>
              <w:pStyle w:val="TableText"/>
              <w:spacing w:before="40" w:after="40"/>
              <w:jc w:val="center"/>
              <w:rPr>
                <w:rFonts w:eastAsia="Arial"/>
                <w:b/>
                <w:sz w:val="18"/>
                <w:szCs w:val="18"/>
              </w:rPr>
            </w:pPr>
            <w:r w:rsidRPr="00482F8D">
              <w:rPr>
                <w:rFonts w:eastAsia="Arial"/>
                <w:b/>
                <w:sz w:val="18"/>
                <w:szCs w:val="18"/>
              </w:rPr>
              <w:t>Sept</w:t>
            </w:r>
          </w:p>
        </w:tc>
        <w:tc>
          <w:tcPr>
            <w:tcW w:w="4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EAEAEA"/>
          </w:tcPr>
          <w:p w:rsidR="00482F8D" w:rsidRPr="00482F8D" w:rsidRDefault="00482F8D" w:rsidP="00847CDB">
            <w:pPr>
              <w:pStyle w:val="TableText"/>
              <w:spacing w:before="40" w:after="40"/>
              <w:jc w:val="center"/>
              <w:rPr>
                <w:rFonts w:eastAsia="Arial"/>
                <w:b/>
                <w:sz w:val="18"/>
                <w:szCs w:val="18"/>
              </w:rPr>
            </w:pPr>
            <w:r w:rsidRPr="00482F8D">
              <w:rPr>
                <w:rFonts w:eastAsia="Arial"/>
                <w:b/>
                <w:sz w:val="18"/>
                <w:szCs w:val="18"/>
              </w:rPr>
              <w:t>Oct</w:t>
            </w:r>
          </w:p>
        </w:tc>
        <w:tc>
          <w:tcPr>
            <w:tcW w:w="4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EAEAEA"/>
          </w:tcPr>
          <w:p w:rsidR="00482F8D" w:rsidRPr="00482F8D" w:rsidRDefault="00482F8D" w:rsidP="00847CDB">
            <w:pPr>
              <w:pStyle w:val="TableText"/>
              <w:spacing w:before="40" w:after="40"/>
              <w:jc w:val="center"/>
              <w:rPr>
                <w:rFonts w:eastAsia="Arial"/>
                <w:b/>
                <w:sz w:val="18"/>
                <w:szCs w:val="18"/>
              </w:rPr>
            </w:pPr>
            <w:r w:rsidRPr="00482F8D">
              <w:rPr>
                <w:rFonts w:eastAsia="Arial"/>
                <w:b/>
                <w:sz w:val="18"/>
                <w:szCs w:val="18"/>
              </w:rPr>
              <w:t>Nov</w:t>
            </w:r>
          </w:p>
        </w:tc>
        <w:tc>
          <w:tcPr>
            <w:tcW w:w="449" w:type="dxa"/>
            <w:tcBorders>
              <w:top w:val="nil"/>
              <w:left w:val="single" w:sz="4" w:space="0" w:color="D9D9D9" w:themeColor="background1" w:themeShade="D9"/>
              <w:bottom w:val="single" w:sz="4" w:space="0" w:color="auto"/>
              <w:right w:val="single" w:sz="4" w:space="0" w:color="auto"/>
            </w:tcBorders>
            <w:shd w:val="clear" w:color="auto" w:fill="EAEAEA"/>
          </w:tcPr>
          <w:p w:rsidR="00482F8D" w:rsidRPr="00482F8D" w:rsidRDefault="00482F8D" w:rsidP="00847CDB">
            <w:pPr>
              <w:pStyle w:val="TableText"/>
              <w:spacing w:before="40" w:after="40"/>
              <w:jc w:val="center"/>
              <w:rPr>
                <w:rFonts w:eastAsia="Arial"/>
                <w:b/>
                <w:sz w:val="18"/>
                <w:szCs w:val="18"/>
              </w:rPr>
            </w:pPr>
            <w:r w:rsidRPr="00482F8D">
              <w:rPr>
                <w:rFonts w:eastAsia="Arial"/>
                <w:b/>
                <w:sz w:val="18"/>
                <w:szCs w:val="18"/>
              </w:rPr>
              <w:t>Dec</w:t>
            </w:r>
          </w:p>
        </w:tc>
        <w:tc>
          <w:tcPr>
            <w:tcW w:w="448" w:type="dxa"/>
            <w:tcBorders>
              <w:top w:val="nil"/>
              <w:left w:val="single" w:sz="4" w:space="0" w:color="auto"/>
              <w:bottom w:val="single" w:sz="4" w:space="0" w:color="auto"/>
              <w:right w:val="single" w:sz="4" w:space="0" w:color="D9D9D9" w:themeColor="background1" w:themeShade="D9"/>
            </w:tcBorders>
            <w:shd w:val="clear" w:color="auto" w:fill="EAEAEA"/>
          </w:tcPr>
          <w:p w:rsidR="00482F8D" w:rsidRPr="00482F8D" w:rsidRDefault="00482F8D" w:rsidP="00847CDB">
            <w:pPr>
              <w:pStyle w:val="TableText"/>
              <w:spacing w:before="40" w:after="40"/>
              <w:jc w:val="center"/>
              <w:rPr>
                <w:rFonts w:eastAsia="Arial"/>
                <w:b/>
                <w:sz w:val="18"/>
                <w:szCs w:val="18"/>
              </w:rPr>
            </w:pPr>
            <w:r w:rsidRPr="00482F8D">
              <w:rPr>
                <w:rFonts w:eastAsia="Arial"/>
                <w:b/>
                <w:sz w:val="18"/>
                <w:szCs w:val="18"/>
              </w:rPr>
              <w:t>Jan</w:t>
            </w:r>
          </w:p>
        </w:tc>
        <w:tc>
          <w:tcPr>
            <w:tcW w:w="4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EAEAEA"/>
          </w:tcPr>
          <w:p w:rsidR="00482F8D" w:rsidRPr="00482F8D" w:rsidRDefault="00482F8D" w:rsidP="00847CDB">
            <w:pPr>
              <w:pStyle w:val="TableText"/>
              <w:spacing w:before="40" w:after="40"/>
              <w:jc w:val="center"/>
              <w:rPr>
                <w:rFonts w:eastAsia="Arial"/>
                <w:b/>
                <w:sz w:val="18"/>
                <w:szCs w:val="18"/>
              </w:rPr>
            </w:pPr>
            <w:r w:rsidRPr="00482F8D">
              <w:rPr>
                <w:rFonts w:eastAsia="Arial"/>
                <w:b/>
                <w:sz w:val="18"/>
                <w:szCs w:val="18"/>
              </w:rPr>
              <w:t>Feb</w:t>
            </w:r>
          </w:p>
        </w:tc>
        <w:tc>
          <w:tcPr>
            <w:tcW w:w="4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EAEAEA"/>
          </w:tcPr>
          <w:p w:rsidR="00482F8D" w:rsidRPr="00482F8D" w:rsidRDefault="00482F8D" w:rsidP="00847CDB">
            <w:pPr>
              <w:pStyle w:val="TableText"/>
              <w:spacing w:before="40" w:after="40"/>
              <w:jc w:val="center"/>
              <w:rPr>
                <w:rFonts w:eastAsia="Arial"/>
                <w:b/>
                <w:sz w:val="18"/>
                <w:szCs w:val="18"/>
              </w:rPr>
            </w:pPr>
            <w:r w:rsidRPr="00482F8D">
              <w:rPr>
                <w:rFonts w:eastAsia="Arial"/>
                <w:b/>
                <w:sz w:val="18"/>
                <w:szCs w:val="18"/>
              </w:rPr>
              <w:t>Mar</w:t>
            </w:r>
          </w:p>
        </w:tc>
        <w:tc>
          <w:tcPr>
            <w:tcW w:w="4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EAEAEA"/>
          </w:tcPr>
          <w:p w:rsidR="00482F8D" w:rsidRPr="00482F8D" w:rsidRDefault="00482F8D" w:rsidP="00847CDB">
            <w:pPr>
              <w:pStyle w:val="TableText"/>
              <w:spacing w:before="40" w:after="40"/>
              <w:jc w:val="center"/>
              <w:rPr>
                <w:rFonts w:eastAsia="Arial"/>
                <w:b/>
                <w:sz w:val="18"/>
                <w:szCs w:val="18"/>
              </w:rPr>
            </w:pPr>
            <w:r w:rsidRPr="00482F8D">
              <w:rPr>
                <w:rFonts w:eastAsia="Arial"/>
                <w:b/>
                <w:sz w:val="18"/>
                <w:szCs w:val="18"/>
              </w:rPr>
              <w:t>Apr</w:t>
            </w:r>
          </w:p>
        </w:tc>
        <w:tc>
          <w:tcPr>
            <w:tcW w:w="4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EAEAEA"/>
          </w:tcPr>
          <w:p w:rsidR="00482F8D" w:rsidRPr="00482F8D" w:rsidRDefault="00482F8D" w:rsidP="00847CDB">
            <w:pPr>
              <w:pStyle w:val="TableText"/>
              <w:spacing w:before="40" w:after="40"/>
              <w:jc w:val="center"/>
              <w:rPr>
                <w:rFonts w:eastAsia="Arial"/>
                <w:b/>
                <w:sz w:val="18"/>
                <w:szCs w:val="18"/>
              </w:rPr>
            </w:pPr>
            <w:r w:rsidRPr="00482F8D">
              <w:rPr>
                <w:rFonts w:eastAsia="Arial"/>
                <w:b/>
                <w:sz w:val="18"/>
                <w:szCs w:val="18"/>
              </w:rPr>
              <w:t>May</w:t>
            </w:r>
          </w:p>
        </w:tc>
        <w:tc>
          <w:tcPr>
            <w:tcW w:w="449" w:type="dxa"/>
            <w:tcBorders>
              <w:top w:val="nil"/>
              <w:left w:val="single" w:sz="4" w:space="0" w:color="D9D9D9" w:themeColor="background1" w:themeShade="D9"/>
              <w:bottom w:val="single" w:sz="4" w:space="0" w:color="auto"/>
            </w:tcBorders>
            <w:shd w:val="clear" w:color="auto" w:fill="EAEAEA"/>
          </w:tcPr>
          <w:p w:rsidR="00482F8D" w:rsidRPr="00482F8D" w:rsidRDefault="00482F8D" w:rsidP="00847CDB">
            <w:pPr>
              <w:pStyle w:val="TableText"/>
              <w:spacing w:before="40" w:after="40"/>
              <w:jc w:val="center"/>
              <w:rPr>
                <w:rFonts w:eastAsia="Arial"/>
                <w:b/>
                <w:sz w:val="18"/>
                <w:szCs w:val="18"/>
              </w:rPr>
            </w:pPr>
            <w:r w:rsidRPr="00482F8D">
              <w:rPr>
                <w:rFonts w:eastAsia="Arial"/>
                <w:b/>
                <w:sz w:val="18"/>
                <w:szCs w:val="18"/>
              </w:rPr>
              <w:t>June</w:t>
            </w:r>
          </w:p>
        </w:tc>
      </w:tr>
      <w:tr w:rsidR="00E60086" w:rsidTr="00D77FAE">
        <w:trPr>
          <w:cantSplit/>
        </w:trPr>
        <w:tc>
          <w:tcPr>
            <w:tcW w:w="3119" w:type="dxa"/>
            <w:tcBorders>
              <w:top w:val="single" w:sz="4" w:space="0" w:color="auto"/>
              <w:bottom w:val="nil"/>
              <w:right w:val="single" w:sz="4" w:space="0" w:color="auto"/>
            </w:tcBorders>
          </w:tcPr>
          <w:p w:rsidR="00D330E5" w:rsidRPr="00D330E5" w:rsidRDefault="00D330E5" w:rsidP="00847CDB">
            <w:pPr>
              <w:pStyle w:val="TableText"/>
              <w:spacing w:before="40" w:after="40"/>
              <w:ind w:right="142"/>
              <w:rPr>
                <w:rFonts w:eastAsia="Arial"/>
                <w:sz w:val="18"/>
                <w:szCs w:val="18"/>
              </w:rPr>
            </w:pPr>
            <w:r>
              <w:rPr>
                <w:rFonts w:eastAsia="Arial"/>
                <w:sz w:val="18"/>
                <w:szCs w:val="18"/>
              </w:rPr>
              <w:t>Identify priorities for action or investigation</w:t>
            </w:r>
          </w:p>
        </w:tc>
        <w:tc>
          <w:tcPr>
            <w:tcW w:w="448" w:type="dxa"/>
            <w:tcBorders>
              <w:top w:val="single" w:sz="4" w:space="0" w:color="auto"/>
              <w:left w:val="single" w:sz="4" w:space="0" w:color="auto"/>
              <w:bottom w:val="nil"/>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auto"/>
              <w:left w:val="single" w:sz="4" w:space="0" w:color="D9D9D9" w:themeColor="background1" w:themeShade="D9"/>
              <w:bottom w:val="nil"/>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auto"/>
              <w:left w:val="single" w:sz="4" w:space="0" w:color="D9D9D9" w:themeColor="background1" w:themeShade="D9"/>
              <w:bottom w:val="nil"/>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auto"/>
              <w:left w:val="single" w:sz="4" w:space="0" w:color="D9D9D9" w:themeColor="background1" w:themeShade="D9"/>
              <w:bottom w:val="nil"/>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auto"/>
              <w:left w:val="single" w:sz="4" w:space="0" w:color="D9D9D9" w:themeColor="background1" w:themeShade="D9"/>
              <w:bottom w:val="nil"/>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auto"/>
              <w:left w:val="single" w:sz="4" w:space="0" w:color="D9D9D9" w:themeColor="background1" w:themeShade="D9"/>
              <w:bottom w:val="nil"/>
              <w:right w:val="single" w:sz="4" w:space="0" w:color="auto"/>
            </w:tcBorders>
            <w:vAlign w:val="center"/>
          </w:tcPr>
          <w:p w:rsidR="00D330E5" w:rsidRPr="00D330E5" w:rsidRDefault="00D330E5" w:rsidP="00847CDB">
            <w:pPr>
              <w:pStyle w:val="TableText"/>
              <w:spacing w:before="40" w:after="40"/>
              <w:jc w:val="center"/>
              <w:rPr>
                <w:rFonts w:eastAsia="Arial"/>
                <w:sz w:val="18"/>
                <w:szCs w:val="18"/>
              </w:rPr>
            </w:pPr>
          </w:p>
        </w:tc>
        <w:tc>
          <w:tcPr>
            <w:tcW w:w="448" w:type="dxa"/>
            <w:tcBorders>
              <w:top w:val="single" w:sz="4" w:space="0" w:color="auto"/>
              <w:left w:val="single" w:sz="4" w:space="0" w:color="auto"/>
              <w:bottom w:val="nil"/>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auto"/>
              <w:left w:val="single" w:sz="4" w:space="0" w:color="D9D9D9" w:themeColor="background1" w:themeShade="D9"/>
              <w:bottom w:val="nil"/>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auto"/>
              <w:left w:val="single" w:sz="4" w:space="0" w:color="D9D9D9" w:themeColor="background1" w:themeShade="D9"/>
              <w:bottom w:val="nil"/>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auto"/>
              <w:left w:val="single" w:sz="4" w:space="0" w:color="D9D9D9" w:themeColor="background1" w:themeShade="D9"/>
              <w:bottom w:val="nil"/>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auto"/>
              <w:left w:val="single" w:sz="4" w:space="0" w:color="D9D9D9" w:themeColor="background1" w:themeShade="D9"/>
              <w:bottom w:val="nil"/>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auto"/>
              <w:left w:val="single" w:sz="4" w:space="0" w:color="D9D9D9" w:themeColor="background1" w:themeShade="D9"/>
              <w:bottom w:val="nil"/>
            </w:tcBorders>
            <w:vAlign w:val="center"/>
          </w:tcPr>
          <w:p w:rsidR="00D330E5" w:rsidRPr="00D330E5" w:rsidRDefault="00D330E5" w:rsidP="00847CDB">
            <w:pPr>
              <w:pStyle w:val="TableText"/>
              <w:spacing w:before="40" w:after="40"/>
              <w:jc w:val="center"/>
              <w:rPr>
                <w:rFonts w:eastAsia="Arial"/>
                <w:sz w:val="18"/>
                <w:szCs w:val="18"/>
              </w:rPr>
            </w:pPr>
          </w:p>
        </w:tc>
      </w:tr>
      <w:tr w:rsidR="00E60086" w:rsidRPr="00E60086" w:rsidTr="00D77FAE">
        <w:trPr>
          <w:cantSplit/>
        </w:trPr>
        <w:tc>
          <w:tcPr>
            <w:tcW w:w="3119" w:type="dxa"/>
            <w:tcBorders>
              <w:top w:val="nil"/>
              <w:bottom w:val="nil"/>
              <w:right w:val="single" w:sz="4" w:space="0" w:color="auto"/>
            </w:tcBorders>
            <w:shd w:val="clear" w:color="auto" w:fill="EAEAEA"/>
          </w:tcPr>
          <w:p w:rsidR="00D330E5" w:rsidRPr="00E60086" w:rsidRDefault="00D330E5" w:rsidP="00847CDB">
            <w:pPr>
              <w:pStyle w:val="TableText"/>
              <w:spacing w:before="40" w:after="40"/>
              <w:ind w:right="142"/>
              <w:rPr>
                <w:rFonts w:eastAsia="Arial"/>
                <w:b/>
                <w:sz w:val="18"/>
                <w:szCs w:val="18"/>
              </w:rPr>
            </w:pPr>
            <w:r w:rsidRPr="00E60086">
              <w:rPr>
                <w:rFonts w:eastAsia="Arial"/>
                <w:b/>
                <w:sz w:val="18"/>
                <w:szCs w:val="18"/>
              </w:rPr>
              <w:t>Timing of registration with an LMC</w:t>
            </w:r>
          </w:p>
        </w:tc>
        <w:tc>
          <w:tcPr>
            <w:tcW w:w="448" w:type="dxa"/>
            <w:tcBorders>
              <w:top w:val="nil"/>
              <w:left w:val="single" w:sz="4" w:space="0" w:color="auto"/>
              <w:bottom w:val="nil"/>
              <w:right w:val="single" w:sz="4" w:space="0" w:color="D9D9D9" w:themeColor="background1" w:themeShade="D9"/>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auto"/>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c>
          <w:tcPr>
            <w:tcW w:w="448" w:type="dxa"/>
            <w:tcBorders>
              <w:top w:val="nil"/>
              <w:left w:val="single" w:sz="4" w:space="0" w:color="auto"/>
              <w:bottom w:val="nil"/>
              <w:right w:val="single" w:sz="4" w:space="0" w:color="D9D9D9" w:themeColor="background1" w:themeShade="D9"/>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r>
      <w:tr w:rsidR="00E60086" w:rsidTr="00D77FAE">
        <w:trPr>
          <w:cantSplit/>
        </w:trPr>
        <w:tc>
          <w:tcPr>
            <w:tcW w:w="3119" w:type="dxa"/>
            <w:tcBorders>
              <w:top w:val="nil"/>
              <w:bottom w:val="single" w:sz="4" w:space="0" w:color="BFBFBF" w:themeColor="background1" w:themeShade="BF"/>
              <w:right w:val="single" w:sz="4" w:space="0" w:color="auto"/>
            </w:tcBorders>
          </w:tcPr>
          <w:p w:rsidR="00D330E5" w:rsidRPr="00D330E5" w:rsidRDefault="00D330E5" w:rsidP="00847CDB">
            <w:pPr>
              <w:pStyle w:val="TableText"/>
              <w:spacing w:before="40" w:after="40"/>
              <w:ind w:right="142"/>
              <w:rPr>
                <w:rFonts w:eastAsia="Arial"/>
                <w:sz w:val="18"/>
                <w:szCs w:val="18"/>
              </w:rPr>
            </w:pPr>
            <w:r>
              <w:rPr>
                <w:rFonts w:eastAsia="Arial"/>
                <w:sz w:val="18"/>
                <w:szCs w:val="18"/>
              </w:rPr>
              <w:t>Retrieve data</w:t>
            </w:r>
          </w:p>
        </w:tc>
        <w:tc>
          <w:tcPr>
            <w:tcW w:w="448" w:type="dxa"/>
            <w:tcBorders>
              <w:top w:val="nil"/>
              <w:left w:val="single" w:sz="4" w:space="0" w:color="auto"/>
              <w:bottom w:val="single" w:sz="4" w:space="0" w:color="BFBFBF" w:themeColor="background1" w:themeShade="BF"/>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auto"/>
            </w:tcBorders>
            <w:vAlign w:val="center"/>
          </w:tcPr>
          <w:p w:rsidR="00D330E5" w:rsidRPr="00D330E5" w:rsidRDefault="00D330E5" w:rsidP="00847CDB">
            <w:pPr>
              <w:pStyle w:val="TableText"/>
              <w:spacing w:before="40" w:after="40"/>
              <w:jc w:val="center"/>
              <w:rPr>
                <w:rFonts w:eastAsia="Arial"/>
                <w:sz w:val="18"/>
                <w:szCs w:val="18"/>
              </w:rPr>
            </w:pPr>
          </w:p>
        </w:tc>
        <w:tc>
          <w:tcPr>
            <w:tcW w:w="448" w:type="dxa"/>
            <w:tcBorders>
              <w:top w:val="nil"/>
              <w:left w:val="single" w:sz="4" w:space="0" w:color="auto"/>
              <w:bottom w:val="single" w:sz="4" w:space="0" w:color="BFBFBF" w:themeColor="background1" w:themeShade="BF"/>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tcBorders>
            <w:vAlign w:val="center"/>
          </w:tcPr>
          <w:p w:rsidR="00D330E5" w:rsidRPr="00D330E5" w:rsidRDefault="00D330E5" w:rsidP="00847CDB">
            <w:pPr>
              <w:pStyle w:val="TableText"/>
              <w:spacing w:before="40" w:after="40"/>
              <w:jc w:val="center"/>
              <w:rPr>
                <w:rFonts w:eastAsia="Arial"/>
                <w:sz w:val="18"/>
                <w:szCs w:val="18"/>
              </w:rPr>
            </w:pPr>
          </w:p>
        </w:tc>
      </w:tr>
      <w:tr w:rsidR="00E60086" w:rsidTr="00E60086">
        <w:trPr>
          <w:cantSplit/>
        </w:trPr>
        <w:tc>
          <w:tcPr>
            <w:tcW w:w="3119" w:type="dxa"/>
            <w:tcBorders>
              <w:top w:val="single" w:sz="4" w:space="0" w:color="BFBFBF" w:themeColor="background1" w:themeShade="BF"/>
              <w:bottom w:val="single" w:sz="4" w:space="0" w:color="BFBFBF" w:themeColor="background1" w:themeShade="BF"/>
              <w:right w:val="single" w:sz="4" w:space="0" w:color="auto"/>
            </w:tcBorders>
          </w:tcPr>
          <w:p w:rsidR="00D330E5" w:rsidRPr="00D330E5" w:rsidRDefault="00D330E5" w:rsidP="00847CDB">
            <w:pPr>
              <w:pStyle w:val="TableText"/>
              <w:spacing w:before="40" w:after="40"/>
              <w:ind w:right="142"/>
              <w:rPr>
                <w:rFonts w:eastAsia="Arial"/>
                <w:sz w:val="18"/>
                <w:szCs w:val="18"/>
              </w:rPr>
            </w:pPr>
            <w:r>
              <w:rPr>
                <w:rFonts w:eastAsia="Arial"/>
                <w:sz w:val="18"/>
                <w:szCs w:val="18"/>
              </w:rPr>
              <w:t>Communicate with DHBs</w:t>
            </w:r>
          </w:p>
        </w:tc>
        <w:tc>
          <w:tcPr>
            <w:tcW w:w="448" w:type="dxa"/>
            <w:tcBorders>
              <w:top w:val="single" w:sz="4" w:space="0" w:color="BFBFBF" w:themeColor="background1" w:themeShade="BF"/>
              <w:left w:val="single" w:sz="4" w:space="0" w:color="auto"/>
              <w:bottom w:val="single" w:sz="4" w:space="0" w:color="BFBFBF" w:themeColor="background1" w:themeShade="BF"/>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auto"/>
            </w:tcBorders>
            <w:vAlign w:val="center"/>
          </w:tcPr>
          <w:p w:rsidR="00D330E5" w:rsidRPr="00D330E5" w:rsidRDefault="00D330E5" w:rsidP="00847CDB">
            <w:pPr>
              <w:pStyle w:val="TableText"/>
              <w:spacing w:before="40" w:after="40"/>
              <w:jc w:val="center"/>
              <w:rPr>
                <w:rFonts w:eastAsia="Arial"/>
                <w:sz w:val="18"/>
                <w:szCs w:val="18"/>
              </w:rPr>
            </w:pPr>
            <w:r>
              <w:rPr>
                <w:rFonts w:ascii="Wingdings" w:eastAsia="Arial" w:hAnsi="Wingdings"/>
                <w:sz w:val="18"/>
                <w:szCs w:val="18"/>
              </w:rPr>
              <w:t></w:t>
            </w:r>
          </w:p>
        </w:tc>
        <w:tc>
          <w:tcPr>
            <w:tcW w:w="448" w:type="dxa"/>
            <w:tcBorders>
              <w:top w:val="single" w:sz="4" w:space="0" w:color="BFBFBF" w:themeColor="background1" w:themeShade="BF"/>
              <w:left w:val="single" w:sz="4" w:space="0" w:color="auto"/>
              <w:bottom w:val="single" w:sz="4" w:space="0" w:color="BFBFBF" w:themeColor="background1" w:themeShade="BF"/>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tcBorders>
            <w:vAlign w:val="center"/>
          </w:tcPr>
          <w:p w:rsidR="00D330E5" w:rsidRPr="00D330E5" w:rsidRDefault="00D330E5" w:rsidP="00847CDB">
            <w:pPr>
              <w:pStyle w:val="TableText"/>
              <w:spacing w:before="40" w:after="40"/>
              <w:jc w:val="center"/>
              <w:rPr>
                <w:rFonts w:eastAsia="Arial"/>
                <w:sz w:val="18"/>
                <w:szCs w:val="18"/>
              </w:rPr>
            </w:pPr>
          </w:p>
        </w:tc>
      </w:tr>
      <w:tr w:rsidR="00E60086" w:rsidTr="00D77FAE">
        <w:trPr>
          <w:cantSplit/>
        </w:trPr>
        <w:tc>
          <w:tcPr>
            <w:tcW w:w="3119" w:type="dxa"/>
            <w:tcBorders>
              <w:top w:val="single" w:sz="4" w:space="0" w:color="BFBFBF" w:themeColor="background1" w:themeShade="BF"/>
              <w:bottom w:val="nil"/>
              <w:right w:val="single" w:sz="4" w:space="0" w:color="auto"/>
            </w:tcBorders>
          </w:tcPr>
          <w:p w:rsidR="00D330E5" w:rsidRPr="00D330E5" w:rsidRDefault="00D330E5" w:rsidP="00847CDB">
            <w:pPr>
              <w:pStyle w:val="TableText"/>
              <w:spacing w:before="40" w:after="40"/>
              <w:ind w:right="142"/>
              <w:rPr>
                <w:rFonts w:eastAsia="Arial"/>
                <w:sz w:val="18"/>
                <w:szCs w:val="18"/>
              </w:rPr>
            </w:pPr>
            <w:r>
              <w:rPr>
                <w:rFonts w:eastAsia="Arial"/>
                <w:sz w:val="18"/>
                <w:szCs w:val="18"/>
              </w:rPr>
              <w:t>Provide recommendations</w:t>
            </w:r>
          </w:p>
        </w:tc>
        <w:tc>
          <w:tcPr>
            <w:tcW w:w="448" w:type="dxa"/>
            <w:tcBorders>
              <w:top w:val="single" w:sz="4" w:space="0" w:color="BFBFBF" w:themeColor="background1" w:themeShade="BF"/>
              <w:left w:val="single" w:sz="4" w:space="0" w:color="auto"/>
              <w:bottom w:val="nil"/>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auto"/>
            </w:tcBorders>
            <w:vAlign w:val="center"/>
          </w:tcPr>
          <w:p w:rsidR="00D330E5" w:rsidRPr="00D330E5" w:rsidRDefault="00D330E5" w:rsidP="00847CDB">
            <w:pPr>
              <w:pStyle w:val="TableText"/>
              <w:spacing w:before="40" w:after="40"/>
              <w:jc w:val="center"/>
              <w:rPr>
                <w:rFonts w:eastAsia="Arial"/>
                <w:sz w:val="18"/>
                <w:szCs w:val="18"/>
              </w:rPr>
            </w:pPr>
          </w:p>
        </w:tc>
        <w:tc>
          <w:tcPr>
            <w:tcW w:w="448" w:type="dxa"/>
            <w:tcBorders>
              <w:top w:val="single" w:sz="4" w:space="0" w:color="BFBFBF" w:themeColor="background1" w:themeShade="BF"/>
              <w:left w:val="single" w:sz="4" w:space="0" w:color="auto"/>
              <w:bottom w:val="nil"/>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330E5" w:rsidRPr="00D330E5" w:rsidRDefault="00D330E5"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330E5"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nil"/>
            </w:tcBorders>
            <w:vAlign w:val="center"/>
          </w:tcPr>
          <w:p w:rsidR="00D330E5"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r>
      <w:tr w:rsidR="00E60086" w:rsidRPr="00E60086" w:rsidTr="00D77FAE">
        <w:trPr>
          <w:cantSplit/>
        </w:trPr>
        <w:tc>
          <w:tcPr>
            <w:tcW w:w="3119" w:type="dxa"/>
            <w:tcBorders>
              <w:top w:val="nil"/>
              <w:bottom w:val="nil"/>
              <w:right w:val="single" w:sz="4" w:space="0" w:color="auto"/>
            </w:tcBorders>
            <w:shd w:val="clear" w:color="auto" w:fill="EAEAEA"/>
          </w:tcPr>
          <w:p w:rsidR="00D330E5" w:rsidRPr="00E60086" w:rsidRDefault="00D2430C" w:rsidP="00847CDB">
            <w:pPr>
              <w:pStyle w:val="TableText"/>
              <w:spacing w:before="40" w:after="40"/>
              <w:ind w:right="142"/>
              <w:rPr>
                <w:rFonts w:eastAsia="Arial"/>
                <w:b/>
                <w:sz w:val="18"/>
                <w:szCs w:val="18"/>
              </w:rPr>
            </w:pPr>
            <w:r w:rsidRPr="00E60086">
              <w:rPr>
                <w:rFonts w:eastAsia="Arial"/>
                <w:b/>
                <w:sz w:val="18"/>
                <w:szCs w:val="18"/>
              </w:rPr>
              <w:t>Variation in gestation at birth</w:t>
            </w:r>
          </w:p>
        </w:tc>
        <w:tc>
          <w:tcPr>
            <w:tcW w:w="448" w:type="dxa"/>
            <w:tcBorders>
              <w:top w:val="nil"/>
              <w:left w:val="single" w:sz="4" w:space="0" w:color="auto"/>
              <w:bottom w:val="nil"/>
              <w:right w:val="single" w:sz="4" w:space="0" w:color="D9D9D9" w:themeColor="background1" w:themeShade="D9"/>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auto"/>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c>
          <w:tcPr>
            <w:tcW w:w="448" w:type="dxa"/>
            <w:tcBorders>
              <w:top w:val="nil"/>
              <w:left w:val="single" w:sz="4" w:space="0" w:color="auto"/>
              <w:bottom w:val="nil"/>
              <w:right w:val="single" w:sz="4" w:space="0" w:color="D9D9D9" w:themeColor="background1" w:themeShade="D9"/>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tcBorders>
            <w:shd w:val="clear" w:color="auto" w:fill="EAEAEA"/>
            <w:vAlign w:val="center"/>
          </w:tcPr>
          <w:p w:rsidR="00D330E5" w:rsidRPr="00E60086" w:rsidRDefault="00D330E5" w:rsidP="00847CDB">
            <w:pPr>
              <w:pStyle w:val="TableText"/>
              <w:spacing w:before="40" w:after="40"/>
              <w:jc w:val="center"/>
              <w:rPr>
                <w:rFonts w:eastAsia="Arial"/>
                <w:b/>
                <w:sz w:val="18"/>
                <w:szCs w:val="18"/>
              </w:rPr>
            </w:pPr>
          </w:p>
        </w:tc>
      </w:tr>
      <w:tr w:rsidR="00E60086" w:rsidTr="00D77FAE">
        <w:trPr>
          <w:cantSplit/>
        </w:trPr>
        <w:tc>
          <w:tcPr>
            <w:tcW w:w="3119" w:type="dxa"/>
            <w:tcBorders>
              <w:top w:val="nil"/>
              <w:bottom w:val="single" w:sz="4" w:space="0" w:color="BFBFBF" w:themeColor="background1" w:themeShade="BF"/>
              <w:right w:val="single" w:sz="4" w:space="0" w:color="auto"/>
            </w:tcBorders>
          </w:tcPr>
          <w:p w:rsidR="00D2430C" w:rsidRPr="00D330E5" w:rsidRDefault="00D2430C" w:rsidP="00847CDB">
            <w:pPr>
              <w:pStyle w:val="TableText"/>
              <w:spacing w:before="40" w:after="40"/>
              <w:ind w:right="142"/>
              <w:rPr>
                <w:rFonts w:eastAsia="Arial"/>
                <w:sz w:val="18"/>
                <w:szCs w:val="18"/>
              </w:rPr>
            </w:pPr>
            <w:r>
              <w:rPr>
                <w:rFonts w:eastAsia="Arial"/>
                <w:sz w:val="18"/>
                <w:szCs w:val="18"/>
              </w:rPr>
              <w:t>Retrieve data</w:t>
            </w:r>
          </w:p>
        </w:tc>
        <w:tc>
          <w:tcPr>
            <w:tcW w:w="448" w:type="dxa"/>
            <w:tcBorders>
              <w:top w:val="nil"/>
              <w:left w:val="single" w:sz="4" w:space="0" w:color="auto"/>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auto"/>
            </w:tcBorders>
            <w:vAlign w:val="center"/>
          </w:tcPr>
          <w:p w:rsidR="00D2430C" w:rsidRPr="00D330E5" w:rsidRDefault="00D2430C" w:rsidP="00847CDB">
            <w:pPr>
              <w:pStyle w:val="TableText"/>
              <w:spacing w:before="40" w:after="40"/>
              <w:jc w:val="center"/>
              <w:rPr>
                <w:rFonts w:eastAsia="Arial"/>
                <w:sz w:val="18"/>
                <w:szCs w:val="18"/>
              </w:rPr>
            </w:pPr>
          </w:p>
        </w:tc>
        <w:tc>
          <w:tcPr>
            <w:tcW w:w="448" w:type="dxa"/>
            <w:tcBorders>
              <w:top w:val="nil"/>
              <w:left w:val="single" w:sz="4" w:space="0" w:color="auto"/>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tcBorders>
            <w:vAlign w:val="center"/>
          </w:tcPr>
          <w:p w:rsidR="00D2430C" w:rsidRPr="00D330E5" w:rsidRDefault="00D2430C" w:rsidP="00847CDB">
            <w:pPr>
              <w:pStyle w:val="TableText"/>
              <w:spacing w:before="40" w:after="40"/>
              <w:jc w:val="center"/>
              <w:rPr>
                <w:rFonts w:eastAsia="Arial"/>
                <w:sz w:val="18"/>
                <w:szCs w:val="18"/>
              </w:rPr>
            </w:pPr>
          </w:p>
        </w:tc>
      </w:tr>
      <w:tr w:rsidR="00E60086" w:rsidTr="00E60086">
        <w:trPr>
          <w:cantSplit/>
        </w:trPr>
        <w:tc>
          <w:tcPr>
            <w:tcW w:w="3119" w:type="dxa"/>
            <w:tcBorders>
              <w:top w:val="single" w:sz="4" w:space="0" w:color="BFBFBF" w:themeColor="background1" w:themeShade="BF"/>
              <w:bottom w:val="single" w:sz="4" w:space="0" w:color="BFBFBF" w:themeColor="background1" w:themeShade="BF"/>
              <w:right w:val="single" w:sz="4" w:space="0" w:color="auto"/>
            </w:tcBorders>
          </w:tcPr>
          <w:p w:rsidR="00D2430C" w:rsidRPr="00D330E5" w:rsidRDefault="00D2430C" w:rsidP="00847CDB">
            <w:pPr>
              <w:pStyle w:val="TableText"/>
              <w:spacing w:before="40" w:after="40"/>
              <w:ind w:right="142"/>
              <w:rPr>
                <w:rFonts w:eastAsia="Arial"/>
                <w:sz w:val="18"/>
                <w:szCs w:val="18"/>
              </w:rPr>
            </w:pPr>
            <w:r>
              <w:rPr>
                <w:rFonts w:eastAsia="Arial"/>
                <w:sz w:val="18"/>
                <w:szCs w:val="18"/>
              </w:rPr>
              <w:t>Investigate data</w:t>
            </w:r>
          </w:p>
        </w:tc>
        <w:tc>
          <w:tcPr>
            <w:tcW w:w="448" w:type="dxa"/>
            <w:tcBorders>
              <w:top w:val="single" w:sz="4" w:space="0" w:color="BFBFBF" w:themeColor="background1" w:themeShade="BF"/>
              <w:left w:val="single" w:sz="4" w:space="0" w:color="auto"/>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auto"/>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8" w:type="dxa"/>
            <w:tcBorders>
              <w:top w:val="single" w:sz="4" w:space="0" w:color="BFBFBF" w:themeColor="background1" w:themeShade="BF"/>
              <w:left w:val="single" w:sz="4" w:space="0" w:color="auto"/>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tcBorders>
            <w:vAlign w:val="center"/>
          </w:tcPr>
          <w:p w:rsidR="00D2430C" w:rsidRPr="00D330E5" w:rsidRDefault="00D2430C" w:rsidP="00847CDB">
            <w:pPr>
              <w:pStyle w:val="TableText"/>
              <w:spacing w:before="40" w:after="40"/>
              <w:jc w:val="center"/>
              <w:rPr>
                <w:rFonts w:eastAsia="Arial"/>
                <w:sz w:val="18"/>
                <w:szCs w:val="18"/>
              </w:rPr>
            </w:pPr>
          </w:p>
        </w:tc>
      </w:tr>
      <w:tr w:rsidR="00E60086" w:rsidTr="00D77FAE">
        <w:trPr>
          <w:cantSplit/>
        </w:trPr>
        <w:tc>
          <w:tcPr>
            <w:tcW w:w="3119" w:type="dxa"/>
            <w:tcBorders>
              <w:top w:val="single" w:sz="4" w:space="0" w:color="BFBFBF" w:themeColor="background1" w:themeShade="BF"/>
              <w:bottom w:val="nil"/>
              <w:right w:val="single" w:sz="4" w:space="0" w:color="auto"/>
            </w:tcBorders>
          </w:tcPr>
          <w:p w:rsidR="00D2430C" w:rsidRPr="00D330E5" w:rsidRDefault="00D2430C" w:rsidP="00847CDB">
            <w:pPr>
              <w:pStyle w:val="TableText"/>
              <w:spacing w:before="40" w:after="40"/>
              <w:ind w:right="142"/>
              <w:rPr>
                <w:rFonts w:eastAsia="Arial"/>
                <w:sz w:val="18"/>
                <w:szCs w:val="18"/>
              </w:rPr>
            </w:pPr>
            <w:r>
              <w:rPr>
                <w:rFonts w:eastAsia="Arial"/>
                <w:sz w:val="18"/>
                <w:szCs w:val="18"/>
              </w:rPr>
              <w:t>Provide recommendations</w:t>
            </w:r>
          </w:p>
        </w:tc>
        <w:tc>
          <w:tcPr>
            <w:tcW w:w="448" w:type="dxa"/>
            <w:tcBorders>
              <w:top w:val="single" w:sz="4" w:space="0" w:color="BFBFBF" w:themeColor="background1" w:themeShade="BF"/>
              <w:left w:val="single" w:sz="4" w:space="0" w:color="auto"/>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auto"/>
            </w:tcBorders>
            <w:vAlign w:val="center"/>
          </w:tcPr>
          <w:p w:rsidR="00D2430C" w:rsidRPr="00D330E5" w:rsidRDefault="00D2430C" w:rsidP="00847CDB">
            <w:pPr>
              <w:pStyle w:val="TableText"/>
              <w:spacing w:before="40" w:after="40"/>
              <w:jc w:val="center"/>
              <w:rPr>
                <w:rFonts w:eastAsia="Arial"/>
                <w:sz w:val="18"/>
                <w:szCs w:val="18"/>
              </w:rPr>
            </w:pPr>
          </w:p>
        </w:tc>
        <w:tc>
          <w:tcPr>
            <w:tcW w:w="448" w:type="dxa"/>
            <w:tcBorders>
              <w:top w:val="single" w:sz="4" w:space="0" w:color="BFBFBF" w:themeColor="background1" w:themeShade="BF"/>
              <w:left w:val="single" w:sz="4" w:space="0" w:color="auto"/>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nil"/>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r>
      <w:tr w:rsidR="00E60086" w:rsidRPr="00E60086" w:rsidTr="00D77FAE">
        <w:trPr>
          <w:cantSplit/>
        </w:trPr>
        <w:tc>
          <w:tcPr>
            <w:tcW w:w="3119" w:type="dxa"/>
            <w:tcBorders>
              <w:top w:val="nil"/>
              <w:bottom w:val="nil"/>
              <w:right w:val="single" w:sz="4" w:space="0" w:color="auto"/>
            </w:tcBorders>
            <w:shd w:val="clear" w:color="auto" w:fill="EAEAEA"/>
          </w:tcPr>
          <w:p w:rsidR="00D2430C" w:rsidRPr="00E60086" w:rsidRDefault="00D2430C" w:rsidP="00847CDB">
            <w:pPr>
              <w:pStyle w:val="TableText"/>
              <w:spacing w:before="40" w:after="40"/>
              <w:ind w:right="142"/>
              <w:rPr>
                <w:rFonts w:eastAsia="Arial"/>
                <w:b/>
                <w:sz w:val="18"/>
                <w:szCs w:val="18"/>
              </w:rPr>
            </w:pPr>
            <w:r w:rsidRPr="00E60086">
              <w:rPr>
                <w:rFonts w:eastAsia="Arial"/>
                <w:b/>
                <w:sz w:val="18"/>
                <w:szCs w:val="18"/>
              </w:rPr>
              <w:t>Primary maternal mental health services</w:t>
            </w:r>
          </w:p>
        </w:tc>
        <w:tc>
          <w:tcPr>
            <w:tcW w:w="448" w:type="dxa"/>
            <w:tcBorders>
              <w:top w:val="nil"/>
              <w:left w:val="single" w:sz="4" w:space="0" w:color="auto"/>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auto"/>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8" w:type="dxa"/>
            <w:tcBorders>
              <w:top w:val="nil"/>
              <w:left w:val="single" w:sz="4" w:space="0" w:color="auto"/>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r>
      <w:tr w:rsidR="00E60086" w:rsidTr="00D77FAE">
        <w:trPr>
          <w:cantSplit/>
        </w:trPr>
        <w:tc>
          <w:tcPr>
            <w:tcW w:w="3119" w:type="dxa"/>
            <w:tcBorders>
              <w:top w:val="nil"/>
              <w:bottom w:val="single" w:sz="4" w:space="0" w:color="BFBFBF" w:themeColor="background1" w:themeShade="BF"/>
              <w:right w:val="single" w:sz="4" w:space="0" w:color="auto"/>
            </w:tcBorders>
          </w:tcPr>
          <w:p w:rsidR="00D2430C" w:rsidRPr="00D330E5" w:rsidRDefault="00D2430C" w:rsidP="00847CDB">
            <w:pPr>
              <w:pStyle w:val="TableText"/>
              <w:spacing w:before="40" w:after="40"/>
              <w:ind w:right="142"/>
              <w:rPr>
                <w:rFonts w:eastAsia="Arial"/>
                <w:sz w:val="18"/>
                <w:szCs w:val="18"/>
              </w:rPr>
            </w:pPr>
            <w:r>
              <w:rPr>
                <w:rFonts w:eastAsia="Arial"/>
                <w:sz w:val="18"/>
                <w:szCs w:val="18"/>
              </w:rPr>
              <w:t>Retrieve data</w:t>
            </w:r>
          </w:p>
        </w:tc>
        <w:tc>
          <w:tcPr>
            <w:tcW w:w="448" w:type="dxa"/>
            <w:tcBorders>
              <w:top w:val="nil"/>
              <w:left w:val="single" w:sz="4" w:space="0" w:color="auto"/>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auto"/>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8" w:type="dxa"/>
            <w:tcBorders>
              <w:top w:val="nil"/>
              <w:left w:val="single" w:sz="4" w:space="0" w:color="auto"/>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tcBorders>
            <w:vAlign w:val="center"/>
          </w:tcPr>
          <w:p w:rsidR="00D2430C" w:rsidRPr="00D330E5" w:rsidRDefault="00D2430C" w:rsidP="00847CDB">
            <w:pPr>
              <w:pStyle w:val="TableText"/>
              <w:spacing w:before="40" w:after="40"/>
              <w:jc w:val="center"/>
              <w:rPr>
                <w:rFonts w:eastAsia="Arial"/>
                <w:sz w:val="18"/>
                <w:szCs w:val="18"/>
              </w:rPr>
            </w:pPr>
          </w:p>
        </w:tc>
      </w:tr>
      <w:tr w:rsidR="00E60086" w:rsidTr="00E60086">
        <w:trPr>
          <w:cantSplit/>
        </w:trPr>
        <w:tc>
          <w:tcPr>
            <w:tcW w:w="3119" w:type="dxa"/>
            <w:tcBorders>
              <w:top w:val="single" w:sz="4" w:space="0" w:color="BFBFBF" w:themeColor="background1" w:themeShade="BF"/>
              <w:bottom w:val="single" w:sz="4" w:space="0" w:color="BFBFBF" w:themeColor="background1" w:themeShade="BF"/>
              <w:right w:val="single" w:sz="4" w:space="0" w:color="auto"/>
            </w:tcBorders>
          </w:tcPr>
          <w:p w:rsidR="00D2430C" w:rsidRPr="00D330E5" w:rsidRDefault="00D2430C" w:rsidP="00847CDB">
            <w:pPr>
              <w:pStyle w:val="TableText"/>
              <w:spacing w:before="40" w:after="40"/>
              <w:ind w:right="142"/>
              <w:rPr>
                <w:rFonts w:eastAsia="Arial"/>
                <w:sz w:val="18"/>
                <w:szCs w:val="18"/>
              </w:rPr>
            </w:pPr>
            <w:r>
              <w:rPr>
                <w:rFonts w:eastAsia="Arial"/>
                <w:sz w:val="18"/>
                <w:szCs w:val="18"/>
              </w:rPr>
              <w:t>Communicate with DHBs and colleges</w:t>
            </w:r>
          </w:p>
        </w:tc>
        <w:tc>
          <w:tcPr>
            <w:tcW w:w="448" w:type="dxa"/>
            <w:tcBorders>
              <w:top w:val="single" w:sz="4" w:space="0" w:color="BFBFBF" w:themeColor="background1" w:themeShade="BF"/>
              <w:left w:val="single" w:sz="4" w:space="0" w:color="auto"/>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auto"/>
            </w:tcBorders>
            <w:vAlign w:val="center"/>
          </w:tcPr>
          <w:p w:rsidR="00D2430C" w:rsidRPr="00D330E5" w:rsidRDefault="00D2430C" w:rsidP="00847CDB">
            <w:pPr>
              <w:pStyle w:val="TableText"/>
              <w:spacing w:before="40" w:after="40"/>
              <w:jc w:val="center"/>
              <w:rPr>
                <w:rFonts w:eastAsia="Arial"/>
                <w:sz w:val="18"/>
                <w:szCs w:val="18"/>
              </w:rPr>
            </w:pPr>
          </w:p>
        </w:tc>
        <w:tc>
          <w:tcPr>
            <w:tcW w:w="448" w:type="dxa"/>
            <w:tcBorders>
              <w:top w:val="single" w:sz="4" w:space="0" w:color="BFBFBF" w:themeColor="background1" w:themeShade="BF"/>
              <w:left w:val="single" w:sz="4" w:space="0" w:color="auto"/>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tcBorders>
            <w:vAlign w:val="center"/>
          </w:tcPr>
          <w:p w:rsidR="00D2430C" w:rsidRPr="00D330E5" w:rsidRDefault="00D2430C" w:rsidP="00847CDB">
            <w:pPr>
              <w:pStyle w:val="TableText"/>
              <w:spacing w:before="40" w:after="40"/>
              <w:jc w:val="center"/>
              <w:rPr>
                <w:rFonts w:eastAsia="Arial"/>
                <w:sz w:val="18"/>
                <w:szCs w:val="18"/>
              </w:rPr>
            </w:pPr>
          </w:p>
        </w:tc>
      </w:tr>
      <w:tr w:rsidR="00E60086" w:rsidTr="00D77FAE">
        <w:trPr>
          <w:cantSplit/>
        </w:trPr>
        <w:tc>
          <w:tcPr>
            <w:tcW w:w="3119" w:type="dxa"/>
            <w:tcBorders>
              <w:top w:val="single" w:sz="4" w:space="0" w:color="BFBFBF" w:themeColor="background1" w:themeShade="BF"/>
              <w:bottom w:val="nil"/>
              <w:right w:val="single" w:sz="4" w:space="0" w:color="auto"/>
            </w:tcBorders>
          </w:tcPr>
          <w:p w:rsidR="00D2430C" w:rsidRPr="00D330E5" w:rsidRDefault="00D2430C" w:rsidP="00847CDB">
            <w:pPr>
              <w:pStyle w:val="TableText"/>
              <w:spacing w:before="40" w:after="40"/>
              <w:ind w:right="142"/>
              <w:rPr>
                <w:rFonts w:eastAsia="Arial"/>
                <w:sz w:val="18"/>
                <w:szCs w:val="18"/>
              </w:rPr>
            </w:pPr>
            <w:r>
              <w:rPr>
                <w:rFonts w:eastAsia="Arial"/>
                <w:sz w:val="18"/>
                <w:szCs w:val="18"/>
              </w:rPr>
              <w:t>Provide recommendations</w:t>
            </w:r>
          </w:p>
        </w:tc>
        <w:tc>
          <w:tcPr>
            <w:tcW w:w="448" w:type="dxa"/>
            <w:tcBorders>
              <w:top w:val="single" w:sz="4" w:space="0" w:color="BFBFBF" w:themeColor="background1" w:themeShade="BF"/>
              <w:left w:val="single" w:sz="4" w:space="0" w:color="auto"/>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auto"/>
            </w:tcBorders>
            <w:vAlign w:val="center"/>
          </w:tcPr>
          <w:p w:rsidR="00D2430C" w:rsidRPr="00D330E5" w:rsidRDefault="00D2430C" w:rsidP="00847CDB">
            <w:pPr>
              <w:pStyle w:val="TableText"/>
              <w:spacing w:before="40" w:after="40"/>
              <w:jc w:val="center"/>
              <w:rPr>
                <w:rFonts w:eastAsia="Arial"/>
                <w:sz w:val="18"/>
                <w:szCs w:val="18"/>
              </w:rPr>
            </w:pPr>
          </w:p>
        </w:tc>
        <w:tc>
          <w:tcPr>
            <w:tcW w:w="448" w:type="dxa"/>
            <w:tcBorders>
              <w:top w:val="single" w:sz="4" w:space="0" w:color="BFBFBF" w:themeColor="background1" w:themeShade="BF"/>
              <w:left w:val="single" w:sz="4" w:space="0" w:color="auto"/>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nil"/>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r>
      <w:tr w:rsidR="00E60086" w:rsidRPr="00E60086" w:rsidTr="00D77FAE">
        <w:trPr>
          <w:cantSplit/>
        </w:trPr>
        <w:tc>
          <w:tcPr>
            <w:tcW w:w="3119" w:type="dxa"/>
            <w:tcBorders>
              <w:top w:val="nil"/>
              <w:bottom w:val="nil"/>
              <w:right w:val="single" w:sz="4" w:space="0" w:color="auto"/>
            </w:tcBorders>
            <w:shd w:val="clear" w:color="auto" w:fill="EAEAEA"/>
          </w:tcPr>
          <w:p w:rsidR="00D2430C" w:rsidRPr="00E60086" w:rsidRDefault="00D2430C" w:rsidP="00847CDB">
            <w:pPr>
              <w:pStyle w:val="TableText"/>
              <w:spacing w:before="40" w:after="40"/>
              <w:ind w:right="142"/>
              <w:rPr>
                <w:rFonts w:eastAsia="Arial"/>
                <w:b/>
                <w:sz w:val="18"/>
                <w:szCs w:val="18"/>
              </w:rPr>
            </w:pPr>
            <w:r w:rsidRPr="00E60086">
              <w:rPr>
                <w:rFonts w:eastAsia="Arial"/>
                <w:b/>
                <w:sz w:val="18"/>
                <w:szCs w:val="18"/>
              </w:rPr>
              <w:t>Primary maternity ultrasounds</w:t>
            </w:r>
          </w:p>
        </w:tc>
        <w:tc>
          <w:tcPr>
            <w:tcW w:w="448" w:type="dxa"/>
            <w:tcBorders>
              <w:top w:val="nil"/>
              <w:left w:val="single" w:sz="4" w:space="0" w:color="auto"/>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auto"/>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8" w:type="dxa"/>
            <w:tcBorders>
              <w:top w:val="nil"/>
              <w:left w:val="single" w:sz="4" w:space="0" w:color="auto"/>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r>
      <w:tr w:rsidR="00E60086" w:rsidTr="00D77FAE">
        <w:trPr>
          <w:cantSplit/>
        </w:trPr>
        <w:tc>
          <w:tcPr>
            <w:tcW w:w="3119" w:type="dxa"/>
            <w:tcBorders>
              <w:top w:val="nil"/>
              <w:bottom w:val="single" w:sz="4" w:space="0" w:color="BFBFBF" w:themeColor="background1" w:themeShade="BF"/>
              <w:right w:val="single" w:sz="4" w:space="0" w:color="auto"/>
            </w:tcBorders>
          </w:tcPr>
          <w:p w:rsidR="00D2430C" w:rsidRPr="00D330E5" w:rsidRDefault="00D2430C" w:rsidP="00847CDB">
            <w:pPr>
              <w:pStyle w:val="TableText"/>
              <w:spacing w:before="40" w:after="40"/>
              <w:ind w:right="142"/>
              <w:rPr>
                <w:rFonts w:eastAsia="Arial"/>
                <w:sz w:val="18"/>
                <w:szCs w:val="18"/>
              </w:rPr>
            </w:pPr>
            <w:r>
              <w:rPr>
                <w:rFonts w:eastAsia="Arial"/>
                <w:sz w:val="18"/>
                <w:szCs w:val="18"/>
              </w:rPr>
              <w:t>Retrieve data</w:t>
            </w:r>
          </w:p>
        </w:tc>
        <w:tc>
          <w:tcPr>
            <w:tcW w:w="448" w:type="dxa"/>
            <w:tcBorders>
              <w:top w:val="nil"/>
              <w:left w:val="single" w:sz="4" w:space="0" w:color="auto"/>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auto"/>
            </w:tcBorders>
            <w:vAlign w:val="center"/>
          </w:tcPr>
          <w:p w:rsidR="00D2430C" w:rsidRPr="00D330E5" w:rsidRDefault="00D2430C" w:rsidP="00847CDB">
            <w:pPr>
              <w:pStyle w:val="TableText"/>
              <w:spacing w:before="40" w:after="40"/>
              <w:jc w:val="center"/>
              <w:rPr>
                <w:rFonts w:eastAsia="Arial"/>
                <w:sz w:val="18"/>
                <w:szCs w:val="18"/>
              </w:rPr>
            </w:pPr>
          </w:p>
        </w:tc>
        <w:tc>
          <w:tcPr>
            <w:tcW w:w="448" w:type="dxa"/>
            <w:tcBorders>
              <w:top w:val="nil"/>
              <w:left w:val="single" w:sz="4" w:space="0" w:color="auto"/>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tcBorders>
            <w:vAlign w:val="center"/>
          </w:tcPr>
          <w:p w:rsidR="00D2430C" w:rsidRPr="00D330E5" w:rsidRDefault="00D2430C" w:rsidP="00847CDB">
            <w:pPr>
              <w:pStyle w:val="TableText"/>
              <w:spacing w:before="40" w:after="40"/>
              <w:jc w:val="center"/>
              <w:rPr>
                <w:rFonts w:eastAsia="Arial"/>
                <w:sz w:val="18"/>
                <w:szCs w:val="18"/>
              </w:rPr>
            </w:pPr>
          </w:p>
        </w:tc>
      </w:tr>
      <w:tr w:rsidR="00E60086" w:rsidTr="00E60086">
        <w:trPr>
          <w:cantSplit/>
        </w:trPr>
        <w:tc>
          <w:tcPr>
            <w:tcW w:w="3119" w:type="dxa"/>
            <w:tcBorders>
              <w:top w:val="single" w:sz="4" w:space="0" w:color="BFBFBF" w:themeColor="background1" w:themeShade="BF"/>
              <w:bottom w:val="single" w:sz="4" w:space="0" w:color="BFBFBF" w:themeColor="background1" w:themeShade="BF"/>
              <w:right w:val="single" w:sz="4" w:space="0" w:color="auto"/>
            </w:tcBorders>
          </w:tcPr>
          <w:p w:rsidR="00D2430C" w:rsidRPr="00D330E5" w:rsidRDefault="00D2430C" w:rsidP="00847CDB">
            <w:pPr>
              <w:pStyle w:val="TableText"/>
              <w:spacing w:before="40" w:after="40"/>
              <w:ind w:right="142"/>
              <w:rPr>
                <w:rFonts w:eastAsia="Arial"/>
                <w:sz w:val="18"/>
                <w:szCs w:val="18"/>
              </w:rPr>
            </w:pPr>
            <w:r>
              <w:rPr>
                <w:rFonts w:eastAsia="Arial"/>
                <w:sz w:val="18"/>
                <w:szCs w:val="18"/>
              </w:rPr>
              <w:t>Consider data</w:t>
            </w:r>
          </w:p>
        </w:tc>
        <w:tc>
          <w:tcPr>
            <w:tcW w:w="448" w:type="dxa"/>
            <w:tcBorders>
              <w:top w:val="single" w:sz="4" w:space="0" w:color="BFBFBF" w:themeColor="background1" w:themeShade="BF"/>
              <w:left w:val="single" w:sz="4" w:space="0" w:color="auto"/>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auto"/>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8" w:type="dxa"/>
            <w:tcBorders>
              <w:top w:val="single" w:sz="4" w:space="0" w:color="BFBFBF" w:themeColor="background1" w:themeShade="BF"/>
              <w:left w:val="single" w:sz="4" w:space="0" w:color="auto"/>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tcBorders>
            <w:vAlign w:val="center"/>
          </w:tcPr>
          <w:p w:rsidR="00D2430C" w:rsidRPr="00D330E5" w:rsidRDefault="00D2430C" w:rsidP="00847CDB">
            <w:pPr>
              <w:pStyle w:val="TableText"/>
              <w:spacing w:before="40" w:after="40"/>
              <w:jc w:val="center"/>
              <w:rPr>
                <w:rFonts w:eastAsia="Arial"/>
                <w:sz w:val="18"/>
                <w:szCs w:val="18"/>
              </w:rPr>
            </w:pPr>
          </w:p>
        </w:tc>
      </w:tr>
      <w:tr w:rsidR="00E60086" w:rsidTr="00D77FAE">
        <w:trPr>
          <w:cantSplit/>
        </w:trPr>
        <w:tc>
          <w:tcPr>
            <w:tcW w:w="3119" w:type="dxa"/>
            <w:tcBorders>
              <w:top w:val="single" w:sz="4" w:space="0" w:color="BFBFBF" w:themeColor="background1" w:themeShade="BF"/>
              <w:bottom w:val="nil"/>
              <w:right w:val="single" w:sz="4" w:space="0" w:color="auto"/>
            </w:tcBorders>
          </w:tcPr>
          <w:p w:rsidR="00D2430C" w:rsidRPr="00D330E5" w:rsidRDefault="00D2430C" w:rsidP="00847CDB">
            <w:pPr>
              <w:pStyle w:val="TableText"/>
              <w:spacing w:before="40" w:after="40"/>
              <w:ind w:right="142"/>
              <w:rPr>
                <w:rFonts w:eastAsia="Arial"/>
                <w:sz w:val="18"/>
                <w:szCs w:val="18"/>
              </w:rPr>
            </w:pPr>
            <w:r>
              <w:rPr>
                <w:rFonts w:eastAsia="Arial"/>
                <w:sz w:val="18"/>
                <w:szCs w:val="18"/>
              </w:rPr>
              <w:t>Provide recommendations</w:t>
            </w:r>
          </w:p>
        </w:tc>
        <w:tc>
          <w:tcPr>
            <w:tcW w:w="448" w:type="dxa"/>
            <w:tcBorders>
              <w:top w:val="single" w:sz="4" w:space="0" w:color="BFBFBF" w:themeColor="background1" w:themeShade="BF"/>
              <w:left w:val="single" w:sz="4" w:space="0" w:color="auto"/>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auto"/>
            </w:tcBorders>
            <w:vAlign w:val="center"/>
          </w:tcPr>
          <w:p w:rsidR="00D2430C" w:rsidRPr="00D330E5" w:rsidRDefault="00D2430C" w:rsidP="00847CDB">
            <w:pPr>
              <w:pStyle w:val="TableText"/>
              <w:spacing w:before="40" w:after="40"/>
              <w:jc w:val="center"/>
              <w:rPr>
                <w:rFonts w:eastAsia="Arial"/>
                <w:sz w:val="18"/>
                <w:szCs w:val="18"/>
              </w:rPr>
            </w:pPr>
          </w:p>
        </w:tc>
        <w:tc>
          <w:tcPr>
            <w:tcW w:w="448" w:type="dxa"/>
            <w:tcBorders>
              <w:top w:val="single" w:sz="4" w:space="0" w:color="BFBFBF" w:themeColor="background1" w:themeShade="BF"/>
              <w:left w:val="single" w:sz="4" w:space="0" w:color="auto"/>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nil"/>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r>
      <w:tr w:rsidR="00E60086" w:rsidRPr="00E60086" w:rsidTr="00D77FAE">
        <w:trPr>
          <w:cantSplit/>
        </w:trPr>
        <w:tc>
          <w:tcPr>
            <w:tcW w:w="3119" w:type="dxa"/>
            <w:tcBorders>
              <w:top w:val="nil"/>
              <w:bottom w:val="nil"/>
              <w:right w:val="single" w:sz="4" w:space="0" w:color="auto"/>
            </w:tcBorders>
            <w:shd w:val="clear" w:color="auto" w:fill="EAEAEA"/>
          </w:tcPr>
          <w:p w:rsidR="00D2430C" w:rsidRPr="00E60086" w:rsidRDefault="00D2430C" w:rsidP="00847CDB">
            <w:pPr>
              <w:pStyle w:val="TableText"/>
              <w:spacing w:before="40" w:after="40"/>
              <w:ind w:right="142"/>
              <w:rPr>
                <w:rFonts w:eastAsia="Arial"/>
                <w:b/>
                <w:sz w:val="18"/>
                <w:szCs w:val="18"/>
              </w:rPr>
            </w:pPr>
            <w:r w:rsidRPr="00E60086">
              <w:rPr>
                <w:rFonts w:eastAsia="Arial"/>
                <w:b/>
                <w:sz w:val="18"/>
                <w:szCs w:val="18"/>
              </w:rPr>
              <w:t>Connecting with maternity consumer representatives</w:t>
            </w:r>
          </w:p>
        </w:tc>
        <w:tc>
          <w:tcPr>
            <w:tcW w:w="448" w:type="dxa"/>
            <w:tcBorders>
              <w:top w:val="nil"/>
              <w:left w:val="single" w:sz="4" w:space="0" w:color="auto"/>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auto"/>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8" w:type="dxa"/>
            <w:tcBorders>
              <w:top w:val="nil"/>
              <w:left w:val="single" w:sz="4" w:space="0" w:color="auto"/>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ascii="Wingdings" w:eastAsia="Arial" w:hAnsi="Wingdings"/>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ascii="Wingdings" w:eastAsia="Arial" w:hAnsi="Wingdings"/>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D2430C" w:rsidRPr="00E60086" w:rsidRDefault="00D2430C" w:rsidP="00847CDB">
            <w:pPr>
              <w:pStyle w:val="TableText"/>
              <w:spacing w:before="40" w:after="40"/>
              <w:jc w:val="center"/>
              <w:rPr>
                <w:rFonts w:ascii="Wingdings" w:eastAsia="Arial" w:hAnsi="Wingdings"/>
                <w:b/>
                <w:sz w:val="18"/>
                <w:szCs w:val="18"/>
              </w:rPr>
            </w:pPr>
          </w:p>
        </w:tc>
        <w:tc>
          <w:tcPr>
            <w:tcW w:w="449" w:type="dxa"/>
            <w:tcBorders>
              <w:top w:val="nil"/>
              <w:left w:val="single" w:sz="4" w:space="0" w:color="D9D9D9" w:themeColor="background1" w:themeShade="D9"/>
              <w:bottom w:val="nil"/>
            </w:tcBorders>
            <w:shd w:val="clear" w:color="auto" w:fill="EAEAEA"/>
            <w:vAlign w:val="center"/>
          </w:tcPr>
          <w:p w:rsidR="00D2430C" w:rsidRPr="00E60086" w:rsidRDefault="00D2430C" w:rsidP="00847CDB">
            <w:pPr>
              <w:pStyle w:val="TableText"/>
              <w:spacing w:before="40" w:after="40"/>
              <w:jc w:val="center"/>
              <w:rPr>
                <w:rFonts w:ascii="Wingdings" w:eastAsia="Arial" w:hAnsi="Wingdings"/>
                <w:b/>
                <w:sz w:val="18"/>
                <w:szCs w:val="18"/>
              </w:rPr>
            </w:pPr>
          </w:p>
        </w:tc>
      </w:tr>
      <w:tr w:rsidR="00E60086" w:rsidTr="00D77FAE">
        <w:trPr>
          <w:cantSplit/>
        </w:trPr>
        <w:tc>
          <w:tcPr>
            <w:tcW w:w="3119" w:type="dxa"/>
            <w:tcBorders>
              <w:top w:val="nil"/>
              <w:bottom w:val="single" w:sz="4" w:space="0" w:color="BFBFBF" w:themeColor="background1" w:themeShade="BF"/>
              <w:right w:val="single" w:sz="4" w:space="0" w:color="auto"/>
            </w:tcBorders>
          </w:tcPr>
          <w:p w:rsidR="00D2430C" w:rsidRDefault="00D2430C" w:rsidP="00847CDB">
            <w:pPr>
              <w:pStyle w:val="TableText"/>
              <w:spacing w:before="40" w:after="40"/>
              <w:ind w:right="142"/>
              <w:rPr>
                <w:rFonts w:eastAsia="Arial"/>
                <w:sz w:val="18"/>
                <w:szCs w:val="18"/>
              </w:rPr>
            </w:pPr>
            <w:r>
              <w:rPr>
                <w:rFonts w:eastAsia="Arial"/>
                <w:sz w:val="18"/>
                <w:szCs w:val="18"/>
              </w:rPr>
              <w:t>Communicate with consumer representatives on MQSP</w:t>
            </w:r>
          </w:p>
        </w:tc>
        <w:tc>
          <w:tcPr>
            <w:tcW w:w="448" w:type="dxa"/>
            <w:tcBorders>
              <w:top w:val="nil"/>
              <w:left w:val="single" w:sz="4" w:space="0" w:color="auto"/>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auto"/>
            </w:tcBorders>
            <w:vAlign w:val="center"/>
          </w:tcPr>
          <w:p w:rsidR="00D2430C" w:rsidRPr="00D330E5" w:rsidRDefault="00D2430C" w:rsidP="00847CDB">
            <w:pPr>
              <w:pStyle w:val="TableText"/>
              <w:spacing w:before="40" w:after="40"/>
              <w:jc w:val="center"/>
              <w:rPr>
                <w:rFonts w:eastAsia="Arial"/>
                <w:sz w:val="18"/>
                <w:szCs w:val="18"/>
              </w:rPr>
            </w:pPr>
          </w:p>
        </w:tc>
        <w:tc>
          <w:tcPr>
            <w:tcW w:w="448" w:type="dxa"/>
            <w:tcBorders>
              <w:top w:val="nil"/>
              <w:left w:val="single" w:sz="4" w:space="0" w:color="auto"/>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Default="00D2430C" w:rsidP="00847CDB">
            <w:pPr>
              <w:pStyle w:val="TableText"/>
              <w:spacing w:before="40" w:after="40"/>
              <w:jc w:val="center"/>
              <w:rPr>
                <w:rFonts w:ascii="Wingdings" w:eastAsia="Arial" w:hAnsi="Wingdings"/>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Default="00D2430C" w:rsidP="00847CDB">
            <w:pPr>
              <w:pStyle w:val="TableText"/>
              <w:spacing w:before="40" w:after="40"/>
              <w:jc w:val="center"/>
              <w:rPr>
                <w:rFonts w:ascii="Wingdings" w:eastAsia="Arial" w:hAnsi="Wingdings"/>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Default="00D2430C" w:rsidP="00847CDB">
            <w:pPr>
              <w:pStyle w:val="TableText"/>
              <w:spacing w:before="40" w:after="40"/>
              <w:jc w:val="center"/>
              <w:rPr>
                <w:rFonts w:ascii="Wingdings" w:eastAsia="Arial" w:hAnsi="Wingdings"/>
                <w:sz w:val="18"/>
                <w:szCs w:val="18"/>
              </w:rPr>
            </w:pPr>
          </w:p>
        </w:tc>
        <w:tc>
          <w:tcPr>
            <w:tcW w:w="449" w:type="dxa"/>
            <w:tcBorders>
              <w:top w:val="nil"/>
              <w:left w:val="single" w:sz="4" w:space="0" w:color="D9D9D9" w:themeColor="background1" w:themeShade="D9"/>
              <w:bottom w:val="single" w:sz="4" w:space="0" w:color="BFBFBF" w:themeColor="background1" w:themeShade="BF"/>
            </w:tcBorders>
            <w:vAlign w:val="center"/>
          </w:tcPr>
          <w:p w:rsidR="00D2430C" w:rsidRDefault="00D2430C" w:rsidP="00847CDB">
            <w:pPr>
              <w:pStyle w:val="TableText"/>
              <w:spacing w:before="40" w:after="40"/>
              <w:jc w:val="center"/>
              <w:rPr>
                <w:rFonts w:ascii="Wingdings" w:eastAsia="Arial" w:hAnsi="Wingdings"/>
                <w:sz w:val="18"/>
                <w:szCs w:val="18"/>
              </w:rPr>
            </w:pPr>
          </w:p>
        </w:tc>
      </w:tr>
      <w:tr w:rsidR="00E60086" w:rsidTr="00E60086">
        <w:trPr>
          <w:cantSplit/>
        </w:trPr>
        <w:tc>
          <w:tcPr>
            <w:tcW w:w="3119" w:type="dxa"/>
            <w:tcBorders>
              <w:top w:val="single" w:sz="4" w:space="0" w:color="BFBFBF" w:themeColor="background1" w:themeShade="BF"/>
              <w:bottom w:val="single" w:sz="4" w:space="0" w:color="BFBFBF" w:themeColor="background1" w:themeShade="BF"/>
              <w:right w:val="single" w:sz="4" w:space="0" w:color="auto"/>
            </w:tcBorders>
          </w:tcPr>
          <w:p w:rsidR="00D2430C" w:rsidRDefault="00D2430C" w:rsidP="00847CDB">
            <w:pPr>
              <w:pStyle w:val="TableText"/>
              <w:spacing w:before="40" w:after="40"/>
              <w:ind w:right="142"/>
              <w:rPr>
                <w:rFonts w:eastAsia="Arial"/>
                <w:sz w:val="18"/>
                <w:szCs w:val="18"/>
              </w:rPr>
            </w:pPr>
            <w:r>
              <w:rPr>
                <w:rFonts w:eastAsia="Arial"/>
                <w:sz w:val="18"/>
                <w:szCs w:val="18"/>
              </w:rPr>
              <w:t>Consider findings</w:t>
            </w:r>
          </w:p>
        </w:tc>
        <w:tc>
          <w:tcPr>
            <w:tcW w:w="448" w:type="dxa"/>
            <w:tcBorders>
              <w:top w:val="single" w:sz="4" w:space="0" w:color="BFBFBF" w:themeColor="background1" w:themeShade="BF"/>
              <w:left w:val="single" w:sz="4" w:space="0" w:color="auto"/>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auto"/>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8" w:type="dxa"/>
            <w:tcBorders>
              <w:top w:val="single" w:sz="4" w:space="0" w:color="BFBFBF" w:themeColor="background1" w:themeShade="BF"/>
              <w:left w:val="single" w:sz="4" w:space="0" w:color="auto"/>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Default="00D2430C" w:rsidP="00847CDB">
            <w:pPr>
              <w:pStyle w:val="TableText"/>
              <w:spacing w:before="40" w:after="40"/>
              <w:jc w:val="center"/>
              <w:rPr>
                <w:rFonts w:ascii="Wingdings" w:eastAsia="Arial" w:hAnsi="Wingdings"/>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Default="00D2430C" w:rsidP="00847CDB">
            <w:pPr>
              <w:pStyle w:val="TableText"/>
              <w:spacing w:before="40" w:after="40"/>
              <w:jc w:val="center"/>
              <w:rPr>
                <w:rFonts w:ascii="Wingdings" w:eastAsia="Arial" w:hAnsi="Wingdings"/>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Default="00D2430C" w:rsidP="00847CDB">
            <w:pPr>
              <w:pStyle w:val="TableText"/>
              <w:spacing w:before="40" w:after="40"/>
              <w:jc w:val="center"/>
              <w:rPr>
                <w:rFonts w:ascii="Wingdings" w:eastAsia="Arial" w:hAnsi="Wingdings"/>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tcBorders>
            <w:vAlign w:val="center"/>
          </w:tcPr>
          <w:p w:rsidR="00D2430C" w:rsidRDefault="00D2430C" w:rsidP="00847CDB">
            <w:pPr>
              <w:pStyle w:val="TableText"/>
              <w:spacing w:before="40" w:after="40"/>
              <w:jc w:val="center"/>
              <w:rPr>
                <w:rFonts w:ascii="Wingdings" w:eastAsia="Arial" w:hAnsi="Wingdings"/>
                <w:sz w:val="18"/>
                <w:szCs w:val="18"/>
              </w:rPr>
            </w:pPr>
          </w:p>
        </w:tc>
      </w:tr>
      <w:tr w:rsidR="00E60086" w:rsidTr="00E60086">
        <w:trPr>
          <w:cantSplit/>
        </w:trPr>
        <w:tc>
          <w:tcPr>
            <w:tcW w:w="3119" w:type="dxa"/>
            <w:tcBorders>
              <w:top w:val="single" w:sz="4" w:space="0" w:color="BFBFBF" w:themeColor="background1" w:themeShade="BF"/>
              <w:bottom w:val="single" w:sz="4" w:space="0" w:color="BFBFBF" w:themeColor="background1" w:themeShade="BF"/>
              <w:right w:val="single" w:sz="4" w:space="0" w:color="auto"/>
            </w:tcBorders>
          </w:tcPr>
          <w:p w:rsidR="00D2430C" w:rsidRDefault="00D2430C" w:rsidP="00847CDB">
            <w:pPr>
              <w:pStyle w:val="TableText"/>
              <w:spacing w:before="40" w:after="40"/>
              <w:ind w:right="142"/>
              <w:rPr>
                <w:rFonts w:eastAsia="Arial"/>
                <w:sz w:val="18"/>
                <w:szCs w:val="18"/>
              </w:rPr>
            </w:pPr>
            <w:r>
              <w:rPr>
                <w:rFonts w:eastAsia="Arial"/>
                <w:sz w:val="18"/>
                <w:szCs w:val="18"/>
              </w:rPr>
              <w:t>Communicate with DHBs</w:t>
            </w:r>
          </w:p>
        </w:tc>
        <w:tc>
          <w:tcPr>
            <w:tcW w:w="448" w:type="dxa"/>
            <w:tcBorders>
              <w:top w:val="single" w:sz="4" w:space="0" w:color="BFBFBF" w:themeColor="background1" w:themeShade="BF"/>
              <w:left w:val="single" w:sz="4" w:space="0" w:color="auto"/>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auto"/>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8" w:type="dxa"/>
            <w:tcBorders>
              <w:top w:val="single" w:sz="4" w:space="0" w:color="BFBFBF" w:themeColor="background1" w:themeShade="BF"/>
              <w:left w:val="single" w:sz="4" w:space="0" w:color="auto"/>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tcBorders>
            <w:vAlign w:val="center"/>
          </w:tcPr>
          <w:p w:rsidR="00D2430C" w:rsidRDefault="00D2430C" w:rsidP="00847CDB">
            <w:pPr>
              <w:pStyle w:val="TableText"/>
              <w:spacing w:before="40" w:after="40"/>
              <w:jc w:val="center"/>
              <w:rPr>
                <w:rFonts w:ascii="Wingdings" w:eastAsia="Arial" w:hAnsi="Wingdings"/>
                <w:sz w:val="18"/>
                <w:szCs w:val="18"/>
              </w:rPr>
            </w:pPr>
          </w:p>
        </w:tc>
      </w:tr>
      <w:tr w:rsidR="00E60086" w:rsidTr="00D77FAE">
        <w:trPr>
          <w:cantSplit/>
        </w:trPr>
        <w:tc>
          <w:tcPr>
            <w:tcW w:w="3119" w:type="dxa"/>
            <w:tcBorders>
              <w:top w:val="single" w:sz="4" w:space="0" w:color="BFBFBF" w:themeColor="background1" w:themeShade="BF"/>
              <w:bottom w:val="nil"/>
              <w:right w:val="single" w:sz="4" w:space="0" w:color="auto"/>
            </w:tcBorders>
          </w:tcPr>
          <w:p w:rsidR="00D2430C" w:rsidRDefault="00D2430C" w:rsidP="00847CDB">
            <w:pPr>
              <w:pStyle w:val="TableText"/>
              <w:spacing w:before="40" w:after="40"/>
              <w:ind w:right="142"/>
              <w:rPr>
                <w:rFonts w:eastAsia="Arial"/>
                <w:sz w:val="18"/>
                <w:szCs w:val="18"/>
              </w:rPr>
            </w:pPr>
            <w:r>
              <w:rPr>
                <w:rFonts w:eastAsia="Arial"/>
                <w:sz w:val="18"/>
                <w:szCs w:val="18"/>
              </w:rPr>
              <w:t>Provide recommendations</w:t>
            </w:r>
          </w:p>
        </w:tc>
        <w:tc>
          <w:tcPr>
            <w:tcW w:w="448" w:type="dxa"/>
            <w:tcBorders>
              <w:top w:val="single" w:sz="4" w:space="0" w:color="BFBFBF" w:themeColor="background1" w:themeShade="BF"/>
              <w:left w:val="single" w:sz="4" w:space="0" w:color="auto"/>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auto"/>
            </w:tcBorders>
            <w:vAlign w:val="center"/>
          </w:tcPr>
          <w:p w:rsidR="00D2430C" w:rsidRPr="00D330E5" w:rsidRDefault="00D2430C" w:rsidP="00847CDB">
            <w:pPr>
              <w:pStyle w:val="TableText"/>
              <w:spacing w:before="40" w:after="40"/>
              <w:jc w:val="center"/>
              <w:rPr>
                <w:rFonts w:eastAsia="Arial"/>
                <w:sz w:val="18"/>
                <w:szCs w:val="18"/>
              </w:rPr>
            </w:pPr>
          </w:p>
        </w:tc>
        <w:tc>
          <w:tcPr>
            <w:tcW w:w="448" w:type="dxa"/>
            <w:tcBorders>
              <w:top w:val="single" w:sz="4" w:space="0" w:color="BFBFBF" w:themeColor="background1" w:themeShade="BF"/>
              <w:left w:val="single" w:sz="4" w:space="0" w:color="auto"/>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Default="00D2430C" w:rsidP="00847CDB">
            <w:pPr>
              <w:pStyle w:val="TableText"/>
              <w:spacing w:before="40" w:after="40"/>
              <w:jc w:val="center"/>
              <w:rPr>
                <w:rFonts w:ascii="Wingdings" w:eastAsia="Arial" w:hAnsi="Wingdings"/>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Default="00D2430C" w:rsidP="00847CDB">
            <w:pPr>
              <w:pStyle w:val="TableText"/>
              <w:spacing w:before="40" w:after="40"/>
              <w:jc w:val="center"/>
              <w:rPr>
                <w:rFonts w:ascii="Wingdings" w:eastAsia="Arial" w:hAnsi="Wingdings"/>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nil"/>
            </w:tcBorders>
            <w:vAlign w:val="center"/>
          </w:tcPr>
          <w:p w:rsidR="00D2430C" w:rsidRPr="00D330E5" w:rsidRDefault="00D2430C" w:rsidP="00847CDB">
            <w:pPr>
              <w:pStyle w:val="TableText"/>
              <w:spacing w:before="40" w:after="40"/>
              <w:jc w:val="center"/>
              <w:rPr>
                <w:rFonts w:eastAsia="Arial"/>
                <w:sz w:val="18"/>
                <w:szCs w:val="18"/>
              </w:rPr>
            </w:pPr>
            <w:r>
              <w:rPr>
                <w:rFonts w:ascii="Wingdings" w:eastAsia="Arial" w:hAnsi="Wingdings"/>
                <w:sz w:val="18"/>
                <w:szCs w:val="18"/>
              </w:rPr>
              <w:t></w:t>
            </w:r>
          </w:p>
        </w:tc>
      </w:tr>
      <w:tr w:rsidR="00E60086" w:rsidRPr="00E60086" w:rsidTr="00D77FAE">
        <w:trPr>
          <w:cantSplit/>
        </w:trPr>
        <w:tc>
          <w:tcPr>
            <w:tcW w:w="3119" w:type="dxa"/>
            <w:tcBorders>
              <w:top w:val="nil"/>
              <w:bottom w:val="nil"/>
              <w:right w:val="single" w:sz="4" w:space="0" w:color="auto"/>
            </w:tcBorders>
            <w:shd w:val="clear" w:color="auto" w:fill="EAEAEA"/>
          </w:tcPr>
          <w:p w:rsidR="00B5439C" w:rsidRPr="00E60086" w:rsidRDefault="00B5439C" w:rsidP="00847CDB">
            <w:pPr>
              <w:pStyle w:val="TableText"/>
              <w:spacing w:before="40" w:after="40"/>
              <w:ind w:right="142"/>
              <w:rPr>
                <w:rFonts w:eastAsia="Arial"/>
                <w:b/>
                <w:sz w:val="18"/>
                <w:szCs w:val="18"/>
              </w:rPr>
            </w:pPr>
            <w:r w:rsidRPr="00E60086">
              <w:rPr>
                <w:rFonts w:eastAsia="Arial"/>
                <w:b/>
                <w:sz w:val="18"/>
                <w:szCs w:val="18"/>
              </w:rPr>
              <w:t>The New Zealand Maternity Clinical Indicators</w:t>
            </w:r>
          </w:p>
        </w:tc>
        <w:tc>
          <w:tcPr>
            <w:tcW w:w="448" w:type="dxa"/>
            <w:tcBorders>
              <w:top w:val="nil"/>
              <w:left w:val="single" w:sz="4" w:space="0" w:color="auto"/>
              <w:bottom w:val="nil"/>
              <w:right w:val="single" w:sz="4" w:space="0" w:color="D9D9D9" w:themeColor="background1" w:themeShade="D9"/>
            </w:tcBorders>
            <w:shd w:val="clear" w:color="auto" w:fill="EAEAEA"/>
            <w:vAlign w:val="center"/>
          </w:tcPr>
          <w:p w:rsidR="00B5439C" w:rsidRPr="00E60086" w:rsidRDefault="00B5439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B5439C" w:rsidRPr="00E60086" w:rsidRDefault="00B5439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B5439C" w:rsidRPr="00E60086" w:rsidRDefault="00B5439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B5439C" w:rsidRPr="00E60086" w:rsidRDefault="00B5439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B5439C" w:rsidRPr="00E60086" w:rsidRDefault="00B5439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auto"/>
            </w:tcBorders>
            <w:shd w:val="clear" w:color="auto" w:fill="EAEAEA"/>
            <w:vAlign w:val="center"/>
          </w:tcPr>
          <w:p w:rsidR="00B5439C" w:rsidRPr="00E60086" w:rsidRDefault="00B5439C" w:rsidP="00847CDB">
            <w:pPr>
              <w:pStyle w:val="TableText"/>
              <w:spacing w:before="40" w:after="40"/>
              <w:jc w:val="center"/>
              <w:rPr>
                <w:rFonts w:eastAsia="Arial"/>
                <w:b/>
                <w:sz w:val="18"/>
                <w:szCs w:val="18"/>
              </w:rPr>
            </w:pPr>
          </w:p>
        </w:tc>
        <w:tc>
          <w:tcPr>
            <w:tcW w:w="448" w:type="dxa"/>
            <w:tcBorders>
              <w:top w:val="nil"/>
              <w:left w:val="single" w:sz="4" w:space="0" w:color="auto"/>
              <w:bottom w:val="nil"/>
              <w:right w:val="single" w:sz="4" w:space="0" w:color="D9D9D9" w:themeColor="background1" w:themeShade="D9"/>
            </w:tcBorders>
            <w:shd w:val="clear" w:color="auto" w:fill="EAEAEA"/>
            <w:vAlign w:val="center"/>
          </w:tcPr>
          <w:p w:rsidR="00B5439C" w:rsidRPr="00E60086" w:rsidRDefault="00B5439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B5439C" w:rsidRPr="00E60086" w:rsidRDefault="00B5439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B5439C" w:rsidRPr="00E60086" w:rsidRDefault="00B5439C" w:rsidP="00847CDB">
            <w:pPr>
              <w:pStyle w:val="TableText"/>
              <w:spacing w:before="40" w:after="40"/>
              <w:jc w:val="center"/>
              <w:rPr>
                <w:rFonts w:ascii="Wingdings" w:eastAsia="Arial" w:hAnsi="Wingdings"/>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B5439C" w:rsidRPr="00E60086" w:rsidRDefault="00B5439C" w:rsidP="00847CDB">
            <w:pPr>
              <w:pStyle w:val="TableText"/>
              <w:spacing w:before="40" w:after="40"/>
              <w:jc w:val="center"/>
              <w:rPr>
                <w:rFonts w:ascii="Wingdings" w:eastAsia="Arial" w:hAnsi="Wingdings"/>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B5439C" w:rsidRPr="00E60086" w:rsidRDefault="00B5439C" w:rsidP="00847CDB">
            <w:pPr>
              <w:pStyle w:val="TableText"/>
              <w:spacing w:before="40" w:after="40"/>
              <w:jc w:val="center"/>
              <w:rPr>
                <w:rFonts w:ascii="Wingdings" w:eastAsia="Arial" w:hAnsi="Wingdings"/>
                <w:b/>
                <w:sz w:val="18"/>
                <w:szCs w:val="18"/>
              </w:rPr>
            </w:pPr>
          </w:p>
        </w:tc>
        <w:tc>
          <w:tcPr>
            <w:tcW w:w="449" w:type="dxa"/>
            <w:tcBorders>
              <w:top w:val="nil"/>
              <w:left w:val="single" w:sz="4" w:space="0" w:color="D9D9D9" w:themeColor="background1" w:themeShade="D9"/>
              <w:bottom w:val="nil"/>
            </w:tcBorders>
            <w:shd w:val="clear" w:color="auto" w:fill="EAEAEA"/>
            <w:vAlign w:val="center"/>
          </w:tcPr>
          <w:p w:rsidR="00B5439C" w:rsidRPr="00E60086" w:rsidRDefault="00B5439C" w:rsidP="00847CDB">
            <w:pPr>
              <w:pStyle w:val="TableText"/>
              <w:spacing w:before="40" w:after="40"/>
              <w:jc w:val="center"/>
              <w:rPr>
                <w:rFonts w:ascii="Wingdings" w:eastAsia="Arial" w:hAnsi="Wingdings"/>
                <w:b/>
                <w:sz w:val="18"/>
                <w:szCs w:val="18"/>
              </w:rPr>
            </w:pPr>
          </w:p>
        </w:tc>
      </w:tr>
      <w:tr w:rsidR="00E60086" w:rsidTr="00D77FAE">
        <w:trPr>
          <w:cantSplit/>
        </w:trPr>
        <w:tc>
          <w:tcPr>
            <w:tcW w:w="3119" w:type="dxa"/>
            <w:tcBorders>
              <w:top w:val="nil"/>
              <w:bottom w:val="single" w:sz="4" w:space="0" w:color="BFBFBF" w:themeColor="background1" w:themeShade="BF"/>
              <w:right w:val="single" w:sz="4" w:space="0" w:color="auto"/>
            </w:tcBorders>
          </w:tcPr>
          <w:p w:rsidR="00B5439C" w:rsidRDefault="00B5439C" w:rsidP="00847CDB">
            <w:pPr>
              <w:pStyle w:val="TableText"/>
              <w:spacing w:before="40" w:after="40"/>
              <w:ind w:right="142"/>
              <w:rPr>
                <w:rFonts w:eastAsia="Arial"/>
                <w:sz w:val="18"/>
                <w:szCs w:val="18"/>
              </w:rPr>
            </w:pPr>
            <w:r>
              <w:rPr>
                <w:rFonts w:eastAsia="Arial"/>
                <w:sz w:val="18"/>
                <w:szCs w:val="18"/>
              </w:rPr>
              <w:t>Review the New Zealand Maternity Clinical Indicators 2012</w:t>
            </w:r>
          </w:p>
        </w:tc>
        <w:tc>
          <w:tcPr>
            <w:tcW w:w="448" w:type="dxa"/>
            <w:tcBorders>
              <w:top w:val="nil"/>
              <w:left w:val="single" w:sz="4" w:space="0" w:color="auto"/>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auto"/>
            </w:tcBorders>
            <w:vAlign w:val="center"/>
          </w:tcPr>
          <w:p w:rsidR="00B5439C" w:rsidRPr="00D330E5" w:rsidRDefault="00B5439C" w:rsidP="00847CDB">
            <w:pPr>
              <w:pStyle w:val="TableText"/>
              <w:spacing w:before="40" w:after="40"/>
              <w:jc w:val="center"/>
              <w:rPr>
                <w:rFonts w:eastAsia="Arial"/>
                <w:sz w:val="18"/>
                <w:szCs w:val="18"/>
              </w:rPr>
            </w:pPr>
            <w:r>
              <w:rPr>
                <w:rFonts w:ascii="Wingdings" w:eastAsia="Arial" w:hAnsi="Wingdings"/>
                <w:sz w:val="18"/>
                <w:szCs w:val="18"/>
              </w:rPr>
              <w:t></w:t>
            </w:r>
          </w:p>
        </w:tc>
        <w:tc>
          <w:tcPr>
            <w:tcW w:w="448" w:type="dxa"/>
            <w:tcBorders>
              <w:top w:val="nil"/>
              <w:left w:val="single" w:sz="4" w:space="0" w:color="auto"/>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Default="00B5439C" w:rsidP="00847CDB">
            <w:pPr>
              <w:pStyle w:val="TableText"/>
              <w:spacing w:before="40" w:after="40"/>
              <w:jc w:val="center"/>
              <w:rPr>
                <w:rFonts w:ascii="Wingdings" w:eastAsia="Arial" w:hAnsi="Wingdings"/>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Default="00B5439C" w:rsidP="00847CDB">
            <w:pPr>
              <w:pStyle w:val="TableText"/>
              <w:spacing w:before="40" w:after="40"/>
              <w:jc w:val="center"/>
              <w:rPr>
                <w:rFonts w:ascii="Wingdings" w:eastAsia="Arial" w:hAnsi="Wingdings"/>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Default="00B5439C" w:rsidP="00847CDB">
            <w:pPr>
              <w:pStyle w:val="TableText"/>
              <w:spacing w:before="40" w:after="40"/>
              <w:jc w:val="center"/>
              <w:rPr>
                <w:rFonts w:ascii="Wingdings" w:eastAsia="Arial" w:hAnsi="Wingdings"/>
                <w:sz w:val="18"/>
                <w:szCs w:val="18"/>
              </w:rPr>
            </w:pPr>
          </w:p>
        </w:tc>
        <w:tc>
          <w:tcPr>
            <w:tcW w:w="449" w:type="dxa"/>
            <w:tcBorders>
              <w:top w:val="nil"/>
              <w:left w:val="single" w:sz="4" w:space="0" w:color="D9D9D9" w:themeColor="background1" w:themeShade="D9"/>
              <w:bottom w:val="single" w:sz="4" w:space="0" w:color="BFBFBF" w:themeColor="background1" w:themeShade="BF"/>
            </w:tcBorders>
            <w:vAlign w:val="center"/>
          </w:tcPr>
          <w:p w:rsidR="00B5439C" w:rsidRDefault="00B5439C" w:rsidP="00847CDB">
            <w:pPr>
              <w:pStyle w:val="TableText"/>
              <w:spacing w:before="40" w:after="40"/>
              <w:jc w:val="center"/>
              <w:rPr>
                <w:rFonts w:ascii="Wingdings" w:eastAsia="Arial" w:hAnsi="Wingdings"/>
                <w:sz w:val="18"/>
                <w:szCs w:val="18"/>
              </w:rPr>
            </w:pPr>
          </w:p>
        </w:tc>
      </w:tr>
      <w:tr w:rsidR="00E60086" w:rsidTr="00E60086">
        <w:trPr>
          <w:cantSplit/>
        </w:trPr>
        <w:tc>
          <w:tcPr>
            <w:tcW w:w="3119" w:type="dxa"/>
            <w:tcBorders>
              <w:top w:val="single" w:sz="4" w:space="0" w:color="BFBFBF" w:themeColor="background1" w:themeShade="BF"/>
              <w:bottom w:val="single" w:sz="4" w:space="0" w:color="BFBFBF" w:themeColor="background1" w:themeShade="BF"/>
              <w:right w:val="single" w:sz="4" w:space="0" w:color="auto"/>
            </w:tcBorders>
          </w:tcPr>
          <w:p w:rsidR="00B5439C" w:rsidRDefault="00B5439C" w:rsidP="00847CDB">
            <w:pPr>
              <w:pStyle w:val="TableText"/>
              <w:spacing w:before="40" w:after="40"/>
              <w:ind w:right="142"/>
              <w:rPr>
                <w:rFonts w:eastAsia="Arial"/>
                <w:sz w:val="18"/>
                <w:szCs w:val="18"/>
              </w:rPr>
            </w:pPr>
            <w:r>
              <w:rPr>
                <w:rFonts w:eastAsia="Arial"/>
                <w:sz w:val="18"/>
                <w:szCs w:val="18"/>
              </w:rPr>
              <w:t>Communicate with DHBs</w:t>
            </w:r>
          </w:p>
        </w:tc>
        <w:tc>
          <w:tcPr>
            <w:tcW w:w="448" w:type="dxa"/>
            <w:tcBorders>
              <w:top w:val="single" w:sz="4" w:space="0" w:color="BFBFBF" w:themeColor="background1" w:themeShade="BF"/>
              <w:left w:val="single" w:sz="4" w:space="0" w:color="auto"/>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auto"/>
            </w:tcBorders>
            <w:vAlign w:val="center"/>
          </w:tcPr>
          <w:p w:rsidR="00B5439C" w:rsidRPr="00D330E5" w:rsidRDefault="00B5439C" w:rsidP="00847CDB">
            <w:pPr>
              <w:pStyle w:val="TableText"/>
              <w:spacing w:before="40" w:after="40"/>
              <w:jc w:val="center"/>
              <w:rPr>
                <w:rFonts w:eastAsia="Arial"/>
                <w:sz w:val="18"/>
                <w:szCs w:val="18"/>
              </w:rPr>
            </w:pPr>
          </w:p>
        </w:tc>
        <w:tc>
          <w:tcPr>
            <w:tcW w:w="448" w:type="dxa"/>
            <w:tcBorders>
              <w:top w:val="single" w:sz="4" w:space="0" w:color="BFBFBF" w:themeColor="background1" w:themeShade="BF"/>
              <w:left w:val="single" w:sz="4" w:space="0" w:color="auto"/>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tcBorders>
            <w:vAlign w:val="center"/>
          </w:tcPr>
          <w:p w:rsidR="00B5439C" w:rsidRDefault="00B5439C" w:rsidP="00847CDB">
            <w:pPr>
              <w:pStyle w:val="TableText"/>
              <w:spacing w:before="40" w:after="40"/>
              <w:jc w:val="center"/>
              <w:rPr>
                <w:rFonts w:ascii="Wingdings" w:eastAsia="Arial" w:hAnsi="Wingdings"/>
                <w:sz w:val="18"/>
                <w:szCs w:val="18"/>
              </w:rPr>
            </w:pPr>
          </w:p>
        </w:tc>
      </w:tr>
      <w:tr w:rsidR="00E60086" w:rsidTr="00D77FAE">
        <w:trPr>
          <w:cantSplit/>
        </w:trPr>
        <w:tc>
          <w:tcPr>
            <w:tcW w:w="3119" w:type="dxa"/>
            <w:tcBorders>
              <w:top w:val="single" w:sz="4" w:space="0" w:color="BFBFBF" w:themeColor="background1" w:themeShade="BF"/>
              <w:bottom w:val="nil"/>
              <w:right w:val="single" w:sz="4" w:space="0" w:color="auto"/>
            </w:tcBorders>
          </w:tcPr>
          <w:p w:rsidR="00B5439C" w:rsidRDefault="00B5439C" w:rsidP="00847CDB">
            <w:pPr>
              <w:pStyle w:val="TableText"/>
              <w:spacing w:before="40" w:after="40"/>
              <w:ind w:right="142"/>
              <w:rPr>
                <w:rFonts w:eastAsia="Arial"/>
                <w:sz w:val="18"/>
                <w:szCs w:val="18"/>
              </w:rPr>
            </w:pPr>
            <w:r>
              <w:rPr>
                <w:rFonts w:eastAsia="Arial"/>
                <w:sz w:val="18"/>
                <w:szCs w:val="18"/>
              </w:rPr>
              <w:t>Provide recommendations</w:t>
            </w:r>
          </w:p>
        </w:tc>
        <w:tc>
          <w:tcPr>
            <w:tcW w:w="448" w:type="dxa"/>
            <w:tcBorders>
              <w:top w:val="single" w:sz="4" w:space="0" w:color="BFBFBF" w:themeColor="background1" w:themeShade="BF"/>
              <w:left w:val="single" w:sz="4" w:space="0" w:color="auto"/>
              <w:bottom w:val="nil"/>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auto"/>
            </w:tcBorders>
            <w:vAlign w:val="center"/>
          </w:tcPr>
          <w:p w:rsidR="00B5439C" w:rsidRPr="00D330E5" w:rsidRDefault="00B5439C" w:rsidP="00847CDB">
            <w:pPr>
              <w:pStyle w:val="TableText"/>
              <w:spacing w:before="40" w:after="40"/>
              <w:jc w:val="center"/>
              <w:rPr>
                <w:rFonts w:eastAsia="Arial"/>
                <w:sz w:val="18"/>
                <w:szCs w:val="18"/>
              </w:rPr>
            </w:pPr>
          </w:p>
        </w:tc>
        <w:tc>
          <w:tcPr>
            <w:tcW w:w="448" w:type="dxa"/>
            <w:tcBorders>
              <w:top w:val="single" w:sz="4" w:space="0" w:color="BFBFBF" w:themeColor="background1" w:themeShade="BF"/>
              <w:left w:val="single" w:sz="4" w:space="0" w:color="auto"/>
              <w:bottom w:val="nil"/>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B5439C" w:rsidRDefault="00B5439C" w:rsidP="00847CDB">
            <w:pPr>
              <w:pStyle w:val="TableText"/>
              <w:spacing w:before="40" w:after="40"/>
              <w:jc w:val="center"/>
              <w:rPr>
                <w:rFonts w:ascii="Wingdings" w:eastAsia="Arial" w:hAnsi="Wingdings"/>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B5439C" w:rsidRDefault="00B5439C" w:rsidP="00847CDB">
            <w:pPr>
              <w:pStyle w:val="TableText"/>
              <w:spacing w:before="40" w:after="40"/>
              <w:jc w:val="center"/>
              <w:rPr>
                <w:rFonts w:ascii="Wingdings" w:eastAsia="Arial" w:hAnsi="Wingdings"/>
                <w:sz w:val="18"/>
                <w:szCs w:val="18"/>
              </w:rPr>
            </w:pPr>
          </w:p>
        </w:tc>
        <w:tc>
          <w:tcPr>
            <w:tcW w:w="449"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nil"/>
            </w:tcBorders>
            <w:vAlign w:val="center"/>
          </w:tcPr>
          <w:p w:rsidR="00B5439C" w:rsidRPr="00D330E5" w:rsidRDefault="00B5439C" w:rsidP="00847CDB">
            <w:pPr>
              <w:pStyle w:val="TableText"/>
              <w:spacing w:before="40" w:after="40"/>
              <w:jc w:val="center"/>
              <w:rPr>
                <w:rFonts w:eastAsia="Arial"/>
                <w:sz w:val="18"/>
                <w:szCs w:val="18"/>
              </w:rPr>
            </w:pPr>
            <w:r>
              <w:rPr>
                <w:rFonts w:ascii="Wingdings" w:eastAsia="Arial" w:hAnsi="Wingdings"/>
                <w:sz w:val="18"/>
                <w:szCs w:val="18"/>
              </w:rPr>
              <w:t></w:t>
            </w:r>
          </w:p>
        </w:tc>
      </w:tr>
      <w:tr w:rsidR="00E60086" w:rsidRPr="00E60086" w:rsidTr="00D77FAE">
        <w:trPr>
          <w:cantSplit/>
        </w:trPr>
        <w:tc>
          <w:tcPr>
            <w:tcW w:w="3119" w:type="dxa"/>
            <w:tcBorders>
              <w:top w:val="nil"/>
              <w:bottom w:val="nil"/>
              <w:right w:val="single" w:sz="4" w:space="0" w:color="auto"/>
            </w:tcBorders>
            <w:shd w:val="clear" w:color="auto" w:fill="EAEAEA"/>
          </w:tcPr>
          <w:p w:rsidR="00B5439C" w:rsidRPr="00E60086" w:rsidRDefault="00B5439C" w:rsidP="00847CDB">
            <w:pPr>
              <w:pStyle w:val="TableText"/>
              <w:spacing w:before="40" w:after="40"/>
              <w:ind w:right="142"/>
              <w:rPr>
                <w:rFonts w:eastAsia="Arial"/>
                <w:b/>
                <w:sz w:val="18"/>
                <w:szCs w:val="18"/>
              </w:rPr>
            </w:pPr>
            <w:r w:rsidRPr="00E60086">
              <w:rPr>
                <w:rFonts w:eastAsia="Arial"/>
                <w:b/>
                <w:sz w:val="18"/>
                <w:szCs w:val="18"/>
              </w:rPr>
              <w:t>Other reports</w:t>
            </w:r>
          </w:p>
        </w:tc>
        <w:tc>
          <w:tcPr>
            <w:tcW w:w="448" w:type="dxa"/>
            <w:tcBorders>
              <w:top w:val="nil"/>
              <w:left w:val="single" w:sz="4" w:space="0" w:color="auto"/>
              <w:bottom w:val="nil"/>
              <w:right w:val="single" w:sz="4" w:space="0" w:color="D9D9D9" w:themeColor="background1" w:themeShade="D9"/>
            </w:tcBorders>
            <w:shd w:val="clear" w:color="auto" w:fill="EAEAEA"/>
            <w:vAlign w:val="center"/>
          </w:tcPr>
          <w:p w:rsidR="00B5439C" w:rsidRPr="00E60086" w:rsidRDefault="00B5439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B5439C" w:rsidRPr="00E60086" w:rsidRDefault="00B5439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B5439C" w:rsidRPr="00E60086" w:rsidRDefault="00B5439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B5439C" w:rsidRPr="00E60086" w:rsidRDefault="00B5439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B5439C" w:rsidRPr="00E60086" w:rsidRDefault="00B5439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auto"/>
            </w:tcBorders>
            <w:shd w:val="clear" w:color="auto" w:fill="EAEAEA"/>
            <w:vAlign w:val="center"/>
          </w:tcPr>
          <w:p w:rsidR="00B5439C" w:rsidRPr="00E60086" w:rsidRDefault="00B5439C" w:rsidP="00847CDB">
            <w:pPr>
              <w:pStyle w:val="TableText"/>
              <w:spacing w:before="40" w:after="40"/>
              <w:jc w:val="center"/>
              <w:rPr>
                <w:rFonts w:eastAsia="Arial"/>
                <w:b/>
                <w:sz w:val="18"/>
                <w:szCs w:val="18"/>
              </w:rPr>
            </w:pPr>
          </w:p>
        </w:tc>
        <w:tc>
          <w:tcPr>
            <w:tcW w:w="448" w:type="dxa"/>
            <w:tcBorders>
              <w:top w:val="nil"/>
              <w:left w:val="single" w:sz="4" w:space="0" w:color="auto"/>
              <w:bottom w:val="nil"/>
              <w:right w:val="single" w:sz="4" w:space="0" w:color="D9D9D9" w:themeColor="background1" w:themeShade="D9"/>
            </w:tcBorders>
            <w:shd w:val="clear" w:color="auto" w:fill="EAEAEA"/>
            <w:vAlign w:val="center"/>
          </w:tcPr>
          <w:p w:rsidR="00B5439C" w:rsidRPr="00E60086" w:rsidRDefault="00B5439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B5439C" w:rsidRPr="00E60086" w:rsidRDefault="00B5439C" w:rsidP="00847CDB">
            <w:pPr>
              <w:pStyle w:val="TableText"/>
              <w:spacing w:before="40" w:after="40"/>
              <w:jc w:val="center"/>
              <w:rPr>
                <w:rFonts w:eastAsia="Arial"/>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B5439C" w:rsidRPr="00E60086" w:rsidRDefault="00B5439C" w:rsidP="00847CDB">
            <w:pPr>
              <w:pStyle w:val="TableText"/>
              <w:spacing w:before="40" w:after="40"/>
              <w:jc w:val="center"/>
              <w:rPr>
                <w:rFonts w:ascii="Wingdings" w:eastAsia="Arial" w:hAnsi="Wingdings"/>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B5439C" w:rsidRPr="00E60086" w:rsidRDefault="00B5439C" w:rsidP="00847CDB">
            <w:pPr>
              <w:pStyle w:val="TableText"/>
              <w:spacing w:before="40" w:after="40"/>
              <w:jc w:val="center"/>
              <w:rPr>
                <w:rFonts w:ascii="Wingdings" w:eastAsia="Arial" w:hAnsi="Wingdings"/>
                <w:b/>
                <w:sz w:val="18"/>
                <w:szCs w:val="18"/>
              </w:rPr>
            </w:pPr>
          </w:p>
        </w:tc>
        <w:tc>
          <w:tcPr>
            <w:tcW w:w="449" w:type="dxa"/>
            <w:tcBorders>
              <w:top w:val="nil"/>
              <w:left w:val="single" w:sz="4" w:space="0" w:color="D9D9D9" w:themeColor="background1" w:themeShade="D9"/>
              <w:bottom w:val="nil"/>
              <w:right w:val="single" w:sz="4" w:space="0" w:color="D9D9D9" w:themeColor="background1" w:themeShade="D9"/>
            </w:tcBorders>
            <w:shd w:val="clear" w:color="auto" w:fill="EAEAEA"/>
            <w:vAlign w:val="center"/>
          </w:tcPr>
          <w:p w:rsidR="00B5439C" w:rsidRPr="00E60086" w:rsidRDefault="00B5439C" w:rsidP="00847CDB">
            <w:pPr>
              <w:pStyle w:val="TableText"/>
              <w:spacing w:before="40" w:after="40"/>
              <w:jc w:val="center"/>
              <w:rPr>
                <w:rFonts w:ascii="Wingdings" w:eastAsia="Arial" w:hAnsi="Wingdings"/>
                <w:b/>
                <w:sz w:val="18"/>
                <w:szCs w:val="18"/>
              </w:rPr>
            </w:pPr>
          </w:p>
        </w:tc>
        <w:tc>
          <w:tcPr>
            <w:tcW w:w="449" w:type="dxa"/>
            <w:tcBorders>
              <w:top w:val="nil"/>
              <w:left w:val="single" w:sz="4" w:space="0" w:color="D9D9D9" w:themeColor="background1" w:themeShade="D9"/>
              <w:bottom w:val="nil"/>
            </w:tcBorders>
            <w:shd w:val="clear" w:color="auto" w:fill="EAEAEA"/>
            <w:vAlign w:val="center"/>
          </w:tcPr>
          <w:p w:rsidR="00B5439C" w:rsidRPr="00E60086" w:rsidRDefault="00B5439C" w:rsidP="00847CDB">
            <w:pPr>
              <w:pStyle w:val="TableText"/>
              <w:spacing w:before="40" w:after="40"/>
              <w:jc w:val="center"/>
              <w:rPr>
                <w:rFonts w:ascii="Wingdings" w:eastAsia="Arial" w:hAnsi="Wingdings"/>
                <w:b/>
                <w:sz w:val="18"/>
                <w:szCs w:val="18"/>
              </w:rPr>
            </w:pPr>
          </w:p>
        </w:tc>
      </w:tr>
      <w:tr w:rsidR="00E60086" w:rsidTr="00D77FAE">
        <w:trPr>
          <w:cantSplit/>
        </w:trPr>
        <w:tc>
          <w:tcPr>
            <w:tcW w:w="3119" w:type="dxa"/>
            <w:tcBorders>
              <w:top w:val="nil"/>
              <w:bottom w:val="single" w:sz="4" w:space="0" w:color="BFBFBF" w:themeColor="background1" w:themeShade="BF"/>
              <w:right w:val="single" w:sz="4" w:space="0" w:color="auto"/>
            </w:tcBorders>
          </w:tcPr>
          <w:p w:rsidR="00B5439C" w:rsidRDefault="00B5439C" w:rsidP="00847CDB">
            <w:pPr>
              <w:pStyle w:val="TableText"/>
              <w:spacing w:before="40" w:after="40"/>
              <w:ind w:right="142"/>
              <w:rPr>
                <w:rFonts w:eastAsia="Arial"/>
                <w:sz w:val="18"/>
                <w:szCs w:val="18"/>
              </w:rPr>
            </w:pPr>
            <w:r>
              <w:rPr>
                <w:rFonts w:eastAsia="Arial"/>
                <w:sz w:val="18"/>
                <w:szCs w:val="18"/>
              </w:rPr>
              <w:t>Review the Ministry of Health Annual Report on Maternity publication</w:t>
            </w:r>
          </w:p>
        </w:tc>
        <w:tc>
          <w:tcPr>
            <w:tcW w:w="448" w:type="dxa"/>
            <w:tcBorders>
              <w:top w:val="nil"/>
              <w:left w:val="single" w:sz="4" w:space="0" w:color="auto"/>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auto"/>
            </w:tcBorders>
            <w:vAlign w:val="center"/>
          </w:tcPr>
          <w:p w:rsidR="00B5439C" w:rsidRPr="00D330E5" w:rsidRDefault="00B5439C" w:rsidP="00847CDB">
            <w:pPr>
              <w:pStyle w:val="TableText"/>
              <w:spacing w:before="40" w:after="40"/>
              <w:jc w:val="center"/>
              <w:rPr>
                <w:rFonts w:eastAsia="Arial"/>
                <w:sz w:val="18"/>
                <w:szCs w:val="18"/>
              </w:rPr>
            </w:pPr>
            <w:r>
              <w:rPr>
                <w:rFonts w:ascii="Wingdings" w:eastAsia="Arial" w:hAnsi="Wingdings"/>
                <w:sz w:val="18"/>
                <w:szCs w:val="18"/>
              </w:rPr>
              <w:t></w:t>
            </w:r>
          </w:p>
        </w:tc>
        <w:tc>
          <w:tcPr>
            <w:tcW w:w="448" w:type="dxa"/>
            <w:tcBorders>
              <w:top w:val="nil"/>
              <w:left w:val="single" w:sz="4" w:space="0" w:color="auto"/>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nil"/>
              <w:left w:val="single" w:sz="4" w:space="0" w:color="D9D9D9" w:themeColor="background1" w:themeShade="D9"/>
              <w:bottom w:val="single" w:sz="4" w:space="0" w:color="BFBFBF" w:themeColor="background1" w:themeShade="BF"/>
            </w:tcBorders>
            <w:vAlign w:val="center"/>
          </w:tcPr>
          <w:p w:rsidR="00B5439C" w:rsidRPr="00D330E5" w:rsidRDefault="00B5439C" w:rsidP="00847CDB">
            <w:pPr>
              <w:pStyle w:val="TableText"/>
              <w:spacing w:before="40" w:after="40"/>
              <w:jc w:val="center"/>
              <w:rPr>
                <w:rFonts w:eastAsia="Arial"/>
                <w:sz w:val="18"/>
                <w:szCs w:val="18"/>
              </w:rPr>
            </w:pPr>
          </w:p>
        </w:tc>
      </w:tr>
      <w:tr w:rsidR="00E60086" w:rsidTr="00E60086">
        <w:trPr>
          <w:cantSplit/>
        </w:trPr>
        <w:tc>
          <w:tcPr>
            <w:tcW w:w="3119" w:type="dxa"/>
            <w:tcBorders>
              <w:top w:val="single" w:sz="4" w:space="0" w:color="BFBFBF" w:themeColor="background1" w:themeShade="BF"/>
              <w:bottom w:val="single" w:sz="4" w:space="0" w:color="BFBFBF" w:themeColor="background1" w:themeShade="BF"/>
              <w:right w:val="single" w:sz="4" w:space="0" w:color="auto"/>
            </w:tcBorders>
          </w:tcPr>
          <w:p w:rsidR="00B5439C" w:rsidRDefault="00B5439C" w:rsidP="00847CDB">
            <w:pPr>
              <w:pStyle w:val="TableText"/>
              <w:spacing w:before="40" w:after="40"/>
              <w:ind w:right="142"/>
              <w:rPr>
                <w:rFonts w:eastAsia="Arial"/>
                <w:sz w:val="18"/>
                <w:szCs w:val="18"/>
              </w:rPr>
            </w:pPr>
            <w:r>
              <w:rPr>
                <w:rFonts w:eastAsia="Arial"/>
                <w:sz w:val="18"/>
                <w:szCs w:val="18"/>
              </w:rPr>
              <w:t>Review and provide feedback on the draft DHB MQSP Annual Reports</w:t>
            </w:r>
          </w:p>
        </w:tc>
        <w:tc>
          <w:tcPr>
            <w:tcW w:w="448" w:type="dxa"/>
            <w:tcBorders>
              <w:top w:val="single" w:sz="4" w:space="0" w:color="BFBFBF" w:themeColor="background1" w:themeShade="BF"/>
              <w:left w:val="single" w:sz="4" w:space="0" w:color="auto"/>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auto"/>
            </w:tcBorders>
            <w:vAlign w:val="center"/>
          </w:tcPr>
          <w:p w:rsidR="00B5439C" w:rsidRPr="00D330E5" w:rsidRDefault="00B5439C" w:rsidP="00847CDB">
            <w:pPr>
              <w:pStyle w:val="TableText"/>
              <w:spacing w:before="40" w:after="40"/>
              <w:jc w:val="center"/>
              <w:rPr>
                <w:rFonts w:eastAsia="Arial"/>
                <w:sz w:val="18"/>
                <w:szCs w:val="18"/>
              </w:rPr>
            </w:pPr>
          </w:p>
        </w:tc>
        <w:tc>
          <w:tcPr>
            <w:tcW w:w="448" w:type="dxa"/>
            <w:tcBorders>
              <w:top w:val="single" w:sz="4" w:space="0" w:color="BFBFBF" w:themeColor="background1" w:themeShade="BF"/>
              <w:left w:val="single" w:sz="4" w:space="0" w:color="auto"/>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bottom w:val="single" w:sz="4" w:space="0" w:color="BFBFBF" w:themeColor="background1" w:themeShade="BF"/>
            </w:tcBorders>
            <w:vAlign w:val="center"/>
          </w:tcPr>
          <w:p w:rsidR="00B5439C" w:rsidRPr="00D330E5" w:rsidRDefault="00B5439C" w:rsidP="00847CDB">
            <w:pPr>
              <w:pStyle w:val="TableText"/>
              <w:spacing w:before="40" w:after="40"/>
              <w:jc w:val="center"/>
              <w:rPr>
                <w:rFonts w:eastAsia="Arial"/>
                <w:sz w:val="18"/>
                <w:szCs w:val="18"/>
              </w:rPr>
            </w:pPr>
            <w:r>
              <w:rPr>
                <w:rFonts w:ascii="Wingdings" w:eastAsia="Arial" w:hAnsi="Wingdings"/>
                <w:sz w:val="18"/>
                <w:szCs w:val="18"/>
              </w:rPr>
              <w:t></w:t>
            </w:r>
          </w:p>
        </w:tc>
      </w:tr>
      <w:tr w:rsidR="00E60086" w:rsidTr="00E60086">
        <w:trPr>
          <w:cantSplit/>
        </w:trPr>
        <w:tc>
          <w:tcPr>
            <w:tcW w:w="3119" w:type="dxa"/>
            <w:tcBorders>
              <w:top w:val="single" w:sz="4" w:space="0" w:color="BFBFBF" w:themeColor="background1" w:themeShade="BF"/>
              <w:right w:val="single" w:sz="4" w:space="0" w:color="auto"/>
            </w:tcBorders>
          </w:tcPr>
          <w:p w:rsidR="00B5439C" w:rsidRDefault="00B5439C" w:rsidP="00847CDB">
            <w:pPr>
              <w:pStyle w:val="TableText"/>
              <w:spacing w:before="40" w:after="40"/>
              <w:ind w:right="142"/>
              <w:rPr>
                <w:rFonts w:eastAsia="Arial"/>
                <w:sz w:val="18"/>
                <w:szCs w:val="18"/>
              </w:rPr>
            </w:pPr>
            <w:r>
              <w:rPr>
                <w:rFonts w:eastAsia="Arial"/>
                <w:sz w:val="18"/>
                <w:szCs w:val="18"/>
              </w:rPr>
              <w:t>Produce a NMMG Annual Report</w:t>
            </w:r>
          </w:p>
        </w:tc>
        <w:tc>
          <w:tcPr>
            <w:tcW w:w="448" w:type="dxa"/>
            <w:tcBorders>
              <w:top w:val="single" w:sz="4" w:space="0" w:color="BFBFBF" w:themeColor="background1" w:themeShade="BF"/>
              <w:left w:val="single" w:sz="4" w:space="0" w:color="auto"/>
              <w:bottom w:val="single" w:sz="4" w:space="0" w:color="auto"/>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auto"/>
              <w:right w:val="single" w:sz="4" w:space="0" w:color="auto"/>
            </w:tcBorders>
            <w:vAlign w:val="center"/>
          </w:tcPr>
          <w:p w:rsidR="00B5439C" w:rsidRPr="00D330E5" w:rsidRDefault="00B5439C" w:rsidP="00847CDB">
            <w:pPr>
              <w:pStyle w:val="TableText"/>
              <w:spacing w:before="40" w:after="40"/>
              <w:jc w:val="center"/>
              <w:rPr>
                <w:rFonts w:eastAsia="Arial"/>
                <w:sz w:val="18"/>
                <w:szCs w:val="18"/>
              </w:rPr>
            </w:pPr>
          </w:p>
        </w:tc>
        <w:tc>
          <w:tcPr>
            <w:tcW w:w="448" w:type="dxa"/>
            <w:tcBorders>
              <w:top w:val="single" w:sz="4" w:space="0" w:color="BFBFBF" w:themeColor="background1" w:themeShade="BF"/>
              <w:left w:val="single" w:sz="4" w:space="0" w:color="auto"/>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vAlign w:val="center"/>
          </w:tcPr>
          <w:p w:rsidR="00B5439C" w:rsidRDefault="00B5439C" w:rsidP="00847CDB">
            <w:pPr>
              <w:pStyle w:val="TableText"/>
              <w:spacing w:before="40" w:after="40"/>
              <w:jc w:val="center"/>
              <w:rPr>
                <w:rFonts w:ascii="Wingdings" w:eastAsia="Arial" w:hAnsi="Wingdings"/>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vAlign w:val="center"/>
          </w:tcPr>
          <w:p w:rsidR="00B5439C" w:rsidRDefault="00B5439C" w:rsidP="00847CDB">
            <w:pPr>
              <w:pStyle w:val="TableText"/>
              <w:spacing w:before="40" w:after="40"/>
              <w:jc w:val="center"/>
              <w:rPr>
                <w:rFonts w:ascii="Wingdings" w:eastAsia="Arial" w:hAnsi="Wingdings"/>
                <w:sz w:val="18"/>
                <w:szCs w:val="18"/>
              </w:rPr>
            </w:pPr>
          </w:p>
        </w:tc>
        <w:tc>
          <w:tcPr>
            <w:tcW w:w="449" w:type="dxa"/>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r>
              <w:rPr>
                <w:rFonts w:ascii="Wingdings" w:eastAsia="Arial" w:hAnsi="Wingdings"/>
                <w:sz w:val="18"/>
                <w:szCs w:val="18"/>
              </w:rPr>
              <w:t></w:t>
            </w:r>
          </w:p>
        </w:tc>
        <w:tc>
          <w:tcPr>
            <w:tcW w:w="449" w:type="dxa"/>
            <w:tcBorders>
              <w:top w:val="single" w:sz="4" w:space="0" w:color="BFBFBF" w:themeColor="background1" w:themeShade="BF"/>
              <w:left w:val="single" w:sz="4" w:space="0" w:color="D9D9D9" w:themeColor="background1" w:themeShade="D9"/>
            </w:tcBorders>
            <w:vAlign w:val="center"/>
          </w:tcPr>
          <w:p w:rsidR="00B5439C" w:rsidRPr="00D330E5" w:rsidRDefault="00B5439C" w:rsidP="00847CDB">
            <w:pPr>
              <w:pStyle w:val="TableText"/>
              <w:spacing w:before="40" w:after="40"/>
              <w:jc w:val="center"/>
              <w:rPr>
                <w:rFonts w:eastAsia="Arial"/>
                <w:sz w:val="18"/>
                <w:szCs w:val="18"/>
              </w:rPr>
            </w:pPr>
            <w:r>
              <w:rPr>
                <w:rFonts w:ascii="Wingdings" w:eastAsia="Arial" w:hAnsi="Wingdings"/>
                <w:sz w:val="18"/>
                <w:szCs w:val="18"/>
              </w:rPr>
              <w:t></w:t>
            </w:r>
          </w:p>
        </w:tc>
      </w:tr>
    </w:tbl>
    <w:p w:rsidR="00B5439C" w:rsidRPr="00237CBD" w:rsidRDefault="00B5439C" w:rsidP="00E06EC4"/>
    <w:p w:rsidR="007254D8" w:rsidRDefault="007254D8" w:rsidP="007254D8">
      <w:pPr>
        <w:rPr>
          <w:rFonts w:eastAsia="Arial"/>
        </w:rPr>
      </w:pPr>
      <w:r>
        <w:rPr>
          <w:rFonts w:eastAsia="Arial"/>
        </w:rPr>
        <w:br w:type="page"/>
      </w:r>
    </w:p>
    <w:p w:rsidR="00E06EC4" w:rsidRPr="00237CBD" w:rsidRDefault="00E06EC4" w:rsidP="007254D8">
      <w:pPr>
        <w:pStyle w:val="Heading1"/>
        <w:rPr>
          <w:rFonts w:eastAsia="Arial"/>
        </w:rPr>
      </w:pPr>
      <w:bookmarkStart w:id="56" w:name="_Toc404355700"/>
      <w:r w:rsidRPr="00237CBD">
        <w:rPr>
          <w:rFonts w:eastAsia="Arial"/>
        </w:rPr>
        <w:lastRenderedPageBreak/>
        <w:t>Appendix Three:</w:t>
      </w:r>
      <w:r w:rsidR="007254D8">
        <w:rPr>
          <w:rFonts w:eastAsia="Arial"/>
        </w:rPr>
        <w:t xml:space="preserve"> </w:t>
      </w:r>
      <w:r w:rsidRPr="00237CBD">
        <w:rPr>
          <w:rFonts w:eastAsia="Arial"/>
        </w:rPr>
        <w:t>Map of NZ DHBs</w:t>
      </w:r>
      <w:bookmarkEnd w:id="56"/>
    </w:p>
    <w:p w:rsidR="00E06EC4" w:rsidRPr="00237CBD" w:rsidRDefault="00DF7906" w:rsidP="00DF7906">
      <w:r w:rsidRPr="00DF7906">
        <w:rPr>
          <w:noProof/>
          <w:lang w:eastAsia="en-NZ"/>
        </w:rPr>
        <w:drawing>
          <wp:inline distT="0" distB="0" distL="0" distR="0" wp14:anchorId="13621420" wp14:editId="34AAD47C">
            <wp:extent cx="5399767" cy="7090757"/>
            <wp:effectExtent l="0" t="0" r="0" b="0"/>
            <wp:docPr id="16" name="Picture 16" descr="Bhb map" title="DHB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t="2737"/>
                    <a:stretch/>
                  </pic:blipFill>
                  <pic:spPr bwMode="auto">
                    <a:xfrm>
                      <a:off x="0" y="0"/>
                      <a:ext cx="5400675" cy="7091949"/>
                    </a:xfrm>
                    <a:prstGeom prst="rect">
                      <a:avLst/>
                    </a:prstGeom>
                    <a:ln>
                      <a:noFill/>
                    </a:ln>
                    <a:extLst>
                      <a:ext uri="{53640926-AAD7-44D8-BBD7-CCE9431645EC}">
                        <a14:shadowObscured xmlns:a14="http://schemas.microsoft.com/office/drawing/2010/main"/>
                      </a:ext>
                    </a:extLst>
                  </pic:spPr>
                </pic:pic>
              </a:graphicData>
            </a:graphic>
          </wp:inline>
        </w:drawing>
      </w:r>
    </w:p>
    <w:p w:rsidR="00E06EC4" w:rsidRPr="00237CBD" w:rsidRDefault="00E06EC4" w:rsidP="00DF7906">
      <w:pPr>
        <w:pStyle w:val="Source"/>
        <w:rPr>
          <w:rFonts w:eastAsia="Arial"/>
        </w:rPr>
      </w:pPr>
      <w:r w:rsidRPr="00237CBD">
        <w:rPr>
          <w:rFonts w:eastAsia="Arial"/>
        </w:rPr>
        <w:t>Ministry of Health</w:t>
      </w:r>
      <w:proofErr w:type="gramStart"/>
      <w:r w:rsidRPr="00237CBD">
        <w:rPr>
          <w:rFonts w:eastAsia="Arial"/>
        </w:rPr>
        <w:t>.(</w:t>
      </w:r>
      <w:proofErr w:type="gramEnd"/>
      <w:r w:rsidRPr="00237CBD">
        <w:rPr>
          <w:rFonts w:eastAsia="Arial"/>
        </w:rPr>
        <w:t xml:space="preserve">2012). Location boundaries (map). </w:t>
      </w:r>
      <w:proofErr w:type="gramStart"/>
      <w:r w:rsidRPr="00237CBD">
        <w:rPr>
          <w:rFonts w:eastAsia="Arial"/>
        </w:rPr>
        <w:t>Reprinted with permission from the Ministry of Health.</w:t>
      </w:r>
      <w:proofErr w:type="gramEnd"/>
    </w:p>
    <w:p w:rsidR="00680FD4" w:rsidRPr="00237CBD" w:rsidRDefault="00680FD4" w:rsidP="00DF7906"/>
    <w:p w:rsidR="007254D8" w:rsidRDefault="007254D8" w:rsidP="007254D8">
      <w:pPr>
        <w:rPr>
          <w:rFonts w:eastAsia="Arial"/>
        </w:rPr>
      </w:pPr>
      <w:r>
        <w:rPr>
          <w:rFonts w:eastAsia="Arial"/>
        </w:rPr>
        <w:br w:type="page"/>
      </w:r>
    </w:p>
    <w:p w:rsidR="00F71BF6" w:rsidRPr="00237CBD" w:rsidRDefault="00E06EC4" w:rsidP="007254D8">
      <w:pPr>
        <w:pStyle w:val="Heading1"/>
      </w:pPr>
      <w:bookmarkStart w:id="57" w:name="_Toc404355701"/>
      <w:r w:rsidRPr="00237CBD">
        <w:rPr>
          <w:rFonts w:ascii="Arial" w:eastAsia="Arial" w:hAnsi="Arial" w:cs="Arial"/>
          <w:sz w:val="52"/>
          <w:szCs w:val="52"/>
        </w:rPr>
        <w:lastRenderedPageBreak/>
        <w:t>List of</w:t>
      </w:r>
      <w:r w:rsidR="007254D8">
        <w:rPr>
          <w:rFonts w:ascii="Arial" w:eastAsia="Arial" w:hAnsi="Arial" w:cs="Arial"/>
          <w:sz w:val="52"/>
          <w:szCs w:val="52"/>
        </w:rPr>
        <w:t xml:space="preserve"> </w:t>
      </w:r>
      <w:r w:rsidRPr="00237CBD">
        <w:t>Definitions</w:t>
      </w:r>
      <w:bookmarkEnd w:id="57"/>
    </w:p>
    <w:tbl>
      <w:tblPr>
        <w:tblW w:w="8647" w:type="dxa"/>
        <w:tblLayout w:type="fixed"/>
        <w:tblCellMar>
          <w:left w:w="0" w:type="dxa"/>
          <w:right w:w="0" w:type="dxa"/>
        </w:tblCellMar>
        <w:tblLook w:val="01E0" w:firstRow="1" w:lastRow="1" w:firstColumn="1" w:lastColumn="1" w:noHBand="0" w:noVBand="0"/>
      </w:tblPr>
      <w:tblGrid>
        <w:gridCol w:w="2620"/>
        <w:gridCol w:w="6027"/>
      </w:tblGrid>
      <w:tr w:rsidR="00E06EC4" w:rsidRPr="00237CBD" w:rsidTr="00DF7906">
        <w:trPr>
          <w:cantSplit/>
        </w:trPr>
        <w:tc>
          <w:tcPr>
            <w:tcW w:w="2620" w:type="dxa"/>
            <w:tcBorders>
              <w:top w:val="nil"/>
              <w:left w:val="nil"/>
              <w:bottom w:val="nil"/>
              <w:right w:val="nil"/>
            </w:tcBorders>
          </w:tcPr>
          <w:p w:rsidR="00E06EC4" w:rsidRPr="00680FD4" w:rsidRDefault="00E06EC4" w:rsidP="00680FD4">
            <w:pPr>
              <w:spacing w:before="180"/>
              <w:ind w:right="284"/>
              <w:rPr>
                <w:rFonts w:eastAsia="Arial"/>
                <w:b/>
              </w:rPr>
            </w:pPr>
            <w:r w:rsidRPr="00680FD4">
              <w:rPr>
                <w:rFonts w:eastAsia="Arial"/>
                <w:b/>
              </w:rPr>
              <w:t>Caesarean section</w:t>
            </w:r>
          </w:p>
        </w:tc>
        <w:tc>
          <w:tcPr>
            <w:tcW w:w="6027" w:type="dxa"/>
            <w:tcBorders>
              <w:top w:val="nil"/>
              <w:left w:val="nil"/>
              <w:bottom w:val="nil"/>
              <w:right w:val="nil"/>
            </w:tcBorders>
          </w:tcPr>
          <w:p w:rsidR="00E06EC4" w:rsidRPr="00237CBD" w:rsidRDefault="00E06EC4" w:rsidP="00680FD4">
            <w:pPr>
              <w:spacing w:before="180"/>
              <w:rPr>
                <w:rFonts w:eastAsia="Arial"/>
              </w:rPr>
            </w:pPr>
            <w:r w:rsidRPr="00237CBD">
              <w:rPr>
                <w:rFonts w:eastAsia="Arial"/>
              </w:rPr>
              <w:t>An operative birth through an abdominal incision.</w:t>
            </w:r>
          </w:p>
        </w:tc>
      </w:tr>
      <w:tr w:rsidR="00E06EC4" w:rsidRPr="00237CBD" w:rsidTr="00DF7906">
        <w:trPr>
          <w:cantSplit/>
        </w:trPr>
        <w:tc>
          <w:tcPr>
            <w:tcW w:w="2620" w:type="dxa"/>
            <w:tcBorders>
              <w:top w:val="nil"/>
              <w:left w:val="nil"/>
              <w:bottom w:val="nil"/>
              <w:right w:val="nil"/>
            </w:tcBorders>
          </w:tcPr>
          <w:p w:rsidR="00E06EC4" w:rsidRPr="00680FD4" w:rsidRDefault="00E06EC4" w:rsidP="00680FD4">
            <w:pPr>
              <w:spacing w:before="180"/>
              <w:ind w:right="284"/>
              <w:rPr>
                <w:rFonts w:eastAsia="Arial"/>
                <w:b/>
              </w:rPr>
            </w:pPr>
            <w:r w:rsidRPr="00680FD4">
              <w:rPr>
                <w:rFonts w:eastAsia="Arial"/>
                <w:b/>
              </w:rPr>
              <w:t>Elective caesarean section</w:t>
            </w:r>
          </w:p>
        </w:tc>
        <w:tc>
          <w:tcPr>
            <w:tcW w:w="6027" w:type="dxa"/>
            <w:tcBorders>
              <w:top w:val="nil"/>
              <w:left w:val="nil"/>
              <w:bottom w:val="nil"/>
              <w:right w:val="nil"/>
            </w:tcBorders>
          </w:tcPr>
          <w:p w:rsidR="00E06EC4" w:rsidRPr="00237CBD" w:rsidRDefault="00E06EC4" w:rsidP="00680FD4">
            <w:pPr>
              <w:spacing w:before="180"/>
              <w:rPr>
                <w:rFonts w:eastAsia="Arial"/>
              </w:rPr>
            </w:pPr>
            <w:r w:rsidRPr="00237CBD">
              <w:rPr>
                <w:rFonts w:eastAsia="Arial"/>
              </w:rPr>
              <w:t>An elective caesarean is defined</w:t>
            </w:r>
            <w:r w:rsidR="00F71BF6" w:rsidRPr="00237CBD">
              <w:rPr>
                <w:rFonts w:eastAsia="Arial"/>
              </w:rPr>
              <w:t xml:space="preserve"> </w:t>
            </w:r>
            <w:r w:rsidRPr="00237CBD">
              <w:rPr>
                <w:rFonts w:eastAsia="Arial"/>
              </w:rPr>
              <w:t>as a caesarean section carried out as a planned procedure before the onset of labour or following the onset of labour, when the decision was made before labour. It does not include caesarean section after failed trial of scar.</w:t>
            </w:r>
          </w:p>
        </w:tc>
      </w:tr>
      <w:tr w:rsidR="00E06EC4" w:rsidRPr="00237CBD" w:rsidTr="00DF7906">
        <w:trPr>
          <w:cantSplit/>
        </w:trPr>
        <w:tc>
          <w:tcPr>
            <w:tcW w:w="2620" w:type="dxa"/>
            <w:tcBorders>
              <w:top w:val="nil"/>
              <w:left w:val="nil"/>
              <w:bottom w:val="nil"/>
              <w:right w:val="nil"/>
            </w:tcBorders>
          </w:tcPr>
          <w:p w:rsidR="00E06EC4" w:rsidRPr="00680FD4" w:rsidRDefault="00E06EC4" w:rsidP="00680FD4">
            <w:pPr>
              <w:spacing w:before="180"/>
              <w:ind w:right="284"/>
              <w:rPr>
                <w:rFonts w:eastAsia="Arial"/>
                <w:b/>
              </w:rPr>
            </w:pPr>
            <w:r w:rsidRPr="00680FD4">
              <w:rPr>
                <w:rFonts w:eastAsia="Arial"/>
                <w:b/>
              </w:rPr>
              <w:t>Emergency caesarean section</w:t>
            </w:r>
          </w:p>
        </w:tc>
        <w:tc>
          <w:tcPr>
            <w:tcW w:w="6027" w:type="dxa"/>
            <w:tcBorders>
              <w:top w:val="nil"/>
              <w:left w:val="nil"/>
              <w:bottom w:val="nil"/>
              <w:right w:val="nil"/>
            </w:tcBorders>
          </w:tcPr>
          <w:p w:rsidR="00E06EC4" w:rsidRPr="00237CBD" w:rsidRDefault="00E06EC4" w:rsidP="00680FD4">
            <w:pPr>
              <w:spacing w:before="180"/>
              <w:rPr>
                <w:rFonts w:eastAsia="Arial"/>
              </w:rPr>
            </w:pPr>
            <w:r w:rsidRPr="00237CBD">
              <w:rPr>
                <w:rFonts w:eastAsia="Arial"/>
              </w:rPr>
              <w:t>An emergency caesarean is defined as a caesarean required because of an emergency situation (</w:t>
            </w:r>
            <w:proofErr w:type="spellStart"/>
            <w:r w:rsidRPr="00237CBD">
              <w:rPr>
                <w:rFonts w:eastAsia="Arial"/>
              </w:rPr>
              <w:t>eg</w:t>
            </w:r>
            <w:proofErr w:type="spellEnd"/>
            <w:r w:rsidR="00680FD4">
              <w:rPr>
                <w:rFonts w:eastAsia="Arial"/>
              </w:rPr>
              <w:t>,</w:t>
            </w:r>
            <w:r w:rsidRPr="00237CBD">
              <w:rPr>
                <w:rFonts w:eastAsia="Arial"/>
              </w:rPr>
              <w:t xml:space="preserve"> obstructed labour, </w:t>
            </w:r>
            <w:proofErr w:type="spellStart"/>
            <w:r w:rsidRPr="00237CBD">
              <w:rPr>
                <w:rFonts w:eastAsia="Arial"/>
              </w:rPr>
              <w:t>fetal</w:t>
            </w:r>
            <w:proofErr w:type="spellEnd"/>
            <w:r w:rsidRPr="00237CBD">
              <w:rPr>
                <w:rFonts w:eastAsia="Arial"/>
              </w:rPr>
              <w:t xml:space="preserve"> distress). It is best described as </w:t>
            </w:r>
            <w:r w:rsidR="00F71BF6" w:rsidRPr="00237CBD">
              <w:rPr>
                <w:rFonts w:eastAsia="Arial"/>
              </w:rPr>
              <w:t>‘</w:t>
            </w:r>
            <w:r w:rsidRPr="00237CBD">
              <w:rPr>
                <w:rFonts w:eastAsia="Arial"/>
              </w:rPr>
              <w:t>when the caesarean section is performed having not been considered necessary previously</w:t>
            </w:r>
            <w:r w:rsidR="00F71BF6" w:rsidRPr="00237CBD">
              <w:rPr>
                <w:rFonts w:eastAsia="Arial"/>
              </w:rPr>
              <w:t>’</w:t>
            </w:r>
            <w:r w:rsidRPr="00237CBD">
              <w:rPr>
                <w:rFonts w:eastAsia="Arial"/>
              </w:rPr>
              <w:t>. Caesarean section after failed trial of scar would be an emergency caesarean</w:t>
            </w:r>
            <w:r w:rsidR="00680FD4">
              <w:rPr>
                <w:rFonts w:eastAsia="Arial"/>
              </w:rPr>
              <w:t xml:space="preserve"> </w:t>
            </w:r>
            <w:r w:rsidRPr="00237CBD">
              <w:rPr>
                <w:rFonts w:eastAsia="Arial"/>
              </w:rPr>
              <w:t>section.</w:t>
            </w:r>
          </w:p>
        </w:tc>
      </w:tr>
      <w:tr w:rsidR="00E06EC4" w:rsidRPr="00237CBD" w:rsidTr="00DF7906">
        <w:trPr>
          <w:cantSplit/>
        </w:trPr>
        <w:tc>
          <w:tcPr>
            <w:tcW w:w="2620" w:type="dxa"/>
            <w:tcBorders>
              <w:top w:val="nil"/>
              <w:left w:val="nil"/>
              <w:bottom w:val="nil"/>
              <w:right w:val="nil"/>
            </w:tcBorders>
          </w:tcPr>
          <w:p w:rsidR="00E06EC4" w:rsidRPr="00680FD4" w:rsidRDefault="00E06EC4" w:rsidP="00680FD4">
            <w:pPr>
              <w:spacing w:before="180"/>
              <w:ind w:right="284"/>
              <w:rPr>
                <w:rFonts w:eastAsia="Arial"/>
                <w:b/>
              </w:rPr>
            </w:pPr>
            <w:r w:rsidRPr="00680FD4">
              <w:rPr>
                <w:rFonts w:eastAsia="Arial"/>
                <w:b/>
              </w:rPr>
              <w:t>Parity</w:t>
            </w:r>
          </w:p>
        </w:tc>
        <w:tc>
          <w:tcPr>
            <w:tcW w:w="6027" w:type="dxa"/>
            <w:tcBorders>
              <w:top w:val="nil"/>
              <w:left w:val="nil"/>
              <w:bottom w:val="nil"/>
              <w:right w:val="nil"/>
            </w:tcBorders>
          </w:tcPr>
          <w:p w:rsidR="00E06EC4" w:rsidRPr="00237CBD" w:rsidRDefault="00E06EC4" w:rsidP="00680FD4">
            <w:pPr>
              <w:spacing w:before="180"/>
              <w:rPr>
                <w:rFonts w:eastAsia="Arial"/>
              </w:rPr>
            </w:pPr>
            <w:r w:rsidRPr="00237CBD">
              <w:rPr>
                <w:rFonts w:eastAsia="Arial"/>
              </w:rPr>
              <w:t>Number of previous births a woman has had.</w:t>
            </w:r>
          </w:p>
        </w:tc>
      </w:tr>
      <w:tr w:rsidR="00E06EC4" w:rsidRPr="00237CBD" w:rsidTr="00DF7906">
        <w:trPr>
          <w:cantSplit/>
        </w:trPr>
        <w:tc>
          <w:tcPr>
            <w:tcW w:w="2620" w:type="dxa"/>
            <w:tcBorders>
              <w:top w:val="nil"/>
              <w:left w:val="nil"/>
              <w:bottom w:val="nil"/>
              <w:right w:val="nil"/>
            </w:tcBorders>
          </w:tcPr>
          <w:p w:rsidR="00E06EC4" w:rsidRPr="00680FD4" w:rsidRDefault="00E06EC4" w:rsidP="00680FD4">
            <w:pPr>
              <w:spacing w:before="180"/>
              <w:ind w:right="284"/>
              <w:rPr>
                <w:rFonts w:eastAsia="Arial"/>
                <w:b/>
              </w:rPr>
            </w:pPr>
            <w:r w:rsidRPr="00680FD4">
              <w:rPr>
                <w:rFonts w:eastAsia="Arial"/>
                <w:b/>
              </w:rPr>
              <w:t>Primary health care</w:t>
            </w:r>
          </w:p>
        </w:tc>
        <w:tc>
          <w:tcPr>
            <w:tcW w:w="6027" w:type="dxa"/>
            <w:tcBorders>
              <w:top w:val="nil"/>
              <w:left w:val="nil"/>
              <w:bottom w:val="nil"/>
              <w:right w:val="nil"/>
            </w:tcBorders>
          </w:tcPr>
          <w:p w:rsidR="00E06EC4" w:rsidRPr="00237CBD" w:rsidRDefault="00E06EC4" w:rsidP="00680FD4">
            <w:pPr>
              <w:spacing w:before="180"/>
              <w:rPr>
                <w:rFonts w:eastAsia="Arial"/>
              </w:rPr>
            </w:pPr>
            <w:r w:rsidRPr="00237CBD">
              <w:rPr>
                <w:rFonts w:eastAsia="Arial"/>
              </w:rPr>
              <w:t>The first-contact professional health care received in the community, usually from an</w:t>
            </w:r>
            <w:r w:rsidR="00680FD4">
              <w:rPr>
                <w:rFonts w:eastAsia="Arial"/>
              </w:rPr>
              <w:t xml:space="preserve"> </w:t>
            </w:r>
            <w:r w:rsidRPr="00237CBD">
              <w:rPr>
                <w:rFonts w:eastAsia="Arial"/>
              </w:rPr>
              <w:t>LMC, GP or practice nurse.</w:t>
            </w:r>
          </w:p>
        </w:tc>
      </w:tr>
      <w:tr w:rsidR="00E06EC4" w:rsidRPr="00237CBD" w:rsidTr="00DF7906">
        <w:trPr>
          <w:cantSplit/>
        </w:trPr>
        <w:tc>
          <w:tcPr>
            <w:tcW w:w="2620" w:type="dxa"/>
            <w:tcBorders>
              <w:top w:val="nil"/>
              <w:left w:val="nil"/>
              <w:bottom w:val="nil"/>
              <w:right w:val="nil"/>
            </w:tcBorders>
          </w:tcPr>
          <w:p w:rsidR="00E06EC4" w:rsidRPr="00680FD4" w:rsidRDefault="00E06EC4" w:rsidP="00680FD4">
            <w:pPr>
              <w:spacing w:before="180"/>
              <w:ind w:right="284"/>
              <w:rPr>
                <w:rFonts w:eastAsia="Arial"/>
                <w:b/>
              </w:rPr>
            </w:pPr>
            <w:r w:rsidRPr="00680FD4">
              <w:rPr>
                <w:rFonts w:eastAsia="Arial"/>
                <w:b/>
              </w:rPr>
              <w:t>Secondary health care</w:t>
            </w:r>
          </w:p>
        </w:tc>
        <w:tc>
          <w:tcPr>
            <w:tcW w:w="6027" w:type="dxa"/>
            <w:tcBorders>
              <w:top w:val="nil"/>
              <w:left w:val="nil"/>
              <w:bottom w:val="nil"/>
              <w:right w:val="nil"/>
            </w:tcBorders>
          </w:tcPr>
          <w:p w:rsidR="00E06EC4" w:rsidRPr="00237CBD" w:rsidRDefault="00E06EC4" w:rsidP="00680FD4">
            <w:pPr>
              <w:spacing w:before="180"/>
              <w:rPr>
                <w:rFonts w:eastAsia="Arial"/>
              </w:rPr>
            </w:pPr>
            <w:r w:rsidRPr="00237CBD">
              <w:rPr>
                <w:rFonts w:eastAsia="Arial"/>
              </w:rPr>
              <w:t>Specialist care that you may be referred to by a primary health care professional. These services are usually hospital-based.</w:t>
            </w:r>
          </w:p>
        </w:tc>
      </w:tr>
      <w:tr w:rsidR="00E06EC4" w:rsidRPr="00237CBD" w:rsidTr="00DF7906">
        <w:trPr>
          <w:cantSplit/>
        </w:trPr>
        <w:tc>
          <w:tcPr>
            <w:tcW w:w="2620" w:type="dxa"/>
            <w:tcBorders>
              <w:top w:val="nil"/>
              <w:left w:val="nil"/>
              <w:bottom w:val="nil"/>
              <w:right w:val="nil"/>
            </w:tcBorders>
          </w:tcPr>
          <w:p w:rsidR="00E06EC4" w:rsidRPr="00680FD4" w:rsidRDefault="00E06EC4" w:rsidP="00680FD4">
            <w:pPr>
              <w:spacing w:before="180"/>
              <w:ind w:right="284"/>
              <w:rPr>
                <w:rFonts w:eastAsia="Arial"/>
                <w:b/>
              </w:rPr>
            </w:pPr>
            <w:r w:rsidRPr="00680FD4">
              <w:rPr>
                <w:rFonts w:eastAsia="Arial"/>
                <w:b/>
              </w:rPr>
              <w:t xml:space="preserve">Standard </w:t>
            </w:r>
            <w:proofErr w:type="spellStart"/>
            <w:r w:rsidRPr="00680FD4">
              <w:rPr>
                <w:rFonts w:eastAsia="Arial"/>
                <w:b/>
              </w:rPr>
              <w:t>primiparae</w:t>
            </w:r>
            <w:proofErr w:type="spellEnd"/>
          </w:p>
        </w:tc>
        <w:tc>
          <w:tcPr>
            <w:tcW w:w="6027" w:type="dxa"/>
            <w:tcBorders>
              <w:top w:val="nil"/>
              <w:left w:val="nil"/>
              <w:bottom w:val="nil"/>
              <w:right w:val="nil"/>
            </w:tcBorders>
          </w:tcPr>
          <w:p w:rsidR="00E06EC4" w:rsidRPr="00237CBD" w:rsidRDefault="00E06EC4" w:rsidP="00680FD4">
            <w:pPr>
              <w:spacing w:before="180"/>
              <w:rPr>
                <w:rFonts w:eastAsia="Arial"/>
              </w:rPr>
            </w:pPr>
            <w:r w:rsidRPr="00237CBD">
              <w:rPr>
                <w:rFonts w:eastAsia="Arial"/>
              </w:rPr>
              <w:t>A group of mothers considered to be clinically comparable and expected to require low levels of obstetric intervention.</w:t>
            </w:r>
          </w:p>
        </w:tc>
      </w:tr>
      <w:tr w:rsidR="00E06EC4" w:rsidRPr="00237CBD" w:rsidTr="00DF7906">
        <w:trPr>
          <w:cantSplit/>
        </w:trPr>
        <w:tc>
          <w:tcPr>
            <w:tcW w:w="2620" w:type="dxa"/>
            <w:tcBorders>
              <w:top w:val="nil"/>
              <w:left w:val="nil"/>
              <w:bottom w:val="nil"/>
              <w:right w:val="nil"/>
            </w:tcBorders>
          </w:tcPr>
          <w:p w:rsidR="00E06EC4" w:rsidRPr="00680FD4" w:rsidRDefault="00E06EC4" w:rsidP="00680FD4">
            <w:pPr>
              <w:spacing w:before="180"/>
              <w:ind w:right="284"/>
              <w:rPr>
                <w:rFonts w:eastAsia="Arial"/>
                <w:b/>
              </w:rPr>
            </w:pPr>
            <w:r w:rsidRPr="00680FD4">
              <w:rPr>
                <w:rFonts w:eastAsia="Arial"/>
                <w:b/>
              </w:rPr>
              <w:t>Tertiary health care</w:t>
            </w:r>
          </w:p>
        </w:tc>
        <w:tc>
          <w:tcPr>
            <w:tcW w:w="6027" w:type="dxa"/>
            <w:tcBorders>
              <w:top w:val="nil"/>
              <w:left w:val="nil"/>
              <w:bottom w:val="nil"/>
              <w:right w:val="nil"/>
            </w:tcBorders>
          </w:tcPr>
          <w:p w:rsidR="00E06EC4" w:rsidRPr="00237CBD" w:rsidRDefault="00E06EC4" w:rsidP="00680FD4">
            <w:pPr>
              <w:spacing w:before="180"/>
              <w:rPr>
                <w:rFonts w:eastAsia="Arial"/>
              </w:rPr>
            </w:pPr>
            <w:r w:rsidRPr="00237CBD">
              <w:rPr>
                <w:rFonts w:eastAsia="Arial"/>
              </w:rPr>
              <w:t>Highly specialised consultative health care, usually for inpatients and on referral from a primary or secondary health professional, in a facility that has personnel and facilities for advanced medical investigation and treatment.</w:t>
            </w:r>
          </w:p>
        </w:tc>
      </w:tr>
      <w:tr w:rsidR="00E06EC4" w:rsidRPr="00237CBD" w:rsidTr="00DF7906">
        <w:trPr>
          <w:cantSplit/>
        </w:trPr>
        <w:tc>
          <w:tcPr>
            <w:tcW w:w="2620" w:type="dxa"/>
            <w:tcBorders>
              <w:top w:val="nil"/>
              <w:left w:val="nil"/>
              <w:bottom w:val="nil"/>
              <w:right w:val="nil"/>
            </w:tcBorders>
          </w:tcPr>
          <w:p w:rsidR="00E06EC4" w:rsidRPr="00680FD4" w:rsidRDefault="00E06EC4" w:rsidP="00680FD4">
            <w:pPr>
              <w:spacing w:before="180"/>
              <w:ind w:right="284"/>
              <w:rPr>
                <w:rFonts w:eastAsia="Arial"/>
                <w:b/>
              </w:rPr>
            </w:pPr>
            <w:r w:rsidRPr="00680FD4">
              <w:rPr>
                <w:rFonts w:eastAsia="Arial"/>
                <w:b/>
              </w:rPr>
              <w:t>Weeks</w:t>
            </w:r>
            <w:r w:rsidR="00F71BF6" w:rsidRPr="00680FD4">
              <w:rPr>
                <w:rFonts w:eastAsia="Arial"/>
                <w:b/>
              </w:rPr>
              <w:t>’</w:t>
            </w:r>
            <w:r w:rsidRPr="00680FD4">
              <w:rPr>
                <w:rFonts w:eastAsia="Arial"/>
                <w:b/>
              </w:rPr>
              <w:t xml:space="preserve"> gestation</w:t>
            </w:r>
          </w:p>
        </w:tc>
        <w:tc>
          <w:tcPr>
            <w:tcW w:w="6027" w:type="dxa"/>
            <w:tcBorders>
              <w:top w:val="nil"/>
              <w:left w:val="nil"/>
              <w:bottom w:val="nil"/>
              <w:right w:val="nil"/>
            </w:tcBorders>
          </w:tcPr>
          <w:p w:rsidR="00E06EC4" w:rsidRPr="00237CBD" w:rsidRDefault="00E06EC4" w:rsidP="00680FD4">
            <w:pPr>
              <w:spacing w:before="180"/>
              <w:rPr>
                <w:rFonts w:eastAsia="Arial"/>
              </w:rPr>
            </w:pPr>
            <w:r w:rsidRPr="00237CBD">
              <w:rPr>
                <w:rFonts w:eastAsia="Arial"/>
              </w:rPr>
              <w:t>The term used to describe how far along the pregnancy is. It is measured from the first day of the woman</w:t>
            </w:r>
            <w:r w:rsidR="00F71BF6" w:rsidRPr="00237CBD">
              <w:rPr>
                <w:rFonts w:eastAsia="Arial"/>
              </w:rPr>
              <w:t>’</w:t>
            </w:r>
            <w:r w:rsidRPr="00237CBD">
              <w:rPr>
                <w:rFonts w:eastAsia="Arial"/>
              </w:rPr>
              <w:t>s last menstrual cycle to the current date.</w:t>
            </w:r>
          </w:p>
        </w:tc>
      </w:tr>
    </w:tbl>
    <w:p w:rsidR="00E06EC4" w:rsidRPr="00237CBD" w:rsidRDefault="00E06EC4" w:rsidP="00DF7906"/>
    <w:p w:rsidR="007254D8" w:rsidRDefault="007254D8" w:rsidP="007254D8">
      <w:pPr>
        <w:rPr>
          <w:rFonts w:eastAsia="Arial"/>
        </w:rPr>
      </w:pPr>
      <w:r>
        <w:rPr>
          <w:rFonts w:eastAsia="Arial"/>
        </w:rPr>
        <w:br w:type="page"/>
      </w:r>
    </w:p>
    <w:p w:rsidR="00E06EC4" w:rsidRPr="00237CBD" w:rsidRDefault="00E06EC4" w:rsidP="007254D8">
      <w:pPr>
        <w:pStyle w:val="Heading1"/>
        <w:rPr>
          <w:rFonts w:eastAsia="Arial"/>
        </w:rPr>
      </w:pPr>
      <w:bookmarkStart w:id="58" w:name="_Toc404355702"/>
      <w:r w:rsidRPr="00237CBD">
        <w:rPr>
          <w:rFonts w:eastAsia="Arial"/>
        </w:rPr>
        <w:lastRenderedPageBreak/>
        <w:t>List of</w:t>
      </w:r>
      <w:r w:rsidR="007254D8">
        <w:rPr>
          <w:rFonts w:eastAsia="Arial"/>
        </w:rPr>
        <w:t xml:space="preserve"> </w:t>
      </w:r>
      <w:r w:rsidRPr="00237CBD">
        <w:rPr>
          <w:rFonts w:eastAsia="Arial"/>
        </w:rPr>
        <w:t>Abbreviations</w:t>
      </w:r>
      <w:bookmarkEnd w:id="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3259"/>
        <w:gridCol w:w="1135"/>
        <w:gridCol w:w="3226"/>
      </w:tblGrid>
      <w:tr w:rsidR="00DF7906" w:rsidTr="00DF7906">
        <w:trPr>
          <w:cantSplit/>
          <w:trHeight w:val="2323"/>
        </w:trPr>
        <w:tc>
          <w:tcPr>
            <w:tcW w:w="1101" w:type="dxa"/>
          </w:tcPr>
          <w:p w:rsidR="00DF7906" w:rsidRPr="00DF7906" w:rsidRDefault="00DF7906" w:rsidP="00DF7906">
            <w:pPr>
              <w:pStyle w:val="TableText"/>
            </w:pPr>
            <w:r w:rsidRPr="00DF7906">
              <w:t>CARES</w:t>
            </w:r>
            <w:r>
              <w:br/>
            </w:r>
          </w:p>
          <w:p w:rsidR="00DF7906" w:rsidRPr="00DF7906" w:rsidRDefault="00DF7906" w:rsidP="00DF7906">
            <w:pPr>
              <w:pStyle w:val="TableText"/>
            </w:pPr>
            <w:r w:rsidRPr="00DF7906">
              <w:t>DHB</w:t>
            </w:r>
          </w:p>
          <w:p w:rsidR="00DF7906" w:rsidRPr="00DF7906" w:rsidRDefault="00DF7906" w:rsidP="00DF7906">
            <w:pPr>
              <w:pStyle w:val="TableText"/>
            </w:pPr>
            <w:r>
              <w:t>GP</w:t>
            </w:r>
          </w:p>
          <w:p w:rsidR="00DF7906" w:rsidRPr="00DF7906" w:rsidRDefault="00DF7906" w:rsidP="00DF7906">
            <w:pPr>
              <w:pStyle w:val="TableText"/>
            </w:pPr>
            <w:r>
              <w:t>GROW</w:t>
            </w:r>
            <w:r>
              <w:br/>
            </w:r>
          </w:p>
          <w:p w:rsidR="00DF7906" w:rsidRPr="00DF7906" w:rsidRDefault="00DF7906" w:rsidP="00DF7906">
            <w:pPr>
              <w:pStyle w:val="TableText"/>
            </w:pPr>
            <w:r>
              <w:t>HDU</w:t>
            </w:r>
          </w:p>
          <w:p w:rsidR="00DF7906" w:rsidRPr="00DF7906" w:rsidRDefault="00DF7906" w:rsidP="00DF7906">
            <w:pPr>
              <w:pStyle w:val="TableText"/>
              <w:spacing w:before="80" w:after="80"/>
            </w:pPr>
            <w:r>
              <w:t>ICU</w:t>
            </w:r>
          </w:p>
        </w:tc>
        <w:tc>
          <w:tcPr>
            <w:tcW w:w="3259" w:type="dxa"/>
          </w:tcPr>
          <w:p w:rsidR="00DF7906" w:rsidRDefault="00DF7906" w:rsidP="00DF7906">
            <w:pPr>
              <w:pStyle w:val="TableText"/>
            </w:pPr>
            <w:r>
              <w:t>Coordinate Access Response Electronic System</w:t>
            </w:r>
          </w:p>
          <w:p w:rsidR="00DF7906" w:rsidRDefault="00DF7906" w:rsidP="00DF7906">
            <w:pPr>
              <w:pStyle w:val="TableText"/>
            </w:pPr>
            <w:r>
              <w:t>District Health Board</w:t>
            </w:r>
          </w:p>
          <w:p w:rsidR="00DF7906" w:rsidRDefault="00DF7906" w:rsidP="00DF7906">
            <w:pPr>
              <w:pStyle w:val="TableText"/>
            </w:pPr>
            <w:r>
              <w:t>General Practitioner</w:t>
            </w:r>
          </w:p>
          <w:p w:rsidR="00DF7906" w:rsidRDefault="00DF7906" w:rsidP="00DF7906">
            <w:pPr>
              <w:pStyle w:val="TableText"/>
            </w:pPr>
            <w:r>
              <w:t>Gestation Related Optimal Weight</w:t>
            </w:r>
          </w:p>
          <w:p w:rsidR="00DF7906" w:rsidRDefault="00DF7906" w:rsidP="00DF7906">
            <w:pPr>
              <w:pStyle w:val="TableText"/>
            </w:pPr>
            <w:r>
              <w:t>High Dependency Unit</w:t>
            </w:r>
          </w:p>
          <w:p w:rsidR="00DF7906" w:rsidRPr="00DF7906" w:rsidRDefault="00DF7906" w:rsidP="00DF7906">
            <w:pPr>
              <w:pStyle w:val="TableText"/>
            </w:pPr>
            <w:r>
              <w:t>Intensive Care Unit</w:t>
            </w:r>
          </w:p>
        </w:tc>
        <w:tc>
          <w:tcPr>
            <w:tcW w:w="1135" w:type="dxa"/>
          </w:tcPr>
          <w:p w:rsidR="00DF7906" w:rsidRPr="00DF7906" w:rsidRDefault="00DF7906" w:rsidP="00DF7906">
            <w:pPr>
              <w:pStyle w:val="TableText"/>
            </w:pPr>
            <w:r>
              <w:t>LMC</w:t>
            </w:r>
          </w:p>
          <w:p w:rsidR="00DF7906" w:rsidRPr="00DF7906" w:rsidRDefault="00DF7906" w:rsidP="00DF7906">
            <w:pPr>
              <w:pStyle w:val="TableText"/>
            </w:pPr>
            <w:r>
              <w:t>MQSP</w:t>
            </w:r>
            <w:r>
              <w:br/>
            </w:r>
          </w:p>
          <w:p w:rsidR="00DF7906" w:rsidRPr="00DF7906" w:rsidRDefault="00DF7906" w:rsidP="00DF7906">
            <w:pPr>
              <w:pStyle w:val="TableText"/>
            </w:pPr>
            <w:r>
              <w:t>NMMG</w:t>
            </w:r>
            <w:r>
              <w:br/>
            </w:r>
          </w:p>
          <w:p w:rsidR="00DF7906" w:rsidRPr="00DF7906" w:rsidRDefault="00DF7906" w:rsidP="00DF7906">
            <w:pPr>
              <w:pStyle w:val="TableText"/>
            </w:pPr>
            <w:r>
              <w:t>PMMRC</w:t>
            </w:r>
            <w:r>
              <w:br/>
            </w:r>
          </w:p>
          <w:p w:rsidR="00DF7906" w:rsidRPr="00DF7906" w:rsidRDefault="00DF7906" w:rsidP="00DF7906">
            <w:pPr>
              <w:pStyle w:val="TableText"/>
            </w:pPr>
            <w:r>
              <w:t>PHO</w:t>
            </w:r>
          </w:p>
          <w:p w:rsidR="00DF7906" w:rsidRPr="00DF7906" w:rsidRDefault="00DF7906" w:rsidP="00DF7906">
            <w:pPr>
              <w:pStyle w:val="TableText"/>
              <w:spacing w:before="80" w:after="80"/>
            </w:pPr>
            <w:r>
              <w:t>VBAC</w:t>
            </w:r>
          </w:p>
        </w:tc>
        <w:tc>
          <w:tcPr>
            <w:tcW w:w="3226" w:type="dxa"/>
          </w:tcPr>
          <w:p w:rsidR="00DF7906" w:rsidRDefault="00DF7906" w:rsidP="00DF7906">
            <w:pPr>
              <w:pStyle w:val="TableText"/>
            </w:pPr>
            <w:r>
              <w:t>Lead Maternity Carer</w:t>
            </w:r>
          </w:p>
          <w:p w:rsidR="00DF7906" w:rsidRDefault="00DF7906" w:rsidP="00DF7906">
            <w:pPr>
              <w:pStyle w:val="TableText"/>
            </w:pPr>
            <w:r>
              <w:t>Maternity Quality and Safety Programme</w:t>
            </w:r>
          </w:p>
          <w:p w:rsidR="00DF7906" w:rsidRDefault="00DF7906" w:rsidP="00DF7906">
            <w:pPr>
              <w:pStyle w:val="TableText"/>
            </w:pPr>
            <w:r>
              <w:t>National Maternity Monitoring Group</w:t>
            </w:r>
          </w:p>
          <w:p w:rsidR="00DF7906" w:rsidRDefault="00DF7906" w:rsidP="00DF7906">
            <w:pPr>
              <w:pStyle w:val="TableText"/>
            </w:pPr>
            <w:r>
              <w:t>Perinatal and Maternal Mortality Review Committee</w:t>
            </w:r>
          </w:p>
          <w:p w:rsidR="00DF7906" w:rsidRDefault="00DF7906" w:rsidP="00DF7906">
            <w:pPr>
              <w:pStyle w:val="TableText"/>
            </w:pPr>
            <w:r>
              <w:t>Primary Health Organisation</w:t>
            </w:r>
          </w:p>
          <w:p w:rsidR="00DF7906" w:rsidRPr="00DF7906" w:rsidRDefault="00DF7906" w:rsidP="00DF7906">
            <w:pPr>
              <w:pStyle w:val="TableText"/>
            </w:pPr>
            <w:r>
              <w:t>Vaginal birth after caesarean</w:t>
            </w:r>
          </w:p>
        </w:tc>
      </w:tr>
    </w:tbl>
    <w:p w:rsidR="00E06EC4" w:rsidRPr="00237CBD" w:rsidRDefault="00E06EC4" w:rsidP="00CE4419"/>
    <w:p w:rsidR="007254D8" w:rsidRDefault="007254D8" w:rsidP="007254D8">
      <w:pPr>
        <w:spacing w:line="240" w:lineRule="auto"/>
        <w:rPr>
          <w:rFonts w:eastAsia="Arial"/>
        </w:rPr>
      </w:pPr>
      <w:r>
        <w:rPr>
          <w:rFonts w:eastAsia="Arial"/>
          <w:sz w:val="52"/>
          <w:szCs w:val="52"/>
        </w:rPr>
        <w:br w:type="page"/>
      </w:r>
    </w:p>
    <w:p w:rsidR="00E06EC4" w:rsidRPr="007254D8" w:rsidRDefault="00E06EC4" w:rsidP="007254D8">
      <w:pPr>
        <w:pStyle w:val="Heading1"/>
        <w:rPr>
          <w:rFonts w:eastAsia="Arial"/>
        </w:rPr>
      </w:pPr>
      <w:bookmarkStart w:id="59" w:name="_Toc404355703"/>
      <w:r w:rsidRPr="007254D8">
        <w:rPr>
          <w:rFonts w:eastAsia="Arial"/>
        </w:rPr>
        <w:lastRenderedPageBreak/>
        <w:t>Data</w:t>
      </w:r>
      <w:r w:rsidR="007254D8">
        <w:rPr>
          <w:rFonts w:eastAsia="Arial"/>
          <w:sz w:val="52"/>
          <w:szCs w:val="52"/>
        </w:rPr>
        <w:t xml:space="preserve"> </w:t>
      </w:r>
      <w:r w:rsidRPr="007254D8">
        <w:rPr>
          <w:rFonts w:eastAsia="Arial"/>
        </w:rPr>
        <w:t>Sources Used</w:t>
      </w:r>
      <w:bookmarkEnd w:id="59"/>
    </w:p>
    <w:p w:rsidR="00E06EC4" w:rsidRPr="00237CBD" w:rsidRDefault="00E06EC4" w:rsidP="00127E0F">
      <w:pPr>
        <w:pStyle w:val="Heading3"/>
        <w:rPr>
          <w:rFonts w:eastAsia="Arial"/>
        </w:rPr>
      </w:pPr>
      <w:r w:rsidRPr="00237CBD">
        <w:rPr>
          <w:rFonts w:eastAsia="Arial"/>
        </w:rPr>
        <w:t>National Maternity Collection</w:t>
      </w:r>
    </w:p>
    <w:p w:rsidR="00E06EC4" w:rsidRPr="00127E0F" w:rsidRDefault="00E06EC4" w:rsidP="00127E0F">
      <w:pPr>
        <w:pStyle w:val="Bullet"/>
        <w:rPr>
          <w:rFonts w:eastAsia="Arial"/>
        </w:rPr>
      </w:pPr>
      <w:r w:rsidRPr="00127E0F">
        <w:rPr>
          <w:rFonts w:eastAsia="Arial"/>
        </w:rPr>
        <w:t>Percentage</w:t>
      </w:r>
      <w:r w:rsidR="00F71BF6" w:rsidRPr="00127E0F">
        <w:rPr>
          <w:rFonts w:eastAsia="Arial"/>
        </w:rPr>
        <w:t xml:space="preserve"> </w:t>
      </w:r>
      <w:r w:rsidRPr="00127E0F">
        <w:rPr>
          <w:rFonts w:eastAsia="Arial"/>
        </w:rPr>
        <w:t>of Women Registered with an LMC in the First Trimester, by DHB of Domicile, 2011</w:t>
      </w:r>
      <w:r w:rsidR="00127E0F" w:rsidRPr="00127E0F">
        <w:rPr>
          <w:rFonts w:eastAsia="Arial"/>
        </w:rPr>
        <w:t xml:space="preserve"> </w:t>
      </w:r>
      <w:r w:rsidR="00127E0F">
        <w:rPr>
          <w:rFonts w:eastAsia="Arial"/>
        </w:rPr>
        <w:t>and</w:t>
      </w:r>
      <w:r w:rsidRPr="00127E0F">
        <w:rPr>
          <w:rFonts w:eastAsia="Arial"/>
        </w:rPr>
        <w:t xml:space="preserve"> 2012</w:t>
      </w:r>
      <w:r w:rsidR="00127E0F">
        <w:rPr>
          <w:rFonts w:eastAsia="Arial"/>
        </w:rPr>
        <w:t>.</w:t>
      </w:r>
    </w:p>
    <w:p w:rsidR="00E06EC4" w:rsidRPr="00127E0F" w:rsidRDefault="00E06EC4" w:rsidP="00127E0F">
      <w:pPr>
        <w:pStyle w:val="Bullet"/>
        <w:rPr>
          <w:rFonts w:eastAsia="Arial"/>
        </w:rPr>
      </w:pPr>
      <w:r w:rsidRPr="00127E0F">
        <w:rPr>
          <w:rFonts w:eastAsia="Arial"/>
        </w:rPr>
        <w:t>Elective Caesarean Deliveries as a Percentage of Total Deliveries in Each DHB, 37</w:t>
      </w:r>
      <w:r w:rsidR="00127E0F">
        <w:rPr>
          <w:rFonts w:eastAsia="Arial"/>
        </w:rPr>
        <w:t>–</w:t>
      </w:r>
      <w:r w:rsidRPr="00127E0F">
        <w:rPr>
          <w:rFonts w:eastAsia="Arial"/>
        </w:rPr>
        <w:t>39 weeks</w:t>
      </w:r>
      <w:r w:rsidR="00F71BF6" w:rsidRPr="00127E0F">
        <w:rPr>
          <w:rFonts w:eastAsia="Arial"/>
        </w:rPr>
        <w:t>’</w:t>
      </w:r>
      <w:r w:rsidR="00127E0F" w:rsidRPr="00127E0F">
        <w:rPr>
          <w:rFonts w:eastAsia="Arial"/>
        </w:rPr>
        <w:t xml:space="preserve"> </w:t>
      </w:r>
      <w:r w:rsidRPr="00127E0F">
        <w:rPr>
          <w:rFonts w:eastAsia="Arial"/>
        </w:rPr>
        <w:t>gestation, 2012</w:t>
      </w:r>
      <w:r w:rsidR="00127E0F">
        <w:rPr>
          <w:rFonts w:eastAsia="Arial"/>
        </w:rPr>
        <w:t>.</w:t>
      </w:r>
    </w:p>
    <w:p w:rsidR="00E06EC4" w:rsidRPr="00127E0F" w:rsidRDefault="00E06EC4" w:rsidP="00127E0F">
      <w:pPr>
        <w:pStyle w:val="Bullet"/>
        <w:rPr>
          <w:rFonts w:eastAsia="Arial"/>
        </w:rPr>
      </w:pPr>
      <w:r w:rsidRPr="00127E0F">
        <w:rPr>
          <w:rFonts w:eastAsia="Arial"/>
        </w:rPr>
        <w:t>Induction</w:t>
      </w:r>
      <w:r w:rsidR="00F71BF6" w:rsidRPr="00127E0F">
        <w:rPr>
          <w:rFonts w:eastAsia="Arial"/>
        </w:rPr>
        <w:t xml:space="preserve"> </w:t>
      </w:r>
      <w:r w:rsidRPr="00127E0F">
        <w:rPr>
          <w:rFonts w:eastAsia="Arial"/>
        </w:rPr>
        <w:t>of Labour Performed as a Percentage of Total Deliveries in Each DHB, 37</w:t>
      </w:r>
      <w:r w:rsidR="00127E0F" w:rsidRPr="00127E0F">
        <w:rPr>
          <w:rFonts w:eastAsia="Arial"/>
        </w:rPr>
        <w:t>–</w:t>
      </w:r>
      <w:r w:rsidRPr="00127E0F">
        <w:rPr>
          <w:rFonts w:eastAsia="Arial"/>
        </w:rPr>
        <w:t>39 weeks</w:t>
      </w:r>
      <w:r w:rsidR="00F71BF6" w:rsidRPr="00127E0F">
        <w:rPr>
          <w:rFonts w:eastAsia="Arial"/>
        </w:rPr>
        <w:t>’</w:t>
      </w:r>
      <w:r w:rsidR="00127E0F" w:rsidRPr="00127E0F">
        <w:rPr>
          <w:rFonts w:eastAsia="Arial"/>
        </w:rPr>
        <w:t xml:space="preserve"> </w:t>
      </w:r>
      <w:r w:rsidRPr="00127E0F">
        <w:rPr>
          <w:rFonts w:eastAsia="Arial"/>
        </w:rPr>
        <w:t>gestation, 2012</w:t>
      </w:r>
      <w:r w:rsidR="00127E0F">
        <w:rPr>
          <w:rFonts w:eastAsia="Arial"/>
        </w:rPr>
        <w:t>.</w:t>
      </w:r>
    </w:p>
    <w:p w:rsidR="00E06EC4" w:rsidRPr="00237CBD" w:rsidRDefault="00E06EC4" w:rsidP="00127E0F"/>
    <w:p w:rsidR="00E06EC4" w:rsidRPr="00237CBD" w:rsidRDefault="00E06EC4" w:rsidP="00127E0F">
      <w:pPr>
        <w:rPr>
          <w:rFonts w:eastAsia="Arial"/>
        </w:rPr>
      </w:pPr>
      <w:r w:rsidRPr="00237CBD">
        <w:rPr>
          <w:rFonts w:eastAsia="Arial"/>
        </w:rPr>
        <w:t>The Ministry</w:t>
      </w:r>
      <w:r w:rsidR="00F71BF6" w:rsidRPr="00237CBD">
        <w:rPr>
          <w:rFonts w:eastAsia="Arial"/>
        </w:rPr>
        <w:t>’</w:t>
      </w:r>
      <w:r w:rsidRPr="00237CBD">
        <w:rPr>
          <w:rFonts w:eastAsia="Arial"/>
        </w:rPr>
        <w:t>s National Maternity Collection includes data from hospital birth records and claims made by Lead Maternity Carers. This dataset includes hospital and home births. This dataset allocates year as year of registration with an LMC.</w:t>
      </w:r>
    </w:p>
    <w:p w:rsidR="00E06EC4" w:rsidRPr="00237CBD" w:rsidRDefault="00E06EC4" w:rsidP="00127E0F"/>
    <w:p w:rsidR="00E06EC4" w:rsidRPr="00237CBD" w:rsidRDefault="00E06EC4" w:rsidP="00127E0F">
      <w:pPr>
        <w:rPr>
          <w:rFonts w:eastAsia="Arial"/>
        </w:rPr>
      </w:pPr>
      <w:r w:rsidRPr="00237CBD">
        <w:rPr>
          <w:rFonts w:eastAsia="Arial"/>
        </w:rPr>
        <w:t>Please note that this data is provisional as at the time of extraction not all not all privately</w:t>
      </w:r>
      <w:r w:rsidR="00127E0F">
        <w:rPr>
          <w:rFonts w:eastAsia="Arial"/>
        </w:rPr>
        <w:t xml:space="preserve"> </w:t>
      </w:r>
      <w:r w:rsidRPr="00237CBD">
        <w:rPr>
          <w:rFonts w:eastAsia="Arial"/>
        </w:rPr>
        <w:t>funded hospital discharges (primary birthing units) had been loaded into the National Minimum</w:t>
      </w:r>
      <w:r w:rsidR="00127E0F">
        <w:rPr>
          <w:rFonts w:eastAsia="Arial"/>
        </w:rPr>
        <w:t xml:space="preserve"> </w:t>
      </w:r>
      <w:r w:rsidRPr="00237CBD">
        <w:rPr>
          <w:rFonts w:eastAsia="Arial"/>
        </w:rPr>
        <w:t>Dataset (NMDS) for the 2012 calendar year. As the NMDS is one of the key sources of data for the National Maternity Collection (MAT), it is possible that MAT might still be missing some deliveries in 2012, specifically those taking place in primary birthing units that did not have an associated LMC claim.</w:t>
      </w:r>
    </w:p>
    <w:p w:rsidR="00E06EC4" w:rsidRPr="00237CBD" w:rsidRDefault="00E06EC4" w:rsidP="00127E0F"/>
    <w:p w:rsidR="00E06EC4" w:rsidRPr="00237CBD" w:rsidRDefault="00E06EC4" w:rsidP="00127E0F">
      <w:pPr>
        <w:pStyle w:val="Heading3"/>
        <w:rPr>
          <w:rFonts w:eastAsia="Arial"/>
        </w:rPr>
      </w:pPr>
      <w:r w:rsidRPr="00237CBD">
        <w:rPr>
          <w:rFonts w:eastAsia="Arial"/>
        </w:rPr>
        <w:t>Section 88 Claims, Ministry of Health</w:t>
      </w:r>
    </w:p>
    <w:p w:rsidR="00E06EC4" w:rsidRPr="00237CBD" w:rsidRDefault="00E06EC4" w:rsidP="00127E0F">
      <w:pPr>
        <w:pStyle w:val="Bullet"/>
        <w:rPr>
          <w:rFonts w:eastAsia="Arial"/>
        </w:rPr>
      </w:pPr>
      <w:r w:rsidRPr="00237CBD">
        <w:rPr>
          <w:rFonts w:eastAsia="Arial"/>
        </w:rPr>
        <w:t>Ultrasounds</w:t>
      </w:r>
      <w:r w:rsidR="00F71BF6" w:rsidRPr="00237CBD">
        <w:rPr>
          <w:rFonts w:eastAsia="Arial"/>
        </w:rPr>
        <w:t xml:space="preserve"> </w:t>
      </w:r>
      <w:r w:rsidRPr="00237CBD">
        <w:rPr>
          <w:rFonts w:eastAsia="Arial"/>
        </w:rPr>
        <w:t>Scans per Pregnant Woman, 2011/2012</w:t>
      </w:r>
      <w:r w:rsidR="00127E0F">
        <w:rPr>
          <w:rFonts w:eastAsia="Arial"/>
        </w:rPr>
        <w:t>.</w:t>
      </w:r>
    </w:p>
    <w:p w:rsidR="00E06EC4" w:rsidRPr="00237CBD" w:rsidRDefault="00E06EC4" w:rsidP="00127E0F">
      <w:pPr>
        <w:pStyle w:val="Bullet"/>
        <w:rPr>
          <w:rFonts w:eastAsia="Arial"/>
        </w:rPr>
      </w:pPr>
      <w:r w:rsidRPr="00237CBD">
        <w:rPr>
          <w:rFonts w:eastAsia="Arial"/>
        </w:rPr>
        <w:t>Average Number of Scans per Pregnant Woman, 2005/06 to 2011/12</w:t>
      </w:r>
      <w:r w:rsidR="00127E0F">
        <w:rPr>
          <w:rFonts w:eastAsia="Arial"/>
        </w:rPr>
        <w:t>.</w:t>
      </w:r>
    </w:p>
    <w:p w:rsidR="00E06EC4" w:rsidRPr="00237CBD" w:rsidRDefault="00E06EC4" w:rsidP="00127E0F">
      <w:pPr>
        <w:pStyle w:val="Bullet"/>
        <w:rPr>
          <w:rFonts w:eastAsia="Arial"/>
        </w:rPr>
      </w:pPr>
      <w:r w:rsidRPr="00237CBD">
        <w:rPr>
          <w:rFonts w:eastAsia="Arial"/>
        </w:rPr>
        <w:t>Average Number of Scans per Pregnant Woman, by DHB of Domicile, 2011/12</w:t>
      </w:r>
      <w:r w:rsidR="00127E0F">
        <w:rPr>
          <w:rFonts w:eastAsia="Arial"/>
        </w:rPr>
        <w:t>.</w:t>
      </w:r>
    </w:p>
    <w:p w:rsidR="00E06EC4" w:rsidRPr="00237CBD" w:rsidRDefault="00E06EC4" w:rsidP="00127E0F"/>
    <w:p w:rsidR="00E06EC4" w:rsidRPr="00237CBD" w:rsidRDefault="00E06EC4" w:rsidP="00127E0F">
      <w:pPr>
        <w:rPr>
          <w:rFonts w:eastAsia="Arial"/>
        </w:rPr>
      </w:pPr>
      <w:r w:rsidRPr="00237CBD">
        <w:rPr>
          <w:rFonts w:eastAsia="Arial"/>
        </w:rPr>
        <w:t>The Ministry receives a claim for every ultrasound carried out under Section 88 of the Primary Maternity Services Notice 2007. This allows providers to be reimbursed. These claims are recorded by financial year of due date or actual date of birth. This captures all scans for a pregnancy even when they are distributed across two financial years.</w:t>
      </w:r>
    </w:p>
    <w:p w:rsidR="00E06EC4" w:rsidRPr="00237CBD" w:rsidRDefault="00E06EC4" w:rsidP="00127E0F">
      <w:pPr>
        <w:rPr>
          <w:sz w:val="20"/>
        </w:rPr>
      </w:pPr>
    </w:p>
    <w:p w:rsidR="00CE4419" w:rsidRPr="005443DA" w:rsidRDefault="00CE4419" w:rsidP="00CE4419">
      <w:pPr>
        <w:rPr>
          <w:rFonts w:eastAsia="Arial"/>
        </w:rPr>
      </w:pPr>
      <w:r w:rsidRPr="005443DA">
        <w:rPr>
          <w:rFonts w:eastAsia="Arial"/>
        </w:rPr>
        <w:t>If you have any enquiries about this report, or wish to contact the NMMG, please contact the NMMG Secretariat on:</w:t>
      </w:r>
    </w:p>
    <w:p w:rsidR="00CE4419" w:rsidRDefault="00CE4419" w:rsidP="00CE4419">
      <w:pPr>
        <w:spacing w:before="120"/>
        <w:ind w:left="567"/>
        <w:rPr>
          <w:rFonts w:eastAsia="Arial"/>
          <w:szCs w:val="22"/>
        </w:rPr>
      </w:pPr>
      <w:r w:rsidRPr="005443DA">
        <w:rPr>
          <w:rFonts w:eastAsia="Arial"/>
          <w:szCs w:val="22"/>
        </w:rPr>
        <w:t xml:space="preserve">Email: </w:t>
      </w:r>
      <w:r>
        <w:rPr>
          <w:rFonts w:eastAsia="Arial"/>
          <w:szCs w:val="22"/>
        </w:rPr>
        <w:t>nmmg@allenandclarke.co.nz</w:t>
      </w:r>
    </w:p>
    <w:p w:rsidR="00CE4419" w:rsidRPr="005443DA" w:rsidRDefault="00CE4419" w:rsidP="00CE4419">
      <w:pPr>
        <w:ind w:left="567"/>
        <w:rPr>
          <w:rFonts w:eastAsia="Arial"/>
          <w:szCs w:val="22"/>
        </w:rPr>
      </w:pPr>
      <w:r w:rsidRPr="005443DA">
        <w:rPr>
          <w:rFonts w:eastAsia="Arial"/>
          <w:szCs w:val="22"/>
        </w:rPr>
        <w:t xml:space="preserve">Phone: </w:t>
      </w:r>
      <w:r>
        <w:rPr>
          <w:rFonts w:eastAsia="Arial"/>
          <w:szCs w:val="22"/>
        </w:rPr>
        <w:t>04</w:t>
      </w:r>
      <w:r w:rsidRPr="005443DA">
        <w:rPr>
          <w:rFonts w:eastAsia="Arial"/>
          <w:szCs w:val="22"/>
        </w:rPr>
        <w:t xml:space="preserve"> </w:t>
      </w:r>
      <w:r>
        <w:rPr>
          <w:rFonts w:eastAsia="Arial"/>
          <w:szCs w:val="22"/>
        </w:rPr>
        <w:t>550 5705</w:t>
      </w:r>
    </w:p>
    <w:p w:rsidR="00CE4419" w:rsidRPr="005443DA" w:rsidRDefault="00CE4419" w:rsidP="00CE4419">
      <w:pPr>
        <w:ind w:left="567"/>
        <w:rPr>
          <w:rFonts w:eastAsia="Arial"/>
          <w:szCs w:val="22"/>
        </w:rPr>
      </w:pPr>
      <w:r w:rsidRPr="005443DA">
        <w:rPr>
          <w:rFonts w:eastAsia="Arial"/>
          <w:szCs w:val="22"/>
        </w:rPr>
        <w:t xml:space="preserve">Fax: </w:t>
      </w:r>
      <w:r>
        <w:rPr>
          <w:rFonts w:eastAsia="Arial"/>
          <w:szCs w:val="22"/>
        </w:rPr>
        <w:t>0</w:t>
      </w:r>
      <w:r w:rsidRPr="005443DA">
        <w:rPr>
          <w:rFonts w:eastAsia="Arial"/>
          <w:szCs w:val="22"/>
        </w:rPr>
        <w:t xml:space="preserve">4 </w:t>
      </w:r>
      <w:r>
        <w:rPr>
          <w:rFonts w:eastAsia="Arial"/>
          <w:szCs w:val="22"/>
        </w:rPr>
        <w:t>890 7301</w:t>
      </w:r>
    </w:p>
    <w:p w:rsidR="00CE4419" w:rsidRPr="005443DA" w:rsidRDefault="00CE4419" w:rsidP="00CE4419">
      <w:pPr>
        <w:spacing w:before="120"/>
        <w:ind w:left="567"/>
        <w:rPr>
          <w:rFonts w:eastAsia="Arial"/>
          <w:szCs w:val="22"/>
        </w:rPr>
      </w:pPr>
      <w:r w:rsidRPr="005443DA">
        <w:rPr>
          <w:rFonts w:eastAsia="Arial"/>
          <w:szCs w:val="22"/>
        </w:rPr>
        <w:t>Postal address:</w:t>
      </w:r>
      <w:r>
        <w:rPr>
          <w:rFonts w:eastAsia="Arial"/>
          <w:szCs w:val="22"/>
        </w:rPr>
        <w:t xml:space="preserve"> </w:t>
      </w:r>
      <w:r w:rsidRPr="005443DA">
        <w:rPr>
          <w:rFonts w:eastAsia="Arial"/>
          <w:szCs w:val="22"/>
        </w:rPr>
        <w:t xml:space="preserve">PO Box </w:t>
      </w:r>
      <w:r>
        <w:rPr>
          <w:rFonts w:eastAsia="Arial"/>
          <w:szCs w:val="22"/>
        </w:rPr>
        <w:t>10730, Wellington 6143</w:t>
      </w:r>
    </w:p>
    <w:p w:rsidR="00CE4419" w:rsidRPr="005443DA" w:rsidRDefault="00CE4419" w:rsidP="00CE4419">
      <w:pPr>
        <w:spacing w:before="120"/>
        <w:ind w:left="567"/>
        <w:rPr>
          <w:rFonts w:eastAsia="Arial"/>
          <w:szCs w:val="22"/>
        </w:rPr>
      </w:pPr>
      <w:r>
        <w:rPr>
          <w:rFonts w:eastAsia="Arial"/>
          <w:szCs w:val="22"/>
        </w:rPr>
        <w:t>Website: www.hiirc.org.nz/nmmg</w:t>
      </w:r>
    </w:p>
    <w:p w:rsidR="00D435C9" w:rsidRPr="00237CBD" w:rsidRDefault="00D435C9" w:rsidP="00127E0F"/>
    <w:sectPr w:rsidR="00D435C9" w:rsidRPr="00237CBD" w:rsidSect="00CA6003">
      <w:type w:val="continuous"/>
      <w:pgSz w:w="11907" w:h="16834" w:code="9"/>
      <w:pgMar w:top="1418" w:right="1701" w:bottom="1134" w:left="1701"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9B5" w:rsidRDefault="003539B5">
      <w:pPr>
        <w:spacing w:line="240" w:lineRule="auto"/>
      </w:pPr>
      <w:r>
        <w:separator/>
      </w:r>
    </w:p>
  </w:endnote>
  <w:endnote w:type="continuationSeparator" w:id="0">
    <w:p w:rsidR="003539B5" w:rsidRDefault="00353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8E" w:rsidRPr="003648EF" w:rsidRDefault="00EE698E"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8E" w:rsidRPr="00DD4C96" w:rsidRDefault="00EE698E" w:rsidP="00CB4046">
    <w:pPr>
      <w:pStyle w:val="VersoFooter"/>
      <w:ind w:left="-1134"/>
      <w:rPr>
        <w:rStyle w:val="PageNumber"/>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BF0898">
      <w:rPr>
        <w:rStyle w:val="PageNumber"/>
        <w:noProof/>
      </w:rPr>
      <w:t>2</w:t>
    </w:r>
    <w:r w:rsidRPr="00FC46E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8E" w:rsidRDefault="00EE69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8E" w:rsidRPr="00DD4C96" w:rsidRDefault="00EE698E" w:rsidP="00D07FAF">
    <w:pPr>
      <w:pStyle w:val="VersoFooter"/>
      <w:ind w:left="-1134"/>
      <w:rPr>
        <w:rStyle w:val="PageNumber"/>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BF0898">
      <w:rPr>
        <w:rStyle w:val="PageNumber"/>
        <w:noProof/>
      </w:rPr>
      <w:t>4</w:t>
    </w:r>
    <w:r w:rsidRPr="00FC46E7">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8E" w:rsidRDefault="00EE698E" w:rsidP="00A94275">
    <w:pPr>
      <w:pStyle w:val="RectoFooter"/>
    </w:pPr>
    <w:r>
      <w:tab/>
      <w:t>Annual Report 2014</w:t>
    </w:r>
    <w:r>
      <w:tab/>
      <w:t>|</w:t>
    </w:r>
    <w:r>
      <w:tab/>
      <w:t>National Maternity Monitoring Group</w:t>
    </w:r>
    <w:r>
      <w:tab/>
    </w:r>
    <w:r>
      <w:rPr>
        <w:rStyle w:val="PageNumber"/>
      </w:rPr>
      <w:fldChar w:fldCharType="begin"/>
    </w:r>
    <w:r>
      <w:rPr>
        <w:rStyle w:val="PageNumber"/>
      </w:rPr>
      <w:instrText xml:space="preserve"> PAGE </w:instrText>
    </w:r>
    <w:r>
      <w:rPr>
        <w:rStyle w:val="PageNumber"/>
      </w:rPr>
      <w:fldChar w:fldCharType="separate"/>
    </w:r>
    <w:r w:rsidR="00BF0898">
      <w:rPr>
        <w:rStyle w:val="PageNumber"/>
        <w:noProof/>
      </w:rPr>
      <w:t>7</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8E" w:rsidRPr="00DD4C96" w:rsidRDefault="00EE698E" w:rsidP="0000524E">
    <w:pPr>
      <w:pStyle w:val="VersoFooter"/>
      <w:ind w:left="-1134"/>
      <w:rPr>
        <w:rStyle w:val="PageNumber"/>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BF0898">
      <w:rPr>
        <w:rStyle w:val="PageNumber"/>
        <w:noProof/>
      </w:rPr>
      <w:t>8</w:t>
    </w:r>
    <w:r w:rsidRPr="00FC46E7">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8E" w:rsidRPr="00DD4C96" w:rsidRDefault="00EE698E" w:rsidP="0000524E">
    <w:pPr>
      <w:pStyle w:val="VersoFooter"/>
      <w:ind w:left="-1134"/>
      <w:rPr>
        <w:rStyle w:val="PageNumber"/>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BF0898">
      <w:rPr>
        <w:rStyle w:val="PageNumber"/>
        <w:noProof/>
      </w:rPr>
      <w:t>22</w:t>
    </w:r>
    <w:r w:rsidRPr="00FC46E7">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8E" w:rsidRDefault="00EE698E" w:rsidP="00A94275">
    <w:pPr>
      <w:pStyle w:val="RectoFooter"/>
    </w:pPr>
    <w:r>
      <w:tab/>
      <w:t>Annual Report 2014</w:t>
    </w:r>
    <w:r>
      <w:tab/>
      <w:t>|</w:t>
    </w:r>
    <w:r>
      <w:tab/>
      <w:t>National Maternity Monitoring Group</w:t>
    </w:r>
    <w:r>
      <w:tab/>
    </w:r>
    <w:r>
      <w:rPr>
        <w:rStyle w:val="PageNumber"/>
      </w:rPr>
      <w:fldChar w:fldCharType="begin"/>
    </w:r>
    <w:r>
      <w:rPr>
        <w:rStyle w:val="PageNumber"/>
      </w:rPr>
      <w:instrText xml:space="preserve"> PAGE </w:instrText>
    </w:r>
    <w:r>
      <w:rPr>
        <w:rStyle w:val="PageNumber"/>
      </w:rPr>
      <w:fldChar w:fldCharType="separate"/>
    </w:r>
    <w:r w:rsidR="00BF0898">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9B5" w:rsidRPr="00E460B6" w:rsidRDefault="003539B5" w:rsidP="00E460B6">
      <w:pPr>
        <w:pBdr>
          <w:top w:val="single" w:sz="4" w:space="1" w:color="auto"/>
        </w:pBdr>
        <w:spacing w:line="240" w:lineRule="auto"/>
        <w:ind w:right="4820"/>
        <w:rPr>
          <w:color w:val="D9D9D9"/>
          <w:sz w:val="6"/>
          <w:szCs w:val="6"/>
        </w:rPr>
      </w:pPr>
    </w:p>
  </w:footnote>
  <w:footnote w:type="continuationSeparator" w:id="0">
    <w:p w:rsidR="003539B5" w:rsidRDefault="003539B5">
      <w:pPr>
        <w:spacing w:line="240" w:lineRule="auto"/>
      </w:pPr>
      <w:r>
        <w:continuationSeparator/>
      </w:r>
    </w:p>
  </w:footnote>
  <w:footnote w:id="1">
    <w:p w:rsidR="00EE698E" w:rsidRDefault="00EE698E" w:rsidP="00237CBD">
      <w:pPr>
        <w:pStyle w:val="FootnoteText"/>
      </w:pPr>
      <w:r>
        <w:rPr>
          <w:rStyle w:val="FootnoteReference"/>
        </w:rPr>
        <w:footnoteRef/>
      </w:r>
      <w:r>
        <w:tab/>
      </w:r>
      <w:proofErr w:type="gramStart"/>
      <w:r>
        <w:t>Ministry of Health.</w:t>
      </w:r>
      <w:proofErr w:type="gramEnd"/>
      <w:r>
        <w:t xml:space="preserve"> 2011. </w:t>
      </w:r>
      <w:r w:rsidRPr="00237CBD">
        <w:rPr>
          <w:i/>
        </w:rPr>
        <w:t>The New Zealand Maternity Standards</w:t>
      </w:r>
      <w:r>
        <w:t>. Wellington: Ministry of Health.</w:t>
      </w:r>
    </w:p>
  </w:footnote>
  <w:footnote w:id="2">
    <w:p w:rsidR="00EE698E" w:rsidRDefault="00EE698E" w:rsidP="00011384">
      <w:pPr>
        <w:pStyle w:val="FootnoteText"/>
      </w:pPr>
      <w:r>
        <w:rPr>
          <w:rStyle w:val="FootnoteReference"/>
        </w:rPr>
        <w:footnoteRef/>
      </w:r>
      <w:r>
        <w:tab/>
      </w:r>
      <w:proofErr w:type="gramStart"/>
      <w:r w:rsidRPr="00237CBD">
        <w:rPr>
          <w:rFonts w:eastAsia="Arial"/>
        </w:rPr>
        <w:t>Perinatal and Maternal Mortality Review Committee.</w:t>
      </w:r>
      <w:proofErr w:type="gramEnd"/>
      <w:r w:rsidRPr="00237CBD">
        <w:rPr>
          <w:rFonts w:eastAsia="Arial"/>
        </w:rPr>
        <w:t xml:space="preserve"> 2012. </w:t>
      </w:r>
      <w:r w:rsidRPr="009F1D06">
        <w:rPr>
          <w:rFonts w:eastAsia="Arial"/>
          <w:i/>
        </w:rPr>
        <w:t>Sixth Annual Report of the Perinatal and Maternal Mortality Review Committee</w:t>
      </w:r>
      <w:r w:rsidRPr="00237CBD">
        <w:rPr>
          <w:rFonts w:eastAsia="Arial"/>
        </w:rPr>
        <w:t>. Wellington: Health Quality and Safety Commission.</w:t>
      </w:r>
    </w:p>
  </w:footnote>
  <w:footnote w:id="3">
    <w:p w:rsidR="00EE698E" w:rsidRDefault="00EE698E" w:rsidP="00011384">
      <w:pPr>
        <w:pStyle w:val="FootnoteText"/>
      </w:pPr>
      <w:r>
        <w:rPr>
          <w:rStyle w:val="FootnoteReference"/>
        </w:rPr>
        <w:footnoteRef/>
      </w:r>
      <w:r>
        <w:tab/>
      </w:r>
      <w:proofErr w:type="gramStart"/>
      <w:r w:rsidRPr="00237CBD">
        <w:rPr>
          <w:rFonts w:eastAsia="Arial"/>
        </w:rPr>
        <w:t>Health Committee.</w:t>
      </w:r>
      <w:proofErr w:type="gramEnd"/>
      <w:r w:rsidRPr="00237CBD">
        <w:rPr>
          <w:rFonts w:eastAsia="Arial"/>
        </w:rPr>
        <w:t xml:space="preserve"> 2013. </w:t>
      </w:r>
      <w:r w:rsidRPr="009F1D06">
        <w:rPr>
          <w:rFonts w:eastAsia="Arial"/>
          <w:i/>
        </w:rPr>
        <w:t xml:space="preserve">Inquiry into </w:t>
      </w:r>
      <w:r>
        <w:rPr>
          <w:rFonts w:eastAsia="Arial"/>
          <w:i/>
        </w:rPr>
        <w:t>I</w:t>
      </w:r>
      <w:r w:rsidRPr="009F1D06">
        <w:rPr>
          <w:rFonts w:eastAsia="Arial"/>
          <w:i/>
        </w:rPr>
        <w:t xml:space="preserve">mproving </w:t>
      </w:r>
      <w:r>
        <w:rPr>
          <w:rFonts w:eastAsia="Arial"/>
          <w:i/>
        </w:rPr>
        <w:t>C</w:t>
      </w:r>
      <w:r w:rsidRPr="009F1D06">
        <w:rPr>
          <w:rFonts w:eastAsia="Arial"/>
          <w:i/>
        </w:rPr>
        <w:t xml:space="preserve">hild </w:t>
      </w:r>
      <w:r>
        <w:rPr>
          <w:rFonts w:eastAsia="Arial"/>
          <w:i/>
        </w:rPr>
        <w:t>H</w:t>
      </w:r>
      <w:r w:rsidRPr="009F1D06">
        <w:rPr>
          <w:rFonts w:eastAsia="Arial"/>
          <w:i/>
        </w:rPr>
        <w:t xml:space="preserve">ealth </w:t>
      </w:r>
      <w:r>
        <w:rPr>
          <w:rFonts w:eastAsia="Arial"/>
          <w:i/>
        </w:rPr>
        <w:t>O</w:t>
      </w:r>
      <w:r w:rsidRPr="009F1D06">
        <w:rPr>
          <w:rFonts w:eastAsia="Arial"/>
          <w:i/>
        </w:rPr>
        <w:t xml:space="preserve">utcomes and </w:t>
      </w:r>
      <w:r>
        <w:rPr>
          <w:rFonts w:eastAsia="Arial"/>
          <w:i/>
        </w:rPr>
        <w:t>P</w:t>
      </w:r>
      <w:r w:rsidRPr="009F1D06">
        <w:rPr>
          <w:rFonts w:eastAsia="Arial"/>
          <w:i/>
        </w:rPr>
        <w:t xml:space="preserve">reventing </w:t>
      </w:r>
      <w:r>
        <w:rPr>
          <w:rFonts w:eastAsia="Arial"/>
          <w:i/>
        </w:rPr>
        <w:t>C</w:t>
      </w:r>
      <w:r w:rsidRPr="009F1D06">
        <w:rPr>
          <w:rFonts w:eastAsia="Arial"/>
          <w:i/>
        </w:rPr>
        <w:t xml:space="preserve">hild </w:t>
      </w:r>
      <w:r>
        <w:rPr>
          <w:rFonts w:eastAsia="Arial"/>
          <w:i/>
        </w:rPr>
        <w:t>A</w:t>
      </w:r>
      <w:r w:rsidRPr="009F1D06">
        <w:rPr>
          <w:rFonts w:eastAsia="Arial"/>
          <w:i/>
        </w:rPr>
        <w:t xml:space="preserve">buse, with a </w:t>
      </w:r>
      <w:r>
        <w:rPr>
          <w:rFonts w:eastAsia="Arial"/>
          <w:i/>
        </w:rPr>
        <w:t>F</w:t>
      </w:r>
      <w:r w:rsidRPr="009F1D06">
        <w:rPr>
          <w:rFonts w:eastAsia="Arial"/>
          <w:i/>
        </w:rPr>
        <w:t xml:space="preserve">ocus from </w:t>
      </w:r>
      <w:r>
        <w:rPr>
          <w:rFonts w:eastAsia="Arial"/>
          <w:i/>
        </w:rPr>
        <w:t>P</w:t>
      </w:r>
      <w:r w:rsidRPr="009F1D06">
        <w:rPr>
          <w:rFonts w:eastAsia="Arial"/>
          <w:i/>
        </w:rPr>
        <w:t xml:space="preserve">reconception until </w:t>
      </w:r>
      <w:r>
        <w:rPr>
          <w:rFonts w:eastAsia="Arial"/>
          <w:i/>
        </w:rPr>
        <w:t>T</w:t>
      </w:r>
      <w:r w:rsidRPr="009F1D06">
        <w:rPr>
          <w:rFonts w:eastAsia="Arial"/>
          <w:i/>
        </w:rPr>
        <w:t xml:space="preserve">hree </w:t>
      </w:r>
      <w:r>
        <w:rPr>
          <w:rFonts w:eastAsia="Arial"/>
          <w:i/>
        </w:rPr>
        <w:t>Y</w:t>
      </w:r>
      <w:r w:rsidRPr="009F1D06">
        <w:rPr>
          <w:rFonts w:eastAsia="Arial"/>
          <w:i/>
        </w:rPr>
        <w:t xml:space="preserve">ears of </w:t>
      </w:r>
      <w:r>
        <w:rPr>
          <w:rFonts w:eastAsia="Arial"/>
          <w:i/>
        </w:rPr>
        <w:t>A</w:t>
      </w:r>
      <w:r w:rsidRPr="009F1D06">
        <w:rPr>
          <w:rFonts w:eastAsia="Arial"/>
          <w:i/>
        </w:rPr>
        <w:t>ge</w:t>
      </w:r>
      <w:r w:rsidRPr="00237CBD">
        <w:rPr>
          <w:rFonts w:eastAsia="Arial"/>
        </w:rPr>
        <w:t>. Wellington: New Zealand House of Representatives.</w:t>
      </w:r>
    </w:p>
  </w:footnote>
  <w:footnote w:id="4">
    <w:p w:rsidR="00EE698E" w:rsidRDefault="00EE698E" w:rsidP="003D10FA">
      <w:pPr>
        <w:pStyle w:val="FootnoteText"/>
      </w:pPr>
      <w:r>
        <w:rPr>
          <w:rStyle w:val="FootnoteReference"/>
        </w:rPr>
        <w:footnoteRef/>
      </w:r>
      <w:r>
        <w:tab/>
      </w:r>
      <w:r w:rsidRPr="00237CBD">
        <w:rPr>
          <w:rFonts w:eastAsia="Arial"/>
        </w:rPr>
        <w:t xml:space="preserve">Morris JM, </w:t>
      </w:r>
      <w:proofErr w:type="spellStart"/>
      <w:r w:rsidRPr="00237CBD">
        <w:rPr>
          <w:rFonts w:eastAsia="Arial"/>
        </w:rPr>
        <w:t>Algert</w:t>
      </w:r>
      <w:proofErr w:type="spellEnd"/>
      <w:r w:rsidRPr="00237CBD">
        <w:rPr>
          <w:rFonts w:eastAsia="Arial"/>
        </w:rPr>
        <w:t xml:space="preserve"> CS, Falster MO, </w:t>
      </w:r>
      <w:proofErr w:type="spellStart"/>
      <w:r w:rsidRPr="00237CBD">
        <w:rPr>
          <w:rFonts w:eastAsia="Arial"/>
        </w:rPr>
        <w:t>Fod</w:t>
      </w:r>
      <w:proofErr w:type="spellEnd"/>
      <w:r w:rsidRPr="00237CBD">
        <w:rPr>
          <w:rFonts w:eastAsia="Arial"/>
        </w:rPr>
        <w:t xml:space="preserve"> JB, Kinnear A, Nicholl MC</w:t>
      </w:r>
      <w:r>
        <w:rPr>
          <w:rFonts w:eastAsia="Arial"/>
        </w:rPr>
        <w:t>,</w:t>
      </w:r>
      <w:r w:rsidRPr="00237CBD">
        <w:rPr>
          <w:rFonts w:eastAsia="Arial"/>
        </w:rPr>
        <w:t xml:space="preserve"> Roberts CL. 2012. Trends in planned early birth: a population-based study. </w:t>
      </w:r>
      <w:proofErr w:type="gramStart"/>
      <w:r w:rsidRPr="003D10FA">
        <w:rPr>
          <w:rFonts w:eastAsia="Arial"/>
          <w:i/>
        </w:rPr>
        <w:t xml:space="preserve">American Journal of Obstetrics and </w:t>
      </w:r>
      <w:proofErr w:type="spellStart"/>
      <w:r w:rsidRPr="003D10FA">
        <w:rPr>
          <w:rFonts w:eastAsia="Arial"/>
          <w:i/>
        </w:rPr>
        <w:t>Gynecology</w:t>
      </w:r>
      <w:proofErr w:type="spellEnd"/>
      <w:r w:rsidRPr="00237CBD">
        <w:rPr>
          <w:rFonts w:eastAsia="Arial"/>
        </w:rPr>
        <w:t xml:space="preserve"> 207(186), ppe1-8.</w:t>
      </w:r>
      <w:proofErr w:type="gramEnd"/>
      <w:r w:rsidRPr="00237CBD">
        <w:rPr>
          <w:rFonts w:eastAsia="Arial"/>
        </w:rPr>
        <w:t xml:space="preserve"> </w:t>
      </w:r>
      <w:proofErr w:type="spellStart"/>
      <w:proofErr w:type="gramStart"/>
      <w:r w:rsidRPr="00237CBD">
        <w:rPr>
          <w:rFonts w:eastAsia="Arial"/>
        </w:rPr>
        <w:t>doi</w:t>
      </w:r>
      <w:proofErr w:type="spellEnd"/>
      <w:proofErr w:type="gramEnd"/>
      <w:r w:rsidRPr="00237CBD">
        <w:rPr>
          <w:rFonts w:eastAsia="Arial"/>
        </w:rPr>
        <w:t>: 0002-9378/$36.00</w:t>
      </w:r>
      <w:r>
        <w:rPr>
          <w:rFonts w:eastAsia="Arial"/>
        </w:rPr>
        <w:t>.</w:t>
      </w:r>
    </w:p>
  </w:footnote>
  <w:footnote w:id="5">
    <w:p w:rsidR="00EE698E" w:rsidRDefault="00EE698E" w:rsidP="003D10FA">
      <w:pPr>
        <w:pStyle w:val="FootnoteText"/>
      </w:pPr>
      <w:r>
        <w:rPr>
          <w:rStyle w:val="FootnoteReference"/>
        </w:rPr>
        <w:footnoteRef/>
      </w:r>
      <w:r>
        <w:tab/>
      </w:r>
      <w:r w:rsidRPr="00237CBD">
        <w:rPr>
          <w:rFonts w:eastAsia="Arial"/>
        </w:rPr>
        <w:t xml:space="preserve">Boyle EM, </w:t>
      </w:r>
      <w:proofErr w:type="spellStart"/>
      <w:r w:rsidRPr="00237CBD">
        <w:rPr>
          <w:rFonts w:eastAsia="Arial"/>
        </w:rPr>
        <w:t>Poulsen</w:t>
      </w:r>
      <w:proofErr w:type="spellEnd"/>
      <w:r w:rsidRPr="00237CBD">
        <w:rPr>
          <w:rFonts w:eastAsia="Arial"/>
        </w:rPr>
        <w:t xml:space="preserve"> G, Field DJ, </w:t>
      </w:r>
      <w:proofErr w:type="spellStart"/>
      <w:r w:rsidRPr="00237CBD">
        <w:rPr>
          <w:rFonts w:eastAsia="Arial"/>
        </w:rPr>
        <w:t>Kurinczuk</w:t>
      </w:r>
      <w:proofErr w:type="spellEnd"/>
      <w:r w:rsidRPr="00237CBD">
        <w:rPr>
          <w:rFonts w:eastAsia="Arial"/>
        </w:rPr>
        <w:t xml:space="preserve"> JJ, </w:t>
      </w:r>
      <w:proofErr w:type="spellStart"/>
      <w:r w:rsidRPr="00237CBD">
        <w:rPr>
          <w:rFonts w:eastAsia="Arial"/>
        </w:rPr>
        <w:t>Alfirevic</w:t>
      </w:r>
      <w:proofErr w:type="spellEnd"/>
      <w:r w:rsidRPr="00237CBD">
        <w:rPr>
          <w:rFonts w:eastAsia="Arial"/>
        </w:rPr>
        <w:t xml:space="preserve"> Z</w:t>
      </w:r>
      <w:r>
        <w:rPr>
          <w:rFonts w:eastAsia="Arial"/>
        </w:rPr>
        <w:t>,</w:t>
      </w:r>
      <w:r w:rsidRPr="00237CBD">
        <w:rPr>
          <w:rFonts w:eastAsia="Arial"/>
        </w:rPr>
        <w:t xml:space="preserve"> Quigley MA. 2012. Effects of gestational age at birth on health outcomes at 3 and 5 years of age: population based cohort study. </w:t>
      </w:r>
      <w:r w:rsidRPr="003D10FA">
        <w:rPr>
          <w:rFonts w:eastAsia="Arial"/>
          <w:i/>
        </w:rPr>
        <w:t>British Medical Journal</w:t>
      </w:r>
      <w:r>
        <w:rPr>
          <w:rFonts w:eastAsia="Arial"/>
        </w:rPr>
        <w:t xml:space="preserve"> </w:t>
      </w:r>
      <w:r w:rsidRPr="00237CBD">
        <w:rPr>
          <w:rFonts w:eastAsia="Arial"/>
        </w:rPr>
        <w:t xml:space="preserve">344, e896. </w:t>
      </w:r>
      <w:proofErr w:type="spellStart"/>
      <w:proofErr w:type="gramStart"/>
      <w:r w:rsidRPr="00237CBD">
        <w:rPr>
          <w:rFonts w:eastAsia="Arial"/>
        </w:rPr>
        <w:t>doi</w:t>
      </w:r>
      <w:proofErr w:type="spellEnd"/>
      <w:proofErr w:type="gramEnd"/>
      <w:r w:rsidRPr="00237CBD">
        <w:rPr>
          <w:rFonts w:eastAsia="Arial"/>
        </w:rPr>
        <w:t>: 10.1136/bmj.e896.</w:t>
      </w:r>
    </w:p>
  </w:footnote>
  <w:footnote w:id="6">
    <w:p w:rsidR="00EE698E" w:rsidRDefault="00EE698E" w:rsidP="00E913A9">
      <w:pPr>
        <w:pStyle w:val="FootnoteText"/>
      </w:pPr>
      <w:r>
        <w:rPr>
          <w:rStyle w:val="FootnoteReference"/>
        </w:rPr>
        <w:footnoteRef/>
      </w:r>
      <w:r>
        <w:tab/>
      </w:r>
      <w:proofErr w:type="gramStart"/>
      <w:r w:rsidRPr="00237CBD">
        <w:rPr>
          <w:rFonts w:eastAsia="Arial"/>
        </w:rPr>
        <w:t>McLaurin KK, Hall CB, Jackson EA, Owens OV</w:t>
      </w:r>
      <w:r>
        <w:rPr>
          <w:rFonts w:eastAsia="Arial"/>
        </w:rPr>
        <w:t>,</w:t>
      </w:r>
      <w:r w:rsidRPr="00237CBD">
        <w:rPr>
          <w:rFonts w:eastAsia="Arial"/>
        </w:rPr>
        <w:t xml:space="preserve"> </w:t>
      </w:r>
      <w:proofErr w:type="spellStart"/>
      <w:r w:rsidRPr="00237CBD">
        <w:rPr>
          <w:rFonts w:eastAsia="Arial"/>
        </w:rPr>
        <w:t>Mahadevia</w:t>
      </w:r>
      <w:proofErr w:type="spellEnd"/>
      <w:r w:rsidRPr="00237CBD">
        <w:rPr>
          <w:rFonts w:eastAsia="Arial"/>
        </w:rPr>
        <w:t xml:space="preserve"> PJ.</w:t>
      </w:r>
      <w:proofErr w:type="gramEnd"/>
      <w:r w:rsidRPr="00237CBD">
        <w:rPr>
          <w:rFonts w:eastAsia="Arial"/>
        </w:rPr>
        <w:t xml:space="preserve"> 2009. Persistence of </w:t>
      </w:r>
      <w:r>
        <w:rPr>
          <w:rFonts w:eastAsia="Arial"/>
        </w:rPr>
        <w:t>m</w:t>
      </w:r>
      <w:r w:rsidRPr="00237CBD">
        <w:rPr>
          <w:rFonts w:eastAsia="Arial"/>
        </w:rPr>
        <w:t xml:space="preserve">orbidity and </w:t>
      </w:r>
      <w:r>
        <w:rPr>
          <w:rFonts w:eastAsia="Arial"/>
        </w:rPr>
        <w:t>c</w:t>
      </w:r>
      <w:r w:rsidRPr="00237CBD">
        <w:rPr>
          <w:rFonts w:eastAsia="Arial"/>
        </w:rPr>
        <w:t xml:space="preserve">ost </w:t>
      </w:r>
      <w:r>
        <w:rPr>
          <w:rFonts w:eastAsia="Arial"/>
        </w:rPr>
        <w:t>d</w:t>
      </w:r>
      <w:r w:rsidRPr="00237CBD">
        <w:rPr>
          <w:rFonts w:eastAsia="Arial"/>
        </w:rPr>
        <w:t xml:space="preserve">ifferences </w:t>
      </w:r>
      <w:r>
        <w:rPr>
          <w:rFonts w:eastAsia="Arial"/>
        </w:rPr>
        <w:t>b</w:t>
      </w:r>
      <w:r w:rsidRPr="00237CBD">
        <w:rPr>
          <w:rFonts w:eastAsia="Arial"/>
        </w:rPr>
        <w:t xml:space="preserve">etween </w:t>
      </w:r>
      <w:r>
        <w:rPr>
          <w:rFonts w:eastAsia="Arial"/>
        </w:rPr>
        <w:t>l</w:t>
      </w:r>
      <w:r w:rsidRPr="00237CBD">
        <w:rPr>
          <w:rFonts w:eastAsia="Arial"/>
        </w:rPr>
        <w:t>ate-</w:t>
      </w:r>
      <w:r>
        <w:rPr>
          <w:rFonts w:eastAsia="Arial"/>
        </w:rPr>
        <w:t>p</w:t>
      </w:r>
      <w:r w:rsidRPr="00237CBD">
        <w:rPr>
          <w:rFonts w:eastAsia="Arial"/>
        </w:rPr>
        <w:t xml:space="preserve">reterm and </w:t>
      </w:r>
      <w:r>
        <w:rPr>
          <w:rFonts w:eastAsia="Arial"/>
        </w:rPr>
        <w:t>t</w:t>
      </w:r>
      <w:r w:rsidRPr="00237CBD">
        <w:rPr>
          <w:rFonts w:eastAsia="Arial"/>
        </w:rPr>
        <w:t xml:space="preserve">erm </w:t>
      </w:r>
      <w:r>
        <w:rPr>
          <w:rFonts w:eastAsia="Arial"/>
        </w:rPr>
        <w:t>i</w:t>
      </w:r>
      <w:r w:rsidRPr="00237CBD">
        <w:rPr>
          <w:rFonts w:eastAsia="Arial"/>
        </w:rPr>
        <w:t xml:space="preserve">nfants </w:t>
      </w:r>
      <w:r>
        <w:rPr>
          <w:rFonts w:eastAsia="Arial"/>
        </w:rPr>
        <w:t>d</w:t>
      </w:r>
      <w:r w:rsidRPr="00237CBD">
        <w:rPr>
          <w:rFonts w:eastAsia="Arial"/>
        </w:rPr>
        <w:t xml:space="preserve">uring the </w:t>
      </w:r>
      <w:r>
        <w:rPr>
          <w:rFonts w:eastAsia="Arial"/>
        </w:rPr>
        <w:t>f</w:t>
      </w:r>
      <w:r w:rsidRPr="00237CBD">
        <w:rPr>
          <w:rFonts w:eastAsia="Arial"/>
        </w:rPr>
        <w:t xml:space="preserve">irst </w:t>
      </w:r>
      <w:r>
        <w:rPr>
          <w:rFonts w:eastAsia="Arial"/>
        </w:rPr>
        <w:t>y</w:t>
      </w:r>
      <w:r w:rsidRPr="00237CBD">
        <w:rPr>
          <w:rFonts w:eastAsia="Arial"/>
        </w:rPr>
        <w:t xml:space="preserve">ear of </w:t>
      </w:r>
      <w:r>
        <w:rPr>
          <w:rFonts w:eastAsia="Arial"/>
        </w:rPr>
        <w:t>l</w:t>
      </w:r>
      <w:r w:rsidRPr="00237CBD">
        <w:rPr>
          <w:rFonts w:eastAsia="Arial"/>
        </w:rPr>
        <w:t xml:space="preserve">ife. </w:t>
      </w:r>
      <w:proofErr w:type="spellStart"/>
      <w:r w:rsidRPr="00E913A9">
        <w:rPr>
          <w:rFonts w:eastAsia="Arial"/>
          <w:i/>
        </w:rPr>
        <w:t>Pediatrics</w:t>
      </w:r>
      <w:proofErr w:type="spellEnd"/>
      <w:r w:rsidRPr="00237CBD">
        <w:rPr>
          <w:rFonts w:eastAsia="Arial"/>
        </w:rPr>
        <w:t xml:space="preserve"> 123(2)</w:t>
      </w:r>
      <w:r>
        <w:rPr>
          <w:rFonts w:eastAsia="Arial"/>
        </w:rPr>
        <w:t xml:space="preserve">: </w:t>
      </w:r>
      <w:r w:rsidRPr="00237CBD">
        <w:rPr>
          <w:rFonts w:eastAsia="Arial"/>
        </w:rPr>
        <w:t>653</w:t>
      </w:r>
      <w:r>
        <w:rPr>
          <w:rFonts w:eastAsia="Arial"/>
        </w:rPr>
        <w:t>–</w:t>
      </w:r>
      <w:r w:rsidRPr="00237CBD">
        <w:rPr>
          <w:rFonts w:eastAsia="Arial"/>
        </w:rPr>
        <w:t>9. doi:10.1542/peds.2008-1439.</w:t>
      </w:r>
    </w:p>
  </w:footnote>
  <w:footnote w:id="7">
    <w:p w:rsidR="00EE698E" w:rsidRDefault="00EE698E" w:rsidP="006F5B46">
      <w:pPr>
        <w:pStyle w:val="FootnoteText"/>
      </w:pPr>
      <w:r>
        <w:rPr>
          <w:rStyle w:val="FootnoteReference"/>
        </w:rPr>
        <w:footnoteRef/>
      </w:r>
      <w:r>
        <w:tab/>
      </w:r>
      <w:proofErr w:type="gramStart"/>
      <w:r w:rsidRPr="00237CBD">
        <w:rPr>
          <w:rFonts w:eastAsia="Arial"/>
        </w:rPr>
        <w:t xml:space="preserve">American College of Obstetricians and </w:t>
      </w:r>
      <w:proofErr w:type="spellStart"/>
      <w:r w:rsidRPr="00237CBD">
        <w:rPr>
          <w:rFonts w:eastAsia="Arial"/>
        </w:rPr>
        <w:t>Gynecologists</w:t>
      </w:r>
      <w:proofErr w:type="spellEnd"/>
      <w:r w:rsidRPr="00237CBD">
        <w:rPr>
          <w:rFonts w:eastAsia="Arial"/>
        </w:rPr>
        <w:t>.</w:t>
      </w:r>
      <w:proofErr w:type="gramEnd"/>
      <w:r w:rsidRPr="00237CBD">
        <w:rPr>
          <w:rFonts w:eastAsia="Arial"/>
        </w:rPr>
        <w:t xml:space="preserve"> 2013. Definition of term pregnancy. </w:t>
      </w:r>
      <w:proofErr w:type="gramStart"/>
      <w:r w:rsidRPr="00237CBD">
        <w:rPr>
          <w:rFonts w:eastAsia="Arial"/>
        </w:rPr>
        <w:t>Committee Opinion No. 579.</w:t>
      </w:r>
      <w:proofErr w:type="gramEnd"/>
      <w:r w:rsidRPr="00237CBD">
        <w:rPr>
          <w:rFonts w:eastAsia="Arial"/>
        </w:rPr>
        <w:t xml:space="preserve"> </w:t>
      </w:r>
      <w:r w:rsidRPr="006F5B46">
        <w:rPr>
          <w:rFonts w:eastAsia="Arial"/>
          <w:i/>
        </w:rPr>
        <w:t xml:space="preserve">Obstetric </w:t>
      </w:r>
      <w:proofErr w:type="spellStart"/>
      <w:r w:rsidRPr="006F5B46">
        <w:rPr>
          <w:rFonts w:eastAsia="Arial"/>
          <w:i/>
        </w:rPr>
        <w:t>Gynecology</w:t>
      </w:r>
      <w:proofErr w:type="spellEnd"/>
      <w:r w:rsidRPr="00237CBD">
        <w:rPr>
          <w:rFonts w:eastAsia="Arial"/>
        </w:rPr>
        <w:t xml:space="preserve"> 122(579)</w:t>
      </w:r>
      <w:r>
        <w:rPr>
          <w:rFonts w:eastAsia="Arial"/>
        </w:rPr>
        <w:t>:</w:t>
      </w:r>
      <w:r w:rsidRPr="00237CBD">
        <w:rPr>
          <w:rFonts w:eastAsia="Arial"/>
        </w:rPr>
        <w:t xml:space="preserve"> 1139–40. ISSN 1074-861X.</w:t>
      </w:r>
    </w:p>
  </w:footnote>
  <w:footnote w:id="8">
    <w:p w:rsidR="00EE698E" w:rsidRDefault="00EE698E" w:rsidP="00151AD9">
      <w:pPr>
        <w:pStyle w:val="FootnoteText"/>
      </w:pPr>
      <w:r>
        <w:rPr>
          <w:rStyle w:val="FootnoteReference"/>
        </w:rPr>
        <w:footnoteRef/>
      </w:r>
      <w:r>
        <w:tab/>
      </w:r>
      <w:r w:rsidRPr="00237CBD">
        <w:rPr>
          <w:rFonts w:eastAsia="Arial"/>
          <w:sz w:val="6"/>
          <w:szCs w:val="6"/>
        </w:rPr>
        <w:t xml:space="preserve"> </w:t>
      </w:r>
      <w:proofErr w:type="gramStart"/>
      <w:r w:rsidRPr="00237CBD">
        <w:rPr>
          <w:rFonts w:eastAsia="Arial"/>
        </w:rPr>
        <w:t xml:space="preserve">American College of Obstetricians and </w:t>
      </w:r>
      <w:proofErr w:type="spellStart"/>
      <w:r w:rsidRPr="00237CBD">
        <w:rPr>
          <w:rFonts w:eastAsia="Arial"/>
        </w:rPr>
        <w:t>Gynecologists</w:t>
      </w:r>
      <w:proofErr w:type="spellEnd"/>
      <w:r w:rsidRPr="00237CBD">
        <w:rPr>
          <w:rFonts w:eastAsia="Arial"/>
        </w:rPr>
        <w:t>.</w:t>
      </w:r>
      <w:proofErr w:type="gramEnd"/>
      <w:r w:rsidRPr="00237CBD">
        <w:rPr>
          <w:rFonts w:eastAsia="Arial"/>
        </w:rPr>
        <w:t xml:space="preserve"> 2014. Safe prevention of the primary </w:t>
      </w:r>
      <w:proofErr w:type="spellStart"/>
      <w:r w:rsidRPr="00237CBD">
        <w:rPr>
          <w:rFonts w:eastAsia="Arial"/>
        </w:rPr>
        <w:t>cesarean</w:t>
      </w:r>
      <w:proofErr w:type="spellEnd"/>
      <w:r w:rsidRPr="00237CBD">
        <w:rPr>
          <w:rFonts w:eastAsia="Arial"/>
        </w:rPr>
        <w:t xml:space="preserve"> delivery. </w:t>
      </w:r>
      <w:r w:rsidRPr="00151AD9">
        <w:rPr>
          <w:rFonts w:eastAsia="Arial"/>
          <w:i/>
        </w:rPr>
        <w:t xml:space="preserve">American Journal of Obstetrics and </w:t>
      </w:r>
      <w:proofErr w:type="spellStart"/>
      <w:r w:rsidRPr="00151AD9">
        <w:rPr>
          <w:rFonts w:eastAsia="Arial"/>
          <w:i/>
        </w:rPr>
        <w:t>Gynecology</w:t>
      </w:r>
      <w:proofErr w:type="spellEnd"/>
      <w:r w:rsidRPr="00151AD9">
        <w:rPr>
          <w:rFonts w:eastAsia="Arial"/>
          <w:i/>
        </w:rPr>
        <w:t>, Obstetric Care Consensus</w:t>
      </w:r>
      <w:r w:rsidRPr="00237CBD">
        <w:rPr>
          <w:rFonts w:eastAsia="Arial"/>
        </w:rPr>
        <w:t xml:space="preserve"> No. 1(123), 693–711. </w:t>
      </w:r>
      <w:hyperlink r:id="rId1">
        <w:r w:rsidRPr="00237CBD">
          <w:rPr>
            <w:rFonts w:eastAsia="Arial"/>
          </w:rPr>
          <w:t>https://www.acog.org/Resources_And_Publications/Obstetric_Care_Consensus_Series/Safe_Prevention_of_the_Primary_Cesarean_Delivery</w:t>
        </w:r>
      </w:hyperlink>
      <w:r w:rsidRPr="00237CBD">
        <w:rPr>
          <w:rFonts w:eastAsia="Arial"/>
        </w:rPr>
        <w:t>.</w:t>
      </w:r>
    </w:p>
  </w:footnote>
  <w:footnote w:id="9">
    <w:p w:rsidR="00EE698E" w:rsidRDefault="00EE698E" w:rsidP="008C6535">
      <w:pPr>
        <w:pStyle w:val="FootnoteText"/>
      </w:pPr>
      <w:r>
        <w:rPr>
          <w:rStyle w:val="FootnoteReference"/>
        </w:rPr>
        <w:footnoteRef/>
      </w:r>
      <w:r>
        <w:tab/>
      </w:r>
      <w:proofErr w:type="gramStart"/>
      <w:r w:rsidRPr="00237CBD">
        <w:rPr>
          <w:rFonts w:eastAsia="Arial"/>
        </w:rPr>
        <w:t>National Collaborating Centre for Women’s and Children’s Health.</w:t>
      </w:r>
      <w:proofErr w:type="gramEnd"/>
      <w:r w:rsidRPr="00237CBD">
        <w:rPr>
          <w:rFonts w:eastAsia="Arial"/>
        </w:rPr>
        <w:t xml:space="preserve"> 2008. </w:t>
      </w:r>
      <w:r w:rsidRPr="008C6535">
        <w:rPr>
          <w:rFonts w:eastAsia="Arial"/>
          <w:i/>
        </w:rPr>
        <w:t xml:space="preserve">Guidelines for </w:t>
      </w:r>
      <w:r>
        <w:rPr>
          <w:rFonts w:eastAsia="Arial"/>
          <w:i/>
        </w:rPr>
        <w:t>A</w:t>
      </w:r>
      <w:r w:rsidRPr="008C6535">
        <w:rPr>
          <w:rFonts w:eastAsia="Arial"/>
          <w:i/>
        </w:rPr>
        <w:t xml:space="preserve">ntenatal </w:t>
      </w:r>
      <w:r>
        <w:rPr>
          <w:rFonts w:eastAsia="Arial"/>
          <w:i/>
        </w:rPr>
        <w:t>C</w:t>
      </w:r>
      <w:r w:rsidRPr="008C6535">
        <w:rPr>
          <w:rFonts w:eastAsia="Arial"/>
          <w:i/>
        </w:rPr>
        <w:t xml:space="preserve">are: </w:t>
      </w:r>
      <w:r>
        <w:rPr>
          <w:rFonts w:eastAsia="Arial"/>
          <w:i/>
        </w:rPr>
        <w:t>R</w:t>
      </w:r>
      <w:r w:rsidRPr="008C6535">
        <w:rPr>
          <w:rFonts w:eastAsia="Arial"/>
          <w:i/>
        </w:rPr>
        <w:t>outine care for the healthy pregnant woman</w:t>
      </w:r>
      <w:r w:rsidRPr="00237CBD">
        <w:rPr>
          <w:rFonts w:eastAsia="Arial"/>
        </w:rPr>
        <w:t>. London: National Institute for Health and Clinical Excellence.</w:t>
      </w:r>
    </w:p>
  </w:footnote>
  <w:footnote w:id="10">
    <w:p w:rsidR="00EE698E" w:rsidRDefault="00EE698E" w:rsidP="008C6535">
      <w:pPr>
        <w:pStyle w:val="FootnoteText"/>
      </w:pPr>
      <w:r>
        <w:rPr>
          <w:rStyle w:val="FootnoteReference"/>
        </w:rPr>
        <w:footnoteRef/>
      </w:r>
      <w:r>
        <w:tab/>
      </w:r>
      <w:r w:rsidRPr="00237CBD">
        <w:rPr>
          <w:rFonts w:eastAsia="Arial"/>
        </w:rPr>
        <w:t xml:space="preserve">Whitworth M, Bricker L, Neilson </w:t>
      </w:r>
      <w:r>
        <w:rPr>
          <w:rFonts w:eastAsia="Arial"/>
        </w:rPr>
        <w:t>J</w:t>
      </w:r>
      <w:r w:rsidRPr="00237CBD">
        <w:rPr>
          <w:rFonts w:eastAsia="Arial"/>
        </w:rPr>
        <w:t>P</w:t>
      </w:r>
      <w:r>
        <w:rPr>
          <w:rFonts w:eastAsia="Arial"/>
        </w:rPr>
        <w:t>,</w:t>
      </w:r>
      <w:r w:rsidRPr="00237CBD">
        <w:rPr>
          <w:rFonts w:eastAsia="Arial"/>
        </w:rPr>
        <w:t xml:space="preserve"> </w:t>
      </w:r>
      <w:proofErr w:type="spellStart"/>
      <w:r w:rsidRPr="00237CBD">
        <w:rPr>
          <w:rFonts w:eastAsia="Arial"/>
        </w:rPr>
        <w:t>Dowswell</w:t>
      </w:r>
      <w:proofErr w:type="spellEnd"/>
      <w:r w:rsidRPr="00237CBD">
        <w:rPr>
          <w:rFonts w:eastAsia="Arial"/>
        </w:rPr>
        <w:t xml:space="preserve"> T. 2010. </w:t>
      </w:r>
      <w:proofErr w:type="gramStart"/>
      <w:r w:rsidRPr="00237CBD">
        <w:rPr>
          <w:rFonts w:eastAsia="Arial"/>
        </w:rPr>
        <w:t xml:space="preserve">Ultrasound for </w:t>
      </w:r>
      <w:proofErr w:type="spellStart"/>
      <w:r w:rsidRPr="00237CBD">
        <w:rPr>
          <w:rFonts w:eastAsia="Arial"/>
        </w:rPr>
        <w:t>fetal</w:t>
      </w:r>
      <w:proofErr w:type="spellEnd"/>
      <w:r w:rsidRPr="00237CBD">
        <w:rPr>
          <w:rFonts w:eastAsia="Arial"/>
        </w:rPr>
        <w:t xml:space="preserve"> assessment in early pregnancy.</w:t>
      </w:r>
      <w:proofErr w:type="gramEnd"/>
      <w:r w:rsidRPr="00237CBD">
        <w:rPr>
          <w:rFonts w:eastAsia="Arial"/>
        </w:rPr>
        <w:t xml:space="preserve"> </w:t>
      </w:r>
      <w:r w:rsidRPr="008C6535">
        <w:rPr>
          <w:rFonts w:eastAsia="Arial"/>
          <w:i/>
        </w:rPr>
        <w:t>Cochrane Database Systematic Review</w:t>
      </w:r>
      <w:r w:rsidRPr="00237CBD">
        <w:rPr>
          <w:rFonts w:eastAsia="Arial"/>
        </w:rPr>
        <w:t xml:space="preserve"> 14(4):CD007058. </w:t>
      </w:r>
      <w:proofErr w:type="spellStart"/>
      <w:proofErr w:type="gramStart"/>
      <w:r w:rsidRPr="00237CBD">
        <w:rPr>
          <w:rFonts w:eastAsia="Arial"/>
        </w:rPr>
        <w:t>doi</w:t>
      </w:r>
      <w:proofErr w:type="spellEnd"/>
      <w:proofErr w:type="gramEnd"/>
      <w:r w:rsidRPr="00237CBD">
        <w:rPr>
          <w:rFonts w:eastAsia="Arial"/>
        </w:rPr>
        <w:t>: 10.1002/14651858.CD007058.pub2.</w:t>
      </w:r>
    </w:p>
  </w:footnote>
  <w:footnote w:id="11">
    <w:p w:rsidR="00EE698E" w:rsidRDefault="00EE698E" w:rsidP="00B719DC">
      <w:pPr>
        <w:pStyle w:val="FootnoteText"/>
      </w:pPr>
      <w:r>
        <w:rPr>
          <w:rStyle w:val="FootnoteReference"/>
        </w:rPr>
        <w:footnoteRef/>
      </w:r>
      <w:r>
        <w:tab/>
      </w:r>
      <w:proofErr w:type="gramStart"/>
      <w:r w:rsidRPr="00237CBD">
        <w:rPr>
          <w:rFonts w:eastAsia="Arial"/>
        </w:rPr>
        <w:t>Ministry of Health.</w:t>
      </w:r>
      <w:proofErr w:type="gramEnd"/>
      <w:r w:rsidRPr="00237CBD">
        <w:rPr>
          <w:rFonts w:eastAsia="Arial"/>
        </w:rPr>
        <w:t xml:space="preserve"> 2012. </w:t>
      </w:r>
      <w:r w:rsidRPr="00B719DC">
        <w:rPr>
          <w:rFonts w:eastAsia="Arial"/>
          <w:i/>
        </w:rPr>
        <w:t>New Zealand Maternity Clinical Indicators 2010</w:t>
      </w:r>
      <w:r w:rsidRPr="00237CBD">
        <w:rPr>
          <w:rFonts w:eastAsia="Arial"/>
        </w:rPr>
        <w:t>. Wellington: Ministry of Health.</w:t>
      </w:r>
    </w:p>
  </w:footnote>
  <w:footnote w:id="12">
    <w:p w:rsidR="00EE698E" w:rsidRDefault="00EE698E" w:rsidP="00B719DC">
      <w:pPr>
        <w:pStyle w:val="FootnoteText"/>
      </w:pPr>
      <w:r>
        <w:rPr>
          <w:rStyle w:val="FootnoteReference"/>
        </w:rPr>
        <w:footnoteRef/>
      </w:r>
      <w:r>
        <w:tab/>
      </w:r>
      <w:proofErr w:type="gramStart"/>
      <w:r w:rsidRPr="00237CBD">
        <w:rPr>
          <w:rFonts w:eastAsia="Arial"/>
        </w:rPr>
        <w:t>Ministry of Health.</w:t>
      </w:r>
      <w:proofErr w:type="gramEnd"/>
      <w:r w:rsidRPr="00237CBD">
        <w:rPr>
          <w:rFonts w:eastAsia="Arial"/>
        </w:rPr>
        <w:t xml:space="preserve"> 2012. </w:t>
      </w:r>
      <w:r w:rsidRPr="00B719DC">
        <w:rPr>
          <w:rFonts w:eastAsia="Arial"/>
          <w:i/>
        </w:rPr>
        <w:t>New Zealand Maternity Clinical Indicators 2009</w:t>
      </w:r>
      <w:r w:rsidRPr="00237CBD">
        <w:rPr>
          <w:rFonts w:eastAsia="Arial"/>
        </w:rPr>
        <w:t>. Wellington: Ministry of Health.</w:t>
      </w:r>
    </w:p>
  </w:footnote>
  <w:footnote w:id="13">
    <w:p w:rsidR="00EE698E" w:rsidRDefault="00EE698E" w:rsidP="00B719DC">
      <w:pPr>
        <w:pStyle w:val="FootnoteText"/>
      </w:pPr>
      <w:r>
        <w:rPr>
          <w:rStyle w:val="FootnoteReference"/>
        </w:rPr>
        <w:footnoteRef/>
      </w:r>
      <w:r>
        <w:tab/>
      </w:r>
      <w:proofErr w:type="gramStart"/>
      <w:r w:rsidRPr="00237CBD">
        <w:rPr>
          <w:rFonts w:eastAsia="Arial"/>
        </w:rPr>
        <w:t>Ministry of Health.</w:t>
      </w:r>
      <w:proofErr w:type="gramEnd"/>
      <w:r w:rsidRPr="00237CBD">
        <w:rPr>
          <w:rFonts w:eastAsia="Arial"/>
        </w:rPr>
        <w:t xml:space="preserve"> 2013. </w:t>
      </w:r>
      <w:r w:rsidRPr="00B719DC">
        <w:rPr>
          <w:rFonts w:eastAsia="Arial"/>
          <w:i/>
        </w:rPr>
        <w:t>New Zealand Maternity Clinical Indicators 2011</w:t>
      </w:r>
      <w:r w:rsidRPr="00237CBD">
        <w:rPr>
          <w:rFonts w:eastAsia="Arial"/>
        </w:rPr>
        <w:t>. Wellington: Ministry of Health.</w:t>
      </w:r>
    </w:p>
  </w:footnote>
  <w:footnote w:id="14">
    <w:p w:rsidR="00EE698E" w:rsidRDefault="00EE698E">
      <w:pPr>
        <w:pStyle w:val="FootnoteText"/>
      </w:pPr>
      <w:r>
        <w:rPr>
          <w:rStyle w:val="FootnoteReference"/>
        </w:rPr>
        <w:footnoteRef/>
      </w:r>
      <w:r>
        <w:tab/>
      </w:r>
      <w:r w:rsidRPr="00CA6003">
        <w:t>http://www.hqsc.govt.nz/about-the-commission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8E" w:rsidRDefault="00EE698E" w:rsidP="00D25FFE">
    <w:pPr>
      <w:pStyle w:val="Header"/>
      <w:ind w:left="-155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8E" w:rsidRDefault="00EE698E"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8E" w:rsidRDefault="00EE698E" w:rsidP="009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15841C67"/>
    <w:multiLevelType w:val="hybridMultilevel"/>
    <w:tmpl w:val="A5680B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B3E41EB"/>
    <w:multiLevelType w:val="hybridMultilevel"/>
    <w:tmpl w:val="16946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F0F4AEF"/>
    <w:multiLevelType w:val="hybridMultilevel"/>
    <w:tmpl w:val="F8C2C18A"/>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nsid w:val="1FB92ED8"/>
    <w:multiLevelType w:val="hybridMultilevel"/>
    <w:tmpl w:val="02861210"/>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nsid w:val="20B87D6D"/>
    <w:multiLevelType w:val="hybridMultilevel"/>
    <w:tmpl w:val="34A2B0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3827DEB"/>
    <w:multiLevelType w:val="hybridMultilevel"/>
    <w:tmpl w:val="E326B1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9">
    <w:nsid w:val="2D8761A2"/>
    <w:multiLevelType w:val="hybridMultilevel"/>
    <w:tmpl w:val="8932B1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0D8787E"/>
    <w:multiLevelType w:val="hybridMultilevel"/>
    <w:tmpl w:val="AE4E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A413E"/>
    <w:multiLevelType w:val="hybridMultilevel"/>
    <w:tmpl w:val="B4E2E17A"/>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nsid w:val="3B1E2916"/>
    <w:multiLevelType w:val="hybridMultilevel"/>
    <w:tmpl w:val="D29683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C64057E"/>
    <w:multiLevelType w:val="hybridMultilevel"/>
    <w:tmpl w:val="C2F0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523E8"/>
    <w:multiLevelType w:val="hybridMultilevel"/>
    <w:tmpl w:val="428C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A53561"/>
    <w:multiLevelType w:val="hybridMultilevel"/>
    <w:tmpl w:val="20CC748A"/>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546187"/>
    <w:multiLevelType w:val="hybridMultilevel"/>
    <w:tmpl w:val="97E0D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59646C"/>
    <w:multiLevelType w:val="multilevel"/>
    <w:tmpl w:val="AFC6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3110A9"/>
    <w:multiLevelType w:val="hybridMultilevel"/>
    <w:tmpl w:val="164CCBF6"/>
    <w:lvl w:ilvl="0" w:tplc="6982FB60">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nsid w:val="4ADA47B6"/>
    <w:multiLevelType w:val="hybridMultilevel"/>
    <w:tmpl w:val="C92C1A9A"/>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2">
    <w:nsid w:val="519F7F0E"/>
    <w:multiLevelType w:val="hybridMultilevel"/>
    <w:tmpl w:val="3A902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5E31B4B"/>
    <w:multiLevelType w:val="hybridMultilevel"/>
    <w:tmpl w:val="88661F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7076C21"/>
    <w:multiLevelType w:val="hybridMultilevel"/>
    <w:tmpl w:val="EA2649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9C8145F"/>
    <w:multiLevelType w:val="hybridMultilevel"/>
    <w:tmpl w:val="DA0479F8"/>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6">
    <w:nsid w:val="59FA25DB"/>
    <w:multiLevelType w:val="hybridMultilevel"/>
    <w:tmpl w:val="18724B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26F0251"/>
    <w:multiLevelType w:val="hybridMultilevel"/>
    <w:tmpl w:val="888E2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56646A2"/>
    <w:multiLevelType w:val="hybridMultilevel"/>
    <w:tmpl w:val="CF50B4C0"/>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5745E86"/>
    <w:multiLevelType w:val="hybridMultilevel"/>
    <w:tmpl w:val="B0788EBE"/>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0">
    <w:nsid w:val="66BC78ED"/>
    <w:multiLevelType w:val="hybridMultilevel"/>
    <w:tmpl w:val="BFBC0BA2"/>
    <w:lvl w:ilvl="0" w:tplc="E042FD7A">
      <w:start w:val="1"/>
      <w:numFmt w:val="bullet"/>
      <w:lvlText w:val=""/>
      <w:lvlJc w:val="left"/>
      <w:pPr>
        <w:tabs>
          <w:tab w:val="num" w:pos="284"/>
        </w:tabs>
        <w:ind w:left="284"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2">
    <w:nsid w:val="6A254D22"/>
    <w:multiLevelType w:val="hybridMultilevel"/>
    <w:tmpl w:val="B5A4EF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A4F2831"/>
    <w:multiLevelType w:val="hybridMultilevel"/>
    <w:tmpl w:val="38963350"/>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4">
    <w:nsid w:val="6A8E11FB"/>
    <w:multiLevelType w:val="hybridMultilevel"/>
    <w:tmpl w:val="D7C07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D854566"/>
    <w:multiLevelType w:val="hybridMultilevel"/>
    <w:tmpl w:val="5BECD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2D40B98"/>
    <w:multiLevelType w:val="hybridMultilevel"/>
    <w:tmpl w:val="C9D239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75EC4373"/>
    <w:multiLevelType w:val="hybridMultilevel"/>
    <w:tmpl w:val="5DCE3B26"/>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8">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9">
    <w:nsid w:val="7C3378AF"/>
    <w:multiLevelType w:val="hybridMultilevel"/>
    <w:tmpl w:val="3A0654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ECE77B9"/>
    <w:multiLevelType w:val="hybridMultilevel"/>
    <w:tmpl w:val="B1127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sz w:val="20"/>
        </w:rPr>
      </w:lvl>
    </w:lvlOverride>
  </w:num>
  <w:num w:numId="2">
    <w:abstractNumId w:val="0"/>
    <w:lvlOverride w:ilvl="0">
      <w:lvl w:ilvl="0">
        <w:start w:val="1"/>
        <w:numFmt w:val="bullet"/>
        <w:lvlText w:val="–"/>
        <w:legacy w:legacy="1" w:legacySpace="0" w:legacyIndent="567"/>
        <w:lvlJc w:val="left"/>
        <w:pPr>
          <w:ind w:left="1134" w:hanging="567"/>
        </w:pPr>
        <w:rPr>
          <w:rFonts w:ascii="Times New Roman" w:hAnsi="Times New Roman" w:hint="default"/>
          <w:sz w:val="20"/>
        </w:rPr>
      </w:lvl>
    </w:lvlOverride>
  </w:num>
  <w:num w:numId="3">
    <w:abstractNumId w:val="8"/>
  </w:num>
  <w:num w:numId="4">
    <w:abstractNumId w:val="38"/>
  </w:num>
  <w:num w:numId="5">
    <w:abstractNumId w:val="1"/>
  </w:num>
  <w:num w:numId="6">
    <w:abstractNumId w:val="31"/>
  </w:num>
  <w:num w:numId="7">
    <w:abstractNumId w:val="8"/>
  </w:num>
  <w:num w:numId="8">
    <w:abstractNumId w:val="18"/>
  </w:num>
  <w:num w:numId="9">
    <w:abstractNumId w:val="18"/>
  </w:num>
  <w:num w:numId="10">
    <w:abstractNumId w:val="18"/>
  </w:num>
  <w:num w:numId="11">
    <w:abstractNumId w:val="15"/>
  </w:num>
  <w:num w:numId="12">
    <w:abstractNumId w:val="1"/>
  </w:num>
  <w:num w:numId="13">
    <w:abstractNumId w:val="18"/>
  </w:num>
  <w:num w:numId="14">
    <w:abstractNumId w:val="1"/>
  </w:num>
  <w:num w:numId="15">
    <w:abstractNumId w:val="16"/>
  </w:num>
  <w:num w:numId="16">
    <w:abstractNumId w:val="10"/>
  </w:num>
  <w:num w:numId="17">
    <w:abstractNumId w:val="14"/>
  </w:num>
  <w:num w:numId="18">
    <w:abstractNumId w:val="13"/>
  </w:num>
  <w:num w:numId="19">
    <w:abstractNumId w:val="28"/>
  </w:num>
  <w:num w:numId="20">
    <w:abstractNumId w:val="23"/>
  </w:num>
  <w:num w:numId="21">
    <w:abstractNumId w:val="26"/>
  </w:num>
  <w:num w:numId="22">
    <w:abstractNumId w:val="30"/>
  </w:num>
  <w:num w:numId="23">
    <w:abstractNumId w:val="21"/>
  </w:num>
  <w:num w:numId="24">
    <w:abstractNumId w:val="27"/>
  </w:num>
  <w:num w:numId="25">
    <w:abstractNumId w:val="35"/>
  </w:num>
  <w:num w:numId="26">
    <w:abstractNumId w:val="29"/>
  </w:num>
  <w:num w:numId="27">
    <w:abstractNumId w:val="4"/>
  </w:num>
  <w:num w:numId="28">
    <w:abstractNumId w:val="20"/>
  </w:num>
  <w:num w:numId="29">
    <w:abstractNumId w:val="17"/>
  </w:num>
  <w:num w:numId="30">
    <w:abstractNumId w:val="19"/>
  </w:num>
  <w:num w:numId="31">
    <w:abstractNumId w:val="32"/>
  </w:num>
  <w:num w:numId="32">
    <w:abstractNumId w:val="24"/>
  </w:num>
  <w:num w:numId="33">
    <w:abstractNumId w:val="22"/>
  </w:num>
  <w:num w:numId="34">
    <w:abstractNumId w:val="40"/>
  </w:num>
  <w:num w:numId="35">
    <w:abstractNumId w:val="37"/>
  </w:num>
  <w:num w:numId="36">
    <w:abstractNumId w:val="9"/>
  </w:num>
  <w:num w:numId="37">
    <w:abstractNumId w:val="34"/>
  </w:num>
  <w:num w:numId="38">
    <w:abstractNumId w:val="39"/>
  </w:num>
  <w:num w:numId="39">
    <w:abstractNumId w:val="6"/>
  </w:num>
  <w:num w:numId="40">
    <w:abstractNumId w:val="33"/>
  </w:num>
  <w:num w:numId="41">
    <w:abstractNumId w:val="25"/>
  </w:num>
  <w:num w:numId="42">
    <w:abstractNumId w:val="3"/>
  </w:num>
  <w:num w:numId="43">
    <w:abstractNumId w:val="5"/>
  </w:num>
  <w:num w:numId="44">
    <w:abstractNumId w:val="11"/>
  </w:num>
  <w:num w:numId="45">
    <w:abstractNumId w:val="12"/>
  </w:num>
  <w:num w:numId="46">
    <w:abstractNumId w:val="36"/>
  </w:num>
  <w:num w:numId="47">
    <w:abstractNumId w:val="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type" w:val="CourtII"/>
  </w:docVars>
  <w:rsids>
    <w:rsidRoot w:val="006C78EB"/>
    <w:rsid w:val="0000524E"/>
    <w:rsid w:val="000056D9"/>
    <w:rsid w:val="00011384"/>
    <w:rsid w:val="00015007"/>
    <w:rsid w:val="00015378"/>
    <w:rsid w:val="000301A8"/>
    <w:rsid w:val="00030B26"/>
    <w:rsid w:val="00036896"/>
    <w:rsid w:val="00057D8B"/>
    <w:rsid w:val="0006228D"/>
    <w:rsid w:val="00072BD6"/>
    <w:rsid w:val="00075B26"/>
    <w:rsid w:val="00075B78"/>
    <w:rsid w:val="00081522"/>
    <w:rsid w:val="00082CD6"/>
    <w:rsid w:val="0008420B"/>
    <w:rsid w:val="00085AFE"/>
    <w:rsid w:val="00096D95"/>
    <w:rsid w:val="000A024C"/>
    <w:rsid w:val="000B0730"/>
    <w:rsid w:val="000B2DFF"/>
    <w:rsid w:val="000B4ED6"/>
    <w:rsid w:val="000C258E"/>
    <w:rsid w:val="000C57B8"/>
    <w:rsid w:val="000E7947"/>
    <w:rsid w:val="000F2AE2"/>
    <w:rsid w:val="000F2BF5"/>
    <w:rsid w:val="00102063"/>
    <w:rsid w:val="0010299F"/>
    <w:rsid w:val="00104591"/>
    <w:rsid w:val="0010541C"/>
    <w:rsid w:val="00106F93"/>
    <w:rsid w:val="00111D50"/>
    <w:rsid w:val="00113B8E"/>
    <w:rsid w:val="00116F31"/>
    <w:rsid w:val="001171C6"/>
    <w:rsid w:val="001213E0"/>
    <w:rsid w:val="00127E0F"/>
    <w:rsid w:val="00134DF1"/>
    <w:rsid w:val="0013585C"/>
    <w:rsid w:val="00142954"/>
    <w:rsid w:val="001460E0"/>
    <w:rsid w:val="00147F71"/>
    <w:rsid w:val="00150A6E"/>
    <w:rsid w:val="00151AD9"/>
    <w:rsid w:val="0016376D"/>
    <w:rsid w:val="0016468A"/>
    <w:rsid w:val="001718AB"/>
    <w:rsid w:val="0018667F"/>
    <w:rsid w:val="001900D5"/>
    <w:rsid w:val="00194F89"/>
    <w:rsid w:val="001A5CF5"/>
    <w:rsid w:val="001A6C80"/>
    <w:rsid w:val="001B0863"/>
    <w:rsid w:val="001B113F"/>
    <w:rsid w:val="001B1F7F"/>
    <w:rsid w:val="001B39D2"/>
    <w:rsid w:val="001C4326"/>
    <w:rsid w:val="001C47E8"/>
    <w:rsid w:val="001D3541"/>
    <w:rsid w:val="001D3CB4"/>
    <w:rsid w:val="001F1093"/>
    <w:rsid w:val="00201A01"/>
    <w:rsid w:val="00205535"/>
    <w:rsid w:val="002104D3"/>
    <w:rsid w:val="00213A33"/>
    <w:rsid w:val="00216D64"/>
    <w:rsid w:val="00222B27"/>
    <w:rsid w:val="0023515C"/>
    <w:rsid w:val="00237CBD"/>
    <w:rsid w:val="002461D8"/>
    <w:rsid w:val="00246DB1"/>
    <w:rsid w:val="00253ECF"/>
    <w:rsid w:val="002546A1"/>
    <w:rsid w:val="00264FC8"/>
    <w:rsid w:val="002733D9"/>
    <w:rsid w:val="00274834"/>
    <w:rsid w:val="00275CF1"/>
    <w:rsid w:val="00275D08"/>
    <w:rsid w:val="00276775"/>
    <w:rsid w:val="00276D74"/>
    <w:rsid w:val="00277813"/>
    <w:rsid w:val="002858E3"/>
    <w:rsid w:val="002874A2"/>
    <w:rsid w:val="00290D13"/>
    <w:rsid w:val="002916A9"/>
    <w:rsid w:val="0029190A"/>
    <w:rsid w:val="00292C5A"/>
    <w:rsid w:val="002932F9"/>
    <w:rsid w:val="002A724C"/>
    <w:rsid w:val="002B047D"/>
    <w:rsid w:val="002B4282"/>
    <w:rsid w:val="002B5686"/>
    <w:rsid w:val="002B732B"/>
    <w:rsid w:val="002B7994"/>
    <w:rsid w:val="002C2219"/>
    <w:rsid w:val="002D0DF2"/>
    <w:rsid w:val="002D23BD"/>
    <w:rsid w:val="002D6C32"/>
    <w:rsid w:val="002E0B47"/>
    <w:rsid w:val="002E4314"/>
    <w:rsid w:val="002E659F"/>
    <w:rsid w:val="002E6C45"/>
    <w:rsid w:val="002E79AF"/>
    <w:rsid w:val="002F162A"/>
    <w:rsid w:val="002F2A83"/>
    <w:rsid w:val="002F4D47"/>
    <w:rsid w:val="002F7213"/>
    <w:rsid w:val="0030382F"/>
    <w:rsid w:val="003060E4"/>
    <w:rsid w:val="003160E7"/>
    <w:rsid w:val="0031739E"/>
    <w:rsid w:val="00320C2D"/>
    <w:rsid w:val="003222C4"/>
    <w:rsid w:val="003325AB"/>
    <w:rsid w:val="0033412B"/>
    <w:rsid w:val="00343365"/>
    <w:rsid w:val="003443E2"/>
    <w:rsid w:val="00345371"/>
    <w:rsid w:val="00353501"/>
    <w:rsid w:val="003539B5"/>
    <w:rsid w:val="00355C5C"/>
    <w:rsid w:val="003606F8"/>
    <w:rsid w:val="003631DD"/>
    <w:rsid w:val="003648EF"/>
    <w:rsid w:val="003673E6"/>
    <w:rsid w:val="0037194D"/>
    <w:rsid w:val="00377264"/>
    <w:rsid w:val="0039224D"/>
    <w:rsid w:val="00394F40"/>
    <w:rsid w:val="00397813"/>
    <w:rsid w:val="003A02CC"/>
    <w:rsid w:val="003A26A5"/>
    <w:rsid w:val="003A3761"/>
    <w:rsid w:val="003A57D0"/>
    <w:rsid w:val="003A5FEA"/>
    <w:rsid w:val="003B1D10"/>
    <w:rsid w:val="003B2E2E"/>
    <w:rsid w:val="003C45BF"/>
    <w:rsid w:val="003C76D4"/>
    <w:rsid w:val="003D10FA"/>
    <w:rsid w:val="003D4660"/>
    <w:rsid w:val="003E44E4"/>
    <w:rsid w:val="003E7C46"/>
    <w:rsid w:val="003F52A7"/>
    <w:rsid w:val="004015F0"/>
    <w:rsid w:val="00401EE8"/>
    <w:rsid w:val="0040240C"/>
    <w:rsid w:val="004076B4"/>
    <w:rsid w:val="00413021"/>
    <w:rsid w:val="004169A6"/>
    <w:rsid w:val="004219C7"/>
    <w:rsid w:val="0043104D"/>
    <w:rsid w:val="0043232E"/>
    <w:rsid w:val="004328F6"/>
    <w:rsid w:val="00440BE0"/>
    <w:rsid w:val="0044584B"/>
    <w:rsid w:val="00447CB7"/>
    <w:rsid w:val="00450294"/>
    <w:rsid w:val="00451CD4"/>
    <w:rsid w:val="004538C8"/>
    <w:rsid w:val="00453E0D"/>
    <w:rsid w:val="00460826"/>
    <w:rsid w:val="00460AED"/>
    <w:rsid w:val="00460EA7"/>
    <w:rsid w:val="0046195B"/>
    <w:rsid w:val="0046596D"/>
    <w:rsid w:val="00471058"/>
    <w:rsid w:val="00475E9D"/>
    <w:rsid w:val="00481352"/>
    <w:rsid w:val="00482F8D"/>
    <w:rsid w:val="004867F2"/>
    <w:rsid w:val="00487C04"/>
    <w:rsid w:val="00490180"/>
    <w:rsid w:val="004972F5"/>
    <w:rsid w:val="004973B4"/>
    <w:rsid w:val="004A035B"/>
    <w:rsid w:val="004A5B39"/>
    <w:rsid w:val="004A778C"/>
    <w:rsid w:val="004C2E6A"/>
    <w:rsid w:val="004C5907"/>
    <w:rsid w:val="004D2A2D"/>
    <w:rsid w:val="004D6689"/>
    <w:rsid w:val="004E1D1D"/>
    <w:rsid w:val="004E262D"/>
    <w:rsid w:val="004E7AC8"/>
    <w:rsid w:val="004F0C94"/>
    <w:rsid w:val="004F3A4B"/>
    <w:rsid w:val="004F621E"/>
    <w:rsid w:val="005010A9"/>
    <w:rsid w:val="005013AC"/>
    <w:rsid w:val="005019AE"/>
    <w:rsid w:val="00503749"/>
    <w:rsid w:val="005038A9"/>
    <w:rsid w:val="00504CF4"/>
    <w:rsid w:val="0050635B"/>
    <w:rsid w:val="00524F86"/>
    <w:rsid w:val="00527A21"/>
    <w:rsid w:val="0053199F"/>
    <w:rsid w:val="00533B90"/>
    <w:rsid w:val="00537A7C"/>
    <w:rsid w:val="005410F8"/>
    <w:rsid w:val="00541EE3"/>
    <w:rsid w:val="005443DA"/>
    <w:rsid w:val="005448EC"/>
    <w:rsid w:val="00545963"/>
    <w:rsid w:val="00550256"/>
    <w:rsid w:val="005507A7"/>
    <w:rsid w:val="0055161B"/>
    <w:rsid w:val="00553958"/>
    <w:rsid w:val="00556205"/>
    <w:rsid w:val="0055763D"/>
    <w:rsid w:val="00560F96"/>
    <w:rsid w:val="00567B58"/>
    <w:rsid w:val="005701A4"/>
    <w:rsid w:val="005763E0"/>
    <w:rsid w:val="00592F35"/>
    <w:rsid w:val="005A27CA"/>
    <w:rsid w:val="005A43BD"/>
    <w:rsid w:val="005B726C"/>
    <w:rsid w:val="005D308F"/>
    <w:rsid w:val="005E226E"/>
    <w:rsid w:val="006015D7"/>
    <w:rsid w:val="00601B21"/>
    <w:rsid w:val="00614897"/>
    <w:rsid w:val="00626891"/>
    <w:rsid w:val="00626CF8"/>
    <w:rsid w:val="00627CC8"/>
    <w:rsid w:val="0063169B"/>
    <w:rsid w:val="00640C55"/>
    <w:rsid w:val="00642868"/>
    <w:rsid w:val="00643A59"/>
    <w:rsid w:val="00647C74"/>
    <w:rsid w:val="006512BC"/>
    <w:rsid w:val="00653A5A"/>
    <w:rsid w:val="006575F4"/>
    <w:rsid w:val="006579E6"/>
    <w:rsid w:val="00662FA0"/>
    <w:rsid w:val="00663EDC"/>
    <w:rsid w:val="00667BCF"/>
    <w:rsid w:val="00671A21"/>
    <w:rsid w:val="00680A04"/>
    <w:rsid w:val="00680FD4"/>
    <w:rsid w:val="00683FF4"/>
    <w:rsid w:val="00686D80"/>
    <w:rsid w:val="00692CA1"/>
    <w:rsid w:val="00694895"/>
    <w:rsid w:val="00697E2E"/>
    <w:rsid w:val="006B0E73"/>
    <w:rsid w:val="006B29D1"/>
    <w:rsid w:val="006B2E04"/>
    <w:rsid w:val="006B4A4D"/>
    <w:rsid w:val="006B558E"/>
    <w:rsid w:val="006B5695"/>
    <w:rsid w:val="006C6945"/>
    <w:rsid w:val="006C78EB"/>
    <w:rsid w:val="006D0F8B"/>
    <w:rsid w:val="006D1660"/>
    <w:rsid w:val="006D3202"/>
    <w:rsid w:val="006F1B67"/>
    <w:rsid w:val="006F1E48"/>
    <w:rsid w:val="006F5B46"/>
    <w:rsid w:val="0070091D"/>
    <w:rsid w:val="00702854"/>
    <w:rsid w:val="0070459D"/>
    <w:rsid w:val="0070784B"/>
    <w:rsid w:val="00710F45"/>
    <w:rsid w:val="0071741C"/>
    <w:rsid w:val="00721AE9"/>
    <w:rsid w:val="007254D8"/>
    <w:rsid w:val="007305E7"/>
    <w:rsid w:val="00735D00"/>
    <w:rsid w:val="00742B90"/>
    <w:rsid w:val="00742F9D"/>
    <w:rsid w:val="0074434D"/>
    <w:rsid w:val="007455EB"/>
    <w:rsid w:val="007456FE"/>
    <w:rsid w:val="00747078"/>
    <w:rsid w:val="0075454B"/>
    <w:rsid w:val="00771B1E"/>
    <w:rsid w:val="00773C95"/>
    <w:rsid w:val="00774443"/>
    <w:rsid w:val="00777497"/>
    <w:rsid w:val="0078171E"/>
    <w:rsid w:val="00784509"/>
    <w:rsid w:val="00784921"/>
    <w:rsid w:val="00795B34"/>
    <w:rsid w:val="007A054F"/>
    <w:rsid w:val="007B1770"/>
    <w:rsid w:val="007B5258"/>
    <w:rsid w:val="007B7C70"/>
    <w:rsid w:val="007D2151"/>
    <w:rsid w:val="007D42CC"/>
    <w:rsid w:val="007D5DE4"/>
    <w:rsid w:val="007E092F"/>
    <w:rsid w:val="007E1341"/>
    <w:rsid w:val="007E1B41"/>
    <w:rsid w:val="007E30B9"/>
    <w:rsid w:val="007E546C"/>
    <w:rsid w:val="007F0F0C"/>
    <w:rsid w:val="007F1288"/>
    <w:rsid w:val="007F1293"/>
    <w:rsid w:val="007F3152"/>
    <w:rsid w:val="00800A8A"/>
    <w:rsid w:val="0080155C"/>
    <w:rsid w:val="00802E5C"/>
    <w:rsid w:val="008052E1"/>
    <w:rsid w:val="00806476"/>
    <w:rsid w:val="00822F2C"/>
    <w:rsid w:val="0082436B"/>
    <w:rsid w:val="008305E8"/>
    <w:rsid w:val="00830735"/>
    <w:rsid w:val="00846170"/>
    <w:rsid w:val="00847CDB"/>
    <w:rsid w:val="00851829"/>
    <w:rsid w:val="00860E21"/>
    <w:rsid w:val="00860FEC"/>
    <w:rsid w:val="008638FD"/>
    <w:rsid w:val="00863F3D"/>
    <w:rsid w:val="008642E5"/>
    <w:rsid w:val="00872D93"/>
    <w:rsid w:val="00880470"/>
    <w:rsid w:val="00880940"/>
    <w:rsid w:val="00880D94"/>
    <w:rsid w:val="00884C0E"/>
    <w:rsid w:val="0088555F"/>
    <w:rsid w:val="00886619"/>
    <w:rsid w:val="008A3755"/>
    <w:rsid w:val="008B264F"/>
    <w:rsid w:val="008B3394"/>
    <w:rsid w:val="008B6F83"/>
    <w:rsid w:val="008B7BDB"/>
    <w:rsid w:val="008C142A"/>
    <w:rsid w:val="008C2973"/>
    <w:rsid w:val="008C53EA"/>
    <w:rsid w:val="008C6535"/>
    <w:rsid w:val="008C6616"/>
    <w:rsid w:val="008D74D5"/>
    <w:rsid w:val="008F19A2"/>
    <w:rsid w:val="008F25E2"/>
    <w:rsid w:val="008F29BE"/>
    <w:rsid w:val="008F51EB"/>
    <w:rsid w:val="00900197"/>
    <w:rsid w:val="00901B0F"/>
    <w:rsid w:val="00902F55"/>
    <w:rsid w:val="0090582B"/>
    <w:rsid w:val="009060C0"/>
    <w:rsid w:val="009133F5"/>
    <w:rsid w:val="00920A27"/>
    <w:rsid w:val="00921216"/>
    <w:rsid w:val="00921724"/>
    <w:rsid w:val="00922FB7"/>
    <w:rsid w:val="009253F2"/>
    <w:rsid w:val="00932D69"/>
    <w:rsid w:val="00935C68"/>
    <w:rsid w:val="00943105"/>
    <w:rsid w:val="00944647"/>
    <w:rsid w:val="009447BD"/>
    <w:rsid w:val="009458AB"/>
    <w:rsid w:val="00950AB3"/>
    <w:rsid w:val="00960B78"/>
    <w:rsid w:val="0096703C"/>
    <w:rsid w:val="00971331"/>
    <w:rsid w:val="00972969"/>
    <w:rsid w:val="009739A2"/>
    <w:rsid w:val="0097486E"/>
    <w:rsid w:val="00977B8A"/>
    <w:rsid w:val="00982971"/>
    <w:rsid w:val="009845AD"/>
    <w:rsid w:val="00986266"/>
    <w:rsid w:val="00991887"/>
    <w:rsid w:val="00994C93"/>
    <w:rsid w:val="009A418B"/>
    <w:rsid w:val="009A4473"/>
    <w:rsid w:val="009B44DE"/>
    <w:rsid w:val="009C151C"/>
    <w:rsid w:val="009C5BBB"/>
    <w:rsid w:val="009D5125"/>
    <w:rsid w:val="009D60B8"/>
    <w:rsid w:val="009D7D4B"/>
    <w:rsid w:val="009E18F1"/>
    <w:rsid w:val="009E30A7"/>
    <w:rsid w:val="009E36ED"/>
    <w:rsid w:val="009F1D06"/>
    <w:rsid w:val="009F460A"/>
    <w:rsid w:val="00A043FB"/>
    <w:rsid w:val="00A050DF"/>
    <w:rsid w:val="00A05604"/>
    <w:rsid w:val="00A0729C"/>
    <w:rsid w:val="00A07779"/>
    <w:rsid w:val="00A202CE"/>
    <w:rsid w:val="00A20B2E"/>
    <w:rsid w:val="00A3145B"/>
    <w:rsid w:val="00A339D0"/>
    <w:rsid w:val="00A33A12"/>
    <w:rsid w:val="00A406A9"/>
    <w:rsid w:val="00A4201A"/>
    <w:rsid w:val="00A4346C"/>
    <w:rsid w:val="00A520A4"/>
    <w:rsid w:val="00A52154"/>
    <w:rsid w:val="00A553CE"/>
    <w:rsid w:val="00A5677A"/>
    <w:rsid w:val="00A57E51"/>
    <w:rsid w:val="00A64819"/>
    <w:rsid w:val="00A6490D"/>
    <w:rsid w:val="00A66724"/>
    <w:rsid w:val="00A74468"/>
    <w:rsid w:val="00A80363"/>
    <w:rsid w:val="00A85A8C"/>
    <w:rsid w:val="00A9169D"/>
    <w:rsid w:val="00A94275"/>
    <w:rsid w:val="00A96994"/>
    <w:rsid w:val="00AA6022"/>
    <w:rsid w:val="00AA70A8"/>
    <w:rsid w:val="00AB2BA5"/>
    <w:rsid w:val="00AC01AA"/>
    <w:rsid w:val="00AC2891"/>
    <w:rsid w:val="00AC577D"/>
    <w:rsid w:val="00AD4CF1"/>
    <w:rsid w:val="00AD5988"/>
    <w:rsid w:val="00AE4AA7"/>
    <w:rsid w:val="00AF1319"/>
    <w:rsid w:val="00AF7800"/>
    <w:rsid w:val="00B00C7B"/>
    <w:rsid w:val="00B05A22"/>
    <w:rsid w:val="00B072E0"/>
    <w:rsid w:val="00B1064B"/>
    <w:rsid w:val="00B17D9E"/>
    <w:rsid w:val="00B24193"/>
    <w:rsid w:val="00B253F6"/>
    <w:rsid w:val="00B26662"/>
    <w:rsid w:val="00B332F8"/>
    <w:rsid w:val="00B3492B"/>
    <w:rsid w:val="00B35EBC"/>
    <w:rsid w:val="00B40B9E"/>
    <w:rsid w:val="00B41563"/>
    <w:rsid w:val="00B4514C"/>
    <w:rsid w:val="00B4646F"/>
    <w:rsid w:val="00B53217"/>
    <w:rsid w:val="00B5439C"/>
    <w:rsid w:val="00B5556A"/>
    <w:rsid w:val="00B55C7D"/>
    <w:rsid w:val="00B572D8"/>
    <w:rsid w:val="00B611F0"/>
    <w:rsid w:val="00B6176E"/>
    <w:rsid w:val="00B63038"/>
    <w:rsid w:val="00B64BD8"/>
    <w:rsid w:val="00B66A91"/>
    <w:rsid w:val="00B701D1"/>
    <w:rsid w:val="00B719DC"/>
    <w:rsid w:val="00B73AF2"/>
    <w:rsid w:val="00B73E11"/>
    <w:rsid w:val="00B7551A"/>
    <w:rsid w:val="00B77626"/>
    <w:rsid w:val="00B84BD1"/>
    <w:rsid w:val="00B8660B"/>
    <w:rsid w:val="00B86C57"/>
    <w:rsid w:val="00B92AA0"/>
    <w:rsid w:val="00B92EA1"/>
    <w:rsid w:val="00B971B8"/>
    <w:rsid w:val="00B97498"/>
    <w:rsid w:val="00BA111E"/>
    <w:rsid w:val="00BB2367"/>
    <w:rsid w:val="00BB34CA"/>
    <w:rsid w:val="00BB5E84"/>
    <w:rsid w:val="00BC59F1"/>
    <w:rsid w:val="00BC7BCC"/>
    <w:rsid w:val="00BD046E"/>
    <w:rsid w:val="00BD5340"/>
    <w:rsid w:val="00BE6A54"/>
    <w:rsid w:val="00BF0898"/>
    <w:rsid w:val="00BF1631"/>
    <w:rsid w:val="00BF3DE1"/>
    <w:rsid w:val="00BF4843"/>
    <w:rsid w:val="00BF5205"/>
    <w:rsid w:val="00BF77C9"/>
    <w:rsid w:val="00C071CC"/>
    <w:rsid w:val="00C12508"/>
    <w:rsid w:val="00C14EBE"/>
    <w:rsid w:val="00C178A8"/>
    <w:rsid w:val="00C239C1"/>
    <w:rsid w:val="00C306DE"/>
    <w:rsid w:val="00C3163E"/>
    <w:rsid w:val="00C33A5B"/>
    <w:rsid w:val="00C430F8"/>
    <w:rsid w:val="00C4353A"/>
    <w:rsid w:val="00C45AA2"/>
    <w:rsid w:val="00C45DF7"/>
    <w:rsid w:val="00C4604F"/>
    <w:rsid w:val="00C47651"/>
    <w:rsid w:val="00C524F9"/>
    <w:rsid w:val="00C525AF"/>
    <w:rsid w:val="00C7174D"/>
    <w:rsid w:val="00C738AB"/>
    <w:rsid w:val="00C77282"/>
    <w:rsid w:val="00C83DAD"/>
    <w:rsid w:val="00C84DE5"/>
    <w:rsid w:val="00C86248"/>
    <w:rsid w:val="00C86C11"/>
    <w:rsid w:val="00C875DB"/>
    <w:rsid w:val="00C90587"/>
    <w:rsid w:val="00C922D9"/>
    <w:rsid w:val="00C9389B"/>
    <w:rsid w:val="00C96696"/>
    <w:rsid w:val="00CA4C33"/>
    <w:rsid w:val="00CA6003"/>
    <w:rsid w:val="00CB4046"/>
    <w:rsid w:val="00CC68C7"/>
    <w:rsid w:val="00CD2119"/>
    <w:rsid w:val="00CD36AC"/>
    <w:rsid w:val="00CD484B"/>
    <w:rsid w:val="00CE2472"/>
    <w:rsid w:val="00CE4419"/>
    <w:rsid w:val="00CE5D3E"/>
    <w:rsid w:val="00CF1747"/>
    <w:rsid w:val="00D01FAC"/>
    <w:rsid w:val="00D07FAF"/>
    <w:rsid w:val="00D13565"/>
    <w:rsid w:val="00D15DE8"/>
    <w:rsid w:val="00D2085E"/>
    <w:rsid w:val="00D23192"/>
    <w:rsid w:val="00D236FE"/>
    <w:rsid w:val="00D2392A"/>
    <w:rsid w:val="00D23A80"/>
    <w:rsid w:val="00D2430C"/>
    <w:rsid w:val="00D25FFE"/>
    <w:rsid w:val="00D330E5"/>
    <w:rsid w:val="00D41C98"/>
    <w:rsid w:val="00D435C9"/>
    <w:rsid w:val="00D4476F"/>
    <w:rsid w:val="00D44C0B"/>
    <w:rsid w:val="00D54D50"/>
    <w:rsid w:val="00D60EFF"/>
    <w:rsid w:val="00D6280B"/>
    <w:rsid w:val="00D66797"/>
    <w:rsid w:val="00D67465"/>
    <w:rsid w:val="00D7087C"/>
    <w:rsid w:val="00D70C3C"/>
    <w:rsid w:val="00D72BE5"/>
    <w:rsid w:val="00D73806"/>
    <w:rsid w:val="00D77FAE"/>
    <w:rsid w:val="00D82F26"/>
    <w:rsid w:val="00D863D0"/>
    <w:rsid w:val="00D87C87"/>
    <w:rsid w:val="00D91EBB"/>
    <w:rsid w:val="00D94348"/>
    <w:rsid w:val="00D9669F"/>
    <w:rsid w:val="00DB39CF"/>
    <w:rsid w:val="00DB4DB4"/>
    <w:rsid w:val="00DC3C8A"/>
    <w:rsid w:val="00DD447A"/>
    <w:rsid w:val="00DD4C96"/>
    <w:rsid w:val="00DE6C94"/>
    <w:rsid w:val="00DE6FD7"/>
    <w:rsid w:val="00DF51AB"/>
    <w:rsid w:val="00DF5ECF"/>
    <w:rsid w:val="00DF7906"/>
    <w:rsid w:val="00E058B8"/>
    <w:rsid w:val="00E06EC4"/>
    <w:rsid w:val="00E112D1"/>
    <w:rsid w:val="00E11907"/>
    <w:rsid w:val="00E211D0"/>
    <w:rsid w:val="00E23271"/>
    <w:rsid w:val="00E24F80"/>
    <w:rsid w:val="00E43E1B"/>
    <w:rsid w:val="00E4486C"/>
    <w:rsid w:val="00E460B6"/>
    <w:rsid w:val="00E468EE"/>
    <w:rsid w:val="00E511D5"/>
    <w:rsid w:val="00E549D4"/>
    <w:rsid w:val="00E60086"/>
    <w:rsid w:val="00E65269"/>
    <w:rsid w:val="00E72C88"/>
    <w:rsid w:val="00E8224F"/>
    <w:rsid w:val="00E864E6"/>
    <w:rsid w:val="00E913A9"/>
    <w:rsid w:val="00EA33C6"/>
    <w:rsid w:val="00EA5CBB"/>
    <w:rsid w:val="00EA796A"/>
    <w:rsid w:val="00EB1856"/>
    <w:rsid w:val="00EB1B93"/>
    <w:rsid w:val="00EB33BC"/>
    <w:rsid w:val="00EC0298"/>
    <w:rsid w:val="00EC3A2A"/>
    <w:rsid w:val="00EC50CE"/>
    <w:rsid w:val="00EC5A22"/>
    <w:rsid w:val="00EC5B34"/>
    <w:rsid w:val="00ED1CBB"/>
    <w:rsid w:val="00ED4734"/>
    <w:rsid w:val="00EE0279"/>
    <w:rsid w:val="00EE341A"/>
    <w:rsid w:val="00EE4ADE"/>
    <w:rsid w:val="00EE5CB7"/>
    <w:rsid w:val="00EE6876"/>
    <w:rsid w:val="00EE698E"/>
    <w:rsid w:val="00EE7480"/>
    <w:rsid w:val="00F017E1"/>
    <w:rsid w:val="00F024FE"/>
    <w:rsid w:val="00F05AD4"/>
    <w:rsid w:val="00F1385A"/>
    <w:rsid w:val="00F34B8B"/>
    <w:rsid w:val="00F41CEF"/>
    <w:rsid w:val="00F63A58"/>
    <w:rsid w:val="00F67496"/>
    <w:rsid w:val="00F71BF6"/>
    <w:rsid w:val="00F761D3"/>
    <w:rsid w:val="00F801BA"/>
    <w:rsid w:val="00F82321"/>
    <w:rsid w:val="00F946C9"/>
    <w:rsid w:val="00FA7323"/>
    <w:rsid w:val="00FA74EE"/>
    <w:rsid w:val="00FC2B35"/>
    <w:rsid w:val="00FC2F8E"/>
    <w:rsid w:val="00FC46E7"/>
    <w:rsid w:val="00FC5D25"/>
    <w:rsid w:val="00FC6F67"/>
    <w:rsid w:val="00FD0D7E"/>
    <w:rsid w:val="00FE6E13"/>
    <w:rsid w:val="00FF527C"/>
    <w:rsid w:val="00FF52FD"/>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1FAC"/>
    <w:pPr>
      <w:spacing w:line="252" w:lineRule="auto"/>
    </w:pPr>
    <w:rPr>
      <w:rFonts w:ascii="Calibri" w:hAnsi="Calibri"/>
      <w:sz w:val="22"/>
      <w:lang w:eastAsia="en-GB"/>
    </w:rPr>
  </w:style>
  <w:style w:type="paragraph" w:styleId="Heading1">
    <w:name w:val="heading 1"/>
    <w:basedOn w:val="Normal"/>
    <w:next w:val="Normal"/>
    <w:qFormat/>
    <w:rsid w:val="00802E5C"/>
    <w:pPr>
      <w:spacing w:after="360" w:line="240" w:lineRule="auto"/>
      <w:outlineLvl w:val="0"/>
    </w:pPr>
    <w:rPr>
      <w:b/>
      <w:color w:val="5F5F5F"/>
      <w:sz w:val="56"/>
    </w:rPr>
  </w:style>
  <w:style w:type="paragraph" w:styleId="Heading2">
    <w:name w:val="heading 2"/>
    <w:basedOn w:val="Normal"/>
    <w:next w:val="Normal"/>
    <w:qFormat/>
    <w:rsid w:val="00802E5C"/>
    <w:pPr>
      <w:keepNext/>
      <w:spacing w:before="240" w:after="120"/>
      <w:outlineLvl w:val="1"/>
    </w:pPr>
    <w:rPr>
      <w:rFonts w:ascii="Georgia" w:hAnsi="Georgia"/>
      <w:color w:val="5F5F5F"/>
      <w:sz w:val="36"/>
    </w:rPr>
  </w:style>
  <w:style w:type="paragraph" w:styleId="Heading3">
    <w:name w:val="heading 3"/>
    <w:basedOn w:val="Normal"/>
    <w:next w:val="Normal"/>
    <w:qFormat/>
    <w:rsid w:val="00802E5C"/>
    <w:pPr>
      <w:keepNext/>
      <w:spacing w:before="240" w:after="120"/>
      <w:outlineLvl w:val="2"/>
    </w:pPr>
    <w:rPr>
      <w:rFonts w:ascii="Georgia" w:hAnsi="Georgia"/>
      <w:color w:val="5F5F5F"/>
      <w:sz w:val="28"/>
    </w:rPr>
  </w:style>
  <w:style w:type="paragraph" w:styleId="Heading4">
    <w:name w:val="heading 4"/>
    <w:basedOn w:val="Normal"/>
    <w:next w:val="Normal"/>
    <w:qFormat/>
    <w:rsid w:val="00802E5C"/>
    <w:pPr>
      <w:keepNext/>
      <w:spacing w:before="120" w:after="60"/>
      <w:outlineLvl w:val="3"/>
    </w:pPr>
    <w:rPr>
      <w:rFonts w:ascii="Georgia" w:hAnsi="Georgia"/>
      <w:color w:val="5F5F5F"/>
      <w:sz w:val="24"/>
    </w:rPr>
  </w:style>
  <w:style w:type="paragraph" w:styleId="Heading5">
    <w:name w:val="heading 5"/>
    <w:basedOn w:val="Normal"/>
    <w:next w:val="Normal"/>
    <w:qFormat/>
    <w:rsid w:val="00EA33C6"/>
    <w:pPr>
      <w:keepNext/>
      <w:spacing w:before="180"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D6280B"/>
    <w:pPr>
      <w:tabs>
        <w:tab w:val="right" w:pos="8505"/>
      </w:tabs>
      <w:spacing w:before="300"/>
      <w:ind w:right="567"/>
    </w:pPr>
    <w:rPr>
      <w:b/>
    </w:rPr>
  </w:style>
  <w:style w:type="paragraph" w:styleId="TOC2">
    <w:name w:val="toc 2"/>
    <w:basedOn w:val="Normal"/>
    <w:next w:val="Normal"/>
    <w:uiPriority w:val="39"/>
    <w:rsid w:val="00524F86"/>
    <w:pPr>
      <w:tabs>
        <w:tab w:val="right" w:pos="8505"/>
      </w:tabs>
      <w:spacing w:before="2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5038A9"/>
    <w:pPr>
      <w:numPr>
        <w:numId w:val="4"/>
      </w:numPr>
      <w:tabs>
        <w:tab w:val="clear" w:pos="284"/>
      </w:tabs>
      <w:spacing w:before="90"/>
    </w:pPr>
  </w:style>
  <w:style w:type="paragraph" w:styleId="Quote">
    <w:name w:val="Quote"/>
    <w:basedOn w:val="Normal"/>
    <w:next w:val="Normal"/>
    <w:qFormat/>
    <w:rsid w:val="002932F9"/>
    <w:pPr>
      <w:spacing w:before="120"/>
      <w:ind w:left="284" w:right="284"/>
    </w:pPr>
    <w:rPr>
      <w:i/>
    </w:rPr>
  </w:style>
  <w:style w:type="paragraph" w:styleId="FootnoteText">
    <w:name w:val="footnote text"/>
    <w:basedOn w:val="Normal"/>
    <w:link w:val="FootnoteTextChar"/>
    <w:semiHidden/>
    <w:rsid w:val="0008420B"/>
    <w:pPr>
      <w:spacing w:before="60" w:line="240" w:lineRule="auto"/>
      <w:ind w:left="284" w:hanging="284"/>
    </w:pPr>
    <w:rPr>
      <w:sz w:val="16"/>
    </w:rPr>
  </w:style>
  <w:style w:type="paragraph" w:styleId="Header">
    <w:name w:val="header"/>
    <w:basedOn w:val="Normal"/>
    <w:qFormat/>
    <w:rsid w:val="00D25FFE"/>
  </w:style>
  <w:style w:type="paragraph" w:styleId="Title">
    <w:name w:val="Title"/>
    <w:basedOn w:val="Normal"/>
    <w:next w:val="Normal"/>
    <w:qFormat/>
    <w:rsid w:val="00802E5C"/>
    <w:rPr>
      <w:rFonts w:ascii="Georgia" w:hAnsi="Georgia"/>
      <w:b/>
      <w:color w:val="5F5F5F"/>
      <w:spacing w:val="-15"/>
      <w:sz w:val="64"/>
    </w:rPr>
  </w:style>
  <w:style w:type="paragraph" w:customStyle="1" w:styleId="Imprint">
    <w:name w:val="Imprint"/>
    <w:basedOn w:val="Normal"/>
    <w:next w:val="Normal"/>
    <w:qFormat/>
    <w:rsid w:val="008638FD"/>
    <w:rPr>
      <w:sz w:val="24"/>
    </w:rPr>
  </w:style>
  <w:style w:type="paragraph" w:styleId="Footer">
    <w:name w:val="footer"/>
    <w:basedOn w:val="Normal"/>
    <w:qFormat/>
    <w:rsid w:val="00447CB7"/>
    <w:pPr>
      <w:pBdr>
        <w:bottom w:val="single" w:sz="4" w:space="4" w:color="auto"/>
      </w:pBdr>
    </w:pPr>
  </w:style>
  <w:style w:type="character" w:styleId="PageNumber">
    <w:name w:val="page number"/>
    <w:rsid w:val="002733D9"/>
    <w:rPr>
      <w:rFonts w:ascii="Georgia" w:hAnsi="Georgia"/>
      <w:b/>
      <w:color w:val="7F7F7F"/>
      <w:sz w:val="20"/>
    </w:rPr>
  </w:style>
  <w:style w:type="paragraph" w:customStyle="1" w:styleId="VersoFooter">
    <w:name w:val="Verso Footer"/>
    <w:basedOn w:val="Footer"/>
    <w:rsid w:val="00DD4C96"/>
    <w:pPr>
      <w:pBdr>
        <w:bottom w:val="none" w:sz="0" w:space="0" w:color="auto"/>
      </w:pBdr>
      <w:ind w:left="-992"/>
    </w:pPr>
    <w:rPr>
      <w:sz w:val="20"/>
    </w:rPr>
  </w:style>
  <w:style w:type="paragraph" w:customStyle="1" w:styleId="RectoFooter">
    <w:name w:val="Recto Footer"/>
    <w:basedOn w:val="Footer"/>
    <w:rsid w:val="00971331"/>
    <w:pPr>
      <w:pBdr>
        <w:bottom w:val="none" w:sz="0" w:space="0" w:color="auto"/>
      </w:pBdr>
      <w:tabs>
        <w:tab w:val="right" w:pos="5245"/>
        <w:tab w:val="right" w:pos="5528"/>
        <w:tab w:val="right" w:pos="9072"/>
        <w:tab w:val="right" w:pos="9639"/>
      </w:tabs>
      <w:spacing w:line="240" w:lineRule="auto"/>
    </w:pPr>
    <w:rPr>
      <w:rFonts w:ascii="Georgia" w:hAnsi="Georgia"/>
      <w:color w:val="808080"/>
      <w:sz w:val="20"/>
    </w:rPr>
  </w:style>
  <w:style w:type="paragraph" w:customStyle="1" w:styleId="Figure">
    <w:name w:val="Figure"/>
    <w:basedOn w:val="Normal"/>
    <w:next w:val="Normal"/>
    <w:qFormat/>
    <w:rsid w:val="00802E5C"/>
    <w:pPr>
      <w:keepNext/>
      <w:spacing w:before="120" w:after="120" w:line="240" w:lineRule="auto"/>
    </w:pPr>
    <w:rPr>
      <w:color w:val="5F5F5F"/>
      <w:sz w:val="26"/>
    </w:rPr>
  </w:style>
  <w:style w:type="character" w:styleId="FootnoteReference">
    <w:name w:val="footnote reference"/>
    <w:semiHidden/>
    <w:rPr>
      <w:vertAlign w:val="superscript"/>
    </w:rPr>
  </w:style>
  <w:style w:type="paragraph" w:customStyle="1" w:styleId="Table">
    <w:name w:val="Table"/>
    <w:basedOn w:val="Figure"/>
    <w:qFormat/>
    <w:rsid w:val="00642868"/>
  </w:style>
  <w:style w:type="paragraph" w:customStyle="1" w:styleId="Dash">
    <w:name w:val="Dash"/>
    <w:basedOn w:val="Bullet"/>
    <w:qFormat/>
    <w:rsid w:val="00A52154"/>
    <w:pPr>
      <w:numPr>
        <w:numId w:val="11"/>
      </w:numPr>
      <w:tabs>
        <w:tab w:val="clear" w:pos="567"/>
      </w:tabs>
      <w:spacing w:before="60"/>
    </w:pPr>
  </w:style>
  <w:style w:type="paragraph" w:customStyle="1" w:styleId="TableText">
    <w:name w:val="TableText"/>
    <w:basedOn w:val="Normal"/>
    <w:qFormat/>
    <w:rsid w:val="00DF7906"/>
    <w:pPr>
      <w:spacing w:before="120" w:after="120" w:line="240" w:lineRule="auto"/>
    </w:pPr>
  </w:style>
  <w:style w:type="paragraph" w:customStyle="1" w:styleId="TableBullet">
    <w:name w:val="TableBullet"/>
    <w:basedOn w:val="TableText"/>
    <w:qFormat/>
    <w:rsid w:val="00B73AF2"/>
    <w:pPr>
      <w:numPr>
        <w:numId w:val="14"/>
      </w:numPr>
      <w:spacing w:before="0"/>
    </w:pPr>
  </w:style>
  <w:style w:type="paragraph" w:customStyle="1" w:styleId="Box">
    <w:name w:val="Box"/>
    <w:basedOn w:val="Normal"/>
    <w:qFormat/>
    <w:rsid w:val="00E468EE"/>
    <w:pPr>
      <w:pBdr>
        <w:top w:val="single" w:sz="4" w:space="6" w:color="FFFFFF"/>
        <w:left w:val="single" w:sz="4" w:space="6" w:color="FFFFFF"/>
        <w:bottom w:val="single" w:sz="4" w:space="6" w:color="FFFFFF"/>
        <w:right w:val="single" w:sz="4" w:space="6" w:color="FFFFFF"/>
      </w:pBdr>
      <w:shd w:val="clear" w:color="auto" w:fill="C0C0C0"/>
      <w:spacing w:before="120"/>
      <w:ind w:left="142" w:right="142"/>
    </w:pPr>
  </w:style>
  <w:style w:type="paragraph" w:customStyle="1" w:styleId="BoxHeading">
    <w:name w:val="BoxHeading"/>
    <w:basedOn w:val="Box"/>
    <w:qFormat/>
    <w:rsid w:val="006D0F8B"/>
    <w:pPr>
      <w:keepNext/>
    </w:pPr>
    <w:rPr>
      <w:b/>
      <w:sz w:val="28"/>
    </w:rPr>
  </w:style>
  <w:style w:type="paragraph" w:customStyle="1" w:styleId="BoxBullet">
    <w:name w:val="BoxBullet"/>
    <w:basedOn w:val="Box"/>
    <w:qFormat/>
    <w:rsid w:val="002B5686"/>
    <w:pPr>
      <w:numPr>
        <w:numId w:val="6"/>
      </w:numPr>
      <w:tabs>
        <w:tab w:val="clear" w:pos="360"/>
      </w:tabs>
      <w:spacing w:before="60"/>
      <w:ind w:left="426"/>
    </w:pPr>
  </w:style>
  <w:style w:type="paragraph" w:customStyle="1" w:styleId="IntroHead">
    <w:name w:val="IntroHead"/>
    <w:basedOn w:val="Heading1"/>
    <w:next w:val="Normal"/>
    <w:qFormat/>
    <w:rsid w:val="00802E5C"/>
    <w:pPr>
      <w:outlineLvl w:val="9"/>
    </w:pPr>
  </w:style>
  <w:style w:type="paragraph" w:customStyle="1" w:styleId="Source">
    <w:name w:val="Source"/>
    <w:basedOn w:val="Note"/>
    <w:next w:val="Normal"/>
    <w:qFormat/>
    <w:rsid w:val="00D236FE"/>
    <w:pPr>
      <w:pBdr>
        <w:top w:val="single" w:sz="2" w:space="4" w:color="A6A6A6" w:themeColor="background1" w:themeShade="A6"/>
        <w:bottom w:val="none" w:sz="0" w:space="0" w:color="auto"/>
      </w:pBdr>
      <w:spacing w:before="60"/>
      <w:ind w:left="0" w:right="0" w:firstLine="0"/>
    </w:pPr>
    <w:rPr>
      <w:sz w:val="16"/>
    </w:r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13"/>
      </w:numPr>
      <w:spacing w:before="40" w:after="0"/>
    </w:pPr>
    <w:rPr>
      <w:szCs w:val="22"/>
    </w:rPr>
  </w:style>
  <w:style w:type="paragraph" w:customStyle="1" w:styleId="Year">
    <w:name w:val="Year"/>
    <w:basedOn w:val="Subhead"/>
    <w:next w:val="Subhead"/>
    <w:qFormat/>
    <w:rsid w:val="00802E5C"/>
    <w:pPr>
      <w:spacing w:before="600"/>
      <w:ind w:right="0"/>
    </w:pPr>
    <w:rPr>
      <w:caps/>
      <w:color w:val="5F5F5F"/>
      <w:sz w:val="64"/>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semiHidden/>
    <w:rsid w:val="0008420B"/>
    <w:rPr>
      <w:rFonts w:ascii="Calibri" w:hAnsi="Calibri"/>
      <w:sz w:val="16"/>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graph">
    <w:name w:val="Intro paragraph"/>
    <w:basedOn w:val="Normal"/>
    <w:next w:val="Normal"/>
    <w:qFormat/>
    <w:rsid w:val="008C6616"/>
    <w:pPr>
      <w:spacing w:before="120"/>
    </w:pPr>
    <w:rPr>
      <w:rFonts w:eastAsia="Arial"/>
      <w:sz w:val="28"/>
    </w:rPr>
  </w:style>
  <w:style w:type="paragraph" w:customStyle="1" w:styleId="Textbox">
    <w:name w:val="Textbox"/>
    <w:basedOn w:val="Normal"/>
    <w:qFormat/>
    <w:rsid w:val="001C47E8"/>
    <w:pPr>
      <w:shd w:val="clear" w:color="auto" w:fill="F2F2F2" w:themeFill="background1" w:themeFillShade="F2"/>
      <w:spacing w:before="60" w:after="60"/>
      <w:ind w:left="142" w:right="142"/>
    </w:pPr>
    <w:rPr>
      <w:rFonts w:eastAsia="Arial"/>
      <w:sz w:val="20"/>
    </w:rPr>
  </w:style>
  <w:style w:type="paragraph" w:styleId="BalloonText">
    <w:name w:val="Balloon Text"/>
    <w:basedOn w:val="Normal"/>
    <w:link w:val="BalloonTextChar"/>
    <w:uiPriority w:val="99"/>
    <w:semiHidden/>
    <w:unhideWhenUsed/>
    <w:rsid w:val="00D208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85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1FAC"/>
    <w:pPr>
      <w:spacing w:line="252" w:lineRule="auto"/>
    </w:pPr>
    <w:rPr>
      <w:rFonts w:ascii="Calibri" w:hAnsi="Calibri"/>
      <w:sz w:val="22"/>
      <w:lang w:eastAsia="en-GB"/>
    </w:rPr>
  </w:style>
  <w:style w:type="paragraph" w:styleId="Heading1">
    <w:name w:val="heading 1"/>
    <w:basedOn w:val="Normal"/>
    <w:next w:val="Normal"/>
    <w:qFormat/>
    <w:rsid w:val="00802E5C"/>
    <w:pPr>
      <w:spacing w:after="360" w:line="240" w:lineRule="auto"/>
      <w:outlineLvl w:val="0"/>
    </w:pPr>
    <w:rPr>
      <w:b/>
      <w:color w:val="5F5F5F"/>
      <w:sz w:val="56"/>
    </w:rPr>
  </w:style>
  <w:style w:type="paragraph" w:styleId="Heading2">
    <w:name w:val="heading 2"/>
    <w:basedOn w:val="Normal"/>
    <w:next w:val="Normal"/>
    <w:qFormat/>
    <w:rsid w:val="00802E5C"/>
    <w:pPr>
      <w:keepNext/>
      <w:spacing w:before="240" w:after="120"/>
      <w:outlineLvl w:val="1"/>
    </w:pPr>
    <w:rPr>
      <w:rFonts w:ascii="Georgia" w:hAnsi="Georgia"/>
      <w:color w:val="5F5F5F"/>
      <w:sz w:val="36"/>
    </w:rPr>
  </w:style>
  <w:style w:type="paragraph" w:styleId="Heading3">
    <w:name w:val="heading 3"/>
    <w:basedOn w:val="Normal"/>
    <w:next w:val="Normal"/>
    <w:qFormat/>
    <w:rsid w:val="00802E5C"/>
    <w:pPr>
      <w:keepNext/>
      <w:spacing w:before="240" w:after="120"/>
      <w:outlineLvl w:val="2"/>
    </w:pPr>
    <w:rPr>
      <w:rFonts w:ascii="Georgia" w:hAnsi="Georgia"/>
      <w:color w:val="5F5F5F"/>
      <w:sz w:val="28"/>
    </w:rPr>
  </w:style>
  <w:style w:type="paragraph" w:styleId="Heading4">
    <w:name w:val="heading 4"/>
    <w:basedOn w:val="Normal"/>
    <w:next w:val="Normal"/>
    <w:qFormat/>
    <w:rsid w:val="00802E5C"/>
    <w:pPr>
      <w:keepNext/>
      <w:spacing w:before="120" w:after="60"/>
      <w:outlineLvl w:val="3"/>
    </w:pPr>
    <w:rPr>
      <w:rFonts w:ascii="Georgia" w:hAnsi="Georgia"/>
      <w:color w:val="5F5F5F"/>
      <w:sz w:val="24"/>
    </w:rPr>
  </w:style>
  <w:style w:type="paragraph" w:styleId="Heading5">
    <w:name w:val="heading 5"/>
    <w:basedOn w:val="Normal"/>
    <w:next w:val="Normal"/>
    <w:qFormat/>
    <w:rsid w:val="00EA33C6"/>
    <w:pPr>
      <w:keepNext/>
      <w:spacing w:before="180"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D6280B"/>
    <w:pPr>
      <w:tabs>
        <w:tab w:val="right" w:pos="8505"/>
      </w:tabs>
      <w:spacing w:before="300"/>
      <w:ind w:right="567"/>
    </w:pPr>
    <w:rPr>
      <w:b/>
    </w:rPr>
  </w:style>
  <w:style w:type="paragraph" w:styleId="TOC2">
    <w:name w:val="toc 2"/>
    <w:basedOn w:val="Normal"/>
    <w:next w:val="Normal"/>
    <w:uiPriority w:val="39"/>
    <w:rsid w:val="00524F86"/>
    <w:pPr>
      <w:tabs>
        <w:tab w:val="right" w:pos="8505"/>
      </w:tabs>
      <w:spacing w:before="2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5038A9"/>
    <w:pPr>
      <w:numPr>
        <w:numId w:val="4"/>
      </w:numPr>
      <w:tabs>
        <w:tab w:val="clear" w:pos="284"/>
      </w:tabs>
      <w:spacing w:before="90"/>
    </w:pPr>
  </w:style>
  <w:style w:type="paragraph" w:styleId="Quote">
    <w:name w:val="Quote"/>
    <w:basedOn w:val="Normal"/>
    <w:next w:val="Normal"/>
    <w:qFormat/>
    <w:rsid w:val="002932F9"/>
    <w:pPr>
      <w:spacing w:before="120"/>
      <w:ind w:left="284" w:right="284"/>
    </w:pPr>
    <w:rPr>
      <w:i/>
    </w:rPr>
  </w:style>
  <w:style w:type="paragraph" w:styleId="FootnoteText">
    <w:name w:val="footnote text"/>
    <w:basedOn w:val="Normal"/>
    <w:link w:val="FootnoteTextChar"/>
    <w:semiHidden/>
    <w:rsid w:val="0008420B"/>
    <w:pPr>
      <w:spacing w:before="60" w:line="240" w:lineRule="auto"/>
      <w:ind w:left="284" w:hanging="284"/>
    </w:pPr>
    <w:rPr>
      <w:sz w:val="16"/>
    </w:rPr>
  </w:style>
  <w:style w:type="paragraph" w:styleId="Header">
    <w:name w:val="header"/>
    <w:basedOn w:val="Normal"/>
    <w:qFormat/>
    <w:rsid w:val="00D25FFE"/>
  </w:style>
  <w:style w:type="paragraph" w:styleId="Title">
    <w:name w:val="Title"/>
    <w:basedOn w:val="Normal"/>
    <w:next w:val="Normal"/>
    <w:qFormat/>
    <w:rsid w:val="00802E5C"/>
    <w:rPr>
      <w:rFonts w:ascii="Georgia" w:hAnsi="Georgia"/>
      <w:b/>
      <w:color w:val="5F5F5F"/>
      <w:spacing w:val="-15"/>
      <w:sz w:val="64"/>
    </w:rPr>
  </w:style>
  <w:style w:type="paragraph" w:customStyle="1" w:styleId="Imprint">
    <w:name w:val="Imprint"/>
    <w:basedOn w:val="Normal"/>
    <w:next w:val="Normal"/>
    <w:qFormat/>
    <w:rsid w:val="008638FD"/>
    <w:rPr>
      <w:sz w:val="24"/>
    </w:rPr>
  </w:style>
  <w:style w:type="paragraph" w:styleId="Footer">
    <w:name w:val="footer"/>
    <w:basedOn w:val="Normal"/>
    <w:qFormat/>
    <w:rsid w:val="00447CB7"/>
    <w:pPr>
      <w:pBdr>
        <w:bottom w:val="single" w:sz="4" w:space="4" w:color="auto"/>
      </w:pBdr>
    </w:pPr>
  </w:style>
  <w:style w:type="character" w:styleId="PageNumber">
    <w:name w:val="page number"/>
    <w:rsid w:val="002733D9"/>
    <w:rPr>
      <w:rFonts w:ascii="Georgia" w:hAnsi="Georgia"/>
      <w:b/>
      <w:color w:val="7F7F7F"/>
      <w:sz w:val="20"/>
    </w:rPr>
  </w:style>
  <w:style w:type="paragraph" w:customStyle="1" w:styleId="VersoFooter">
    <w:name w:val="Verso Footer"/>
    <w:basedOn w:val="Footer"/>
    <w:rsid w:val="00DD4C96"/>
    <w:pPr>
      <w:pBdr>
        <w:bottom w:val="none" w:sz="0" w:space="0" w:color="auto"/>
      </w:pBdr>
      <w:ind w:left="-992"/>
    </w:pPr>
    <w:rPr>
      <w:sz w:val="20"/>
    </w:rPr>
  </w:style>
  <w:style w:type="paragraph" w:customStyle="1" w:styleId="RectoFooter">
    <w:name w:val="Recto Footer"/>
    <w:basedOn w:val="Footer"/>
    <w:rsid w:val="00971331"/>
    <w:pPr>
      <w:pBdr>
        <w:bottom w:val="none" w:sz="0" w:space="0" w:color="auto"/>
      </w:pBdr>
      <w:tabs>
        <w:tab w:val="right" w:pos="5245"/>
        <w:tab w:val="right" w:pos="5528"/>
        <w:tab w:val="right" w:pos="9072"/>
        <w:tab w:val="right" w:pos="9639"/>
      </w:tabs>
      <w:spacing w:line="240" w:lineRule="auto"/>
    </w:pPr>
    <w:rPr>
      <w:rFonts w:ascii="Georgia" w:hAnsi="Georgia"/>
      <w:color w:val="808080"/>
      <w:sz w:val="20"/>
    </w:rPr>
  </w:style>
  <w:style w:type="paragraph" w:customStyle="1" w:styleId="Figure">
    <w:name w:val="Figure"/>
    <w:basedOn w:val="Normal"/>
    <w:next w:val="Normal"/>
    <w:qFormat/>
    <w:rsid w:val="00802E5C"/>
    <w:pPr>
      <w:keepNext/>
      <w:spacing w:before="120" w:after="120" w:line="240" w:lineRule="auto"/>
    </w:pPr>
    <w:rPr>
      <w:color w:val="5F5F5F"/>
      <w:sz w:val="26"/>
    </w:rPr>
  </w:style>
  <w:style w:type="character" w:styleId="FootnoteReference">
    <w:name w:val="footnote reference"/>
    <w:semiHidden/>
    <w:rPr>
      <w:vertAlign w:val="superscript"/>
    </w:rPr>
  </w:style>
  <w:style w:type="paragraph" w:customStyle="1" w:styleId="Table">
    <w:name w:val="Table"/>
    <w:basedOn w:val="Figure"/>
    <w:qFormat/>
    <w:rsid w:val="00642868"/>
  </w:style>
  <w:style w:type="paragraph" w:customStyle="1" w:styleId="Dash">
    <w:name w:val="Dash"/>
    <w:basedOn w:val="Bullet"/>
    <w:qFormat/>
    <w:rsid w:val="00A52154"/>
    <w:pPr>
      <w:numPr>
        <w:numId w:val="11"/>
      </w:numPr>
      <w:tabs>
        <w:tab w:val="clear" w:pos="567"/>
      </w:tabs>
      <w:spacing w:before="60"/>
    </w:pPr>
  </w:style>
  <w:style w:type="paragraph" w:customStyle="1" w:styleId="TableText">
    <w:name w:val="TableText"/>
    <w:basedOn w:val="Normal"/>
    <w:qFormat/>
    <w:rsid w:val="00DF7906"/>
    <w:pPr>
      <w:spacing w:before="120" w:after="120" w:line="240" w:lineRule="auto"/>
    </w:pPr>
  </w:style>
  <w:style w:type="paragraph" w:customStyle="1" w:styleId="TableBullet">
    <w:name w:val="TableBullet"/>
    <w:basedOn w:val="TableText"/>
    <w:qFormat/>
    <w:rsid w:val="00B73AF2"/>
    <w:pPr>
      <w:numPr>
        <w:numId w:val="14"/>
      </w:numPr>
      <w:spacing w:before="0"/>
    </w:pPr>
  </w:style>
  <w:style w:type="paragraph" w:customStyle="1" w:styleId="Box">
    <w:name w:val="Box"/>
    <w:basedOn w:val="Normal"/>
    <w:qFormat/>
    <w:rsid w:val="00E468EE"/>
    <w:pPr>
      <w:pBdr>
        <w:top w:val="single" w:sz="4" w:space="6" w:color="FFFFFF"/>
        <w:left w:val="single" w:sz="4" w:space="6" w:color="FFFFFF"/>
        <w:bottom w:val="single" w:sz="4" w:space="6" w:color="FFFFFF"/>
        <w:right w:val="single" w:sz="4" w:space="6" w:color="FFFFFF"/>
      </w:pBdr>
      <w:shd w:val="clear" w:color="auto" w:fill="C0C0C0"/>
      <w:spacing w:before="120"/>
      <w:ind w:left="142" w:right="142"/>
    </w:pPr>
  </w:style>
  <w:style w:type="paragraph" w:customStyle="1" w:styleId="BoxHeading">
    <w:name w:val="BoxHeading"/>
    <w:basedOn w:val="Box"/>
    <w:qFormat/>
    <w:rsid w:val="006D0F8B"/>
    <w:pPr>
      <w:keepNext/>
    </w:pPr>
    <w:rPr>
      <w:b/>
      <w:sz w:val="28"/>
    </w:rPr>
  </w:style>
  <w:style w:type="paragraph" w:customStyle="1" w:styleId="BoxBullet">
    <w:name w:val="BoxBullet"/>
    <w:basedOn w:val="Box"/>
    <w:qFormat/>
    <w:rsid w:val="002B5686"/>
    <w:pPr>
      <w:numPr>
        <w:numId w:val="6"/>
      </w:numPr>
      <w:tabs>
        <w:tab w:val="clear" w:pos="360"/>
      </w:tabs>
      <w:spacing w:before="60"/>
      <w:ind w:left="426"/>
    </w:pPr>
  </w:style>
  <w:style w:type="paragraph" w:customStyle="1" w:styleId="IntroHead">
    <w:name w:val="IntroHead"/>
    <w:basedOn w:val="Heading1"/>
    <w:next w:val="Normal"/>
    <w:qFormat/>
    <w:rsid w:val="00802E5C"/>
    <w:pPr>
      <w:outlineLvl w:val="9"/>
    </w:pPr>
  </w:style>
  <w:style w:type="paragraph" w:customStyle="1" w:styleId="Source">
    <w:name w:val="Source"/>
    <w:basedOn w:val="Note"/>
    <w:next w:val="Normal"/>
    <w:qFormat/>
    <w:rsid w:val="00D236FE"/>
    <w:pPr>
      <w:pBdr>
        <w:top w:val="single" w:sz="2" w:space="4" w:color="A6A6A6" w:themeColor="background1" w:themeShade="A6"/>
        <w:bottom w:val="none" w:sz="0" w:space="0" w:color="auto"/>
      </w:pBdr>
      <w:spacing w:before="60"/>
      <w:ind w:left="0" w:right="0" w:firstLine="0"/>
    </w:pPr>
    <w:rPr>
      <w:sz w:val="16"/>
    </w:r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13"/>
      </w:numPr>
      <w:spacing w:before="40" w:after="0"/>
    </w:pPr>
    <w:rPr>
      <w:szCs w:val="22"/>
    </w:rPr>
  </w:style>
  <w:style w:type="paragraph" w:customStyle="1" w:styleId="Year">
    <w:name w:val="Year"/>
    <w:basedOn w:val="Subhead"/>
    <w:next w:val="Subhead"/>
    <w:qFormat/>
    <w:rsid w:val="00802E5C"/>
    <w:pPr>
      <w:spacing w:before="600"/>
      <w:ind w:right="0"/>
    </w:pPr>
    <w:rPr>
      <w:caps/>
      <w:color w:val="5F5F5F"/>
      <w:sz w:val="64"/>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semiHidden/>
    <w:rsid w:val="0008420B"/>
    <w:rPr>
      <w:rFonts w:ascii="Calibri" w:hAnsi="Calibri"/>
      <w:sz w:val="16"/>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graph">
    <w:name w:val="Intro paragraph"/>
    <w:basedOn w:val="Normal"/>
    <w:next w:val="Normal"/>
    <w:qFormat/>
    <w:rsid w:val="008C6616"/>
    <w:pPr>
      <w:spacing w:before="120"/>
    </w:pPr>
    <w:rPr>
      <w:rFonts w:eastAsia="Arial"/>
      <w:sz w:val="28"/>
    </w:rPr>
  </w:style>
  <w:style w:type="paragraph" w:customStyle="1" w:styleId="Textbox">
    <w:name w:val="Textbox"/>
    <w:basedOn w:val="Normal"/>
    <w:qFormat/>
    <w:rsid w:val="001C47E8"/>
    <w:pPr>
      <w:shd w:val="clear" w:color="auto" w:fill="F2F2F2" w:themeFill="background1" w:themeFillShade="F2"/>
      <w:spacing w:before="60" w:after="60"/>
      <w:ind w:left="142" w:right="142"/>
    </w:pPr>
    <w:rPr>
      <w:rFonts w:eastAsia="Arial"/>
      <w:sz w:val="20"/>
    </w:rPr>
  </w:style>
  <w:style w:type="paragraph" w:styleId="BalloonText">
    <w:name w:val="Balloon Text"/>
    <w:basedOn w:val="Normal"/>
    <w:link w:val="BalloonTextChar"/>
    <w:uiPriority w:val="99"/>
    <w:semiHidden/>
    <w:unhideWhenUsed/>
    <w:rsid w:val="00D208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85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10.png"/><Relationship Id="rId39" Type="http://schemas.openxmlformats.org/officeDocument/2006/relationships/hyperlink" Target="http://www.dpmc.govt.nz/sites/" TargetMode="Externa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image" Target="media/image17.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1.emf"/><Relationship Id="rId25" Type="http://schemas.openxmlformats.org/officeDocument/2006/relationships/image" Target="media/image9.png"/><Relationship Id="rId33" Type="http://schemas.openxmlformats.org/officeDocument/2006/relationships/image" Target="media/image16.png"/><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4.emf"/><Relationship Id="rId29" Type="http://schemas.openxmlformats.org/officeDocument/2006/relationships/footer" Target="foot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8.emf"/><Relationship Id="rId32" Type="http://schemas.openxmlformats.org/officeDocument/2006/relationships/image" Target="media/image15.png"/><Relationship Id="rId37" Type="http://schemas.openxmlformats.org/officeDocument/2006/relationships/footer" Target="footer7.xml"/><Relationship Id="rId40"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7.emf"/><Relationship Id="rId28" Type="http://schemas.openxmlformats.org/officeDocument/2006/relationships/image" Target="media/image12.png"/><Relationship Id="rId36" Type="http://schemas.openxmlformats.org/officeDocument/2006/relationships/image" Target="media/image19.png"/><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6.emf"/><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image" Target="media/image18.png"/></Relationships>
</file>

<file path=word/_rels/footnotes.xml.rels><?xml version="1.0" encoding="UTF-8" standalone="yes"?>
<Relationships xmlns="http://schemas.openxmlformats.org/package/2006/relationships"><Relationship Id="rId1" Type="http://schemas.openxmlformats.org/officeDocument/2006/relationships/hyperlink" Target="https://www.acog.org/Resources_And_Publications/Obstetric_Care_Consensus_Series/Safe_Prevention_of_the_Primary_Cesarean_Delive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F8E4D-7E0A-47F1-8C72-1C4D830E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62</Pages>
  <Words>17787</Words>
  <Characters>96858</Characters>
  <Application>Microsoft Office Word</Application>
  <DocSecurity>0</DocSecurity>
  <Lines>2767</Lines>
  <Paragraphs>1032</Paragraphs>
  <ScaleCrop>false</ScaleCrop>
  <HeadingPairs>
    <vt:vector size="2" baseType="variant">
      <vt:variant>
        <vt:lpstr>Title</vt:lpstr>
      </vt:variant>
      <vt:variant>
        <vt:i4>1</vt:i4>
      </vt:variant>
    </vt:vector>
  </HeadingPairs>
  <TitlesOfParts>
    <vt:vector size="1" baseType="lpstr">
      <vt:lpstr>National Maternity Monitoring Group Annual Report 2014</vt:lpstr>
    </vt:vector>
  </TitlesOfParts>
  <Company>Microsoft</Company>
  <LinksUpToDate>false</LinksUpToDate>
  <CharactersWithSpaces>113613</CharactersWithSpaces>
  <SharedDoc>false</SharedDoc>
  <HLinks>
    <vt:vector size="42" baseType="variant">
      <vt:variant>
        <vt:i4>6291478</vt:i4>
      </vt:variant>
      <vt:variant>
        <vt:i4>177</vt:i4>
      </vt:variant>
      <vt:variant>
        <vt:i4>0</vt:i4>
      </vt:variant>
      <vt:variant>
        <vt:i4>5</vt:i4>
      </vt:variant>
      <vt:variant>
        <vt:lpwstr>mailto:secretariat@nmmg.org.nz</vt:lpwstr>
      </vt:variant>
      <vt:variant>
        <vt:lpwstr/>
      </vt:variant>
      <vt:variant>
        <vt:i4>67</vt:i4>
      </vt:variant>
      <vt:variant>
        <vt:i4>174</vt:i4>
      </vt:variant>
      <vt:variant>
        <vt:i4>0</vt:i4>
      </vt:variant>
      <vt:variant>
        <vt:i4>5</vt:i4>
      </vt:variant>
      <vt:variant>
        <vt:lpwstr>http://www.hiirc.org.nz/</vt:lpwstr>
      </vt:variant>
      <vt:variant>
        <vt:lpwstr/>
      </vt:variant>
      <vt:variant>
        <vt:i4>3080299</vt:i4>
      </vt:variant>
      <vt:variant>
        <vt:i4>168</vt:i4>
      </vt:variant>
      <vt:variant>
        <vt:i4>0</vt:i4>
      </vt:variant>
      <vt:variant>
        <vt:i4>5</vt:i4>
      </vt:variant>
      <vt:variant>
        <vt:lpwstr>http://www.dpmc.govt.nz/cabinet/circulars/</vt:lpwstr>
      </vt:variant>
      <vt:variant>
        <vt:lpwstr/>
      </vt:variant>
      <vt:variant>
        <vt:i4>2818174</vt:i4>
      </vt:variant>
      <vt:variant>
        <vt:i4>162</vt:i4>
      </vt:variant>
      <vt:variant>
        <vt:i4>0</vt:i4>
      </vt:variant>
      <vt:variant>
        <vt:i4>5</vt:i4>
      </vt:variant>
      <vt:variant>
        <vt:lpwstr>http://www/</vt:lpwstr>
      </vt:variant>
      <vt:variant>
        <vt:lpwstr/>
      </vt:variant>
      <vt:variant>
        <vt:i4>2818174</vt:i4>
      </vt:variant>
      <vt:variant>
        <vt:i4>159</vt:i4>
      </vt:variant>
      <vt:variant>
        <vt:i4>0</vt:i4>
      </vt:variant>
      <vt:variant>
        <vt:i4>5</vt:i4>
      </vt:variant>
      <vt:variant>
        <vt:lpwstr>http://www/</vt:lpwstr>
      </vt:variant>
      <vt:variant>
        <vt:lpwstr/>
      </vt:variant>
      <vt:variant>
        <vt:i4>1310746</vt:i4>
      </vt:variant>
      <vt:variant>
        <vt:i4>3</vt:i4>
      </vt:variant>
      <vt:variant>
        <vt:i4>0</vt:i4>
      </vt:variant>
      <vt:variant>
        <vt:i4>5</vt:i4>
      </vt:variant>
      <vt:variant>
        <vt:lpwstr>http://www.moh.govt.nz/moh.nsf/indexmh/nz-maternity-standards</vt:lpwstr>
      </vt:variant>
      <vt:variant>
        <vt:lpwstr/>
      </vt:variant>
      <vt:variant>
        <vt:i4>5701714</vt:i4>
      </vt:variant>
      <vt:variant>
        <vt:i4>0</vt:i4>
      </vt:variant>
      <vt:variant>
        <vt:i4>0</vt:i4>
      </vt:variant>
      <vt:variant>
        <vt:i4>5</vt:i4>
      </vt:variant>
      <vt:variant>
        <vt:lpwstr>http://www.quit.org.nz/file/infoSheets/04SmokingAndPregnancy.pdf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Maternity Monitoring Group Annual Report 2014</dc:title>
  <dc:creator>National Maternity Monitoring Group</dc:creator>
  <cp:lastModifiedBy>Jane Adam</cp:lastModifiedBy>
  <cp:revision>2</cp:revision>
  <cp:lastPrinted>2013-11-09T04:33:00Z</cp:lastPrinted>
  <dcterms:created xsi:type="dcterms:W3CDTF">2014-12-18T01:08:00Z</dcterms:created>
  <dcterms:modified xsi:type="dcterms:W3CDTF">2014-12-18T01:08:00Z</dcterms:modified>
</cp:coreProperties>
</file>