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AECE8" w14:textId="77777777" w:rsidR="00C86248" w:rsidRPr="00D54D50" w:rsidRDefault="00487A47" w:rsidP="00D54D50">
      <w:pPr>
        <w:pStyle w:val="Title"/>
      </w:pPr>
      <w:bookmarkStart w:id="0" w:name="_GoBack"/>
      <w:bookmarkEnd w:id="0"/>
      <w:r>
        <w:t>National Cancer Programme</w:t>
      </w:r>
    </w:p>
    <w:p w14:paraId="335F4ECF" w14:textId="77777777" w:rsidR="00343365" w:rsidRDefault="00487A47" w:rsidP="00343365">
      <w:pPr>
        <w:pStyle w:val="Year"/>
      </w:pPr>
      <w:r>
        <w:t>Work Plan 201</w:t>
      </w:r>
      <w:r w:rsidR="00EC4625">
        <w:t>5/16</w:t>
      </w:r>
    </w:p>
    <w:p w14:paraId="6A5F1C76" w14:textId="77777777" w:rsidR="00C86248" w:rsidRDefault="00C86248" w:rsidP="00343365">
      <w:pPr>
        <w:pStyle w:val="Subhead"/>
      </w:pPr>
    </w:p>
    <w:p w14:paraId="5DD3BCB9" w14:textId="77777777" w:rsidR="00142954" w:rsidRPr="00142954" w:rsidRDefault="00142954" w:rsidP="00142954">
      <w:pPr>
        <w:sectPr w:rsidR="00142954" w:rsidRPr="00142954" w:rsidSect="003E6E7B">
          <w:headerReference w:type="default" r:id="rId9"/>
          <w:footerReference w:type="default" r:id="rId10"/>
          <w:pgSz w:w="11907" w:h="16834" w:code="9"/>
          <w:pgMar w:top="3969" w:right="851" w:bottom="851" w:left="2552" w:header="851" w:footer="851" w:gutter="0"/>
          <w:cols w:space="720"/>
        </w:sectPr>
      </w:pPr>
    </w:p>
    <w:p w14:paraId="1EFBE797" w14:textId="77777777" w:rsidR="00A80363" w:rsidRPr="00442C1C" w:rsidRDefault="00A80363">
      <w:pPr>
        <w:pStyle w:val="Imprint"/>
      </w:pPr>
      <w:r>
        <w:lastRenderedPageBreak/>
        <w:t xml:space="preserve">Citation: </w:t>
      </w:r>
      <w:r w:rsidR="00442C1C">
        <w:t xml:space="preserve">Ministry of Health. </w:t>
      </w:r>
      <w:r w:rsidR="00FC3E52">
        <w:t>201</w:t>
      </w:r>
      <w:r w:rsidR="00EC4625">
        <w:t>5</w:t>
      </w:r>
      <w:r w:rsidR="00442C1C">
        <w:t xml:space="preserve">. </w:t>
      </w:r>
      <w:r w:rsidR="00FC3E52">
        <w:rPr>
          <w:i/>
        </w:rPr>
        <w:t xml:space="preserve">National Cancer Programme: Work </w:t>
      </w:r>
      <w:r w:rsidR="001F34B9">
        <w:rPr>
          <w:i/>
        </w:rPr>
        <w:t>p</w:t>
      </w:r>
      <w:r w:rsidR="00FC3E52">
        <w:rPr>
          <w:i/>
        </w:rPr>
        <w:t>lan 201</w:t>
      </w:r>
      <w:r w:rsidR="00EC4625">
        <w:rPr>
          <w:i/>
        </w:rPr>
        <w:t>5</w:t>
      </w:r>
      <w:r w:rsidR="00FC3E52">
        <w:rPr>
          <w:i/>
        </w:rPr>
        <w:t>/1</w:t>
      </w:r>
      <w:r w:rsidR="00EC4625">
        <w:rPr>
          <w:i/>
        </w:rPr>
        <w:t>6</w:t>
      </w:r>
      <w:r w:rsidR="00442C1C">
        <w:t>. Wellington: Ministry of Health.</w:t>
      </w:r>
    </w:p>
    <w:p w14:paraId="40F0524A" w14:textId="742BEB9A" w:rsidR="00C86248" w:rsidRDefault="00C86248">
      <w:pPr>
        <w:pStyle w:val="Imprint"/>
      </w:pPr>
      <w:r>
        <w:t xml:space="preserve">Published in </w:t>
      </w:r>
      <w:r w:rsidR="00F81626">
        <w:t>October</w:t>
      </w:r>
      <w:r w:rsidR="000B4AF7">
        <w:t xml:space="preserve"> </w:t>
      </w:r>
      <w:r w:rsidR="00FC3E52">
        <w:t>201</w:t>
      </w:r>
      <w:r w:rsidR="00EC4625">
        <w:t>5</w:t>
      </w:r>
      <w:r w:rsidR="005019AE">
        <w:br/>
      </w:r>
      <w:r>
        <w:t>by the</w:t>
      </w:r>
      <w:r w:rsidR="00442C1C">
        <w:t xml:space="preserve"> </w:t>
      </w:r>
      <w:r>
        <w:t>Ministry of Health</w:t>
      </w:r>
      <w:r>
        <w:br/>
        <w:t>PO Box 5013, Wellington</w:t>
      </w:r>
      <w:r w:rsidR="00A80363">
        <w:t xml:space="preserve"> 6145</w:t>
      </w:r>
      <w:r>
        <w:t>, New Zealand</w:t>
      </w:r>
    </w:p>
    <w:p w14:paraId="5E91B0D4" w14:textId="77777777" w:rsidR="00082CD6" w:rsidRPr="009C0F2D" w:rsidRDefault="00D863D0" w:rsidP="00082CD6">
      <w:pPr>
        <w:pStyle w:val="Imprint"/>
      </w:pPr>
      <w:r>
        <w:t>ISBN</w:t>
      </w:r>
      <w:r w:rsidR="00442C1C">
        <w:t xml:space="preserve">: </w:t>
      </w:r>
      <w:r w:rsidR="003F465A">
        <w:t>978-0-478-44880-1</w:t>
      </w:r>
      <w:r w:rsidR="00F10DA6">
        <w:t xml:space="preserve"> (online</w:t>
      </w:r>
      <w:proofErr w:type="gramStart"/>
      <w:r w:rsidR="00F10DA6">
        <w:t>)</w:t>
      </w:r>
      <w:proofErr w:type="gramEnd"/>
      <w:r w:rsidR="00082CD6">
        <w:br/>
      </w:r>
      <w:r w:rsidR="00082CD6" w:rsidRPr="009C0F2D">
        <w:t xml:space="preserve">HP </w:t>
      </w:r>
      <w:r w:rsidR="003F465A">
        <w:t>6260</w:t>
      </w:r>
    </w:p>
    <w:p w14:paraId="1639ADF4" w14:textId="77777777" w:rsidR="00C86248" w:rsidRDefault="00C86248">
      <w:pPr>
        <w:pStyle w:val="Imprint"/>
      </w:pPr>
      <w:r>
        <w:t xml:space="preserve">This document is available </w:t>
      </w:r>
      <w:r w:rsidR="0071741C">
        <w:t>at w</w:t>
      </w:r>
      <w:r>
        <w:t>ww.h</w:t>
      </w:r>
      <w:r w:rsidR="00A80363">
        <w:t>ealth</w:t>
      </w:r>
      <w:r>
        <w:t>.govt.nz</w:t>
      </w:r>
    </w:p>
    <w:p w14:paraId="3DD32390" w14:textId="77777777" w:rsidR="00C86248" w:rsidRPr="00B701D1" w:rsidRDefault="008C64C4">
      <w:pPr>
        <w:jc w:val="center"/>
      </w:pPr>
      <w:r>
        <w:rPr>
          <w:noProof/>
          <w:lang w:eastAsia="en-NZ"/>
        </w:rPr>
        <w:drawing>
          <wp:inline distT="0" distB="0" distL="0" distR="0" wp14:anchorId="133AEAE6" wp14:editId="565225FC">
            <wp:extent cx="1670685" cy="681355"/>
            <wp:effectExtent l="0" t="0" r="5715" b="4445"/>
            <wp:docPr id="2" name="Picture 2"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68080E72" w14:textId="77777777" w:rsidR="00C86248" w:rsidRDefault="00C86248">
      <w:pPr>
        <w:jc w:val="center"/>
        <w:sectPr w:rsidR="00C86248" w:rsidSect="003E6E7B">
          <w:footerReference w:type="even" r:id="rId12"/>
          <w:footerReference w:type="default" r:id="rId13"/>
          <w:pgSz w:w="11907" w:h="16834" w:code="9"/>
          <w:pgMar w:top="1701" w:right="1134" w:bottom="1134" w:left="1985" w:header="0" w:footer="0" w:gutter="0"/>
          <w:cols w:space="720"/>
          <w:vAlign w:val="bottom"/>
        </w:sectPr>
      </w:pPr>
    </w:p>
    <w:p w14:paraId="181F2207" w14:textId="77777777" w:rsidR="00C86248" w:rsidRDefault="00C86248">
      <w:pPr>
        <w:pStyle w:val="IntroHead"/>
      </w:pPr>
      <w:bookmarkStart w:id="1" w:name="_Toc405792991"/>
      <w:bookmarkStart w:id="2" w:name="_Toc405793224"/>
      <w:r>
        <w:lastRenderedPageBreak/>
        <w:t>Contents</w:t>
      </w:r>
      <w:bookmarkEnd w:id="1"/>
      <w:bookmarkEnd w:id="2"/>
    </w:p>
    <w:p w14:paraId="7D692E9F" w14:textId="77777777" w:rsidR="00F448E1"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F448E1">
        <w:rPr>
          <w:noProof/>
        </w:rPr>
        <w:t>Overview</w:t>
      </w:r>
      <w:r w:rsidR="00F448E1">
        <w:rPr>
          <w:noProof/>
        </w:rPr>
        <w:tab/>
      </w:r>
      <w:r w:rsidR="00F448E1">
        <w:rPr>
          <w:noProof/>
        </w:rPr>
        <w:fldChar w:fldCharType="begin"/>
      </w:r>
      <w:r w:rsidR="00F448E1">
        <w:rPr>
          <w:noProof/>
        </w:rPr>
        <w:instrText xml:space="preserve"> PAGEREF _Toc430084589 \h </w:instrText>
      </w:r>
      <w:r w:rsidR="00F448E1">
        <w:rPr>
          <w:noProof/>
        </w:rPr>
      </w:r>
      <w:r w:rsidR="00F448E1">
        <w:rPr>
          <w:noProof/>
        </w:rPr>
        <w:fldChar w:fldCharType="separate"/>
      </w:r>
      <w:r w:rsidR="00F448E1">
        <w:rPr>
          <w:noProof/>
        </w:rPr>
        <w:t>1</w:t>
      </w:r>
      <w:r w:rsidR="00F448E1">
        <w:rPr>
          <w:noProof/>
        </w:rPr>
        <w:fldChar w:fldCharType="end"/>
      </w:r>
    </w:p>
    <w:p w14:paraId="472E7FEC" w14:textId="77777777" w:rsidR="00F448E1" w:rsidRDefault="00F448E1">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_Toc430084590 \h </w:instrText>
      </w:r>
      <w:r>
        <w:rPr>
          <w:noProof/>
        </w:rPr>
      </w:r>
      <w:r>
        <w:rPr>
          <w:noProof/>
        </w:rPr>
        <w:fldChar w:fldCharType="separate"/>
      </w:r>
      <w:r>
        <w:rPr>
          <w:noProof/>
        </w:rPr>
        <w:t>1</w:t>
      </w:r>
      <w:r>
        <w:rPr>
          <w:noProof/>
        </w:rPr>
        <w:fldChar w:fldCharType="end"/>
      </w:r>
    </w:p>
    <w:p w14:paraId="5DEE6BCE" w14:textId="77777777" w:rsidR="00F448E1" w:rsidRDefault="00F448E1">
      <w:pPr>
        <w:pStyle w:val="TOC2"/>
        <w:rPr>
          <w:rFonts w:asciiTheme="minorHAnsi" w:eastAsiaTheme="minorEastAsia" w:hAnsiTheme="minorHAnsi" w:cstheme="minorBidi"/>
          <w:noProof/>
          <w:szCs w:val="22"/>
          <w:lang w:eastAsia="en-NZ"/>
        </w:rPr>
      </w:pPr>
      <w:r>
        <w:rPr>
          <w:noProof/>
        </w:rPr>
        <w:t>Strategic context</w:t>
      </w:r>
      <w:r>
        <w:rPr>
          <w:noProof/>
        </w:rPr>
        <w:tab/>
      </w:r>
      <w:r>
        <w:rPr>
          <w:noProof/>
        </w:rPr>
        <w:fldChar w:fldCharType="begin"/>
      </w:r>
      <w:r>
        <w:rPr>
          <w:noProof/>
        </w:rPr>
        <w:instrText xml:space="preserve"> PAGEREF _Toc430084591 \h </w:instrText>
      </w:r>
      <w:r>
        <w:rPr>
          <w:noProof/>
        </w:rPr>
      </w:r>
      <w:r>
        <w:rPr>
          <w:noProof/>
        </w:rPr>
        <w:fldChar w:fldCharType="separate"/>
      </w:r>
      <w:r>
        <w:rPr>
          <w:noProof/>
        </w:rPr>
        <w:t>1</w:t>
      </w:r>
      <w:r>
        <w:rPr>
          <w:noProof/>
        </w:rPr>
        <w:fldChar w:fldCharType="end"/>
      </w:r>
    </w:p>
    <w:p w14:paraId="1EAAAD55" w14:textId="77777777" w:rsidR="00F448E1" w:rsidRDefault="00F448E1">
      <w:pPr>
        <w:pStyle w:val="TOC2"/>
        <w:rPr>
          <w:rFonts w:asciiTheme="minorHAnsi" w:eastAsiaTheme="minorEastAsia" w:hAnsiTheme="minorHAnsi" w:cstheme="minorBidi"/>
          <w:noProof/>
          <w:szCs w:val="22"/>
          <w:lang w:eastAsia="en-NZ"/>
        </w:rPr>
      </w:pPr>
      <w:r>
        <w:rPr>
          <w:noProof/>
        </w:rPr>
        <w:t>Principles of programme delivery</w:t>
      </w:r>
      <w:r>
        <w:rPr>
          <w:noProof/>
        </w:rPr>
        <w:tab/>
      </w:r>
      <w:r>
        <w:rPr>
          <w:noProof/>
        </w:rPr>
        <w:fldChar w:fldCharType="begin"/>
      </w:r>
      <w:r>
        <w:rPr>
          <w:noProof/>
        </w:rPr>
        <w:instrText xml:space="preserve"> PAGEREF _Toc430084592 \h </w:instrText>
      </w:r>
      <w:r>
        <w:rPr>
          <w:noProof/>
        </w:rPr>
      </w:r>
      <w:r>
        <w:rPr>
          <w:noProof/>
        </w:rPr>
        <w:fldChar w:fldCharType="separate"/>
      </w:r>
      <w:r>
        <w:rPr>
          <w:noProof/>
        </w:rPr>
        <w:t>2</w:t>
      </w:r>
      <w:r>
        <w:rPr>
          <w:noProof/>
        </w:rPr>
        <w:fldChar w:fldCharType="end"/>
      </w:r>
    </w:p>
    <w:p w14:paraId="14C85426" w14:textId="77777777" w:rsidR="00F448E1" w:rsidRDefault="00F448E1">
      <w:pPr>
        <w:pStyle w:val="TOC2"/>
        <w:rPr>
          <w:rFonts w:asciiTheme="minorHAnsi" w:eastAsiaTheme="minorEastAsia" w:hAnsiTheme="minorHAnsi" w:cstheme="minorBidi"/>
          <w:noProof/>
          <w:szCs w:val="22"/>
          <w:lang w:eastAsia="en-NZ"/>
        </w:rPr>
      </w:pPr>
      <w:r>
        <w:rPr>
          <w:noProof/>
        </w:rPr>
        <w:t>New areas of focus</w:t>
      </w:r>
      <w:r>
        <w:rPr>
          <w:noProof/>
        </w:rPr>
        <w:tab/>
      </w:r>
      <w:r>
        <w:rPr>
          <w:noProof/>
        </w:rPr>
        <w:fldChar w:fldCharType="begin"/>
      </w:r>
      <w:r>
        <w:rPr>
          <w:noProof/>
        </w:rPr>
        <w:instrText xml:space="preserve"> PAGEREF _Toc430084593 \h </w:instrText>
      </w:r>
      <w:r>
        <w:rPr>
          <w:noProof/>
        </w:rPr>
      </w:r>
      <w:r>
        <w:rPr>
          <w:noProof/>
        </w:rPr>
        <w:fldChar w:fldCharType="separate"/>
      </w:r>
      <w:r>
        <w:rPr>
          <w:noProof/>
        </w:rPr>
        <w:t>2</w:t>
      </w:r>
      <w:r>
        <w:rPr>
          <w:noProof/>
        </w:rPr>
        <w:fldChar w:fldCharType="end"/>
      </w:r>
    </w:p>
    <w:p w14:paraId="6450E71B" w14:textId="77777777" w:rsidR="00F448E1" w:rsidRDefault="00F448E1">
      <w:pPr>
        <w:pStyle w:val="TOC1"/>
        <w:rPr>
          <w:rFonts w:asciiTheme="minorHAnsi" w:eastAsiaTheme="minorEastAsia" w:hAnsiTheme="minorHAnsi" w:cstheme="minorBidi"/>
          <w:b w:val="0"/>
          <w:noProof/>
          <w:szCs w:val="22"/>
          <w:lang w:eastAsia="en-NZ"/>
        </w:rPr>
      </w:pPr>
      <w:r>
        <w:rPr>
          <w:noProof/>
        </w:rPr>
        <w:t>National Cancer Programme for 2015/16</w:t>
      </w:r>
      <w:r>
        <w:rPr>
          <w:noProof/>
        </w:rPr>
        <w:tab/>
      </w:r>
      <w:r>
        <w:rPr>
          <w:noProof/>
        </w:rPr>
        <w:fldChar w:fldCharType="begin"/>
      </w:r>
      <w:r>
        <w:rPr>
          <w:noProof/>
        </w:rPr>
        <w:instrText xml:space="preserve"> PAGEREF _Toc430084598 \h </w:instrText>
      </w:r>
      <w:r>
        <w:rPr>
          <w:noProof/>
        </w:rPr>
      </w:r>
      <w:r>
        <w:rPr>
          <w:noProof/>
        </w:rPr>
        <w:fldChar w:fldCharType="separate"/>
      </w:r>
      <w:r>
        <w:rPr>
          <w:noProof/>
        </w:rPr>
        <w:t>5</w:t>
      </w:r>
      <w:r>
        <w:rPr>
          <w:noProof/>
        </w:rPr>
        <w:fldChar w:fldCharType="end"/>
      </w:r>
    </w:p>
    <w:p w14:paraId="0EBEE495" w14:textId="77777777" w:rsidR="00F448E1" w:rsidRDefault="00F448E1">
      <w:pPr>
        <w:pStyle w:val="TOC2"/>
        <w:rPr>
          <w:rFonts w:asciiTheme="minorHAnsi" w:eastAsiaTheme="minorEastAsia" w:hAnsiTheme="minorHAnsi" w:cstheme="minorBidi"/>
          <w:noProof/>
          <w:szCs w:val="22"/>
          <w:lang w:eastAsia="en-NZ"/>
        </w:rPr>
      </w:pPr>
      <w:r>
        <w:rPr>
          <w:noProof/>
        </w:rPr>
        <w:t>Key work plan initiatives</w:t>
      </w:r>
      <w:r>
        <w:rPr>
          <w:noProof/>
        </w:rPr>
        <w:tab/>
      </w:r>
      <w:r>
        <w:rPr>
          <w:noProof/>
        </w:rPr>
        <w:fldChar w:fldCharType="begin"/>
      </w:r>
      <w:r>
        <w:rPr>
          <w:noProof/>
        </w:rPr>
        <w:instrText xml:space="preserve"> PAGEREF _Toc430084599 \h </w:instrText>
      </w:r>
      <w:r>
        <w:rPr>
          <w:noProof/>
        </w:rPr>
      </w:r>
      <w:r>
        <w:rPr>
          <w:noProof/>
        </w:rPr>
        <w:fldChar w:fldCharType="separate"/>
      </w:r>
      <w:r>
        <w:rPr>
          <w:noProof/>
        </w:rPr>
        <w:t>5</w:t>
      </w:r>
      <w:r>
        <w:rPr>
          <w:noProof/>
        </w:rPr>
        <w:fldChar w:fldCharType="end"/>
      </w:r>
    </w:p>
    <w:p w14:paraId="4C53DF93" w14:textId="77777777" w:rsidR="00F448E1" w:rsidRDefault="00F448E1">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_Toc430084600 \h </w:instrText>
      </w:r>
      <w:r>
        <w:rPr>
          <w:noProof/>
        </w:rPr>
      </w:r>
      <w:r>
        <w:rPr>
          <w:noProof/>
        </w:rPr>
        <w:fldChar w:fldCharType="separate"/>
      </w:r>
      <w:r>
        <w:rPr>
          <w:noProof/>
        </w:rPr>
        <w:t>10</w:t>
      </w:r>
      <w:r>
        <w:rPr>
          <w:noProof/>
        </w:rPr>
        <w:fldChar w:fldCharType="end"/>
      </w:r>
    </w:p>
    <w:p w14:paraId="59313C30" w14:textId="77777777" w:rsidR="00C86248" w:rsidRDefault="00C86248">
      <w:r>
        <w:rPr>
          <w:b/>
        </w:rPr>
        <w:fldChar w:fldCharType="end"/>
      </w:r>
    </w:p>
    <w:p w14:paraId="50DEEC8E" w14:textId="77777777" w:rsidR="00C86248" w:rsidRDefault="00C86248" w:rsidP="0086388B"/>
    <w:p w14:paraId="1325EBBD" w14:textId="77777777" w:rsidR="00C86248" w:rsidRDefault="00C86248">
      <w:pPr>
        <w:sectPr w:rsidR="00C86248" w:rsidSect="003E6E7B">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14:paraId="30D17792" w14:textId="77777777" w:rsidR="008C2973" w:rsidRDefault="00A57148" w:rsidP="0086388B">
      <w:pPr>
        <w:pStyle w:val="Heading1"/>
      </w:pPr>
      <w:bookmarkStart w:id="3" w:name="_Toc430084589"/>
      <w:r>
        <w:lastRenderedPageBreak/>
        <w:t>Overview</w:t>
      </w:r>
      <w:bookmarkEnd w:id="3"/>
    </w:p>
    <w:p w14:paraId="6EE4E192" w14:textId="77777777" w:rsidR="0086388B" w:rsidRDefault="00A57148" w:rsidP="00E76D66">
      <w:pPr>
        <w:pStyle w:val="Heading2"/>
      </w:pPr>
      <w:bookmarkStart w:id="4" w:name="_Toc430084590"/>
      <w:r>
        <w:t>Introduction</w:t>
      </w:r>
      <w:bookmarkEnd w:id="4"/>
    </w:p>
    <w:p w14:paraId="5DAE8D75" w14:textId="77777777" w:rsidR="00F40DF5" w:rsidRDefault="00F40DF5" w:rsidP="00A45EC9">
      <w:r>
        <w:t>The National Cancer Programme brings together the work of the district health boards (DHBs), regional cancer networks and the Ministry of Health (the Ministry) to implement the Government</w:t>
      </w:r>
      <w:r w:rsidR="00A45EC9">
        <w:t>’</w:t>
      </w:r>
      <w:r>
        <w:t>s priorities for cancer.</w:t>
      </w:r>
    </w:p>
    <w:p w14:paraId="0C759F3E" w14:textId="77777777" w:rsidR="00F40DF5" w:rsidRDefault="00F40DF5" w:rsidP="00A45EC9"/>
    <w:p w14:paraId="176AC9EB" w14:textId="77777777" w:rsidR="00F40DF5" w:rsidRDefault="00F40DF5" w:rsidP="00A45EC9">
      <w:r>
        <w:t xml:space="preserve">This </w:t>
      </w:r>
      <w:r w:rsidRPr="00AB5612">
        <w:rPr>
          <w:b/>
        </w:rPr>
        <w:t>high-level</w:t>
      </w:r>
      <w:r>
        <w:t xml:space="preserve"> work plan for 201</w:t>
      </w:r>
      <w:r w:rsidR="00EC4625">
        <w:t>5</w:t>
      </w:r>
      <w:r>
        <w:t>/1</w:t>
      </w:r>
      <w:r w:rsidR="00EC4625">
        <w:t>6</w:t>
      </w:r>
      <w:r>
        <w:t xml:space="preserve"> covers </w:t>
      </w:r>
      <w:r w:rsidRPr="00E3486B">
        <w:rPr>
          <w:b/>
        </w:rPr>
        <w:t>national</w:t>
      </w:r>
      <w:r>
        <w:t xml:space="preserve">, </w:t>
      </w:r>
      <w:r w:rsidRPr="00E3486B">
        <w:rPr>
          <w:b/>
        </w:rPr>
        <w:t>regional</w:t>
      </w:r>
      <w:r>
        <w:t xml:space="preserve"> and </w:t>
      </w:r>
      <w:r w:rsidRPr="00E3486B">
        <w:rPr>
          <w:b/>
        </w:rPr>
        <w:t>local</w:t>
      </w:r>
      <w:r>
        <w:t xml:space="preserve"> priority activities.</w:t>
      </w:r>
      <w:r w:rsidR="00A45EC9">
        <w:t xml:space="preserve"> </w:t>
      </w:r>
      <w:r>
        <w:t>The DHBs</w:t>
      </w:r>
      <w:r w:rsidR="00A45EC9">
        <w:t>’</w:t>
      </w:r>
      <w:r>
        <w:t xml:space="preserve"> annual plans, the regional cancer networks</w:t>
      </w:r>
      <w:r w:rsidR="00A45EC9">
        <w:t>’</w:t>
      </w:r>
      <w:r>
        <w:t xml:space="preserve"> annual work plans and the Ministry</w:t>
      </w:r>
      <w:r w:rsidR="00A45EC9">
        <w:t>’</w:t>
      </w:r>
      <w:r>
        <w:t>s business plans all provide more specific detail on the work that each of these groups is leading.</w:t>
      </w:r>
    </w:p>
    <w:p w14:paraId="76D0FF47" w14:textId="77777777" w:rsidR="00F40DF5" w:rsidRDefault="00F40DF5" w:rsidP="00A45EC9"/>
    <w:p w14:paraId="4ADE4EDD" w14:textId="77777777" w:rsidR="00F40DF5" w:rsidRDefault="00F40DF5" w:rsidP="00A45EC9">
      <w:r>
        <w:t>The National Cancer Programme is an integrated programme of work</w:t>
      </w:r>
      <w:r w:rsidR="003A74AE">
        <w:t xml:space="preserve"> with a strong consumer focus</w:t>
      </w:r>
      <w:r w:rsidR="00A45EC9">
        <w:t>.</w:t>
      </w:r>
      <w:r w:rsidRPr="00A45EC9">
        <w:rPr>
          <w:rStyle w:val="FootnoteReference"/>
        </w:rPr>
        <w:footnoteReference w:id="1"/>
      </w:r>
      <w:r w:rsidR="00A45EC9">
        <w:t xml:space="preserve"> </w:t>
      </w:r>
      <w:r>
        <w:t>There are established links with initiatives being led by the National Health Board, Health Workforce New Zealand and the National Health IT Board to:</w:t>
      </w:r>
    </w:p>
    <w:p w14:paraId="4D8448BB" w14:textId="77777777" w:rsidR="00F40DF5" w:rsidRDefault="00F40DF5" w:rsidP="00A45EC9">
      <w:pPr>
        <w:pStyle w:val="Bullet"/>
      </w:pPr>
      <w:r>
        <w:t>improve the coordination of health sector planning</w:t>
      </w:r>
      <w:r w:rsidR="002E1589">
        <w:t xml:space="preserve"> and service delivery</w:t>
      </w:r>
    </w:p>
    <w:p w14:paraId="66E6FC9B" w14:textId="77777777" w:rsidR="00F40DF5" w:rsidRDefault="00F40DF5" w:rsidP="00A45EC9">
      <w:pPr>
        <w:pStyle w:val="Bullet"/>
      </w:pPr>
      <w:proofErr w:type="gramStart"/>
      <w:r>
        <w:t>achieve</w:t>
      </w:r>
      <w:proofErr w:type="gramEnd"/>
      <w:r>
        <w:t xml:space="preserve"> the National Cancer Programme priorities.</w:t>
      </w:r>
    </w:p>
    <w:p w14:paraId="4675BBDF" w14:textId="77777777" w:rsidR="00F40DF5" w:rsidRDefault="00F40DF5" w:rsidP="00A45EC9"/>
    <w:p w14:paraId="2DB533A1" w14:textId="77777777" w:rsidR="00F40DF5" w:rsidRDefault="00F40DF5" w:rsidP="00A45EC9">
      <w:pPr>
        <w:pStyle w:val="Heading2"/>
      </w:pPr>
      <w:bookmarkStart w:id="5" w:name="_Toc367346590"/>
      <w:bookmarkStart w:id="6" w:name="_Toc364150514"/>
      <w:bookmarkStart w:id="7" w:name="_Toc430084591"/>
      <w:r>
        <w:t>Strategic context</w:t>
      </w:r>
      <w:bookmarkEnd w:id="5"/>
      <w:bookmarkEnd w:id="6"/>
      <w:bookmarkEnd w:id="7"/>
    </w:p>
    <w:p w14:paraId="1B8A6442" w14:textId="77777777" w:rsidR="009F3406" w:rsidRPr="009F3406" w:rsidRDefault="009F3406" w:rsidP="009F3406">
      <w:pPr>
        <w:spacing w:after="120"/>
        <w:rPr>
          <w:b/>
        </w:rPr>
      </w:pPr>
      <w:r w:rsidRPr="009F3406">
        <w:rPr>
          <w:b/>
          <w:sz w:val="28"/>
          <w:szCs w:val="28"/>
        </w:rPr>
        <w:t>The New Zealand Cancer Plan 2015</w:t>
      </w:r>
      <w:r w:rsidR="00F448E1">
        <w:rPr>
          <w:b/>
          <w:sz w:val="28"/>
          <w:szCs w:val="28"/>
        </w:rPr>
        <w:t>–</w:t>
      </w:r>
      <w:r w:rsidRPr="009F3406">
        <w:rPr>
          <w:b/>
          <w:sz w:val="28"/>
          <w:szCs w:val="28"/>
        </w:rPr>
        <w:t>2018</w:t>
      </w:r>
    </w:p>
    <w:p w14:paraId="2734F75E" w14:textId="77777777" w:rsidR="002E1589" w:rsidRDefault="009F3406" w:rsidP="002E1589">
      <w:r w:rsidRPr="00F81626">
        <w:t xml:space="preserve">The </w:t>
      </w:r>
      <w:r w:rsidRPr="00F81626">
        <w:rPr>
          <w:i/>
        </w:rPr>
        <w:t>New Zealand Cancer Plan</w:t>
      </w:r>
      <w:r w:rsidR="00F448E1" w:rsidRPr="00F81626">
        <w:rPr>
          <w:i/>
        </w:rPr>
        <w:t>: Better, faster cancer care</w:t>
      </w:r>
      <w:r w:rsidRPr="00F81626">
        <w:rPr>
          <w:i/>
        </w:rPr>
        <w:t xml:space="preserve"> 2015</w:t>
      </w:r>
      <w:r w:rsidR="00F448E1" w:rsidRPr="00F81626">
        <w:rPr>
          <w:i/>
        </w:rPr>
        <w:t>–</w:t>
      </w:r>
      <w:r w:rsidRPr="00F81626">
        <w:rPr>
          <w:i/>
        </w:rPr>
        <w:t>2018</w:t>
      </w:r>
      <w:r>
        <w:t xml:space="preserve"> (Ministry of Health 2014</w:t>
      </w:r>
      <w:r w:rsidR="00F448E1">
        <w:t>a</w:t>
      </w:r>
      <w:r>
        <w:t xml:space="preserve">) </w:t>
      </w:r>
      <w:r w:rsidR="0088351A">
        <w:t xml:space="preserve">provides an </w:t>
      </w:r>
      <w:r w:rsidR="002E1589">
        <w:t>overview</w:t>
      </w:r>
      <w:r w:rsidR="0088351A">
        <w:t xml:space="preserve"> of all the activities that are currently </w:t>
      </w:r>
      <w:r w:rsidR="0088351A" w:rsidRPr="00821DC5">
        <w:t xml:space="preserve">underway </w:t>
      </w:r>
      <w:r w:rsidR="0088351A">
        <w:t xml:space="preserve">in the broader cancer sector to improve cancer-related outcomes for all New Zealanders; and identifies what more needs to be done over the </w:t>
      </w:r>
      <w:r w:rsidR="0088351A" w:rsidRPr="00821DC5">
        <w:t>next three years</w:t>
      </w:r>
      <w:r w:rsidR="00F448E1">
        <w:t xml:space="preserve">. </w:t>
      </w:r>
      <w:r w:rsidR="008E0166">
        <w:t>Its vision</w:t>
      </w:r>
      <w:r w:rsidR="002E1589">
        <w:t xml:space="preserve"> is </w:t>
      </w:r>
      <w:r w:rsidR="00F448E1">
        <w:t>for</w:t>
      </w:r>
      <w:r w:rsidR="002E1589">
        <w:rPr>
          <w:b/>
        </w:rPr>
        <w:t xml:space="preserve"> </w:t>
      </w:r>
      <w:r w:rsidR="002E1589" w:rsidRPr="00BB728C">
        <w:t xml:space="preserve">all people </w:t>
      </w:r>
      <w:r w:rsidR="00F448E1">
        <w:t xml:space="preserve">to </w:t>
      </w:r>
      <w:r w:rsidR="002E1589" w:rsidRPr="00BB728C">
        <w:t>have timely access to excellent cancer services that will enable them to live better and longer</w:t>
      </w:r>
      <w:r w:rsidR="002E1589">
        <w:t xml:space="preserve">.  </w:t>
      </w:r>
    </w:p>
    <w:p w14:paraId="36029E40" w14:textId="77777777" w:rsidR="0088351A" w:rsidRPr="009F3406" w:rsidRDefault="0088351A" w:rsidP="009F3406"/>
    <w:p w14:paraId="1D7DD392" w14:textId="77777777" w:rsidR="002E1589" w:rsidRDefault="009F3406" w:rsidP="00A45EC9">
      <w:r w:rsidRPr="009F3406">
        <w:t>T</w:t>
      </w:r>
      <w:r w:rsidR="004D7511" w:rsidRPr="009F3406">
        <w:t>h</w:t>
      </w:r>
      <w:r w:rsidR="002E1589">
        <w:t>is</w:t>
      </w:r>
      <w:r w:rsidR="004D7511" w:rsidRPr="009F3406">
        <w:t xml:space="preserve"> National Cancer Programme work plan outlines selected activities</w:t>
      </w:r>
      <w:r w:rsidR="002E1589">
        <w:t xml:space="preserve"> that will be undertaken in</w:t>
      </w:r>
      <w:r w:rsidR="004D7511" w:rsidRPr="009F3406">
        <w:t xml:space="preserve"> 2015/16 that will </w:t>
      </w:r>
      <w:r w:rsidRPr="009F3406">
        <w:t xml:space="preserve">contribute to </w:t>
      </w:r>
      <w:r w:rsidR="002E1589">
        <w:t xml:space="preserve">implementing </w:t>
      </w:r>
      <w:r>
        <w:t xml:space="preserve">the </w:t>
      </w:r>
      <w:r w:rsidRPr="009F3406">
        <w:t>New Zealand Cancer</w:t>
      </w:r>
      <w:r>
        <w:t xml:space="preserve"> Plan</w:t>
      </w:r>
      <w:r w:rsidR="002E1589">
        <w:t>.</w:t>
      </w:r>
    </w:p>
    <w:p w14:paraId="7F2A451A" w14:textId="77777777" w:rsidR="002E1589" w:rsidRDefault="002E1589" w:rsidP="00A45EC9"/>
    <w:p w14:paraId="13A9F813" w14:textId="77777777" w:rsidR="00A45EC9" w:rsidRPr="0042320A" w:rsidRDefault="0088351A" w:rsidP="0088351A">
      <w:pPr>
        <w:jc w:val="center"/>
      </w:pPr>
      <w:r>
        <w:rPr>
          <w:noProof/>
          <w:lang w:eastAsia="en-NZ"/>
        </w:rPr>
        <w:drawing>
          <wp:inline distT="0" distB="0" distL="0" distR="0" wp14:anchorId="288829BD" wp14:editId="0AB5EE70">
            <wp:extent cx="4962525" cy="2324100"/>
            <wp:effectExtent l="0" t="0" r="9525" b="0"/>
            <wp:docPr id="5" name="Picture 5" descr="Better faster cancer care" title="Better faster cancer care"/>
            <wp:cNvGraphicFramePr/>
            <a:graphic xmlns:a="http://schemas.openxmlformats.org/drawingml/2006/main">
              <a:graphicData uri="http://schemas.openxmlformats.org/drawingml/2006/picture">
                <pic:pic xmlns:pic="http://schemas.openxmlformats.org/drawingml/2006/picture">
                  <pic:nvPicPr>
                    <pic:cNvPr id="5" name="Picture 5" descr="Better faster cancer care" title="Better faster cancer care"/>
                    <pic:cNvPicPr/>
                  </pic:nvPicPr>
                  <pic:blipFill>
                    <a:blip r:embed="rId18">
                      <a:grayscl/>
                    </a:blip>
                    <a:stretch>
                      <a:fillRect/>
                    </a:stretch>
                  </pic:blipFill>
                  <pic:spPr>
                    <a:xfrm>
                      <a:off x="0" y="0"/>
                      <a:ext cx="4962525" cy="2324100"/>
                    </a:xfrm>
                    <a:prstGeom prst="rect">
                      <a:avLst/>
                    </a:prstGeom>
                  </pic:spPr>
                </pic:pic>
              </a:graphicData>
            </a:graphic>
          </wp:inline>
        </w:drawing>
      </w:r>
    </w:p>
    <w:p w14:paraId="7A9EADAA" w14:textId="77777777" w:rsidR="009F3406" w:rsidRDefault="009F3406" w:rsidP="009F3406">
      <w:pPr>
        <w:keepNext/>
        <w:spacing w:after="240"/>
        <w:rPr>
          <w:b/>
        </w:rPr>
      </w:pPr>
      <w:r>
        <w:rPr>
          <w:b/>
          <w:sz w:val="28"/>
          <w:szCs w:val="28"/>
        </w:rPr>
        <w:lastRenderedPageBreak/>
        <w:t>The F</w:t>
      </w:r>
      <w:r w:rsidRPr="009F3406">
        <w:rPr>
          <w:b/>
          <w:sz w:val="28"/>
          <w:szCs w:val="28"/>
        </w:rPr>
        <w:t xml:space="preserve">aster </w:t>
      </w:r>
      <w:r w:rsidR="00F448E1">
        <w:rPr>
          <w:b/>
          <w:sz w:val="28"/>
          <w:szCs w:val="28"/>
        </w:rPr>
        <w:t>C</w:t>
      </w:r>
      <w:r w:rsidRPr="009F3406">
        <w:rPr>
          <w:b/>
          <w:sz w:val="28"/>
          <w:szCs w:val="28"/>
        </w:rPr>
        <w:t xml:space="preserve">ancer </w:t>
      </w:r>
      <w:r w:rsidR="00F448E1">
        <w:rPr>
          <w:b/>
          <w:sz w:val="28"/>
          <w:szCs w:val="28"/>
        </w:rPr>
        <w:t>T</w:t>
      </w:r>
      <w:r w:rsidRPr="009F3406">
        <w:rPr>
          <w:b/>
          <w:sz w:val="28"/>
          <w:szCs w:val="28"/>
        </w:rPr>
        <w:t>reatment programme</w:t>
      </w:r>
    </w:p>
    <w:p w14:paraId="34795EE0" w14:textId="77777777" w:rsidR="00F40DF5" w:rsidRDefault="00F40DF5" w:rsidP="00A45EC9">
      <w:pPr>
        <w:keepNext/>
      </w:pPr>
      <w:r w:rsidRPr="0042320A">
        <w:rPr>
          <w:b/>
        </w:rPr>
        <w:t xml:space="preserve">The Faster </w:t>
      </w:r>
      <w:r w:rsidR="00F448E1">
        <w:rPr>
          <w:b/>
        </w:rPr>
        <w:t>C</w:t>
      </w:r>
      <w:r w:rsidRPr="0042320A">
        <w:rPr>
          <w:b/>
        </w:rPr>
        <w:t xml:space="preserve">ancer </w:t>
      </w:r>
      <w:r w:rsidR="00F448E1">
        <w:rPr>
          <w:b/>
        </w:rPr>
        <w:t>T</w:t>
      </w:r>
      <w:r w:rsidRPr="0042320A">
        <w:rPr>
          <w:b/>
        </w:rPr>
        <w:t>reatment</w:t>
      </w:r>
      <w:r>
        <w:rPr>
          <w:b/>
        </w:rPr>
        <w:t xml:space="preserve"> (FCT)</w:t>
      </w:r>
      <w:r>
        <w:t xml:space="preserve"> programme is a key focus of the National Cancer Programme and </w:t>
      </w:r>
      <w:r w:rsidRPr="00625BA3">
        <w:t>is designed to reduce waiting times for appointments, tests and treatment</w:t>
      </w:r>
      <w:r w:rsidR="002E1589">
        <w:t>;</w:t>
      </w:r>
      <w:r w:rsidRPr="00625BA3">
        <w:t xml:space="preserve"> and standardise care pathways for all patients.</w:t>
      </w:r>
      <w:r w:rsidR="00A45EC9">
        <w:t xml:space="preserve"> </w:t>
      </w:r>
      <w:r>
        <w:t>Implementation activities include:</w:t>
      </w:r>
    </w:p>
    <w:p w14:paraId="2F3984A1" w14:textId="77777777" w:rsidR="00A45EC9" w:rsidRDefault="004D7511" w:rsidP="00A45EC9">
      <w:pPr>
        <w:pStyle w:val="Bullet"/>
      </w:pPr>
      <w:r>
        <w:t>service reviews against the</w:t>
      </w:r>
      <w:r w:rsidR="00F40DF5" w:rsidRPr="00854E1F">
        <w:t xml:space="preserve"> </w:t>
      </w:r>
      <w:r w:rsidR="002E1589">
        <w:t xml:space="preserve">provisional </w:t>
      </w:r>
      <w:r w:rsidR="00F40DF5" w:rsidRPr="00854E1F">
        <w:rPr>
          <w:i/>
        </w:rPr>
        <w:t>national tumour standards</w:t>
      </w:r>
      <w:r w:rsidR="00F40DF5" w:rsidRPr="00854E1F">
        <w:t xml:space="preserve"> </w:t>
      </w:r>
      <w:r w:rsidR="00F40DF5" w:rsidRPr="002E1589">
        <w:rPr>
          <w:i/>
        </w:rPr>
        <w:t>of service provision</w:t>
      </w:r>
      <w:r w:rsidR="00F40DF5" w:rsidRPr="00854E1F">
        <w:t xml:space="preserve"> for </w:t>
      </w:r>
      <w:r>
        <w:t>eleven</w:t>
      </w:r>
      <w:r w:rsidRPr="00854E1F">
        <w:t xml:space="preserve"> </w:t>
      </w:r>
      <w:r w:rsidR="00F40DF5" w:rsidRPr="00854E1F">
        <w:t>main tumour types</w:t>
      </w:r>
    </w:p>
    <w:p w14:paraId="4CA1D261" w14:textId="77777777" w:rsidR="00F40DF5" w:rsidRPr="00854E1F" w:rsidRDefault="00F40DF5" w:rsidP="00A45EC9">
      <w:pPr>
        <w:pStyle w:val="Bullet"/>
      </w:pPr>
      <w:r>
        <w:t>disseminating</w:t>
      </w:r>
      <w:r w:rsidRPr="00854E1F">
        <w:t xml:space="preserve"> </w:t>
      </w:r>
      <w:r w:rsidRPr="00854E1F">
        <w:rPr>
          <w:i/>
        </w:rPr>
        <w:t>service improvement fund</w:t>
      </w:r>
      <w:r>
        <w:rPr>
          <w:i/>
        </w:rPr>
        <w:t>ing</w:t>
      </w:r>
      <w:r w:rsidRPr="00854E1F">
        <w:t xml:space="preserve"> of $11.2 million over </w:t>
      </w:r>
      <w:r w:rsidR="004D7511">
        <w:t>five</w:t>
      </w:r>
      <w:r w:rsidR="004D7511" w:rsidRPr="00854E1F">
        <w:t xml:space="preserve"> </w:t>
      </w:r>
      <w:r w:rsidRPr="00854E1F">
        <w:t>years to support DHBs to improve cancer treatment pathways</w:t>
      </w:r>
    </w:p>
    <w:p w14:paraId="7710AE6C" w14:textId="77777777" w:rsidR="00F40DF5" w:rsidRPr="00854E1F" w:rsidRDefault="00F40DF5" w:rsidP="00A45EC9">
      <w:pPr>
        <w:pStyle w:val="Bullet"/>
      </w:pPr>
      <w:r w:rsidRPr="00854E1F">
        <w:rPr>
          <w:i/>
        </w:rPr>
        <w:t>improving the coverage and functionality of multidisciplinary meetings</w:t>
      </w:r>
      <w:r w:rsidRPr="00854E1F">
        <w:t xml:space="preserve"> so that more patients benefit from a range of expert opinion </w:t>
      </w:r>
    </w:p>
    <w:p w14:paraId="5600679C" w14:textId="77777777" w:rsidR="00F40DF5" w:rsidRDefault="00F40DF5" w:rsidP="00A45EC9">
      <w:pPr>
        <w:pStyle w:val="Bullet"/>
        <w:rPr>
          <w:rFonts w:eastAsia="Calibri"/>
          <w:lang w:eastAsia="en-US"/>
        </w:rPr>
      </w:pPr>
      <w:r w:rsidRPr="00854E1F">
        <w:t>implementing</w:t>
      </w:r>
      <w:r w:rsidR="00EC4625">
        <w:t xml:space="preserve"> the </w:t>
      </w:r>
      <w:r w:rsidR="00EC4625" w:rsidRPr="00EC4625">
        <w:rPr>
          <w:i/>
        </w:rPr>
        <w:t>Psychological and Social Support Workforce</w:t>
      </w:r>
      <w:r w:rsidR="00F448E1">
        <w:t xml:space="preserve"> </w:t>
      </w:r>
      <w:r w:rsidR="00EC4625">
        <w:t xml:space="preserve">and </w:t>
      </w:r>
      <w:r w:rsidRPr="00854E1F">
        <w:rPr>
          <w:rFonts w:eastAsia="Calibri"/>
          <w:i/>
          <w:lang w:eastAsia="en-US"/>
        </w:rPr>
        <w:t xml:space="preserve">Cancer Nurse Coordinator </w:t>
      </w:r>
      <w:r w:rsidR="00EC4625">
        <w:rPr>
          <w:rFonts w:eastAsia="Calibri"/>
          <w:lang w:eastAsia="en-US"/>
        </w:rPr>
        <w:t>i</w:t>
      </w:r>
      <w:r w:rsidRPr="00EC4625">
        <w:rPr>
          <w:rFonts w:eastAsia="Calibri"/>
          <w:lang w:eastAsia="en-US"/>
        </w:rPr>
        <w:t>nitiative</w:t>
      </w:r>
      <w:r w:rsidR="00EC4625">
        <w:rPr>
          <w:rFonts w:eastAsia="Calibri"/>
          <w:lang w:eastAsia="en-US"/>
        </w:rPr>
        <w:t>s</w:t>
      </w:r>
      <w:r w:rsidRPr="00854E1F">
        <w:rPr>
          <w:rFonts w:eastAsia="Calibri"/>
          <w:i/>
          <w:lang w:eastAsia="en-US"/>
        </w:rPr>
        <w:t xml:space="preserve"> </w:t>
      </w:r>
      <w:r w:rsidRPr="00854E1F">
        <w:rPr>
          <w:rFonts w:eastAsia="Calibri"/>
          <w:lang w:eastAsia="en-US"/>
        </w:rPr>
        <w:t>so that patients are better suppo</w:t>
      </w:r>
      <w:r w:rsidR="002E1589">
        <w:rPr>
          <w:rFonts w:eastAsia="Calibri"/>
          <w:lang w:eastAsia="en-US"/>
        </w:rPr>
        <w:t>rted in their treatment pathway</w:t>
      </w:r>
    </w:p>
    <w:p w14:paraId="6893A79B" w14:textId="77777777" w:rsidR="002E1589" w:rsidRDefault="002E1589" w:rsidP="00A45EC9">
      <w:pPr>
        <w:pStyle w:val="Bullet"/>
        <w:rPr>
          <w:rFonts w:eastAsia="Calibri"/>
          <w:lang w:eastAsia="en-US"/>
        </w:rPr>
      </w:pPr>
      <w:proofErr w:type="gramStart"/>
      <w:r>
        <w:rPr>
          <w:rFonts w:eastAsia="Calibri"/>
          <w:lang w:eastAsia="en-US"/>
        </w:rPr>
        <w:t>supporting</w:t>
      </w:r>
      <w:proofErr w:type="gramEnd"/>
      <w:r>
        <w:rPr>
          <w:rFonts w:eastAsia="Calibri"/>
          <w:lang w:eastAsia="en-US"/>
        </w:rPr>
        <w:t xml:space="preserve"> </w:t>
      </w:r>
      <w:r w:rsidRPr="00A71E1A">
        <w:rPr>
          <w:rFonts w:eastAsia="Calibri"/>
          <w:i/>
          <w:lang w:eastAsia="en-US"/>
        </w:rPr>
        <w:t>quality clinical decision</w:t>
      </w:r>
      <w:r w:rsidR="00F448E1">
        <w:rPr>
          <w:rFonts w:eastAsia="Calibri"/>
          <w:i/>
          <w:lang w:eastAsia="en-US"/>
        </w:rPr>
        <w:t>-</w:t>
      </w:r>
      <w:r w:rsidRPr="00A71E1A">
        <w:rPr>
          <w:rFonts w:eastAsia="Calibri"/>
          <w:i/>
          <w:lang w:eastAsia="en-US"/>
        </w:rPr>
        <w:t>making</w:t>
      </w:r>
      <w:r>
        <w:rPr>
          <w:rFonts w:eastAsia="Calibri"/>
          <w:lang w:eastAsia="en-US"/>
        </w:rPr>
        <w:t>, including the development and implementation of a Cancer Health Information Strategy.</w:t>
      </w:r>
    </w:p>
    <w:p w14:paraId="0391E0A5" w14:textId="77777777" w:rsidR="00F40DF5" w:rsidRPr="00854E1F" w:rsidRDefault="00F40DF5" w:rsidP="00A45EC9">
      <w:pPr>
        <w:rPr>
          <w:rFonts w:eastAsia="Calibri"/>
          <w:lang w:eastAsia="en-US"/>
        </w:rPr>
      </w:pPr>
    </w:p>
    <w:p w14:paraId="0E63CCAC" w14:textId="77777777" w:rsidR="00A45EC9" w:rsidRDefault="00F40DF5" w:rsidP="00A45EC9">
      <w:r w:rsidRPr="0042320A">
        <w:rPr>
          <w:b/>
          <w:szCs w:val="22"/>
        </w:rPr>
        <w:t xml:space="preserve">The </w:t>
      </w:r>
      <w:r w:rsidR="00F448E1">
        <w:rPr>
          <w:b/>
          <w:szCs w:val="22"/>
        </w:rPr>
        <w:t>F</w:t>
      </w:r>
      <w:r w:rsidR="004D7511">
        <w:rPr>
          <w:b/>
          <w:szCs w:val="22"/>
        </w:rPr>
        <w:t xml:space="preserve">aster </w:t>
      </w:r>
      <w:r w:rsidRPr="0042320A">
        <w:rPr>
          <w:b/>
          <w:szCs w:val="22"/>
        </w:rPr>
        <w:t xml:space="preserve">cancer </w:t>
      </w:r>
      <w:r w:rsidR="004D7511">
        <w:rPr>
          <w:b/>
          <w:szCs w:val="22"/>
        </w:rPr>
        <w:t xml:space="preserve">treatment </w:t>
      </w:r>
      <w:r w:rsidRPr="0042320A">
        <w:rPr>
          <w:b/>
          <w:szCs w:val="22"/>
        </w:rPr>
        <w:t>health target</w:t>
      </w:r>
      <w:r w:rsidRPr="00FA48D9">
        <w:rPr>
          <w:szCs w:val="22"/>
        </w:rPr>
        <w:t xml:space="preserve"> </w:t>
      </w:r>
      <w:r>
        <w:rPr>
          <w:szCs w:val="22"/>
        </w:rPr>
        <w:t>measures</w:t>
      </w:r>
      <w:r w:rsidRPr="00FA48D9">
        <w:rPr>
          <w:szCs w:val="22"/>
        </w:rPr>
        <w:t xml:space="preserve"> </w:t>
      </w:r>
      <w:r>
        <w:rPr>
          <w:szCs w:val="22"/>
        </w:rPr>
        <w:t>how well the system performs for patients with cancer.</w:t>
      </w:r>
      <w:r w:rsidR="00A45EC9">
        <w:rPr>
          <w:szCs w:val="22"/>
        </w:rPr>
        <w:t xml:space="preserve"> </w:t>
      </w:r>
      <w:r w:rsidR="004D7511">
        <w:rPr>
          <w:szCs w:val="22"/>
        </w:rPr>
        <w:t xml:space="preserve">The target is </w:t>
      </w:r>
      <w:r w:rsidR="00F448E1">
        <w:rPr>
          <w:szCs w:val="22"/>
        </w:rPr>
        <w:t>for</w:t>
      </w:r>
      <w:r w:rsidR="004D7511">
        <w:rPr>
          <w:szCs w:val="22"/>
        </w:rPr>
        <w:t xml:space="preserve"> 85 percent of</w:t>
      </w:r>
      <w:r>
        <w:rPr>
          <w:szCs w:val="22"/>
        </w:rPr>
        <w:t xml:space="preserve"> p</w:t>
      </w:r>
      <w:r w:rsidRPr="00625BA3">
        <w:t xml:space="preserve">atients </w:t>
      </w:r>
      <w:r w:rsidR="00F448E1">
        <w:t xml:space="preserve">to </w:t>
      </w:r>
      <w:r w:rsidRPr="00625BA3">
        <w:t>receive their first cancer treatment</w:t>
      </w:r>
      <w:r w:rsidR="004D7511">
        <w:t xml:space="preserve"> (or other management)</w:t>
      </w:r>
      <w:r w:rsidRPr="00625BA3">
        <w:t xml:space="preserve"> within 62 days of being referred</w:t>
      </w:r>
      <w:r w:rsidR="004D7511" w:rsidRPr="00625BA3">
        <w:t xml:space="preserve"> </w:t>
      </w:r>
      <w:r w:rsidRPr="00625BA3">
        <w:t>with a high suspicion of cancer</w:t>
      </w:r>
      <w:r w:rsidR="004D7511">
        <w:t xml:space="preserve"> and a need to be seen within two weeks by July 2016, increasing to 90 percent by June 2017</w:t>
      </w:r>
      <w:r>
        <w:t>.</w:t>
      </w:r>
      <w:r w:rsidR="004D7511">
        <w:t xml:space="preserve"> </w:t>
      </w:r>
      <w:r w:rsidRPr="00854E1F">
        <w:t>The 62</w:t>
      </w:r>
      <w:r w:rsidR="00A45EC9">
        <w:t>-</w:t>
      </w:r>
      <w:r w:rsidRPr="00854E1F">
        <w:t>day timeframe is based on an international benchmark that allows time for clin</w:t>
      </w:r>
      <w:r>
        <w:t>i</w:t>
      </w:r>
      <w:r w:rsidRPr="00854E1F">
        <w:t>cians to complete important tests and investigations that establish the diagnosis and ensure patients receive the best possible treatment and care.</w:t>
      </w:r>
    </w:p>
    <w:p w14:paraId="25AF94D7" w14:textId="77777777" w:rsidR="004D7511" w:rsidRDefault="004D7511" w:rsidP="00A45EC9"/>
    <w:p w14:paraId="5BEDB1FA" w14:textId="77777777" w:rsidR="004D7511" w:rsidRDefault="004D7511" w:rsidP="00F448E1">
      <w:r>
        <w:t xml:space="preserve">The </w:t>
      </w:r>
      <w:r w:rsidR="00F448E1">
        <w:t>F</w:t>
      </w:r>
      <w:r>
        <w:t>aster cancer treatment</w:t>
      </w:r>
      <w:r w:rsidRPr="00854E1F">
        <w:t xml:space="preserve"> health </w:t>
      </w:r>
      <w:r>
        <w:t>target aims to support improvements in access and patient experience through the whole cancer pathway, including the period of investigations before treatment begins. It supports DHBs to identify any bottlenecks in the system</w:t>
      </w:r>
      <w:r w:rsidR="002E1589">
        <w:t xml:space="preserve"> and make improvements that benefit all cancer patients.</w:t>
      </w:r>
    </w:p>
    <w:p w14:paraId="48D1B4A9" w14:textId="77777777" w:rsidR="002E1589" w:rsidRDefault="002E1589" w:rsidP="002E1589">
      <w:pPr>
        <w:spacing w:line="240" w:lineRule="auto"/>
      </w:pPr>
    </w:p>
    <w:p w14:paraId="300CA65D" w14:textId="77777777" w:rsidR="00F40DF5" w:rsidRDefault="00F40DF5" w:rsidP="002E1589">
      <w:pPr>
        <w:pStyle w:val="Heading2"/>
        <w:spacing w:before="0"/>
      </w:pPr>
      <w:bookmarkStart w:id="8" w:name="_Toc430084592"/>
      <w:r>
        <w:t>Principles of programme delivery</w:t>
      </w:r>
      <w:bookmarkEnd w:id="8"/>
    </w:p>
    <w:p w14:paraId="705717FF" w14:textId="77777777" w:rsidR="00F40DF5" w:rsidRDefault="00F40DF5" w:rsidP="00A45EC9">
      <w:r>
        <w:t>The following principles of programme delivery should be applied for all activities across the patient pathway:</w:t>
      </w:r>
    </w:p>
    <w:p w14:paraId="58408626" w14:textId="77777777" w:rsidR="00F40DF5" w:rsidRDefault="00F40DF5" w:rsidP="00A45EC9">
      <w:pPr>
        <w:pStyle w:val="Bullet"/>
      </w:pPr>
      <w:r w:rsidRPr="00BB728C">
        <w:rPr>
          <w:b/>
        </w:rPr>
        <w:t>Wait times</w:t>
      </w:r>
      <w:r>
        <w:t>: all people get timely services</w:t>
      </w:r>
    </w:p>
    <w:p w14:paraId="3E674B07" w14:textId="77777777" w:rsidR="00F40DF5" w:rsidRDefault="00F40DF5" w:rsidP="00A45EC9">
      <w:pPr>
        <w:pStyle w:val="Bullet"/>
      </w:pPr>
      <w:r w:rsidRPr="00BB728C">
        <w:rPr>
          <w:b/>
        </w:rPr>
        <w:t>Access</w:t>
      </w:r>
      <w:r>
        <w:t>: all people have access to services that maintain good health and independence</w:t>
      </w:r>
    </w:p>
    <w:p w14:paraId="1BB6229D" w14:textId="77777777" w:rsidR="00F40DF5" w:rsidRDefault="00F40DF5" w:rsidP="00A45EC9">
      <w:pPr>
        <w:pStyle w:val="Bullet"/>
      </w:pPr>
      <w:r w:rsidRPr="00BB728C">
        <w:rPr>
          <w:b/>
        </w:rPr>
        <w:t>Quality</w:t>
      </w:r>
      <w:r>
        <w:t>: all people receive services wherever they are</w:t>
      </w:r>
    </w:p>
    <w:p w14:paraId="355A970F" w14:textId="77777777" w:rsidR="00F40DF5" w:rsidRDefault="00F40DF5" w:rsidP="00A45EC9">
      <w:pPr>
        <w:pStyle w:val="Bullet"/>
      </w:pPr>
      <w:r w:rsidRPr="00BB728C">
        <w:rPr>
          <w:b/>
        </w:rPr>
        <w:t>Financial sustainability</w:t>
      </w:r>
      <w:r>
        <w:t>: all services make the best use of available resources.</w:t>
      </w:r>
    </w:p>
    <w:p w14:paraId="6F61F2DD" w14:textId="77777777" w:rsidR="00A71E1A" w:rsidRDefault="00A71E1A" w:rsidP="00A71E1A">
      <w:pPr>
        <w:pStyle w:val="Bullet"/>
        <w:numPr>
          <w:ilvl w:val="0"/>
          <w:numId w:val="0"/>
        </w:numPr>
        <w:spacing w:before="0"/>
        <w:ind w:left="284"/>
      </w:pPr>
    </w:p>
    <w:p w14:paraId="1BAEEF04" w14:textId="77777777" w:rsidR="002923CB" w:rsidRPr="00635C6D" w:rsidRDefault="002E1589" w:rsidP="00635C6D">
      <w:pPr>
        <w:pStyle w:val="Heading2"/>
      </w:pPr>
      <w:bookmarkStart w:id="9" w:name="_Toc430084593"/>
      <w:r w:rsidRPr="00635C6D">
        <w:t>New areas of f</w:t>
      </w:r>
      <w:r w:rsidR="002923CB" w:rsidRPr="00635C6D">
        <w:t>ocus</w:t>
      </w:r>
      <w:bookmarkEnd w:id="9"/>
    </w:p>
    <w:p w14:paraId="21142121" w14:textId="77777777" w:rsidR="00A71E1A" w:rsidRDefault="00A71E1A" w:rsidP="00A71E1A">
      <w:pPr>
        <w:pStyle w:val="Heading2"/>
        <w:rPr>
          <w:b w:val="0"/>
          <w:sz w:val="22"/>
        </w:rPr>
      </w:pPr>
      <w:bookmarkStart w:id="10" w:name="_Toc430084594"/>
      <w:r w:rsidRPr="002923CB">
        <w:rPr>
          <w:b w:val="0"/>
          <w:sz w:val="22"/>
        </w:rPr>
        <w:t xml:space="preserve">In recent years, the National Cancer Programme has focused on cancer service improvement, mainly through the implementation of the </w:t>
      </w:r>
      <w:r w:rsidR="003A5578">
        <w:rPr>
          <w:b w:val="0"/>
          <w:sz w:val="22"/>
        </w:rPr>
        <w:t>FCT</w:t>
      </w:r>
      <w:r w:rsidRPr="002923CB">
        <w:rPr>
          <w:b w:val="0"/>
          <w:sz w:val="22"/>
        </w:rPr>
        <w:t xml:space="preserve"> pro</w:t>
      </w:r>
      <w:r w:rsidR="00F448E1">
        <w:rPr>
          <w:b w:val="0"/>
          <w:sz w:val="22"/>
        </w:rPr>
        <w:t xml:space="preserve">gramme and new models of care. </w:t>
      </w:r>
      <w:r w:rsidRPr="002923CB">
        <w:rPr>
          <w:b w:val="0"/>
          <w:sz w:val="22"/>
        </w:rPr>
        <w:t xml:space="preserve">The National Cancer Programme </w:t>
      </w:r>
      <w:r>
        <w:rPr>
          <w:b w:val="0"/>
          <w:sz w:val="22"/>
        </w:rPr>
        <w:t>will continue to implement these essential activities, with an increasing focus on equity, health literacy and early detection</w:t>
      </w:r>
      <w:r w:rsidRPr="002923CB">
        <w:rPr>
          <w:b w:val="0"/>
          <w:sz w:val="22"/>
        </w:rPr>
        <w:t>.</w:t>
      </w:r>
      <w:bookmarkEnd w:id="10"/>
    </w:p>
    <w:p w14:paraId="1C47BD11" w14:textId="77777777" w:rsidR="00F40DF5" w:rsidRPr="002E1589" w:rsidRDefault="002923CB" w:rsidP="002923CB">
      <w:pPr>
        <w:pStyle w:val="Heading2"/>
        <w:numPr>
          <w:ilvl w:val="0"/>
          <w:numId w:val="22"/>
        </w:numPr>
        <w:ind w:left="567" w:hanging="567"/>
        <w:rPr>
          <w:sz w:val="24"/>
          <w:szCs w:val="24"/>
        </w:rPr>
      </w:pPr>
      <w:bookmarkStart w:id="11" w:name="_Toc430084595"/>
      <w:r w:rsidRPr="002E1589">
        <w:rPr>
          <w:sz w:val="24"/>
          <w:szCs w:val="24"/>
        </w:rPr>
        <w:t>E</w:t>
      </w:r>
      <w:r w:rsidR="00F40DF5" w:rsidRPr="002E1589">
        <w:rPr>
          <w:sz w:val="24"/>
          <w:szCs w:val="24"/>
        </w:rPr>
        <w:t>quity</w:t>
      </w:r>
      <w:bookmarkEnd w:id="11"/>
    </w:p>
    <w:p w14:paraId="072CF2FF" w14:textId="77777777" w:rsidR="00A45EC9" w:rsidRDefault="00F40DF5" w:rsidP="00A45EC9">
      <w:r>
        <w:t xml:space="preserve">The National Cancer Programme aims to improve </w:t>
      </w:r>
      <w:r w:rsidR="002E1589">
        <w:t>health</w:t>
      </w:r>
      <w:r>
        <w:t xml:space="preserve"> outcomes for all New Zealanders</w:t>
      </w:r>
      <w:r w:rsidR="002E1589">
        <w:t xml:space="preserve"> affected by cancer</w:t>
      </w:r>
      <w:r>
        <w:t>.</w:t>
      </w:r>
      <w:r w:rsidR="00A45EC9">
        <w:t xml:space="preserve"> </w:t>
      </w:r>
      <w:r>
        <w:t xml:space="preserve">This means that people, irrespective of their ethnicity, gender, locality or socioeconomic status, must be able to have every opportunity to access services that will reduce </w:t>
      </w:r>
      <w:r>
        <w:lastRenderedPageBreak/>
        <w:t>their risk of developing cancer, enable their cancer to be detected earlier as well as getting high-quality cancer treatment quickly.</w:t>
      </w:r>
    </w:p>
    <w:p w14:paraId="6272CE7E" w14:textId="77777777" w:rsidR="00F40DF5" w:rsidRDefault="00F40DF5" w:rsidP="00A45EC9"/>
    <w:p w14:paraId="696897E7" w14:textId="77777777" w:rsidR="002E1589" w:rsidRDefault="00F40DF5" w:rsidP="00A45EC9">
      <w:pPr>
        <w:rPr>
          <w:szCs w:val="22"/>
        </w:rPr>
      </w:pPr>
      <w:r w:rsidRPr="00BE2F6B">
        <w:t>The impact of cancer is much higher for Māori than the general population.</w:t>
      </w:r>
      <w:r w:rsidR="00F448E1">
        <w:t xml:space="preserve"> </w:t>
      </w:r>
      <w:r w:rsidR="002E1589">
        <w:t>The most up-to-date survival statistics show that n</w:t>
      </w:r>
      <w:r w:rsidR="002E1589" w:rsidRPr="00B90C45">
        <w:rPr>
          <w:szCs w:val="22"/>
        </w:rPr>
        <w:t>on-Mā</w:t>
      </w:r>
      <w:r w:rsidR="002E1589">
        <w:rPr>
          <w:szCs w:val="22"/>
        </w:rPr>
        <w:t>ori continue to have better one- and five-</w:t>
      </w:r>
      <w:r w:rsidR="002E1589" w:rsidRPr="00B90C45">
        <w:rPr>
          <w:szCs w:val="22"/>
        </w:rPr>
        <w:t xml:space="preserve">year survival than Māori (78.9 percent and 68.6 percent respectively </w:t>
      </w:r>
      <w:r w:rsidR="002E1589">
        <w:rPr>
          <w:szCs w:val="22"/>
        </w:rPr>
        <w:t xml:space="preserve">for one-year survival and </w:t>
      </w:r>
      <w:r w:rsidR="002E1589" w:rsidRPr="00B90C45">
        <w:rPr>
          <w:szCs w:val="22"/>
        </w:rPr>
        <w:t>64.7 percent and 49.3 percent</w:t>
      </w:r>
      <w:r w:rsidR="002E1589">
        <w:rPr>
          <w:szCs w:val="22"/>
        </w:rPr>
        <w:t xml:space="preserve"> for five-year survival). </w:t>
      </w:r>
    </w:p>
    <w:p w14:paraId="6C987AD7" w14:textId="77777777" w:rsidR="002E1589" w:rsidRDefault="002E1589" w:rsidP="00A45EC9"/>
    <w:p w14:paraId="30AD88F6" w14:textId="5A7B12B7" w:rsidR="00A45EC9" w:rsidRDefault="00F40DF5" w:rsidP="00A45EC9">
      <w:r w:rsidRPr="00BE2F6B">
        <w:t xml:space="preserve">To </w:t>
      </w:r>
      <w:r>
        <w:t xml:space="preserve">improve cancer outcomes for </w:t>
      </w:r>
      <w:r w:rsidRPr="00BE2F6B">
        <w:t xml:space="preserve">Māori, the National Cancer Programme is guided by the overarching framework and aspirations in the refreshed </w:t>
      </w:r>
      <w:r w:rsidRPr="00F81626">
        <w:t xml:space="preserve">He Korowai </w:t>
      </w:r>
      <w:proofErr w:type="spellStart"/>
      <w:r w:rsidRPr="00F81626">
        <w:t>Oranga</w:t>
      </w:r>
      <w:proofErr w:type="spellEnd"/>
      <w:r w:rsidRPr="00F448E1">
        <w:t xml:space="preserve"> </w:t>
      </w:r>
      <w:r w:rsidR="00F448E1">
        <w:t xml:space="preserve">– </w:t>
      </w:r>
      <w:r w:rsidR="00F448E1" w:rsidRPr="00BE2F6B">
        <w:t xml:space="preserve">Māori Health Strategy, </w:t>
      </w:r>
      <w:r w:rsidRPr="00BE2F6B">
        <w:t>(</w:t>
      </w:r>
      <w:r w:rsidR="00F448E1">
        <w:t xml:space="preserve">see </w:t>
      </w:r>
      <w:r w:rsidRPr="00BE2F6B">
        <w:t>Ministry of Health 2014</w:t>
      </w:r>
      <w:r w:rsidR="00F448E1">
        <w:t>a</w:t>
      </w:r>
      <w:r w:rsidRPr="00BE2F6B">
        <w:t>).</w:t>
      </w:r>
    </w:p>
    <w:p w14:paraId="0C6C0CC7" w14:textId="77777777" w:rsidR="00F40DF5" w:rsidRDefault="00F40DF5" w:rsidP="00A45EC9">
      <w:pPr>
        <w:rPr>
          <w:rFonts w:eastAsiaTheme="minorHAnsi"/>
          <w:lang w:eastAsia="en-US"/>
        </w:rPr>
      </w:pPr>
    </w:p>
    <w:p w14:paraId="2832E5BE" w14:textId="77777777" w:rsidR="002E1589" w:rsidRDefault="00F40DF5" w:rsidP="00A71E1A">
      <w:r w:rsidRPr="00BE2F6B">
        <w:t>A framewor</w:t>
      </w:r>
      <w:r w:rsidR="002E1589">
        <w:t>k has</w:t>
      </w:r>
      <w:r w:rsidRPr="00BE2F6B">
        <w:t xml:space="preserve"> been developed alongside </w:t>
      </w:r>
      <w:r w:rsidRPr="00F448E1">
        <w:rPr>
          <w:i/>
        </w:rPr>
        <w:t xml:space="preserve">He Korowai </w:t>
      </w:r>
      <w:proofErr w:type="spellStart"/>
      <w:r w:rsidRPr="00F448E1">
        <w:rPr>
          <w:i/>
        </w:rPr>
        <w:t>Oranga</w:t>
      </w:r>
      <w:proofErr w:type="spellEnd"/>
      <w:r w:rsidRPr="00BE2F6B">
        <w:t xml:space="preserve"> to drive improved equity in health care.</w:t>
      </w:r>
      <w:r w:rsidR="004D7511">
        <w:t xml:space="preserve"> </w:t>
      </w:r>
      <w:r w:rsidR="00F61381">
        <w:t xml:space="preserve">DHBs have committed to applying the framework in their 2015/16 annual plans to improve the timeliness and quality of the cancer patient pathway. </w:t>
      </w:r>
      <w:r w:rsidRPr="00BE2F6B">
        <w:t xml:space="preserve">The National Cancer Programme will </w:t>
      </w:r>
      <w:r w:rsidR="004D7511">
        <w:t xml:space="preserve">also </w:t>
      </w:r>
      <w:r w:rsidRPr="00BE2F6B">
        <w:t>apply this framework to work</w:t>
      </w:r>
      <w:r>
        <w:t xml:space="preserve"> </w:t>
      </w:r>
      <w:r w:rsidRPr="00BE2F6B">
        <w:t xml:space="preserve">plan </w:t>
      </w:r>
      <w:r w:rsidR="002E1589">
        <w:t>activities</w:t>
      </w:r>
      <w:r w:rsidRPr="00BE2F6B">
        <w:t xml:space="preserve"> for 201</w:t>
      </w:r>
      <w:r w:rsidR="007916D8">
        <w:t>5/16</w:t>
      </w:r>
      <w:r w:rsidRPr="00BE2F6B">
        <w:t xml:space="preserve"> to design new approaches that improve cancer outcomes for Mā</w:t>
      </w:r>
      <w:r>
        <w:t>ori.</w:t>
      </w:r>
      <w:r w:rsidR="00A45EC9">
        <w:t xml:space="preserve"> </w:t>
      </w:r>
    </w:p>
    <w:p w14:paraId="43A46D62" w14:textId="77777777" w:rsidR="00A71E1A" w:rsidRDefault="00A71E1A" w:rsidP="00A71E1A"/>
    <w:p w14:paraId="16052DC2" w14:textId="77777777" w:rsidR="00F40DF5" w:rsidRPr="007948B9" w:rsidRDefault="00F40DF5" w:rsidP="004A4240">
      <w:pPr>
        <w:spacing w:after="120"/>
      </w:pPr>
      <w:r w:rsidRPr="00BE2F6B">
        <w:t>Current activities already underway include:</w:t>
      </w:r>
    </w:p>
    <w:p w14:paraId="5FB92731" w14:textId="77777777" w:rsidR="003A74AE" w:rsidRDefault="008E0166" w:rsidP="002E1589">
      <w:pPr>
        <w:pStyle w:val="Bullet"/>
        <w:spacing w:before="0" w:after="120"/>
      </w:pPr>
      <w:r>
        <w:t>supporting</w:t>
      </w:r>
      <w:r w:rsidR="00F448E1">
        <w:t xml:space="preserve"> </w:t>
      </w:r>
      <w:r w:rsidR="003A74AE">
        <w:t>a M</w:t>
      </w:r>
      <w:r w:rsidR="000B4AF7">
        <w:t>ā</w:t>
      </w:r>
      <w:r w:rsidR="003A74AE">
        <w:t xml:space="preserve">ori leadership </w:t>
      </w:r>
      <w:r w:rsidR="008861F2">
        <w:t>group</w:t>
      </w:r>
      <w:r w:rsidR="003A74AE">
        <w:t xml:space="preserve">, </w:t>
      </w:r>
      <w:proofErr w:type="spellStart"/>
      <w:r w:rsidR="003A74AE" w:rsidRPr="003A74AE">
        <w:t>Hei</w:t>
      </w:r>
      <w:proofErr w:type="spellEnd"/>
      <w:r w:rsidR="003A74AE" w:rsidRPr="003A74AE">
        <w:t xml:space="preserve"> </w:t>
      </w:r>
      <w:proofErr w:type="spellStart"/>
      <w:r w:rsidR="003A74AE" w:rsidRPr="003A74AE">
        <w:t>Āhuru</w:t>
      </w:r>
      <w:proofErr w:type="spellEnd"/>
      <w:r w:rsidR="003A74AE" w:rsidRPr="003A74AE">
        <w:t xml:space="preserve"> </w:t>
      </w:r>
      <w:proofErr w:type="spellStart"/>
      <w:r w:rsidR="003A74AE" w:rsidRPr="003A74AE">
        <w:t>Mōwai</w:t>
      </w:r>
      <w:proofErr w:type="spellEnd"/>
      <w:r w:rsidR="00F448E1">
        <w:t>,</w:t>
      </w:r>
      <w:r w:rsidR="003A74AE" w:rsidRPr="003A74AE">
        <w:t xml:space="preserve"> to provide </w:t>
      </w:r>
      <w:r w:rsidR="003A74AE">
        <w:t xml:space="preserve">Māori </w:t>
      </w:r>
      <w:r w:rsidR="003A74AE" w:rsidRPr="003A74AE">
        <w:t>leadership</w:t>
      </w:r>
      <w:r w:rsidR="003A74AE">
        <w:t xml:space="preserve">, </w:t>
      </w:r>
      <w:r w:rsidR="003A74AE" w:rsidRPr="003A74AE">
        <w:t xml:space="preserve">participation and engagement across the cancer pathway </w:t>
      </w:r>
    </w:p>
    <w:p w14:paraId="5D217A16" w14:textId="77777777" w:rsidR="00A45EC9" w:rsidRDefault="002E1589" w:rsidP="002E1589">
      <w:pPr>
        <w:pStyle w:val="Bullet"/>
        <w:spacing w:before="0" w:after="120"/>
      </w:pPr>
      <w:r>
        <w:t>the cancer nurs</w:t>
      </w:r>
      <w:r w:rsidR="000B4AF7">
        <w:t xml:space="preserve">e coordinator and psychological and </w:t>
      </w:r>
      <w:r w:rsidR="004D7511">
        <w:t>social support</w:t>
      </w:r>
      <w:r w:rsidR="00F40DF5" w:rsidRPr="00671DD3">
        <w:t xml:space="preserve"> </w:t>
      </w:r>
      <w:r>
        <w:t>workforce initiatives</w:t>
      </w:r>
    </w:p>
    <w:p w14:paraId="68557E6C" w14:textId="77777777" w:rsidR="002E1589" w:rsidRDefault="00F40DF5" w:rsidP="002E1589">
      <w:pPr>
        <w:pStyle w:val="Bullet"/>
        <w:spacing w:before="0" w:after="120"/>
      </w:pPr>
      <w:r w:rsidRPr="00671DD3">
        <w:t xml:space="preserve">ongoing work of the Adolescent and Young Adult (AYA) Cancer Network </w:t>
      </w:r>
      <w:proofErr w:type="spellStart"/>
      <w:r w:rsidRPr="00671DD3">
        <w:t>Aotearoa</w:t>
      </w:r>
      <w:proofErr w:type="spellEnd"/>
    </w:p>
    <w:p w14:paraId="32DFECAC" w14:textId="77777777" w:rsidR="00A45EC9" w:rsidRDefault="002E1589" w:rsidP="008E0166">
      <w:pPr>
        <w:pStyle w:val="Bullet"/>
        <w:spacing w:before="0" w:after="120"/>
      </w:pPr>
      <w:r>
        <w:t>a</w:t>
      </w:r>
      <w:r w:rsidR="00F40DF5">
        <w:t xml:space="preserve">nalysis of the </w:t>
      </w:r>
      <w:r w:rsidR="00AA2439">
        <w:t>F</w:t>
      </w:r>
      <w:r w:rsidR="00F61381">
        <w:t>aster cance</w:t>
      </w:r>
      <w:r w:rsidR="004D7511">
        <w:t>r</w:t>
      </w:r>
      <w:r w:rsidR="00F61381">
        <w:t xml:space="preserve"> treatment</w:t>
      </w:r>
      <w:r w:rsidR="00F40DF5">
        <w:t xml:space="preserve"> health target data by ethnicity</w:t>
      </w:r>
    </w:p>
    <w:p w14:paraId="53874A7D" w14:textId="77777777" w:rsidR="008E0166" w:rsidRDefault="008E0166" w:rsidP="00A45EC9">
      <w:pPr>
        <w:pStyle w:val="Bullet"/>
        <w:spacing w:before="0"/>
      </w:pPr>
      <w:proofErr w:type="gramStart"/>
      <w:r>
        <w:t>developing</w:t>
      </w:r>
      <w:proofErr w:type="gramEnd"/>
      <w:r>
        <w:t xml:space="preserve"> guidance for the early detection of lung cancer, with a focus on Māori.</w:t>
      </w:r>
    </w:p>
    <w:p w14:paraId="08418C9C" w14:textId="77777777" w:rsidR="00F40DF5" w:rsidRDefault="00F40DF5" w:rsidP="00A45EC9"/>
    <w:p w14:paraId="55BBDF10" w14:textId="77777777" w:rsidR="00F40DF5" w:rsidRDefault="00F40DF5" w:rsidP="004A4240">
      <w:pPr>
        <w:spacing w:after="120"/>
      </w:pPr>
      <w:r>
        <w:t>The regional cancer networks</w:t>
      </w:r>
      <w:r w:rsidR="002923CB">
        <w:t xml:space="preserve"> also</w:t>
      </w:r>
      <w:r>
        <w:t xml:space="preserve"> have a focus on strengthening service delivery to Māori by:</w:t>
      </w:r>
    </w:p>
    <w:p w14:paraId="236950F7" w14:textId="77777777" w:rsidR="00F40DF5" w:rsidRDefault="00F40DF5" w:rsidP="004A4240">
      <w:pPr>
        <w:pStyle w:val="Bullet"/>
        <w:spacing w:before="0" w:after="120"/>
      </w:pPr>
      <w:r>
        <w:t>supporting Māori cancer leadership using a partnership approach</w:t>
      </w:r>
    </w:p>
    <w:p w14:paraId="1A53D9A4" w14:textId="77777777" w:rsidR="00F40DF5" w:rsidRDefault="00F40DF5" w:rsidP="004A4240">
      <w:pPr>
        <w:pStyle w:val="Bullet"/>
        <w:spacing w:before="0" w:after="120"/>
      </w:pPr>
      <w:r>
        <w:t xml:space="preserve">implementing initiatives such as the Kia </w:t>
      </w:r>
      <w:proofErr w:type="spellStart"/>
      <w:r w:rsidR="00F448E1">
        <w:t>O</w:t>
      </w:r>
      <w:r>
        <w:t>ra</w:t>
      </w:r>
      <w:proofErr w:type="spellEnd"/>
      <w:r>
        <w:t xml:space="preserve"> </w:t>
      </w:r>
      <w:r w:rsidR="00F448E1">
        <w:t>– E</w:t>
      </w:r>
      <w:r>
        <w:t xml:space="preserve"> </w:t>
      </w:r>
      <w:proofErr w:type="spellStart"/>
      <w:r>
        <w:t>te</w:t>
      </w:r>
      <w:proofErr w:type="spellEnd"/>
      <w:r>
        <w:t xml:space="preserve"> iwi programme in partnership with the Cancer Society</w:t>
      </w:r>
    </w:p>
    <w:p w14:paraId="1DD12E1D" w14:textId="77777777" w:rsidR="00A45EC9" w:rsidRDefault="00F40DF5" w:rsidP="004A4240">
      <w:pPr>
        <w:pStyle w:val="Bullet"/>
        <w:spacing w:before="0"/>
      </w:pPr>
      <w:proofErr w:type="gramStart"/>
      <w:r>
        <w:t>improving</w:t>
      </w:r>
      <w:proofErr w:type="gramEnd"/>
      <w:r>
        <w:t xml:space="preserve"> data capture that includes ethnicity data for monitoring and evaluation.</w:t>
      </w:r>
    </w:p>
    <w:p w14:paraId="7CE2D796" w14:textId="77777777" w:rsidR="004A4240" w:rsidRDefault="004A4240" w:rsidP="004A4240">
      <w:pPr>
        <w:pStyle w:val="Bullet"/>
        <w:numPr>
          <w:ilvl w:val="0"/>
          <w:numId w:val="0"/>
        </w:numPr>
        <w:spacing w:before="0"/>
        <w:ind w:left="284"/>
      </w:pPr>
    </w:p>
    <w:p w14:paraId="25759985" w14:textId="77777777" w:rsidR="007C156D" w:rsidRPr="002E1589" w:rsidRDefault="007C156D" w:rsidP="002E1589">
      <w:pPr>
        <w:pStyle w:val="Heading2"/>
        <w:numPr>
          <w:ilvl w:val="0"/>
          <w:numId w:val="22"/>
        </w:numPr>
        <w:spacing w:before="0"/>
        <w:ind w:left="567" w:hanging="567"/>
        <w:rPr>
          <w:sz w:val="24"/>
          <w:szCs w:val="24"/>
        </w:rPr>
      </w:pPr>
      <w:bookmarkStart w:id="12" w:name="_Toc430084596"/>
      <w:r w:rsidRPr="002E1589">
        <w:rPr>
          <w:sz w:val="24"/>
          <w:szCs w:val="24"/>
        </w:rPr>
        <w:t xml:space="preserve">Health </w:t>
      </w:r>
      <w:r w:rsidR="00F448E1">
        <w:rPr>
          <w:sz w:val="24"/>
          <w:szCs w:val="24"/>
        </w:rPr>
        <w:t>l</w:t>
      </w:r>
      <w:r w:rsidRPr="002E1589">
        <w:rPr>
          <w:sz w:val="24"/>
          <w:szCs w:val="24"/>
        </w:rPr>
        <w:t>iteracy</w:t>
      </w:r>
      <w:bookmarkEnd w:id="12"/>
    </w:p>
    <w:p w14:paraId="2B8F38E4" w14:textId="77777777" w:rsidR="007C156D" w:rsidRDefault="002E1589" w:rsidP="004A4240">
      <w:pPr>
        <w:spacing w:after="120"/>
      </w:pPr>
      <w:r>
        <w:t>G</w:t>
      </w:r>
      <w:r w:rsidR="007C156D" w:rsidRPr="00FB5647">
        <w:t>ood healt</w:t>
      </w:r>
      <w:r w:rsidR="007C156D">
        <w:t>h literacy</w:t>
      </w:r>
      <w:r>
        <w:rPr>
          <w:rStyle w:val="FootnoteReference"/>
        </w:rPr>
        <w:footnoteReference w:id="2"/>
      </w:r>
      <w:r w:rsidR="007C156D">
        <w:t xml:space="preserve"> </w:t>
      </w:r>
      <w:r>
        <w:t xml:space="preserve">is essential to improving a person’s experience of the health system and enabling them to access services </w:t>
      </w:r>
      <w:r w:rsidR="00F448E1">
        <w:t xml:space="preserve">in an informed and timely way. </w:t>
      </w:r>
      <w:r w:rsidR="007C156D" w:rsidRPr="007C156D">
        <w:t xml:space="preserve">Health literacy is supported by a health system focus on: </w:t>
      </w:r>
    </w:p>
    <w:p w14:paraId="308657CC" w14:textId="77777777" w:rsidR="007C156D" w:rsidRDefault="007C156D" w:rsidP="004A4240">
      <w:pPr>
        <w:pStyle w:val="Bullet"/>
        <w:spacing w:before="0" w:after="120"/>
      </w:pPr>
      <w:r w:rsidRPr="007C156D">
        <w:t>services bei</w:t>
      </w:r>
      <w:r>
        <w:t>ng easy to access and navigate</w:t>
      </w:r>
    </w:p>
    <w:p w14:paraId="2CE30633" w14:textId="77777777" w:rsidR="007C156D" w:rsidRDefault="007C156D" w:rsidP="004A4240">
      <w:pPr>
        <w:pStyle w:val="Bullet"/>
        <w:spacing w:before="0" w:after="120"/>
      </w:pPr>
      <w:r w:rsidRPr="007C156D">
        <w:t>effective health worker communic</w:t>
      </w:r>
      <w:r>
        <w:t>ation</w:t>
      </w:r>
    </w:p>
    <w:p w14:paraId="1C71AB3F" w14:textId="77777777" w:rsidR="007C156D" w:rsidRDefault="007C156D" w:rsidP="004A4240">
      <w:pPr>
        <w:pStyle w:val="Bullet"/>
        <w:spacing w:before="0"/>
      </w:pPr>
      <w:proofErr w:type="gramStart"/>
      <w:r w:rsidRPr="007C156D">
        <w:t>clear</w:t>
      </w:r>
      <w:proofErr w:type="gramEnd"/>
      <w:r w:rsidRPr="007C156D">
        <w:t xml:space="preserve"> and relevant health messages that empower everyone to make informed choices.</w:t>
      </w:r>
    </w:p>
    <w:p w14:paraId="4FC345C2" w14:textId="77777777" w:rsidR="004A4240" w:rsidRDefault="004A4240" w:rsidP="004A4240">
      <w:pPr>
        <w:pStyle w:val="Bullet"/>
        <w:numPr>
          <w:ilvl w:val="0"/>
          <w:numId w:val="0"/>
        </w:numPr>
        <w:spacing w:before="0"/>
        <w:ind w:left="284"/>
      </w:pPr>
    </w:p>
    <w:p w14:paraId="11581452" w14:textId="77777777" w:rsidR="007C156D" w:rsidRDefault="007C156D" w:rsidP="004A4240">
      <w:pPr>
        <w:pStyle w:val="Bullet"/>
        <w:numPr>
          <w:ilvl w:val="0"/>
          <w:numId w:val="0"/>
        </w:numPr>
        <w:spacing w:before="0"/>
      </w:pPr>
      <w:r>
        <w:t xml:space="preserve">The Ministry has recently developed two </w:t>
      </w:r>
      <w:r w:rsidR="00384718">
        <w:t xml:space="preserve">health literacy </w:t>
      </w:r>
      <w:r>
        <w:t>resources</w:t>
      </w:r>
      <w:r w:rsidR="00384718">
        <w:t xml:space="preserve"> to support a sustained effort and commitment to health literacy improvement. </w:t>
      </w:r>
    </w:p>
    <w:p w14:paraId="7B105664" w14:textId="77777777" w:rsidR="007C156D" w:rsidRDefault="007C156D" w:rsidP="00384718">
      <w:pPr>
        <w:pStyle w:val="Bullet"/>
        <w:numPr>
          <w:ilvl w:val="0"/>
          <w:numId w:val="21"/>
        </w:numPr>
      </w:pPr>
      <w:r w:rsidRPr="00F448E1">
        <w:rPr>
          <w:i/>
        </w:rPr>
        <w:t xml:space="preserve">Health Literacy Review: A </w:t>
      </w:r>
      <w:r w:rsidR="00F448E1">
        <w:rPr>
          <w:i/>
        </w:rPr>
        <w:t>g</w:t>
      </w:r>
      <w:r w:rsidRPr="00F448E1">
        <w:rPr>
          <w:i/>
        </w:rPr>
        <w:t>uide</w:t>
      </w:r>
      <w:r w:rsidRPr="007C156D">
        <w:t xml:space="preserve"> helps organisations and services carry out </w:t>
      </w:r>
      <w:r>
        <w:t xml:space="preserve">a </w:t>
      </w:r>
      <w:r w:rsidRPr="007C156D">
        <w:t xml:space="preserve">health literacy review to identify the things that support and challenge consumers, families and </w:t>
      </w:r>
      <w:proofErr w:type="spellStart"/>
      <w:r>
        <w:t>wh</w:t>
      </w:r>
      <w:r w:rsidRPr="007C156D">
        <w:t>ānau</w:t>
      </w:r>
      <w:proofErr w:type="spellEnd"/>
      <w:r w:rsidRPr="007C156D">
        <w:t xml:space="preserve"> when accessing services and managing their health.</w:t>
      </w:r>
      <w:r>
        <w:t xml:space="preserve"> </w:t>
      </w:r>
    </w:p>
    <w:p w14:paraId="3CCF3AE8" w14:textId="77777777" w:rsidR="00384718" w:rsidRPr="007C156D" w:rsidRDefault="007C156D" w:rsidP="00384718">
      <w:pPr>
        <w:pStyle w:val="Bullet"/>
        <w:numPr>
          <w:ilvl w:val="0"/>
          <w:numId w:val="21"/>
        </w:numPr>
        <w:spacing w:after="120"/>
        <w:ind w:left="714" w:hanging="357"/>
      </w:pPr>
      <w:r>
        <w:lastRenderedPageBreak/>
        <w:t>The Framework for Health Literacy</w:t>
      </w:r>
      <w:r w:rsidRPr="007C156D">
        <w:t xml:space="preserve"> provides guidance for the health and disability system to embed health literacy improvement into the core business of health.</w:t>
      </w:r>
      <w:r>
        <w:t xml:space="preserve"> </w:t>
      </w:r>
      <w:r w:rsidRPr="007C156D">
        <w:t xml:space="preserve">The framework applies </w:t>
      </w:r>
      <w:r w:rsidR="00D744CE">
        <w:t>the</w:t>
      </w:r>
      <w:r w:rsidRPr="007C156D">
        <w:t xml:space="preserve"> core principles</w:t>
      </w:r>
      <w:r w:rsidR="00384718">
        <w:t xml:space="preserve"> of </w:t>
      </w:r>
      <w:r w:rsidR="00384718" w:rsidRPr="00384718">
        <w:t>leadership, knowledge, safety, quality improvement and commitment to change</w:t>
      </w:r>
      <w:r w:rsidR="007210CE">
        <w:t xml:space="preserve"> </w:t>
      </w:r>
      <w:r w:rsidRPr="007C156D">
        <w:t xml:space="preserve">across </w:t>
      </w:r>
      <w:r w:rsidR="00384718">
        <w:t>all levels of the health sector.</w:t>
      </w:r>
    </w:p>
    <w:p w14:paraId="7513A46E" w14:textId="77777777" w:rsidR="007C156D" w:rsidRPr="007C156D" w:rsidRDefault="007C156D" w:rsidP="007C156D">
      <w:r>
        <w:t xml:space="preserve">The National Cancer Programme will develop a leadership approach in 2015/16, </w:t>
      </w:r>
      <w:r w:rsidRPr="007C156D">
        <w:t xml:space="preserve">raising awareness </w:t>
      </w:r>
      <w:r>
        <w:t xml:space="preserve">and </w:t>
      </w:r>
      <w:r w:rsidRPr="007C156D">
        <w:t>setting the expectation that good health literacy policy and practice contribute to individuals living longer, healthier, more independent lives.</w:t>
      </w:r>
    </w:p>
    <w:p w14:paraId="0D97FB1D" w14:textId="77777777" w:rsidR="007C156D" w:rsidRPr="007C156D" w:rsidRDefault="007C156D" w:rsidP="007C156D"/>
    <w:p w14:paraId="1A89316C" w14:textId="77777777" w:rsidR="00EC4625" w:rsidRPr="002E1589" w:rsidRDefault="002923CB" w:rsidP="002E1589">
      <w:pPr>
        <w:pStyle w:val="Heading2"/>
        <w:numPr>
          <w:ilvl w:val="0"/>
          <w:numId w:val="22"/>
        </w:numPr>
        <w:ind w:left="567" w:hanging="567"/>
        <w:rPr>
          <w:sz w:val="24"/>
          <w:szCs w:val="24"/>
        </w:rPr>
      </w:pPr>
      <w:bookmarkStart w:id="13" w:name="_Toc430084597"/>
      <w:r w:rsidRPr="002E1589">
        <w:rPr>
          <w:sz w:val="24"/>
          <w:szCs w:val="24"/>
        </w:rPr>
        <w:t>Detecting c</w:t>
      </w:r>
      <w:r w:rsidR="00EC4625" w:rsidRPr="002E1589">
        <w:rPr>
          <w:sz w:val="24"/>
          <w:szCs w:val="24"/>
        </w:rPr>
        <w:t>ancer early</w:t>
      </w:r>
      <w:bookmarkEnd w:id="13"/>
    </w:p>
    <w:p w14:paraId="1C39C451" w14:textId="77777777" w:rsidR="009F3406" w:rsidRDefault="002E1589" w:rsidP="009F3406">
      <w:pPr>
        <w:overflowPunct w:val="0"/>
        <w:autoSpaceDE w:val="0"/>
        <w:autoSpaceDN w:val="0"/>
        <w:adjustRightInd w:val="0"/>
        <w:textAlignment w:val="baseline"/>
        <w:rPr>
          <w:rFonts w:cs="Arial"/>
          <w:lang w:val="en-GB"/>
        </w:rPr>
      </w:pPr>
      <w:r w:rsidRPr="00FA48D9">
        <w:rPr>
          <w:szCs w:val="22"/>
        </w:rPr>
        <w:t xml:space="preserve">Evidence suggests that </w:t>
      </w:r>
      <w:r>
        <w:rPr>
          <w:szCs w:val="22"/>
        </w:rPr>
        <w:t xml:space="preserve">up to </w:t>
      </w:r>
      <w:r w:rsidR="00F448E1">
        <w:rPr>
          <w:szCs w:val="22"/>
        </w:rPr>
        <w:t>one-</w:t>
      </w:r>
      <w:r w:rsidRPr="00FA48D9">
        <w:rPr>
          <w:szCs w:val="22"/>
        </w:rPr>
        <w:t>third of all cancer cases could be cured if detected early and adequately treated</w:t>
      </w:r>
      <w:r>
        <w:rPr>
          <w:rFonts w:cs="Arial"/>
          <w:lang w:val="en-GB"/>
        </w:rPr>
        <w:t xml:space="preserve"> </w:t>
      </w:r>
      <w:r w:rsidR="009F3406">
        <w:rPr>
          <w:rFonts w:cs="Arial"/>
          <w:lang w:val="en-GB"/>
        </w:rPr>
        <w:t>(OECD</w:t>
      </w:r>
      <w:r w:rsidR="00F448E1">
        <w:rPr>
          <w:rFonts w:cs="Arial"/>
          <w:lang w:val="en-GB"/>
        </w:rPr>
        <w:t xml:space="preserve"> 2013). Focu</w:t>
      </w:r>
      <w:r w:rsidR="009F3406" w:rsidRPr="00DA7749">
        <w:rPr>
          <w:rFonts w:cs="Arial"/>
          <w:lang w:val="en-GB"/>
        </w:rPr>
        <w:t>sing efforts on detecting cancer early improves overall cancer survival rates (</w:t>
      </w:r>
      <w:r w:rsidR="00F448E1">
        <w:rPr>
          <w:rFonts w:cs="Arial"/>
          <w:lang w:val="en-GB"/>
        </w:rPr>
        <w:t xml:space="preserve">both one- and five-year rates). </w:t>
      </w:r>
      <w:r w:rsidR="009F3406" w:rsidRPr="00DA7749">
        <w:rPr>
          <w:rFonts w:cs="Arial"/>
          <w:lang w:val="en-GB"/>
        </w:rPr>
        <w:t>Recent international studies also show that for many cancers, the most socioeconomically deprived groups were more likely to have their cancer diagnosed at advanced stages</w:t>
      </w:r>
      <w:r>
        <w:rPr>
          <w:rFonts w:cs="Arial"/>
          <w:lang w:val="en-GB"/>
        </w:rPr>
        <w:t xml:space="preserve"> </w:t>
      </w:r>
      <w:r w:rsidRPr="00DA7749">
        <w:rPr>
          <w:rFonts w:cs="Arial"/>
          <w:lang w:val="en-GB"/>
        </w:rPr>
        <w:t>than those least deprived</w:t>
      </w:r>
      <w:r w:rsidR="009F3406" w:rsidRPr="00DA7749">
        <w:rPr>
          <w:rFonts w:cs="Arial"/>
          <w:lang w:val="en-GB"/>
        </w:rPr>
        <w:t>.</w:t>
      </w:r>
    </w:p>
    <w:p w14:paraId="6F2D2739" w14:textId="77777777" w:rsidR="009F3406" w:rsidRDefault="009F3406" w:rsidP="009F3406">
      <w:pPr>
        <w:overflowPunct w:val="0"/>
        <w:autoSpaceDE w:val="0"/>
        <w:autoSpaceDN w:val="0"/>
        <w:adjustRightInd w:val="0"/>
        <w:textAlignment w:val="baseline"/>
        <w:rPr>
          <w:rFonts w:cs="Arial"/>
          <w:lang w:val="en-GB"/>
        </w:rPr>
      </w:pPr>
    </w:p>
    <w:p w14:paraId="3246A0B5" w14:textId="77777777" w:rsidR="009F3406" w:rsidRDefault="009F3406" w:rsidP="009F3406">
      <w:pPr>
        <w:overflowPunct w:val="0"/>
        <w:autoSpaceDE w:val="0"/>
        <w:autoSpaceDN w:val="0"/>
        <w:adjustRightInd w:val="0"/>
        <w:textAlignment w:val="baseline"/>
        <w:rPr>
          <w:rFonts w:cs="Arial"/>
          <w:lang w:val="en-GB"/>
        </w:rPr>
      </w:pPr>
      <w:r>
        <w:rPr>
          <w:rFonts w:cs="Arial"/>
          <w:lang w:val="en-GB"/>
        </w:rPr>
        <w:t>Internationally, countries</w:t>
      </w:r>
      <w:r w:rsidRPr="00DA7749">
        <w:rPr>
          <w:rFonts w:cs="Arial"/>
          <w:lang w:val="en-GB"/>
        </w:rPr>
        <w:t xml:space="preserve"> have</w:t>
      </w:r>
      <w:r>
        <w:rPr>
          <w:rFonts w:cs="Arial"/>
          <w:lang w:val="en-GB"/>
        </w:rPr>
        <w:t xml:space="preserve"> begun to successfully implement</w:t>
      </w:r>
      <w:r w:rsidRPr="00DA7749">
        <w:rPr>
          <w:rFonts w:cs="Arial"/>
          <w:lang w:val="en-GB"/>
        </w:rPr>
        <w:t xml:space="preserve"> early prevention programme</w:t>
      </w:r>
      <w:r w:rsidR="0088351A">
        <w:rPr>
          <w:rFonts w:cs="Arial"/>
          <w:lang w:val="en-GB"/>
        </w:rPr>
        <w:t>s</w:t>
      </w:r>
      <w:r w:rsidRPr="00DA7749">
        <w:rPr>
          <w:rFonts w:cs="Arial"/>
          <w:lang w:val="en-GB"/>
        </w:rPr>
        <w:t xml:space="preserve"> as part of a</w:t>
      </w:r>
      <w:r>
        <w:rPr>
          <w:rFonts w:cs="Arial"/>
          <w:lang w:val="en-GB"/>
        </w:rPr>
        <w:t xml:space="preserve"> </w:t>
      </w:r>
      <w:r w:rsidR="00F448E1">
        <w:rPr>
          <w:rFonts w:cs="Arial"/>
          <w:lang w:val="en-GB"/>
        </w:rPr>
        <w:t xml:space="preserve">whole cancer pathway approach. </w:t>
      </w:r>
      <w:r>
        <w:rPr>
          <w:rFonts w:cs="Arial"/>
          <w:lang w:val="en-GB"/>
        </w:rPr>
        <w:t>In countries</w:t>
      </w:r>
      <w:r w:rsidR="0088351A">
        <w:rPr>
          <w:rFonts w:cs="Arial"/>
          <w:lang w:val="en-GB"/>
        </w:rPr>
        <w:t xml:space="preserve"> such as Scotland and England, t</w:t>
      </w:r>
      <w:r w:rsidRPr="00DA7749">
        <w:rPr>
          <w:rFonts w:cs="Arial"/>
          <w:lang w:val="en-GB"/>
        </w:rPr>
        <w:t>he programme</w:t>
      </w:r>
      <w:r>
        <w:rPr>
          <w:rFonts w:cs="Arial"/>
          <w:lang w:val="en-GB"/>
        </w:rPr>
        <w:t xml:space="preserve">s have </w:t>
      </w:r>
      <w:r w:rsidRPr="00DA7749">
        <w:rPr>
          <w:rFonts w:cs="Arial"/>
          <w:lang w:val="en-GB"/>
        </w:rPr>
        <w:t xml:space="preserve">largely been driven by the differences in survival rates seen in these two countries when compared with other </w:t>
      </w:r>
      <w:r>
        <w:rPr>
          <w:rFonts w:cs="Arial"/>
          <w:lang w:val="en-GB"/>
        </w:rPr>
        <w:t xml:space="preserve">neighbouring </w:t>
      </w:r>
      <w:r w:rsidRPr="00DA7749">
        <w:rPr>
          <w:rFonts w:cs="Arial"/>
          <w:lang w:val="en-GB"/>
        </w:rPr>
        <w:t xml:space="preserve">European countries.  </w:t>
      </w:r>
    </w:p>
    <w:p w14:paraId="5A9001EA" w14:textId="77777777" w:rsidR="009F3406" w:rsidRPr="00DA7749" w:rsidRDefault="009F3406" w:rsidP="009F3406">
      <w:pPr>
        <w:overflowPunct w:val="0"/>
        <w:autoSpaceDE w:val="0"/>
        <w:autoSpaceDN w:val="0"/>
        <w:adjustRightInd w:val="0"/>
        <w:textAlignment w:val="baseline"/>
        <w:rPr>
          <w:rFonts w:cs="Arial"/>
          <w:lang w:val="en-GB"/>
        </w:rPr>
      </w:pPr>
    </w:p>
    <w:p w14:paraId="61A656C1" w14:textId="77777777" w:rsidR="009F3406" w:rsidRDefault="009F3406" w:rsidP="009F3406">
      <w:pPr>
        <w:overflowPunct w:val="0"/>
        <w:autoSpaceDE w:val="0"/>
        <w:autoSpaceDN w:val="0"/>
        <w:adjustRightInd w:val="0"/>
        <w:textAlignment w:val="baseline"/>
        <w:rPr>
          <w:rFonts w:cs="Arial"/>
          <w:lang w:val="en-GB"/>
        </w:rPr>
      </w:pPr>
      <w:r>
        <w:rPr>
          <w:rFonts w:cs="Arial"/>
          <w:lang w:val="en-GB"/>
        </w:rPr>
        <w:t>Similarly,</w:t>
      </w:r>
      <w:r w:rsidR="0088351A">
        <w:rPr>
          <w:rFonts w:cs="Arial"/>
          <w:lang w:val="en-GB"/>
        </w:rPr>
        <w:t xml:space="preserve"> while New Zealand</w:t>
      </w:r>
      <w:r w:rsidRPr="00DA7749">
        <w:rPr>
          <w:rFonts w:cs="Arial"/>
          <w:lang w:val="en-GB"/>
        </w:rPr>
        <w:t xml:space="preserve"> </w:t>
      </w:r>
      <w:r w:rsidR="0088351A">
        <w:rPr>
          <w:rFonts w:cs="Arial"/>
          <w:lang w:val="en-GB"/>
        </w:rPr>
        <w:t xml:space="preserve">has seen </w:t>
      </w:r>
      <w:r w:rsidRPr="00DA7749">
        <w:rPr>
          <w:rFonts w:cs="Arial"/>
          <w:lang w:val="en-GB"/>
        </w:rPr>
        <w:t xml:space="preserve">steady improvements in survival over the last </w:t>
      </w:r>
      <w:r w:rsidR="00F448E1">
        <w:rPr>
          <w:rFonts w:cs="Arial"/>
          <w:lang w:val="en-GB"/>
        </w:rPr>
        <w:t>10</w:t>
      </w:r>
      <w:r w:rsidRPr="00DA7749">
        <w:rPr>
          <w:rFonts w:cs="Arial"/>
          <w:lang w:val="en-GB"/>
        </w:rPr>
        <w:t xml:space="preserve"> years,</w:t>
      </w:r>
      <w:r w:rsidR="0088351A">
        <w:rPr>
          <w:rFonts w:cs="Arial"/>
          <w:lang w:val="en-GB"/>
        </w:rPr>
        <w:t xml:space="preserve"> it</w:t>
      </w:r>
      <w:r w:rsidRPr="00DA7749">
        <w:rPr>
          <w:rFonts w:cs="Arial"/>
          <w:lang w:val="en-GB"/>
        </w:rPr>
        <w:t xml:space="preserve"> </w:t>
      </w:r>
      <w:r w:rsidR="00D744CE">
        <w:rPr>
          <w:rFonts w:cs="Arial"/>
          <w:lang w:val="en-GB"/>
        </w:rPr>
        <w:t>remains</w:t>
      </w:r>
      <w:r w:rsidR="0088351A">
        <w:rPr>
          <w:rFonts w:cs="Arial"/>
          <w:lang w:val="en-GB"/>
        </w:rPr>
        <w:t xml:space="preserve"> </w:t>
      </w:r>
      <w:r w:rsidRPr="00DA7749">
        <w:rPr>
          <w:rFonts w:cs="Arial"/>
          <w:lang w:val="en-GB"/>
        </w:rPr>
        <w:t xml:space="preserve">behind </w:t>
      </w:r>
      <w:r w:rsidR="0088351A">
        <w:rPr>
          <w:rFonts w:cs="Arial"/>
          <w:lang w:val="en-GB"/>
        </w:rPr>
        <w:t>Australia</w:t>
      </w:r>
      <w:r>
        <w:rPr>
          <w:rFonts w:cs="Arial"/>
          <w:lang w:val="en-GB"/>
        </w:rPr>
        <w:t xml:space="preserve"> </w:t>
      </w:r>
      <w:r w:rsidRPr="00DA7749">
        <w:rPr>
          <w:rFonts w:cs="Arial"/>
          <w:lang w:val="en-GB"/>
        </w:rPr>
        <w:t>in terms of overall survival despite the quality improvements that have been imp</w:t>
      </w:r>
      <w:r w:rsidR="00F448E1">
        <w:rPr>
          <w:rFonts w:cs="Arial"/>
          <w:lang w:val="en-GB"/>
        </w:rPr>
        <w:t xml:space="preserve">lemented in recent times. </w:t>
      </w:r>
      <w:r>
        <w:rPr>
          <w:rFonts w:cs="Arial"/>
          <w:lang w:val="en-GB"/>
        </w:rPr>
        <w:t>Focu</w:t>
      </w:r>
      <w:r w:rsidRPr="00DA7749">
        <w:rPr>
          <w:rFonts w:cs="Arial"/>
          <w:lang w:val="en-GB"/>
        </w:rPr>
        <w:t>sing on the front end of the path</w:t>
      </w:r>
      <w:r>
        <w:rPr>
          <w:rFonts w:cs="Arial"/>
          <w:lang w:val="en-GB"/>
        </w:rPr>
        <w:t>way will lik</w:t>
      </w:r>
      <w:r w:rsidR="0088351A">
        <w:rPr>
          <w:rFonts w:cs="Arial"/>
          <w:lang w:val="en-GB"/>
        </w:rPr>
        <w:t xml:space="preserve">ely reduce this gap, as well as improve </w:t>
      </w:r>
      <w:r>
        <w:rPr>
          <w:rFonts w:cs="Arial"/>
          <w:lang w:val="en-GB"/>
        </w:rPr>
        <w:t>one</w:t>
      </w:r>
      <w:r w:rsidR="00F448E1">
        <w:rPr>
          <w:rFonts w:cs="Arial"/>
          <w:lang w:val="en-GB"/>
        </w:rPr>
        <w:t>-</w:t>
      </w:r>
      <w:r>
        <w:rPr>
          <w:rFonts w:cs="Arial"/>
          <w:lang w:val="en-GB"/>
        </w:rPr>
        <w:t>year survival rates</w:t>
      </w:r>
      <w:r w:rsidR="0088351A">
        <w:rPr>
          <w:rFonts w:cs="Arial"/>
          <w:lang w:val="en-GB"/>
        </w:rPr>
        <w:t xml:space="preserve"> for Māori.</w:t>
      </w:r>
    </w:p>
    <w:p w14:paraId="455B27C5" w14:textId="77777777" w:rsidR="009F3406" w:rsidRDefault="009F3406" w:rsidP="009F3406">
      <w:pPr>
        <w:overflowPunct w:val="0"/>
        <w:autoSpaceDE w:val="0"/>
        <w:autoSpaceDN w:val="0"/>
        <w:adjustRightInd w:val="0"/>
        <w:textAlignment w:val="baseline"/>
        <w:rPr>
          <w:rFonts w:cs="Arial"/>
          <w:lang w:val="en-GB"/>
        </w:rPr>
      </w:pPr>
    </w:p>
    <w:p w14:paraId="55117B7E" w14:textId="77777777" w:rsidR="009F3406" w:rsidRDefault="0088351A" w:rsidP="009F3406">
      <w:pPr>
        <w:overflowPunct w:val="0"/>
        <w:autoSpaceDE w:val="0"/>
        <w:autoSpaceDN w:val="0"/>
        <w:adjustRightInd w:val="0"/>
        <w:textAlignment w:val="baseline"/>
        <w:rPr>
          <w:rFonts w:cs="Arial"/>
          <w:lang w:val="en-GB"/>
        </w:rPr>
      </w:pPr>
      <w:r>
        <w:rPr>
          <w:rFonts w:cs="Arial"/>
          <w:lang w:val="en-GB"/>
        </w:rPr>
        <w:t>In 2015/16</w:t>
      </w:r>
      <w:r w:rsidR="00F448E1">
        <w:rPr>
          <w:rFonts w:cs="Arial"/>
          <w:lang w:val="en-GB"/>
        </w:rPr>
        <w:t>,</w:t>
      </w:r>
      <w:r>
        <w:rPr>
          <w:rFonts w:cs="Arial"/>
          <w:lang w:val="en-GB"/>
        </w:rPr>
        <w:t xml:space="preserve"> early detection activities will</w:t>
      </w:r>
      <w:r w:rsidR="002E1589">
        <w:rPr>
          <w:rFonts w:cs="Arial"/>
          <w:lang w:val="en-GB"/>
        </w:rPr>
        <w:t xml:space="preserve"> initially</w:t>
      </w:r>
      <w:r>
        <w:rPr>
          <w:rFonts w:cs="Arial"/>
          <w:lang w:val="en-GB"/>
        </w:rPr>
        <w:t xml:space="preserve"> focus on lung cancer,</w:t>
      </w:r>
      <w:r w:rsidR="009F3406">
        <w:rPr>
          <w:rFonts w:cs="Arial"/>
          <w:lang w:val="en-GB"/>
        </w:rPr>
        <w:t xml:space="preserve"> as well </w:t>
      </w:r>
      <w:r>
        <w:rPr>
          <w:rFonts w:cs="Arial"/>
          <w:lang w:val="en-GB"/>
        </w:rPr>
        <w:t xml:space="preserve">as </w:t>
      </w:r>
      <w:r w:rsidR="009F3406">
        <w:rPr>
          <w:rFonts w:cs="Arial"/>
          <w:lang w:val="en-GB"/>
        </w:rPr>
        <w:t>develop</w:t>
      </w:r>
      <w:r>
        <w:rPr>
          <w:rFonts w:cs="Arial"/>
          <w:lang w:val="en-GB"/>
        </w:rPr>
        <w:t>ing</w:t>
      </w:r>
      <w:r w:rsidR="009F3406">
        <w:rPr>
          <w:rFonts w:cs="Arial"/>
          <w:lang w:val="en-GB"/>
        </w:rPr>
        <w:t xml:space="preserve"> a</w:t>
      </w:r>
      <w:r w:rsidR="002E1589">
        <w:rPr>
          <w:rFonts w:cs="Arial"/>
          <w:lang w:val="en-GB"/>
        </w:rPr>
        <w:t xml:space="preserve"> broader</w:t>
      </w:r>
      <w:r w:rsidR="009F3406">
        <w:rPr>
          <w:rFonts w:cs="Arial"/>
          <w:lang w:val="en-GB"/>
        </w:rPr>
        <w:t xml:space="preserve"> medium</w:t>
      </w:r>
      <w:r w:rsidR="00F448E1">
        <w:rPr>
          <w:rFonts w:cs="Arial"/>
          <w:lang w:val="en-GB"/>
        </w:rPr>
        <w:t>-</w:t>
      </w:r>
      <w:r w:rsidR="009F3406">
        <w:rPr>
          <w:rFonts w:cs="Arial"/>
          <w:lang w:val="en-GB"/>
        </w:rPr>
        <w:t>term plan for the early detection of cancer that will:</w:t>
      </w:r>
    </w:p>
    <w:p w14:paraId="1ABB8331" w14:textId="77777777" w:rsidR="009F3406" w:rsidRDefault="009F3406" w:rsidP="0088351A">
      <w:pPr>
        <w:pStyle w:val="Bullet"/>
      </w:pPr>
      <w:r w:rsidRPr="0088351A">
        <w:t>identify cancers that will have the greatest impact on reducing disparities in cancer outcomes, with a specific focus on Māori</w:t>
      </w:r>
    </w:p>
    <w:p w14:paraId="26A4B04A" w14:textId="77777777" w:rsidR="002E1589" w:rsidRPr="0088351A" w:rsidRDefault="002E1589" w:rsidP="002E1589">
      <w:pPr>
        <w:pStyle w:val="Bullet"/>
      </w:pPr>
      <w:r>
        <w:rPr>
          <w:rFonts w:eastAsia="Calibri"/>
        </w:rPr>
        <w:t>identify</w:t>
      </w:r>
      <w:r w:rsidRPr="00350BBE">
        <w:rPr>
          <w:rFonts w:eastAsia="Calibri"/>
        </w:rPr>
        <w:t xml:space="preserve"> cancers that will have the greatest </w:t>
      </w:r>
      <w:r w:rsidRPr="0088351A">
        <w:t>impact on one</w:t>
      </w:r>
      <w:r w:rsidR="00F448E1">
        <w:t>-</w:t>
      </w:r>
      <w:r w:rsidRPr="0088351A">
        <w:t xml:space="preserve"> and five</w:t>
      </w:r>
      <w:r w:rsidR="00F448E1">
        <w:t>-</w:t>
      </w:r>
      <w:r w:rsidRPr="0088351A">
        <w:t>year survival rates</w:t>
      </w:r>
    </w:p>
    <w:p w14:paraId="170BD749" w14:textId="77777777" w:rsidR="009F3406" w:rsidRPr="0088351A" w:rsidRDefault="009F3406" w:rsidP="0088351A">
      <w:pPr>
        <w:pStyle w:val="Bullet"/>
      </w:pPr>
      <w:r w:rsidRPr="0088351A">
        <w:t>increase public awareness of symptoms and signs of cancer</w:t>
      </w:r>
    </w:p>
    <w:p w14:paraId="3C4EBB2D" w14:textId="77777777" w:rsidR="009F3406" w:rsidRPr="0088351A" w:rsidRDefault="009F3406" w:rsidP="0088351A">
      <w:pPr>
        <w:pStyle w:val="Bullet"/>
      </w:pPr>
      <w:r w:rsidRPr="0088351A">
        <w:t>improve health literacy</w:t>
      </w:r>
    </w:p>
    <w:p w14:paraId="336F74E8" w14:textId="77777777" w:rsidR="009F3406" w:rsidRPr="0088351A" w:rsidRDefault="009F3406" w:rsidP="0088351A">
      <w:pPr>
        <w:pStyle w:val="Bullet"/>
      </w:pPr>
      <w:r w:rsidRPr="0088351A">
        <w:t xml:space="preserve">improve integration with primary </w:t>
      </w:r>
      <w:r w:rsidR="00F448E1">
        <w:t xml:space="preserve">health </w:t>
      </w:r>
      <w:r w:rsidRPr="0088351A">
        <w:t>care and specialist services</w:t>
      </w:r>
    </w:p>
    <w:p w14:paraId="55E4ADAA" w14:textId="77777777" w:rsidR="009F3406" w:rsidRDefault="009F3406" w:rsidP="0088351A">
      <w:pPr>
        <w:pStyle w:val="Bullet"/>
        <w:rPr>
          <w:rFonts w:eastAsia="Calibri"/>
          <w:lang w:eastAsia="en-US"/>
        </w:rPr>
      </w:pPr>
      <w:proofErr w:type="gramStart"/>
      <w:r w:rsidRPr="0088351A">
        <w:t>increase</w:t>
      </w:r>
      <w:proofErr w:type="gramEnd"/>
      <w:r w:rsidRPr="0088351A">
        <w:t xml:space="preserve"> diagnostic</w:t>
      </w:r>
      <w:r>
        <w:rPr>
          <w:rFonts w:eastAsia="Calibri"/>
          <w:lang w:eastAsia="en-US"/>
        </w:rPr>
        <w:t xml:space="preserve"> capacity</w:t>
      </w:r>
      <w:r w:rsidRPr="00FA48D9">
        <w:rPr>
          <w:rFonts w:eastAsia="Calibri"/>
          <w:lang w:eastAsia="en-US"/>
        </w:rPr>
        <w:t>.</w:t>
      </w:r>
    </w:p>
    <w:p w14:paraId="40E7343D" w14:textId="77777777" w:rsidR="009F3406" w:rsidRPr="00DA7749" w:rsidRDefault="009F3406" w:rsidP="009F3406">
      <w:pPr>
        <w:overflowPunct w:val="0"/>
        <w:autoSpaceDE w:val="0"/>
        <w:autoSpaceDN w:val="0"/>
        <w:adjustRightInd w:val="0"/>
        <w:textAlignment w:val="baseline"/>
        <w:rPr>
          <w:rFonts w:cs="Arial"/>
          <w:lang w:val="en-GB"/>
        </w:rPr>
      </w:pPr>
    </w:p>
    <w:p w14:paraId="00CBEE11" w14:textId="77777777" w:rsidR="00F40DF5" w:rsidRPr="0042320A" w:rsidRDefault="00F40DF5" w:rsidP="00A45EC9"/>
    <w:p w14:paraId="2A78B6DA" w14:textId="77777777" w:rsidR="00F40DF5" w:rsidRDefault="00F40DF5" w:rsidP="00A45EC9"/>
    <w:p w14:paraId="740B9745" w14:textId="77777777" w:rsidR="00F40DF5" w:rsidRDefault="00F40DF5" w:rsidP="00A45EC9">
      <w:pPr>
        <w:pStyle w:val="Heading1"/>
      </w:pPr>
      <w:r>
        <w:br w:type="page"/>
      </w:r>
      <w:bookmarkStart w:id="14" w:name="_Toc364150520"/>
      <w:bookmarkStart w:id="15" w:name="_Toc367346596"/>
      <w:bookmarkStart w:id="16" w:name="_Toc430084598"/>
      <w:r>
        <w:lastRenderedPageBreak/>
        <w:t>National Cancer Programme for 201</w:t>
      </w:r>
      <w:r w:rsidR="0011185C">
        <w:t>5</w:t>
      </w:r>
      <w:r>
        <w:t>/1</w:t>
      </w:r>
      <w:bookmarkEnd w:id="14"/>
      <w:bookmarkEnd w:id="15"/>
      <w:r w:rsidR="0011185C">
        <w:t>6</w:t>
      </w:r>
      <w:bookmarkEnd w:id="16"/>
    </w:p>
    <w:p w14:paraId="7BB721BE" w14:textId="77777777" w:rsidR="00F40DF5" w:rsidRDefault="00F40DF5" w:rsidP="00A45EC9">
      <w:pPr>
        <w:pStyle w:val="Heading2"/>
      </w:pPr>
      <w:bookmarkStart w:id="17" w:name="_Toc367346598"/>
      <w:bookmarkStart w:id="18" w:name="_Toc364150522"/>
      <w:bookmarkStart w:id="19" w:name="_Toc430084599"/>
      <w:r>
        <w:t>Key work plan initiatives</w:t>
      </w:r>
      <w:bookmarkEnd w:id="17"/>
      <w:bookmarkEnd w:id="18"/>
      <w:bookmarkEnd w:id="19"/>
    </w:p>
    <w:p w14:paraId="3B967F5E" w14:textId="77777777" w:rsidR="00F40DF5" w:rsidRDefault="00EC4625" w:rsidP="00A45EC9">
      <w:r>
        <w:t>Over 2015</w:t>
      </w:r>
      <w:r w:rsidR="00F40DF5">
        <w:t>/1</w:t>
      </w:r>
      <w:r>
        <w:t>6</w:t>
      </w:r>
      <w:r w:rsidR="00F448E1">
        <w:t>,</w:t>
      </w:r>
      <w:r w:rsidR="00F40DF5">
        <w:t xml:space="preserve"> the Ministry, regional cancer networks and DHBs will deliver the following initiatives across the cancer pathway.</w:t>
      </w:r>
      <w:r w:rsidR="00A45EC9">
        <w:t xml:space="preserve"> </w:t>
      </w:r>
      <w:r w:rsidR="00F40DF5">
        <w:t>Please note: DHBs</w:t>
      </w:r>
      <w:r w:rsidR="00A45EC9">
        <w:t>’</w:t>
      </w:r>
      <w:r w:rsidR="00F40DF5">
        <w:t xml:space="preserve"> annual plans, the regional cancer networks</w:t>
      </w:r>
      <w:r w:rsidR="00A45EC9">
        <w:t>’</w:t>
      </w:r>
      <w:r w:rsidR="00F40DF5">
        <w:t xml:space="preserve"> annual work plans and the Ministry</w:t>
      </w:r>
      <w:r w:rsidR="00A45EC9">
        <w:t>’</w:t>
      </w:r>
      <w:r w:rsidR="00F40DF5">
        <w:t>s business plans all include more specific detail on activities.</w:t>
      </w:r>
    </w:p>
    <w:p w14:paraId="17A1110B" w14:textId="77777777" w:rsidR="00F40DF5" w:rsidRDefault="00F40DF5" w:rsidP="00A45EC9"/>
    <w:tbl>
      <w:tblPr>
        <w:tblW w:w="4940"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939"/>
        <w:gridCol w:w="1327"/>
        <w:gridCol w:w="3688"/>
        <w:gridCol w:w="3401"/>
      </w:tblGrid>
      <w:tr w:rsidR="00F40DF5" w:rsidRPr="002F0F41" w14:paraId="36ED7D5D" w14:textId="77777777" w:rsidTr="006E6689">
        <w:trPr>
          <w:cantSplit/>
          <w:tblHeader/>
        </w:trPr>
        <w:tc>
          <w:tcPr>
            <w:tcW w:w="5000" w:type="pct"/>
            <w:gridSpan w:val="4"/>
            <w:tcBorders>
              <w:top w:val="single" w:sz="4" w:space="0" w:color="auto"/>
              <w:left w:val="nil"/>
              <w:bottom w:val="nil"/>
              <w:right w:val="nil"/>
            </w:tcBorders>
            <w:shd w:val="clear" w:color="auto" w:fill="auto"/>
          </w:tcPr>
          <w:p w14:paraId="191788F2" w14:textId="77777777" w:rsidR="00F40DF5" w:rsidRPr="006E6689" w:rsidRDefault="00F40DF5" w:rsidP="00AA76DE">
            <w:pPr>
              <w:pStyle w:val="TableText"/>
              <w:keepNext/>
              <w:jc w:val="center"/>
              <w:rPr>
                <w:rFonts w:cs="Arial"/>
                <w:b/>
                <w:szCs w:val="18"/>
                <w:lang w:eastAsia="en-NZ"/>
              </w:rPr>
            </w:pPr>
            <w:r w:rsidRPr="006E6689">
              <w:rPr>
                <w:rFonts w:cs="Arial"/>
                <w:b/>
                <w:szCs w:val="18"/>
                <w:lang w:eastAsia="en-NZ"/>
              </w:rPr>
              <w:t>National activities</w:t>
            </w:r>
          </w:p>
        </w:tc>
      </w:tr>
      <w:tr w:rsidR="006E6689" w:rsidRPr="002F0F41" w14:paraId="62EB3F28" w14:textId="77777777" w:rsidTr="0030267F">
        <w:trPr>
          <w:cantSplit/>
          <w:tblHeader/>
        </w:trPr>
        <w:tc>
          <w:tcPr>
            <w:tcW w:w="502" w:type="pct"/>
            <w:tcBorders>
              <w:top w:val="nil"/>
              <w:left w:val="nil"/>
              <w:bottom w:val="single" w:sz="4" w:space="0" w:color="auto"/>
              <w:right w:val="nil"/>
            </w:tcBorders>
            <w:shd w:val="clear" w:color="auto" w:fill="auto"/>
            <w:hideMark/>
          </w:tcPr>
          <w:p w14:paraId="4FEF1D45" w14:textId="77777777" w:rsidR="00F40DF5" w:rsidRPr="006E6689" w:rsidRDefault="00F40DF5" w:rsidP="00AA76DE">
            <w:pPr>
              <w:pStyle w:val="TableText"/>
              <w:keepNext/>
              <w:tabs>
                <w:tab w:val="left" w:pos="975"/>
              </w:tabs>
              <w:spacing w:before="0"/>
              <w:ind w:right="170"/>
              <w:rPr>
                <w:rFonts w:cs="Arial"/>
                <w:b/>
                <w:szCs w:val="18"/>
                <w:lang w:eastAsia="en-NZ"/>
              </w:rPr>
            </w:pPr>
          </w:p>
        </w:tc>
        <w:tc>
          <w:tcPr>
            <w:tcW w:w="709" w:type="pct"/>
            <w:tcBorders>
              <w:top w:val="nil"/>
              <w:left w:val="nil"/>
              <w:bottom w:val="single" w:sz="4" w:space="0" w:color="auto"/>
              <w:right w:val="nil"/>
            </w:tcBorders>
            <w:shd w:val="clear" w:color="auto" w:fill="auto"/>
          </w:tcPr>
          <w:p w14:paraId="2342BAA8" w14:textId="77777777" w:rsidR="00F40DF5" w:rsidRPr="006E6689" w:rsidRDefault="00F40DF5" w:rsidP="00AA76DE">
            <w:pPr>
              <w:pStyle w:val="TableText"/>
              <w:keepNext/>
              <w:tabs>
                <w:tab w:val="left" w:pos="975"/>
              </w:tabs>
              <w:spacing w:before="0"/>
              <w:ind w:right="170"/>
              <w:jc w:val="center"/>
              <w:rPr>
                <w:rFonts w:cs="Arial"/>
                <w:b/>
                <w:szCs w:val="18"/>
                <w:lang w:eastAsia="en-NZ"/>
              </w:rPr>
            </w:pPr>
            <w:r w:rsidRPr="006E6689">
              <w:rPr>
                <w:rFonts w:cs="Arial"/>
                <w:b/>
                <w:szCs w:val="18"/>
                <w:lang w:eastAsia="en-NZ"/>
              </w:rPr>
              <w:t>Who</w:t>
            </w:r>
          </w:p>
        </w:tc>
        <w:tc>
          <w:tcPr>
            <w:tcW w:w="1971" w:type="pct"/>
            <w:tcBorders>
              <w:top w:val="nil"/>
              <w:left w:val="nil"/>
              <w:bottom w:val="single" w:sz="4" w:space="0" w:color="auto"/>
              <w:right w:val="nil"/>
            </w:tcBorders>
            <w:shd w:val="clear" w:color="auto" w:fill="auto"/>
            <w:hideMark/>
          </w:tcPr>
          <w:p w14:paraId="51FF89A9" w14:textId="77777777" w:rsidR="00F40DF5" w:rsidRPr="006E6689" w:rsidRDefault="00F40DF5" w:rsidP="00AA76DE">
            <w:pPr>
              <w:pStyle w:val="TableText"/>
              <w:keepNext/>
              <w:spacing w:before="0"/>
              <w:jc w:val="center"/>
              <w:rPr>
                <w:rFonts w:cs="Arial"/>
                <w:b/>
                <w:szCs w:val="18"/>
                <w:lang w:eastAsia="en-NZ"/>
              </w:rPr>
            </w:pPr>
            <w:r w:rsidRPr="006E6689">
              <w:rPr>
                <w:rFonts w:cs="Arial"/>
                <w:b/>
                <w:szCs w:val="18"/>
                <w:lang w:eastAsia="en-NZ"/>
              </w:rPr>
              <w:t>What</w:t>
            </w:r>
          </w:p>
        </w:tc>
        <w:tc>
          <w:tcPr>
            <w:tcW w:w="1818" w:type="pct"/>
            <w:tcBorders>
              <w:top w:val="nil"/>
              <w:left w:val="nil"/>
              <w:bottom w:val="single" w:sz="4" w:space="0" w:color="auto"/>
              <w:right w:val="nil"/>
            </w:tcBorders>
            <w:shd w:val="clear" w:color="auto" w:fill="auto"/>
          </w:tcPr>
          <w:p w14:paraId="5350EEF0" w14:textId="77777777" w:rsidR="00F40DF5" w:rsidRPr="006E6689" w:rsidRDefault="00F40DF5" w:rsidP="00AA76DE">
            <w:pPr>
              <w:pStyle w:val="TableText"/>
              <w:keepNext/>
              <w:spacing w:before="0"/>
              <w:jc w:val="center"/>
              <w:rPr>
                <w:rFonts w:cs="Arial"/>
                <w:b/>
                <w:szCs w:val="18"/>
                <w:lang w:eastAsia="en-NZ"/>
              </w:rPr>
            </w:pPr>
            <w:r w:rsidRPr="006E6689">
              <w:rPr>
                <w:rFonts w:cs="Arial"/>
                <w:b/>
                <w:szCs w:val="18"/>
                <w:lang w:eastAsia="en-NZ"/>
              </w:rPr>
              <w:t>Performance indicator</w:t>
            </w:r>
          </w:p>
        </w:tc>
      </w:tr>
      <w:tr w:rsidR="006E6689" w:rsidRPr="002F0F41" w14:paraId="6B3A3D0D" w14:textId="77777777" w:rsidTr="0030267F">
        <w:trPr>
          <w:cantSplit/>
        </w:trPr>
        <w:tc>
          <w:tcPr>
            <w:tcW w:w="502" w:type="pct"/>
            <w:vMerge w:val="restart"/>
            <w:tcBorders>
              <w:top w:val="single" w:sz="4" w:space="0" w:color="auto"/>
              <w:left w:val="nil"/>
              <w:bottom w:val="nil"/>
              <w:right w:val="nil"/>
            </w:tcBorders>
            <w:textDirection w:val="btLr"/>
          </w:tcPr>
          <w:p w14:paraId="75E2D6CB" w14:textId="77777777" w:rsidR="00F40DF5" w:rsidRPr="006E6689" w:rsidRDefault="00F40DF5" w:rsidP="00EB2EF2">
            <w:pPr>
              <w:pStyle w:val="TableText"/>
              <w:ind w:left="113" w:right="113"/>
              <w:jc w:val="center"/>
              <w:rPr>
                <w:rFonts w:cs="Arial"/>
                <w:b/>
                <w:szCs w:val="18"/>
                <w:lang w:eastAsia="en-NZ"/>
              </w:rPr>
            </w:pPr>
            <w:r w:rsidRPr="006E6689">
              <w:rPr>
                <w:rFonts w:cs="Arial"/>
                <w:b/>
                <w:szCs w:val="18"/>
                <w:lang w:eastAsia="en-NZ"/>
              </w:rPr>
              <w:t>Prevention and early detection</w:t>
            </w:r>
          </w:p>
        </w:tc>
        <w:tc>
          <w:tcPr>
            <w:tcW w:w="709" w:type="pct"/>
            <w:vMerge w:val="restart"/>
            <w:tcBorders>
              <w:top w:val="single" w:sz="4" w:space="0" w:color="auto"/>
              <w:left w:val="nil"/>
              <w:bottom w:val="nil"/>
              <w:right w:val="nil"/>
            </w:tcBorders>
          </w:tcPr>
          <w:p w14:paraId="1A570DDA" w14:textId="77777777" w:rsidR="00F40DF5" w:rsidRPr="00BC1A08" w:rsidRDefault="00F40DF5" w:rsidP="00AA76DE">
            <w:pPr>
              <w:pStyle w:val="TableText"/>
              <w:rPr>
                <w:rFonts w:cs="Arial"/>
                <w:szCs w:val="18"/>
                <w:lang w:eastAsia="en-NZ"/>
              </w:rPr>
            </w:pPr>
            <w:r w:rsidRPr="00BC1A08">
              <w:rPr>
                <w:rFonts w:cs="Arial"/>
                <w:szCs w:val="18"/>
                <w:lang w:eastAsia="en-NZ"/>
              </w:rPr>
              <w:t>The Ministry will</w:t>
            </w:r>
          </w:p>
        </w:tc>
        <w:tc>
          <w:tcPr>
            <w:tcW w:w="1971" w:type="pct"/>
            <w:tcBorders>
              <w:top w:val="single" w:sz="4" w:space="0" w:color="auto"/>
              <w:left w:val="nil"/>
              <w:bottom w:val="single" w:sz="4" w:space="0" w:color="A6A6A6" w:themeColor="background1" w:themeShade="A6"/>
              <w:right w:val="nil"/>
            </w:tcBorders>
          </w:tcPr>
          <w:p w14:paraId="18BB3173" w14:textId="77777777" w:rsidR="0030267F" w:rsidRPr="00BC1A08" w:rsidRDefault="0030267F" w:rsidP="006E6689">
            <w:pPr>
              <w:pStyle w:val="TableText"/>
              <w:tabs>
                <w:tab w:val="left" w:pos="85"/>
              </w:tabs>
              <w:ind w:right="142"/>
              <w:rPr>
                <w:rFonts w:cs="Arial"/>
                <w:szCs w:val="18"/>
                <w:lang w:eastAsia="en-NZ"/>
              </w:rPr>
            </w:pPr>
            <w:r w:rsidRPr="00BC1A08">
              <w:rPr>
                <w:rFonts w:cs="Arial"/>
                <w:szCs w:val="18"/>
                <w:lang w:eastAsia="en-NZ"/>
              </w:rPr>
              <w:t xml:space="preserve">design and purchase new </w:t>
            </w:r>
            <w:r w:rsidRPr="00BC1A08">
              <w:rPr>
                <w:rFonts w:cs="Arial"/>
                <w:b/>
                <w:szCs w:val="18"/>
                <w:lang w:eastAsia="en-NZ"/>
              </w:rPr>
              <w:t>tobacco control services</w:t>
            </w:r>
            <w:r w:rsidRPr="00BC1A08">
              <w:rPr>
                <w:rFonts w:cs="Arial"/>
                <w:szCs w:val="18"/>
                <w:lang w:eastAsia="en-NZ"/>
              </w:rPr>
              <w:t>, including:</w:t>
            </w:r>
          </w:p>
          <w:p w14:paraId="6064C6AB" w14:textId="77777777" w:rsidR="0030267F" w:rsidRPr="00BC1A08" w:rsidRDefault="0030267F" w:rsidP="0030267F">
            <w:pPr>
              <w:pStyle w:val="TableBullet"/>
              <w:ind w:right="142"/>
              <w:rPr>
                <w:szCs w:val="18"/>
                <w:lang w:eastAsia="en-NZ"/>
              </w:rPr>
            </w:pPr>
            <w:r w:rsidRPr="00BC1A08">
              <w:rPr>
                <w:szCs w:val="18"/>
                <w:lang w:eastAsia="en-NZ"/>
              </w:rPr>
              <w:t>health promotion</w:t>
            </w:r>
            <w:r w:rsidR="00BC1A08">
              <w:rPr>
                <w:szCs w:val="18"/>
                <w:lang w:eastAsia="en-NZ"/>
              </w:rPr>
              <w:t xml:space="preserve">, leadership </w:t>
            </w:r>
            <w:r w:rsidRPr="00BC1A08">
              <w:rPr>
                <w:szCs w:val="18"/>
                <w:lang w:eastAsia="en-NZ"/>
              </w:rPr>
              <w:t>and advocacy</w:t>
            </w:r>
          </w:p>
          <w:p w14:paraId="15266950" w14:textId="77777777" w:rsidR="00F40DF5" w:rsidRPr="00F448E1" w:rsidRDefault="0064434D" w:rsidP="00F448E1">
            <w:pPr>
              <w:pStyle w:val="TableBullet"/>
              <w:ind w:right="142"/>
              <w:rPr>
                <w:szCs w:val="18"/>
                <w:lang w:eastAsia="en-NZ"/>
              </w:rPr>
            </w:pPr>
            <w:r w:rsidRPr="00BC1A08">
              <w:rPr>
                <w:szCs w:val="18"/>
                <w:lang w:eastAsia="en-NZ"/>
              </w:rPr>
              <w:t>stop smoking treatment services</w:t>
            </w:r>
          </w:p>
        </w:tc>
        <w:tc>
          <w:tcPr>
            <w:tcW w:w="1818" w:type="pct"/>
            <w:tcBorders>
              <w:top w:val="single" w:sz="4" w:space="0" w:color="auto"/>
              <w:left w:val="nil"/>
              <w:bottom w:val="single" w:sz="4" w:space="0" w:color="A6A6A6" w:themeColor="background1" w:themeShade="A6"/>
              <w:right w:val="nil"/>
            </w:tcBorders>
          </w:tcPr>
          <w:p w14:paraId="7DA2D7B5" w14:textId="77777777" w:rsidR="00F40DF5" w:rsidRPr="00BC1A08" w:rsidRDefault="0030267F" w:rsidP="0030267F">
            <w:pPr>
              <w:pStyle w:val="TableText"/>
              <w:tabs>
                <w:tab w:val="left" w:pos="85"/>
              </w:tabs>
              <w:rPr>
                <w:szCs w:val="18"/>
              </w:rPr>
            </w:pPr>
            <w:r w:rsidRPr="00BC1A08">
              <w:rPr>
                <w:szCs w:val="18"/>
              </w:rPr>
              <w:t>New services commence 1 July 2016</w:t>
            </w:r>
          </w:p>
        </w:tc>
      </w:tr>
      <w:tr w:rsidR="0030267F" w:rsidRPr="002F0F41" w14:paraId="16FEF8C6" w14:textId="77777777" w:rsidTr="0030267F">
        <w:trPr>
          <w:cantSplit/>
        </w:trPr>
        <w:tc>
          <w:tcPr>
            <w:tcW w:w="502" w:type="pct"/>
            <w:vMerge/>
            <w:tcBorders>
              <w:top w:val="single" w:sz="4" w:space="0" w:color="auto"/>
              <w:left w:val="nil"/>
              <w:bottom w:val="nil"/>
              <w:right w:val="nil"/>
            </w:tcBorders>
            <w:textDirection w:val="btLr"/>
          </w:tcPr>
          <w:p w14:paraId="34451721" w14:textId="77777777" w:rsidR="0030267F" w:rsidRPr="006E6689" w:rsidRDefault="0030267F" w:rsidP="00EB2EF2">
            <w:pPr>
              <w:pStyle w:val="TableText"/>
              <w:ind w:left="113" w:right="113"/>
              <w:jc w:val="center"/>
              <w:rPr>
                <w:rFonts w:cs="Arial"/>
                <w:b/>
                <w:szCs w:val="18"/>
                <w:lang w:eastAsia="en-NZ"/>
              </w:rPr>
            </w:pPr>
          </w:p>
        </w:tc>
        <w:tc>
          <w:tcPr>
            <w:tcW w:w="709" w:type="pct"/>
            <w:vMerge/>
            <w:tcBorders>
              <w:top w:val="single" w:sz="4" w:space="0" w:color="auto"/>
              <w:left w:val="nil"/>
              <w:bottom w:val="nil"/>
              <w:right w:val="nil"/>
            </w:tcBorders>
          </w:tcPr>
          <w:p w14:paraId="59952D1F" w14:textId="77777777" w:rsidR="0030267F" w:rsidRPr="006E6689" w:rsidRDefault="0030267F" w:rsidP="00AA76DE">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14:paraId="4AF0D9D3" w14:textId="77777777" w:rsidR="0030267F" w:rsidRPr="0030267F" w:rsidRDefault="0030267F" w:rsidP="006E6689">
            <w:pPr>
              <w:pStyle w:val="TableText"/>
              <w:tabs>
                <w:tab w:val="left" w:pos="85"/>
              </w:tabs>
              <w:ind w:right="142"/>
              <w:rPr>
                <w:rFonts w:cs="Arial"/>
                <w:szCs w:val="18"/>
                <w:lang w:eastAsia="en-NZ"/>
              </w:rPr>
            </w:pPr>
            <w:r w:rsidRPr="0030267F">
              <w:rPr>
                <w:rFonts w:cs="Arial"/>
                <w:szCs w:val="18"/>
                <w:lang w:eastAsia="en-NZ"/>
              </w:rPr>
              <w:t xml:space="preserve">support improvements in </w:t>
            </w:r>
            <w:r w:rsidRPr="0030267F">
              <w:rPr>
                <w:rFonts w:cs="Arial"/>
                <w:b/>
                <w:szCs w:val="18"/>
                <w:lang w:eastAsia="en-NZ"/>
              </w:rPr>
              <w:t>bowel cancer services</w:t>
            </w:r>
          </w:p>
        </w:tc>
        <w:tc>
          <w:tcPr>
            <w:tcW w:w="1818" w:type="pct"/>
            <w:tcBorders>
              <w:top w:val="single" w:sz="4" w:space="0" w:color="A6A6A6" w:themeColor="background1" w:themeShade="A6"/>
              <w:left w:val="nil"/>
              <w:bottom w:val="single" w:sz="4" w:space="0" w:color="A6A6A6" w:themeColor="background1" w:themeShade="A6"/>
              <w:right w:val="nil"/>
            </w:tcBorders>
          </w:tcPr>
          <w:p w14:paraId="14E14C25" w14:textId="77777777" w:rsidR="0030267F" w:rsidRDefault="0030267F" w:rsidP="00AA76DE">
            <w:pPr>
              <w:pStyle w:val="TableText"/>
              <w:tabs>
                <w:tab w:val="left" w:pos="85"/>
              </w:tabs>
              <w:rPr>
                <w:rFonts w:cs="Arial"/>
                <w:szCs w:val="18"/>
                <w:lang w:eastAsia="en-NZ"/>
              </w:rPr>
            </w:pPr>
            <w:r w:rsidRPr="0030267F">
              <w:rPr>
                <w:rFonts w:cs="Arial"/>
                <w:szCs w:val="18"/>
                <w:lang w:eastAsia="en-NZ"/>
              </w:rPr>
              <w:t>Monitor implementation of the Bowel Screening Pilot on a quarterly basis</w:t>
            </w:r>
          </w:p>
          <w:p w14:paraId="2232EEC6" w14:textId="77777777" w:rsidR="0030267F" w:rsidRPr="0030267F" w:rsidRDefault="0030267F" w:rsidP="0030267F">
            <w:pPr>
              <w:pStyle w:val="TableText"/>
              <w:tabs>
                <w:tab w:val="left" w:pos="85"/>
              </w:tabs>
              <w:rPr>
                <w:rFonts w:cs="Arial"/>
                <w:szCs w:val="18"/>
                <w:lang w:eastAsia="en-NZ"/>
              </w:rPr>
            </w:pPr>
            <w:r>
              <w:rPr>
                <w:rFonts w:cs="Arial"/>
                <w:szCs w:val="18"/>
                <w:lang w:eastAsia="en-NZ"/>
              </w:rPr>
              <w:t>Develop a business case by 30 June 2016 for the roll-out of a national bowel screening programme</w:t>
            </w:r>
          </w:p>
        </w:tc>
      </w:tr>
      <w:tr w:rsidR="006E6689" w:rsidRPr="002F0F41" w14:paraId="2564A84F" w14:textId="77777777" w:rsidTr="006E6689">
        <w:trPr>
          <w:cantSplit/>
        </w:trPr>
        <w:tc>
          <w:tcPr>
            <w:tcW w:w="502" w:type="pct"/>
            <w:vMerge/>
            <w:tcBorders>
              <w:top w:val="nil"/>
              <w:left w:val="nil"/>
              <w:bottom w:val="nil"/>
              <w:right w:val="nil"/>
            </w:tcBorders>
            <w:textDirection w:val="btLr"/>
          </w:tcPr>
          <w:p w14:paraId="4E9A8B69" w14:textId="77777777" w:rsidR="00F40DF5" w:rsidRPr="006E6689" w:rsidRDefault="00F40DF5" w:rsidP="00EB2EF2">
            <w:pPr>
              <w:pStyle w:val="TableText"/>
              <w:ind w:left="113" w:right="113"/>
              <w:jc w:val="center"/>
              <w:rPr>
                <w:rFonts w:cs="Arial"/>
                <w:b/>
                <w:szCs w:val="18"/>
                <w:lang w:eastAsia="en-NZ"/>
              </w:rPr>
            </w:pPr>
          </w:p>
        </w:tc>
        <w:tc>
          <w:tcPr>
            <w:tcW w:w="709" w:type="pct"/>
            <w:vMerge/>
            <w:tcBorders>
              <w:top w:val="nil"/>
              <w:left w:val="nil"/>
              <w:bottom w:val="nil"/>
              <w:right w:val="nil"/>
            </w:tcBorders>
          </w:tcPr>
          <w:p w14:paraId="19E31FED" w14:textId="77777777" w:rsidR="00F40DF5" w:rsidRPr="006E6689" w:rsidRDefault="00F40DF5" w:rsidP="00AA76DE">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14:paraId="394C8656" w14:textId="77777777" w:rsidR="00F40DF5" w:rsidRPr="006E6689" w:rsidRDefault="00F40DF5" w:rsidP="002E1589">
            <w:pPr>
              <w:pStyle w:val="TableText"/>
              <w:tabs>
                <w:tab w:val="left" w:pos="85"/>
              </w:tabs>
              <w:ind w:right="142"/>
              <w:rPr>
                <w:rFonts w:cs="Arial"/>
                <w:szCs w:val="18"/>
                <w:lang w:eastAsia="en-NZ"/>
              </w:rPr>
            </w:pPr>
            <w:r w:rsidRPr="006E6689">
              <w:rPr>
                <w:rFonts w:cs="Arial"/>
                <w:szCs w:val="18"/>
                <w:lang w:eastAsia="en-NZ"/>
              </w:rPr>
              <w:t>support coverage and service delivery</w:t>
            </w:r>
            <w:r w:rsidR="002E1589">
              <w:rPr>
                <w:rFonts w:cs="Arial"/>
                <w:szCs w:val="18"/>
                <w:lang w:eastAsia="en-NZ"/>
              </w:rPr>
              <w:t xml:space="preserve"> improvements</w:t>
            </w:r>
            <w:r w:rsidRPr="006E6689">
              <w:rPr>
                <w:rFonts w:cs="Arial"/>
                <w:szCs w:val="18"/>
                <w:lang w:eastAsia="en-NZ"/>
              </w:rPr>
              <w:t xml:space="preserve"> of </w:t>
            </w:r>
            <w:r w:rsidRPr="006E6689">
              <w:rPr>
                <w:rFonts w:cs="Arial"/>
                <w:b/>
                <w:szCs w:val="18"/>
                <w:lang w:eastAsia="en-NZ"/>
              </w:rPr>
              <w:t>breast and cervical screening</w:t>
            </w:r>
            <w:r w:rsidRPr="006E6689">
              <w:rPr>
                <w:rFonts w:cs="Arial"/>
                <w:szCs w:val="18"/>
                <w:lang w:eastAsia="en-NZ"/>
              </w:rPr>
              <w:t xml:space="preserve"> programmes</w:t>
            </w:r>
          </w:p>
        </w:tc>
        <w:tc>
          <w:tcPr>
            <w:tcW w:w="1818" w:type="pct"/>
            <w:tcBorders>
              <w:top w:val="single" w:sz="4" w:space="0" w:color="A6A6A6" w:themeColor="background1" w:themeShade="A6"/>
              <w:left w:val="nil"/>
              <w:bottom w:val="single" w:sz="4" w:space="0" w:color="A6A6A6" w:themeColor="background1" w:themeShade="A6"/>
              <w:right w:val="nil"/>
            </w:tcBorders>
          </w:tcPr>
          <w:p w14:paraId="47CA76C5" w14:textId="77777777" w:rsidR="00A45EC9" w:rsidRPr="006E6689" w:rsidRDefault="00F40DF5" w:rsidP="00AA76DE">
            <w:pPr>
              <w:pStyle w:val="TableBullet"/>
              <w:numPr>
                <w:ilvl w:val="0"/>
                <w:numId w:val="0"/>
              </w:numPr>
              <w:tabs>
                <w:tab w:val="left" w:pos="720"/>
              </w:tabs>
              <w:spacing w:before="60"/>
              <w:ind w:right="170"/>
              <w:rPr>
                <w:szCs w:val="18"/>
              </w:rPr>
            </w:pPr>
            <w:r w:rsidRPr="006E6689">
              <w:rPr>
                <w:szCs w:val="18"/>
              </w:rPr>
              <w:t>Increase breast screening coverage for women aged 50–69 years to 70</w:t>
            </w:r>
            <w:r w:rsidR="00F448E1">
              <w:rPr>
                <w:szCs w:val="18"/>
              </w:rPr>
              <w:t>%</w:t>
            </w:r>
            <w:r w:rsidRPr="006E6689">
              <w:rPr>
                <w:szCs w:val="18"/>
              </w:rPr>
              <w:t xml:space="preserve"> for all ethnic groups</w:t>
            </w:r>
          </w:p>
          <w:p w14:paraId="3D3B4220" w14:textId="77777777" w:rsidR="00F40DF5" w:rsidRPr="006E6689" w:rsidRDefault="00F40DF5" w:rsidP="00F448E1">
            <w:pPr>
              <w:pStyle w:val="TableText"/>
              <w:tabs>
                <w:tab w:val="left" w:pos="85"/>
              </w:tabs>
              <w:rPr>
                <w:szCs w:val="18"/>
              </w:rPr>
            </w:pPr>
            <w:r w:rsidRPr="006E6689">
              <w:rPr>
                <w:szCs w:val="18"/>
              </w:rPr>
              <w:t>Increase cervical screening coverage</w:t>
            </w:r>
            <w:r w:rsidRPr="006E6689">
              <w:rPr>
                <w:rStyle w:val="FootnoteReference"/>
                <w:szCs w:val="18"/>
              </w:rPr>
              <w:footnoteReference w:id="3"/>
            </w:r>
            <w:r w:rsidRPr="006E6689">
              <w:rPr>
                <w:szCs w:val="18"/>
              </w:rPr>
              <w:t xml:space="preserve"> to 80</w:t>
            </w:r>
            <w:r w:rsidR="00F448E1">
              <w:rPr>
                <w:szCs w:val="18"/>
              </w:rPr>
              <w:t>%</w:t>
            </w:r>
            <w:r w:rsidRPr="006E6689">
              <w:rPr>
                <w:szCs w:val="18"/>
              </w:rPr>
              <w:t xml:space="preserve"> for all ethnic groups </w:t>
            </w:r>
          </w:p>
        </w:tc>
      </w:tr>
      <w:tr w:rsidR="006E6689" w:rsidRPr="002F0F41" w14:paraId="59A3D122" w14:textId="77777777" w:rsidTr="003A74AE">
        <w:trPr>
          <w:cantSplit/>
        </w:trPr>
        <w:tc>
          <w:tcPr>
            <w:tcW w:w="502" w:type="pct"/>
            <w:vMerge/>
            <w:tcBorders>
              <w:top w:val="nil"/>
              <w:left w:val="nil"/>
              <w:bottom w:val="single" w:sz="4" w:space="0" w:color="A6A6A6" w:themeColor="background1" w:themeShade="A6"/>
              <w:right w:val="nil"/>
            </w:tcBorders>
            <w:textDirection w:val="btLr"/>
          </w:tcPr>
          <w:p w14:paraId="21999AA5" w14:textId="77777777" w:rsidR="00F40DF5" w:rsidRPr="006E6689" w:rsidRDefault="00F40DF5" w:rsidP="00EB2EF2">
            <w:pPr>
              <w:pStyle w:val="TableText"/>
              <w:ind w:left="113" w:right="113"/>
              <w:jc w:val="center"/>
              <w:rPr>
                <w:rFonts w:cs="Arial"/>
                <w:b/>
                <w:szCs w:val="18"/>
                <w:lang w:eastAsia="en-NZ"/>
              </w:rPr>
            </w:pPr>
          </w:p>
        </w:tc>
        <w:tc>
          <w:tcPr>
            <w:tcW w:w="709" w:type="pct"/>
            <w:vMerge/>
            <w:tcBorders>
              <w:top w:val="nil"/>
              <w:left w:val="nil"/>
              <w:bottom w:val="single" w:sz="4" w:space="0" w:color="A6A6A6" w:themeColor="background1" w:themeShade="A6"/>
              <w:right w:val="nil"/>
            </w:tcBorders>
          </w:tcPr>
          <w:p w14:paraId="1CCE6B68" w14:textId="77777777" w:rsidR="00F40DF5" w:rsidRPr="006E6689" w:rsidRDefault="00F40DF5" w:rsidP="00AA76DE">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14:paraId="35FB48DA" w14:textId="77777777" w:rsidR="00F40DF5" w:rsidRPr="006E6689" w:rsidRDefault="00F40DF5" w:rsidP="006E6689">
            <w:pPr>
              <w:pStyle w:val="TableText"/>
              <w:tabs>
                <w:tab w:val="left" w:pos="85"/>
              </w:tabs>
              <w:ind w:right="142"/>
              <w:rPr>
                <w:rFonts w:cs="Arial"/>
                <w:szCs w:val="18"/>
                <w:lang w:eastAsia="en-NZ"/>
              </w:rPr>
            </w:pPr>
            <w:r w:rsidRPr="006E6689">
              <w:rPr>
                <w:rFonts w:cs="Arial"/>
                <w:szCs w:val="18"/>
                <w:lang w:eastAsia="en-NZ"/>
              </w:rPr>
              <w:t xml:space="preserve">support improvements in the </w:t>
            </w:r>
            <w:r w:rsidRPr="006E6689">
              <w:rPr>
                <w:rFonts w:cs="Arial"/>
                <w:b/>
                <w:szCs w:val="18"/>
                <w:lang w:eastAsia="en-NZ"/>
              </w:rPr>
              <w:t>early detection of lung cancer</w:t>
            </w:r>
          </w:p>
        </w:tc>
        <w:tc>
          <w:tcPr>
            <w:tcW w:w="1818" w:type="pct"/>
            <w:tcBorders>
              <w:top w:val="single" w:sz="4" w:space="0" w:color="A6A6A6" w:themeColor="background1" w:themeShade="A6"/>
              <w:left w:val="nil"/>
              <w:bottom w:val="single" w:sz="4" w:space="0" w:color="A6A6A6" w:themeColor="background1" w:themeShade="A6"/>
              <w:right w:val="nil"/>
            </w:tcBorders>
          </w:tcPr>
          <w:p w14:paraId="0426A565" w14:textId="77777777" w:rsidR="00F40DF5" w:rsidRPr="006E6689" w:rsidRDefault="008E0166" w:rsidP="00DA7974">
            <w:pPr>
              <w:pStyle w:val="TableBullet"/>
              <w:numPr>
                <w:ilvl w:val="0"/>
                <w:numId w:val="0"/>
              </w:numPr>
              <w:tabs>
                <w:tab w:val="left" w:pos="720"/>
              </w:tabs>
              <w:spacing w:before="60"/>
              <w:ind w:right="170"/>
              <w:rPr>
                <w:szCs w:val="18"/>
              </w:rPr>
            </w:pPr>
            <w:r>
              <w:rPr>
                <w:szCs w:val="18"/>
              </w:rPr>
              <w:t xml:space="preserve">The National Lung Cancer Work Group </w:t>
            </w:r>
            <w:r w:rsidR="0030267F">
              <w:rPr>
                <w:szCs w:val="18"/>
              </w:rPr>
              <w:t xml:space="preserve">work plan for 2015/16 implemented by </w:t>
            </w:r>
            <w:r w:rsidR="00DA7974">
              <w:rPr>
                <w:szCs w:val="18"/>
              </w:rPr>
              <w:t>December</w:t>
            </w:r>
            <w:r w:rsidR="0030267F">
              <w:rPr>
                <w:szCs w:val="18"/>
              </w:rPr>
              <w:t xml:space="preserve"> 201</w:t>
            </w:r>
            <w:r w:rsidR="0002647C">
              <w:rPr>
                <w:szCs w:val="18"/>
              </w:rPr>
              <w:t>6</w:t>
            </w:r>
          </w:p>
        </w:tc>
      </w:tr>
      <w:tr w:rsidR="002E1589" w:rsidRPr="002F0F41" w14:paraId="3461A023" w14:textId="77777777" w:rsidTr="003A74AE">
        <w:trPr>
          <w:cantSplit/>
          <w:trHeight w:val="818"/>
        </w:trPr>
        <w:tc>
          <w:tcPr>
            <w:tcW w:w="502" w:type="pct"/>
            <w:vMerge w:val="restart"/>
            <w:tcBorders>
              <w:top w:val="single" w:sz="4" w:space="0" w:color="A6A6A6" w:themeColor="background1" w:themeShade="A6"/>
              <w:left w:val="nil"/>
              <w:bottom w:val="single" w:sz="4" w:space="0" w:color="A6A6A6" w:themeColor="background1" w:themeShade="A6"/>
              <w:right w:val="nil"/>
            </w:tcBorders>
            <w:textDirection w:val="btLr"/>
          </w:tcPr>
          <w:p w14:paraId="7C9ADD17" w14:textId="77777777" w:rsidR="002E1589" w:rsidRPr="006E6689" w:rsidRDefault="002E1589" w:rsidP="00EB2EF2">
            <w:pPr>
              <w:pStyle w:val="TableText"/>
              <w:ind w:left="113" w:right="113"/>
              <w:jc w:val="center"/>
              <w:rPr>
                <w:rFonts w:cs="Arial"/>
                <w:b/>
                <w:szCs w:val="18"/>
                <w:lang w:eastAsia="en-NZ"/>
              </w:rPr>
            </w:pPr>
            <w:r w:rsidRPr="006E6689">
              <w:rPr>
                <w:rFonts w:cs="Arial"/>
                <w:b/>
                <w:szCs w:val="18"/>
                <w:lang w:eastAsia="en-NZ"/>
              </w:rPr>
              <w:t>Diagnosis and treatment</w:t>
            </w:r>
          </w:p>
        </w:tc>
        <w:tc>
          <w:tcPr>
            <w:tcW w:w="709" w:type="pct"/>
            <w:vMerge w:val="restart"/>
            <w:tcBorders>
              <w:top w:val="single" w:sz="4" w:space="0" w:color="A6A6A6" w:themeColor="background1" w:themeShade="A6"/>
              <w:left w:val="nil"/>
              <w:bottom w:val="single" w:sz="4" w:space="0" w:color="A6A6A6" w:themeColor="background1" w:themeShade="A6"/>
              <w:right w:val="nil"/>
            </w:tcBorders>
          </w:tcPr>
          <w:p w14:paraId="5C20B018" w14:textId="77777777" w:rsidR="002E1589" w:rsidRPr="006E6689" w:rsidRDefault="002E1589" w:rsidP="00AA76DE">
            <w:pPr>
              <w:pStyle w:val="TableText"/>
              <w:rPr>
                <w:rFonts w:cs="Arial"/>
                <w:szCs w:val="18"/>
                <w:lang w:eastAsia="en-NZ"/>
              </w:rPr>
            </w:pPr>
            <w:r w:rsidRPr="006E6689">
              <w:rPr>
                <w:rFonts w:cs="Arial"/>
                <w:szCs w:val="18"/>
                <w:lang w:eastAsia="en-NZ"/>
              </w:rPr>
              <w:t>The Ministry will</w:t>
            </w:r>
          </w:p>
        </w:tc>
        <w:tc>
          <w:tcPr>
            <w:tcW w:w="1971" w:type="pct"/>
            <w:tcBorders>
              <w:top w:val="single" w:sz="4" w:space="0" w:color="A6A6A6" w:themeColor="background1" w:themeShade="A6"/>
              <w:left w:val="nil"/>
              <w:bottom w:val="single" w:sz="4" w:space="0" w:color="A6A6A6" w:themeColor="background1" w:themeShade="A6"/>
              <w:right w:val="nil"/>
            </w:tcBorders>
          </w:tcPr>
          <w:p w14:paraId="6D10628E" w14:textId="77777777" w:rsidR="002E1589" w:rsidRPr="006E6689" w:rsidRDefault="002E1589" w:rsidP="006E6689">
            <w:pPr>
              <w:pStyle w:val="TableText"/>
              <w:tabs>
                <w:tab w:val="left" w:pos="85"/>
              </w:tabs>
              <w:ind w:right="142"/>
              <w:rPr>
                <w:rFonts w:cs="Arial"/>
                <w:szCs w:val="18"/>
                <w:lang w:eastAsia="en-NZ"/>
              </w:rPr>
            </w:pPr>
            <w:r w:rsidRPr="006E6689">
              <w:rPr>
                <w:rFonts w:cs="Arial"/>
                <w:szCs w:val="18"/>
                <w:lang w:eastAsia="en-NZ"/>
              </w:rPr>
              <w:t xml:space="preserve">facilitate implementation of the </w:t>
            </w:r>
            <w:r w:rsidRPr="006E6689">
              <w:rPr>
                <w:rFonts w:cs="Arial"/>
                <w:b/>
                <w:szCs w:val="18"/>
                <w:lang w:eastAsia="en-NZ"/>
              </w:rPr>
              <w:t xml:space="preserve">prostate cancer quality improvement </w:t>
            </w:r>
            <w:r w:rsidRPr="006E6689">
              <w:rPr>
                <w:rFonts w:cs="Arial"/>
                <w:szCs w:val="18"/>
                <w:lang w:eastAsia="en-NZ"/>
              </w:rPr>
              <w:t>programme</w:t>
            </w:r>
          </w:p>
          <w:p w14:paraId="28A1D99F" w14:textId="77777777" w:rsidR="002E1589" w:rsidRPr="006E6689" w:rsidRDefault="002E1589" w:rsidP="004D7511">
            <w:pPr>
              <w:pStyle w:val="TableText"/>
              <w:tabs>
                <w:tab w:val="left" w:pos="85"/>
              </w:tabs>
              <w:ind w:right="142"/>
              <w:rPr>
                <w:szCs w:val="18"/>
                <w:lang w:eastAsia="en-NZ"/>
              </w:rPr>
            </w:pPr>
          </w:p>
        </w:tc>
        <w:tc>
          <w:tcPr>
            <w:tcW w:w="1818" w:type="pct"/>
            <w:tcBorders>
              <w:top w:val="single" w:sz="4" w:space="0" w:color="A6A6A6" w:themeColor="background1" w:themeShade="A6"/>
              <w:left w:val="nil"/>
              <w:bottom w:val="single" w:sz="4" w:space="0" w:color="A6A6A6" w:themeColor="background1" w:themeShade="A6"/>
              <w:right w:val="nil"/>
            </w:tcBorders>
          </w:tcPr>
          <w:p w14:paraId="6426824D" w14:textId="77777777" w:rsidR="002E1589" w:rsidRPr="002E1589" w:rsidRDefault="002E1589" w:rsidP="004D7511">
            <w:pPr>
              <w:pStyle w:val="TableBullet"/>
              <w:numPr>
                <w:ilvl w:val="0"/>
                <w:numId w:val="0"/>
              </w:numPr>
              <w:tabs>
                <w:tab w:val="left" w:pos="720"/>
              </w:tabs>
              <w:spacing w:before="60"/>
              <w:ind w:right="170"/>
              <w:rPr>
                <w:rFonts w:ascii="Arial Mäori" w:eastAsiaTheme="minorHAnsi" w:hAnsi="Arial Mäori" w:cs="Arial Mäori"/>
                <w:iCs/>
                <w:color w:val="000000"/>
                <w:szCs w:val="18"/>
                <w:lang w:eastAsia="en-US"/>
              </w:rPr>
            </w:pPr>
            <w:r w:rsidRPr="006E6689">
              <w:rPr>
                <w:rFonts w:ascii="Arial Mäori" w:eastAsiaTheme="minorHAnsi" w:hAnsi="Arial Mäori" w:cs="Arial Mäori"/>
                <w:iCs/>
                <w:color w:val="000000"/>
                <w:szCs w:val="18"/>
                <w:lang w:eastAsia="en-US"/>
              </w:rPr>
              <w:t xml:space="preserve">Implement guidance on </w:t>
            </w:r>
            <w:r>
              <w:rPr>
                <w:rFonts w:ascii="Arial Mäori" w:eastAsiaTheme="minorHAnsi" w:hAnsi="Arial Mäori" w:cs="Arial Mäori"/>
                <w:iCs/>
                <w:color w:val="000000"/>
                <w:szCs w:val="18"/>
                <w:lang w:eastAsia="en-US"/>
              </w:rPr>
              <w:t xml:space="preserve">prostate cancer </w:t>
            </w:r>
            <w:r w:rsidRPr="006E6689">
              <w:rPr>
                <w:rFonts w:ascii="Arial Mäori" w:eastAsiaTheme="minorHAnsi" w:hAnsi="Arial Mäori" w:cs="Arial Mäori"/>
                <w:iCs/>
                <w:color w:val="000000"/>
                <w:szCs w:val="18"/>
                <w:lang w:eastAsia="en-US"/>
              </w:rPr>
              <w:t>active surveillance</w:t>
            </w:r>
            <w:r>
              <w:rPr>
                <w:rFonts w:ascii="Arial Mäori" w:eastAsiaTheme="minorHAnsi" w:hAnsi="Arial Mäori" w:cs="Arial Mäori"/>
                <w:iCs/>
                <w:color w:val="000000"/>
                <w:szCs w:val="18"/>
                <w:lang w:eastAsia="en-US"/>
              </w:rPr>
              <w:t xml:space="preserve">; and implement the Prostate Cancer Management and Referral Guidance </w:t>
            </w:r>
          </w:p>
        </w:tc>
      </w:tr>
      <w:tr w:rsidR="002E1589" w:rsidRPr="002F0F41" w14:paraId="6361E8AA" w14:textId="77777777" w:rsidTr="003A74AE">
        <w:trPr>
          <w:cantSplit/>
          <w:trHeight w:val="817"/>
        </w:trPr>
        <w:tc>
          <w:tcPr>
            <w:tcW w:w="502" w:type="pct"/>
            <w:vMerge/>
            <w:tcBorders>
              <w:top w:val="single" w:sz="4" w:space="0" w:color="auto"/>
              <w:left w:val="nil"/>
              <w:bottom w:val="single" w:sz="4" w:space="0" w:color="A6A6A6" w:themeColor="background1" w:themeShade="A6"/>
              <w:right w:val="nil"/>
            </w:tcBorders>
            <w:textDirection w:val="btLr"/>
          </w:tcPr>
          <w:p w14:paraId="2049223A" w14:textId="77777777" w:rsidR="002E1589" w:rsidRPr="006E6689" w:rsidRDefault="002E1589" w:rsidP="00EB2EF2">
            <w:pPr>
              <w:pStyle w:val="TableText"/>
              <w:ind w:left="113" w:right="113"/>
              <w:jc w:val="center"/>
              <w:rPr>
                <w:rFonts w:cs="Arial"/>
                <w:b/>
                <w:szCs w:val="18"/>
                <w:lang w:eastAsia="en-NZ"/>
              </w:rPr>
            </w:pPr>
          </w:p>
        </w:tc>
        <w:tc>
          <w:tcPr>
            <w:tcW w:w="709" w:type="pct"/>
            <w:vMerge/>
            <w:tcBorders>
              <w:top w:val="single" w:sz="4" w:space="0" w:color="auto"/>
              <w:left w:val="nil"/>
              <w:bottom w:val="single" w:sz="4" w:space="0" w:color="A6A6A6" w:themeColor="background1" w:themeShade="A6"/>
              <w:right w:val="nil"/>
            </w:tcBorders>
          </w:tcPr>
          <w:p w14:paraId="30B2D7CC" w14:textId="77777777" w:rsidR="002E1589" w:rsidRPr="006E6689" w:rsidRDefault="002E1589" w:rsidP="00AA76DE">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14:paraId="580D86F2" w14:textId="77777777" w:rsidR="002E1589" w:rsidRPr="006E6689" w:rsidRDefault="00A71E1A" w:rsidP="00A71E1A">
            <w:pPr>
              <w:pStyle w:val="TableText"/>
              <w:tabs>
                <w:tab w:val="left" w:pos="85"/>
              </w:tabs>
              <w:ind w:right="142"/>
              <w:rPr>
                <w:rFonts w:cs="Arial"/>
                <w:szCs w:val="18"/>
                <w:lang w:eastAsia="en-NZ"/>
              </w:rPr>
            </w:pPr>
            <w:r>
              <w:rPr>
                <w:rFonts w:cs="Arial"/>
                <w:szCs w:val="18"/>
                <w:lang w:eastAsia="en-NZ"/>
              </w:rPr>
              <w:t>support</w:t>
            </w:r>
            <w:r w:rsidR="002E1589" w:rsidRPr="006E6689">
              <w:rPr>
                <w:rFonts w:cs="Arial"/>
                <w:szCs w:val="18"/>
                <w:lang w:eastAsia="en-NZ"/>
              </w:rPr>
              <w:t xml:space="preserve"> DHBs to </w:t>
            </w:r>
            <w:r>
              <w:rPr>
                <w:rFonts w:cs="Arial"/>
                <w:szCs w:val="18"/>
                <w:lang w:eastAsia="en-NZ"/>
              </w:rPr>
              <w:t>achieve</w:t>
            </w:r>
            <w:r w:rsidR="002E1589" w:rsidRPr="006E6689">
              <w:rPr>
                <w:rFonts w:cs="Arial"/>
                <w:szCs w:val="18"/>
                <w:lang w:eastAsia="en-NZ"/>
              </w:rPr>
              <w:t xml:space="preserve"> the </w:t>
            </w:r>
            <w:r w:rsidR="002E1589">
              <w:rPr>
                <w:rFonts w:cs="Arial"/>
                <w:b/>
                <w:szCs w:val="18"/>
                <w:lang w:eastAsia="en-NZ"/>
              </w:rPr>
              <w:t>Faster</w:t>
            </w:r>
            <w:r w:rsidR="002E1589" w:rsidRPr="006E6689">
              <w:rPr>
                <w:rFonts w:cs="Arial"/>
                <w:b/>
                <w:szCs w:val="18"/>
                <w:lang w:eastAsia="en-NZ"/>
              </w:rPr>
              <w:t xml:space="preserve"> cancer</w:t>
            </w:r>
            <w:r w:rsidR="002E1589">
              <w:rPr>
                <w:rFonts w:cs="Arial"/>
                <w:b/>
                <w:szCs w:val="18"/>
                <w:lang w:eastAsia="en-NZ"/>
              </w:rPr>
              <w:t xml:space="preserve"> treatment</w:t>
            </w:r>
            <w:r w:rsidR="002E1589" w:rsidRPr="006E6689">
              <w:rPr>
                <w:rFonts w:cs="Arial"/>
                <w:b/>
                <w:szCs w:val="18"/>
                <w:lang w:eastAsia="en-NZ"/>
              </w:rPr>
              <w:t xml:space="preserve"> health target</w:t>
            </w:r>
          </w:p>
        </w:tc>
        <w:tc>
          <w:tcPr>
            <w:tcW w:w="1818" w:type="pct"/>
            <w:tcBorders>
              <w:top w:val="single" w:sz="4" w:space="0" w:color="A6A6A6" w:themeColor="background1" w:themeShade="A6"/>
              <w:left w:val="nil"/>
              <w:bottom w:val="single" w:sz="4" w:space="0" w:color="A6A6A6" w:themeColor="background1" w:themeShade="A6"/>
              <w:right w:val="nil"/>
            </w:tcBorders>
          </w:tcPr>
          <w:p w14:paraId="19FEE9F4" w14:textId="77777777" w:rsidR="002E1589" w:rsidRPr="006E6689" w:rsidRDefault="002E1589" w:rsidP="00A71E1A">
            <w:pPr>
              <w:pStyle w:val="TableBullet"/>
              <w:numPr>
                <w:ilvl w:val="0"/>
                <w:numId w:val="0"/>
              </w:numPr>
              <w:tabs>
                <w:tab w:val="left" w:pos="720"/>
              </w:tabs>
              <w:spacing w:before="60"/>
              <w:ind w:right="170"/>
              <w:rPr>
                <w:rFonts w:ascii="Arial Mäori" w:eastAsiaTheme="minorHAnsi" w:hAnsi="Arial Mäori" w:cs="Arial Mäori"/>
                <w:iCs/>
                <w:color w:val="000000"/>
                <w:szCs w:val="18"/>
                <w:lang w:eastAsia="en-US"/>
              </w:rPr>
            </w:pPr>
            <w:r>
              <w:rPr>
                <w:szCs w:val="18"/>
              </w:rPr>
              <w:t xml:space="preserve">85% </w:t>
            </w:r>
            <w:r w:rsidR="00A71E1A">
              <w:rPr>
                <w:szCs w:val="18"/>
              </w:rPr>
              <w:t>of patients receive their first cancer treatment (or other management) within 62 days of being referred with a high suspicion of cancer and a need to be seen within two weeks by July 2016</w:t>
            </w:r>
          </w:p>
        </w:tc>
      </w:tr>
      <w:tr w:rsidR="002E1589" w:rsidRPr="002F0F41" w14:paraId="4B47CFB9" w14:textId="77777777" w:rsidTr="003A74AE">
        <w:trPr>
          <w:cantSplit/>
        </w:trPr>
        <w:tc>
          <w:tcPr>
            <w:tcW w:w="502" w:type="pct"/>
            <w:vMerge/>
            <w:tcBorders>
              <w:top w:val="single" w:sz="4" w:space="0" w:color="auto"/>
              <w:left w:val="nil"/>
              <w:bottom w:val="single" w:sz="4" w:space="0" w:color="A6A6A6" w:themeColor="background1" w:themeShade="A6"/>
              <w:right w:val="nil"/>
            </w:tcBorders>
            <w:textDirection w:val="btLr"/>
          </w:tcPr>
          <w:p w14:paraId="3E27B659" w14:textId="77777777" w:rsidR="002E1589" w:rsidRPr="006E6689" w:rsidRDefault="002E1589" w:rsidP="00AA76DE">
            <w:pPr>
              <w:pStyle w:val="TableText"/>
              <w:ind w:left="113" w:right="113"/>
              <w:rPr>
                <w:rFonts w:cs="Arial"/>
                <w:b/>
                <w:szCs w:val="18"/>
                <w:lang w:eastAsia="en-NZ"/>
              </w:rPr>
            </w:pPr>
          </w:p>
        </w:tc>
        <w:tc>
          <w:tcPr>
            <w:tcW w:w="709" w:type="pct"/>
            <w:vMerge/>
            <w:tcBorders>
              <w:top w:val="single" w:sz="4" w:space="0" w:color="auto"/>
              <w:left w:val="nil"/>
              <w:bottom w:val="single" w:sz="4" w:space="0" w:color="A6A6A6" w:themeColor="background1" w:themeShade="A6"/>
              <w:right w:val="nil"/>
            </w:tcBorders>
          </w:tcPr>
          <w:p w14:paraId="148B4016" w14:textId="77777777" w:rsidR="002E1589" w:rsidRPr="006E6689" w:rsidRDefault="002E1589" w:rsidP="00AA76DE">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14:paraId="3D2657F8" w14:textId="77777777" w:rsidR="002E1589" w:rsidRPr="006E6689" w:rsidRDefault="002E1589" w:rsidP="006E6689">
            <w:pPr>
              <w:pStyle w:val="TableText"/>
              <w:tabs>
                <w:tab w:val="left" w:pos="85"/>
              </w:tabs>
              <w:ind w:right="142"/>
              <w:rPr>
                <w:rFonts w:cs="Arial"/>
                <w:szCs w:val="18"/>
                <w:lang w:eastAsia="en-NZ"/>
              </w:rPr>
            </w:pPr>
            <w:r w:rsidRPr="006E6689">
              <w:rPr>
                <w:rFonts w:cs="Arial"/>
                <w:szCs w:val="18"/>
                <w:lang w:eastAsia="en-NZ"/>
              </w:rPr>
              <w:t xml:space="preserve">continue to implement the </w:t>
            </w:r>
            <w:r w:rsidRPr="006E6689">
              <w:rPr>
                <w:rFonts w:cs="Arial"/>
                <w:b/>
                <w:szCs w:val="18"/>
                <w:lang w:eastAsia="en-NZ"/>
              </w:rPr>
              <w:t>Faster cancer treatment programme</w:t>
            </w:r>
            <w:r w:rsidRPr="006E6689">
              <w:rPr>
                <w:rFonts w:cs="Arial"/>
                <w:szCs w:val="18"/>
                <w:lang w:eastAsia="en-NZ"/>
              </w:rPr>
              <w:t>, including:</w:t>
            </w:r>
          </w:p>
          <w:p w14:paraId="0309A5FB" w14:textId="77777777" w:rsidR="002E1589" w:rsidRPr="006E6689" w:rsidRDefault="002E1589" w:rsidP="006E6689">
            <w:pPr>
              <w:pStyle w:val="TableBullet"/>
              <w:ind w:right="142"/>
              <w:rPr>
                <w:szCs w:val="18"/>
                <w:lang w:eastAsia="en-NZ"/>
              </w:rPr>
            </w:pPr>
            <w:r w:rsidRPr="006E6689">
              <w:rPr>
                <w:szCs w:val="18"/>
                <w:lang w:eastAsia="en-NZ"/>
              </w:rPr>
              <w:t xml:space="preserve">implementing the </w:t>
            </w:r>
            <w:r>
              <w:rPr>
                <w:szCs w:val="18"/>
                <w:lang w:eastAsia="en-NZ"/>
              </w:rPr>
              <w:t xml:space="preserve">national </w:t>
            </w:r>
            <w:r w:rsidRPr="006E6689">
              <w:rPr>
                <w:szCs w:val="18"/>
                <w:lang w:eastAsia="en-NZ"/>
              </w:rPr>
              <w:t>tumour standards work programme</w:t>
            </w:r>
          </w:p>
          <w:p w14:paraId="24313C57" w14:textId="77777777" w:rsidR="002E1589" w:rsidRPr="006E6689" w:rsidRDefault="002E1589" w:rsidP="006E6689">
            <w:pPr>
              <w:pStyle w:val="TableBullet"/>
              <w:ind w:right="142"/>
              <w:rPr>
                <w:szCs w:val="18"/>
                <w:lang w:eastAsia="en-NZ"/>
              </w:rPr>
            </w:pPr>
            <w:r w:rsidRPr="006E6689">
              <w:rPr>
                <w:szCs w:val="18"/>
                <w:lang w:eastAsia="en-NZ"/>
              </w:rPr>
              <w:t>supporting DHBs to implement the Cancer Nurse Coordinator Initiative</w:t>
            </w:r>
          </w:p>
          <w:p w14:paraId="0FE4AB41" w14:textId="77777777" w:rsidR="002E1589" w:rsidRPr="002E1589" w:rsidRDefault="002E1589" w:rsidP="004D7511">
            <w:pPr>
              <w:pStyle w:val="TableBullet"/>
              <w:ind w:right="142"/>
              <w:rPr>
                <w:spacing w:val="-2"/>
                <w:szCs w:val="18"/>
                <w:lang w:eastAsia="en-NZ"/>
              </w:rPr>
            </w:pPr>
            <w:r>
              <w:rPr>
                <w:rFonts w:cs="Arial"/>
                <w:szCs w:val="18"/>
                <w:lang w:eastAsia="en-NZ"/>
              </w:rPr>
              <w:t xml:space="preserve">supporting DHBs to implement </w:t>
            </w:r>
            <w:r w:rsidRPr="002F7346">
              <w:rPr>
                <w:rFonts w:cs="Arial"/>
                <w:szCs w:val="18"/>
                <w:lang w:eastAsia="en-NZ"/>
              </w:rPr>
              <w:t xml:space="preserve">service improvement </w:t>
            </w:r>
            <w:r>
              <w:rPr>
                <w:rFonts w:cs="Arial"/>
                <w:szCs w:val="18"/>
                <w:lang w:eastAsia="en-NZ"/>
              </w:rPr>
              <w:t xml:space="preserve">fund round two initiatives </w:t>
            </w:r>
          </w:p>
          <w:p w14:paraId="528A9855" w14:textId="77777777" w:rsidR="002E1589" w:rsidRPr="0088351A" w:rsidRDefault="002E1589" w:rsidP="004D7511">
            <w:pPr>
              <w:pStyle w:val="TableBullet"/>
              <w:ind w:right="142"/>
              <w:rPr>
                <w:spacing w:val="-2"/>
                <w:szCs w:val="18"/>
                <w:lang w:eastAsia="en-NZ"/>
              </w:rPr>
            </w:pPr>
            <w:r>
              <w:rPr>
                <w:rFonts w:cs="Arial"/>
                <w:szCs w:val="18"/>
                <w:lang w:eastAsia="en-NZ"/>
              </w:rPr>
              <w:t>improving coverage and functionality of MDMs</w:t>
            </w:r>
          </w:p>
          <w:p w14:paraId="2A02C5CE" w14:textId="77777777" w:rsidR="002E1589" w:rsidRPr="006E6689" w:rsidRDefault="002E1589" w:rsidP="002923CB">
            <w:pPr>
              <w:pStyle w:val="TableBullet"/>
              <w:numPr>
                <w:ilvl w:val="0"/>
                <w:numId w:val="0"/>
              </w:numPr>
              <w:ind w:left="284" w:right="142"/>
              <w:rPr>
                <w:spacing w:val="-2"/>
                <w:szCs w:val="18"/>
                <w:lang w:eastAsia="en-NZ"/>
              </w:rPr>
            </w:pPr>
          </w:p>
        </w:tc>
        <w:tc>
          <w:tcPr>
            <w:tcW w:w="1818" w:type="pct"/>
            <w:tcBorders>
              <w:top w:val="single" w:sz="4" w:space="0" w:color="A6A6A6" w:themeColor="background1" w:themeShade="A6"/>
              <w:left w:val="nil"/>
              <w:bottom w:val="single" w:sz="4" w:space="0" w:color="A6A6A6" w:themeColor="background1" w:themeShade="A6"/>
              <w:right w:val="nil"/>
            </w:tcBorders>
          </w:tcPr>
          <w:p w14:paraId="476B29E8" w14:textId="77777777" w:rsidR="002E1589" w:rsidRDefault="002E1589" w:rsidP="00AA76DE">
            <w:pPr>
              <w:pStyle w:val="TableBullet"/>
              <w:numPr>
                <w:ilvl w:val="0"/>
                <w:numId w:val="0"/>
              </w:numPr>
              <w:tabs>
                <w:tab w:val="left" w:pos="720"/>
              </w:tabs>
              <w:spacing w:before="60"/>
              <w:ind w:right="170"/>
              <w:rPr>
                <w:szCs w:val="18"/>
              </w:rPr>
            </w:pPr>
            <w:r>
              <w:rPr>
                <w:szCs w:val="18"/>
              </w:rPr>
              <w:t>Implementation of high suspicion of cancer definitions fo</w:t>
            </w:r>
            <w:r w:rsidR="00F448E1">
              <w:rPr>
                <w:szCs w:val="18"/>
              </w:rPr>
              <w:t xml:space="preserve">r 10 tumour types by December </w:t>
            </w:r>
            <w:r>
              <w:rPr>
                <w:szCs w:val="18"/>
              </w:rPr>
              <w:t>2015</w:t>
            </w:r>
          </w:p>
          <w:p w14:paraId="75337A5A" w14:textId="77777777" w:rsidR="002E1589" w:rsidRPr="006E6689" w:rsidRDefault="002E1589" w:rsidP="00AA76DE">
            <w:pPr>
              <w:pStyle w:val="TableBullet"/>
              <w:numPr>
                <w:ilvl w:val="0"/>
                <w:numId w:val="0"/>
              </w:numPr>
              <w:tabs>
                <w:tab w:val="left" w:pos="720"/>
              </w:tabs>
              <w:spacing w:before="60"/>
              <w:ind w:right="170"/>
              <w:rPr>
                <w:szCs w:val="18"/>
              </w:rPr>
            </w:pPr>
            <w:r w:rsidRPr="006E6689">
              <w:rPr>
                <w:szCs w:val="18"/>
              </w:rPr>
              <w:t xml:space="preserve">Scoping </w:t>
            </w:r>
            <w:r>
              <w:rPr>
                <w:szCs w:val="18"/>
              </w:rPr>
              <w:t xml:space="preserve">of </w:t>
            </w:r>
            <w:r w:rsidRPr="006E6689">
              <w:rPr>
                <w:szCs w:val="18"/>
              </w:rPr>
              <w:t xml:space="preserve">ongoing </w:t>
            </w:r>
            <w:r>
              <w:rPr>
                <w:szCs w:val="18"/>
              </w:rPr>
              <w:t xml:space="preserve">national tumour standards </w:t>
            </w:r>
            <w:r w:rsidRPr="006E6689">
              <w:rPr>
                <w:szCs w:val="18"/>
              </w:rPr>
              <w:t xml:space="preserve">work programme completed by </w:t>
            </w:r>
            <w:r>
              <w:rPr>
                <w:szCs w:val="18"/>
              </w:rPr>
              <w:t>December 201</w:t>
            </w:r>
            <w:r w:rsidR="00DA7974">
              <w:rPr>
                <w:szCs w:val="18"/>
              </w:rPr>
              <w:t>5</w:t>
            </w:r>
          </w:p>
          <w:p w14:paraId="52E9BD10" w14:textId="77777777" w:rsidR="002E1589" w:rsidRPr="006E6689" w:rsidRDefault="002E1589" w:rsidP="00AA76DE">
            <w:pPr>
              <w:pStyle w:val="TableBullet"/>
              <w:numPr>
                <w:ilvl w:val="0"/>
                <w:numId w:val="0"/>
              </w:numPr>
              <w:tabs>
                <w:tab w:val="left" w:pos="720"/>
              </w:tabs>
              <w:spacing w:before="60"/>
              <w:ind w:right="170"/>
              <w:rPr>
                <w:rFonts w:cs="Arial"/>
                <w:szCs w:val="18"/>
                <w:lang w:eastAsia="en-NZ"/>
              </w:rPr>
            </w:pPr>
            <w:r w:rsidRPr="006E6689">
              <w:rPr>
                <w:rFonts w:cs="Arial"/>
                <w:szCs w:val="18"/>
                <w:lang w:eastAsia="en-NZ"/>
              </w:rPr>
              <w:t>Quarterly monitoring of the national nurse lead role and six-monthly monitoring of DHBs</w:t>
            </w:r>
          </w:p>
          <w:p w14:paraId="6C06FE14" w14:textId="77777777" w:rsidR="002E1589" w:rsidRDefault="002E1589" w:rsidP="00AA76DE">
            <w:pPr>
              <w:pStyle w:val="TableBullet"/>
              <w:numPr>
                <w:ilvl w:val="0"/>
                <w:numId w:val="0"/>
              </w:numPr>
              <w:tabs>
                <w:tab w:val="left" w:pos="720"/>
              </w:tabs>
              <w:spacing w:before="60"/>
              <w:ind w:right="170"/>
              <w:rPr>
                <w:rFonts w:cs="Arial"/>
                <w:szCs w:val="18"/>
                <w:lang w:eastAsia="en-NZ"/>
              </w:rPr>
            </w:pPr>
            <w:r w:rsidRPr="002F7346">
              <w:rPr>
                <w:rFonts w:cs="Arial"/>
                <w:szCs w:val="18"/>
                <w:lang w:eastAsia="en-NZ"/>
              </w:rPr>
              <w:t>Service Improvement Fund project milestones met</w:t>
            </w:r>
          </w:p>
          <w:p w14:paraId="634E3B5A" w14:textId="77777777" w:rsidR="002E1589" w:rsidRPr="006E6689" w:rsidRDefault="002E1589" w:rsidP="00AA76DE">
            <w:pPr>
              <w:pStyle w:val="TableBullet"/>
              <w:numPr>
                <w:ilvl w:val="0"/>
                <w:numId w:val="0"/>
              </w:numPr>
              <w:tabs>
                <w:tab w:val="left" w:pos="720"/>
              </w:tabs>
              <w:spacing w:before="60"/>
              <w:ind w:right="170"/>
              <w:rPr>
                <w:szCs w:val="18"/>
              </w:rPr>
            </w:pPr>
            <w:r>
              <w:rPr>
                <w:rFonts w:cs="Arial"/>
                <w:szCs w:val="18"/>
                <w:lang w:eastAsia="en-NZ"/>
              </w:rPr>
              <w:t>Quarterly DHB monitoring through policy priority 24</w:t>
            </w:r>
            <w:r w:rsidR="00F94B1A">
              <w:rPr>
                <w:rStyle w:val="FootnoteReference"/>
                <w:rFonts w:cs="Arial"/>
                <w:szCs w:val="18"/>
                <w:lang w:eastAsia="en-NZ"/>
              </w:rPr>
              <w:footnoteReference w:id="4"/>
            </w:r>
          </w:p>
        </w:tc>
      </w:tr>
      <w:tr w:rsidR="002E1589" w:rsidRPr="002F0F41" w14:paraId="464FFC1D" w14:textId="77777777" w:rsidTr="00F448E1">
        <w:trPr>
          <w:cantSplit/>
        </w:trPr>
        <w:tc>
          <w:tcPr>
            <w:tcW w:w="502" w:type="pct"/>
            <w:vMerge/>
            <w:tcBorders>
              <w:top w:val="single" w:sz="4" w:space="0" w:color="auto"/>
              <w:left w:val="nil"/>
              <w:bottom w:val="single" w:sz="4" w:space="0" w:color="BFBFBF" w:themeColor="background1" w:themeShade="BF"/>
              <w:right w:val="nil"/>
            </w:tcBorders>
            <w:textDirection w:val="btLr"/>
          </w:tcPr>
          <w:p w14:paraId="1CF8D8DB" w14:textId="77777777" w:rsidR="002E1589" w:rsidRPr="006E6689" w:rsidRDefault="002E1589" w:rsidP="003D48B4">
            <w:pPr>
              <w:pStyle w:val="TableText"/>
              <w:ind w:left="113" w:right="113"/>
              <w:rPr>
                <w:rFonts w:cs="Arial"/>
                <w:b/>
                <w:szCs w:val="18"/>
                <w:lang w:eastAsia="en-NZ"/>
              </w:rPr>
            </w:pPr>
          </w:p>
        </w:tc>
        <w:tc>
          <w:tcPr>
            <w:tcW w:w="709" w:type="pct"/>
            <w:vMerge/>
            <w:tcBorders>
              <w:top w:val="single" w:sz="4" w:space="0" w:color="auto"/>
              <w:left w:val="nil"/>
              <w:bottom w:val="single" w:sz="4" w:space="0" w:color="A6A6A6" w:themeColor="background1" w:themeShade="A6"/>
              <w:right w:val="nil"/>
            </w:tcBorders>
          </w:tcPr>
          <w:p w14:paraId="11A40B93" w14:textId="77777777" w:rsidR="002E1589" w:rsidRPr="006E6689" w:rsidRDefault="002E1589" w:rsidP="003D48B4">
            <w:pPr>
              <w:pStyle w:val="TableText"/>
              <w:rPr>
                <w:rFonts w:cs="Arial"/>
                <w:szCs w:val="18"/>
                <w:lang w:eastAsia="en-NZ"/>
              </w:rPr>
            </w:pPr>
          </w:p>
        </w:tc>
        <w:tc>
          <w:tcPr>
            <w:tcW w:w="1971" w:type="pct"/>
            <w:tcBorders>
              <w:top w:val="single" w:sz="4" w:space="0" w:color="A6A6A6" w:themeColor="background1" w:themeShade="A6"/>
              <w:left w:val="nil"/>
              <w:bottom w:val="single" w:sz="4" w:space="0" w:color="BFBFBF" w:themeColor="background1" w:themeShade="BF"/>
              <w:right w:val="nil"/>
            </w:tcBorders>
          </w:tcPr>
          <w:p w14:paraId="5D5CBADA" w14:textId="3E89D4BE" w:rsidR="002E1589" w:rsidRPr="006E6689" w:rsidRDefault="002E1589" w:rsidP="00F448E1">
            <w:pPr>
              <w:pStyle w:val="TableText"/>
              <w:tabs>
                <w:tab w:val="left" w:pos="85"/>
              </w:tabs>
              <w:ind w:right="142"/>
              <w:rPr>
                <w:rFonts w:cs="Arial"/>
                <w:szCs w:val="18"/>
                <w:lang w:eastAsia="en-NZ"/>
              </w:rPr>
            </w:pPr>
            <w:r>
              <w:rPr>
                <w:rFonts w:cs="Arial"/>
                <w:szCs w:val="18"/>
                <w:lang w:eastAsia="en-NZ"/>
              </w:rPr>
              <w:t xml:space="preserve">develop </w:t>
            </w:r>
            <w:r w:rsidRPr="00384718">
              <w:rPr>
                <w:rFonts w:cs="Arial"/>
                <w:b/>
                <w:szCs w:val="18"/>
                <w:lang w:eastAsia="en-NZ"/>
              </w:rPr>
              <w:t>radiation oncology</w:t>
            </w:r>
            <w:r>
              <w:rPr>
                <w:rFonts w:cs="Arial"/>
                <w:szCs w:val="18"/>
                <w:lang w:eastAsia="en-NZ"/>
              </w:rPr>
              <w:t xml:space="preserve"> metrics, a production planning tool and produce the next iteration of</w:t>
            </w:r>
            <w:r w:rsidRPr="006E6689">
              <w:rPr>
                <w:rFonts w:cs="Arial"/>
                <w:szCs w:val="18"/>
                <w:lang w:eastAsia="en-NZ"/>
              </w:rPr>
              <w:t xml:space="preserve"> </w:t>
            </w:r>
            <w:r w:rsidRPr="006E6689">
              <w:rPr>
                <w:rFonts w:cs="Arial"/>
                <w:i/>
                <w:szCs w:val="18"/>
                <w:lang w:eastAsia="en-NZ"/>
              </w:rPr>
              <w:t>Radiation Oncology National Linear Accelerator and Workforce Plan</w:t>
            </w:r>
            <w:r w:rsidRPr="006E6689">
              <w:rPr>
                <w:rFonts w:cs="Arial"/>
                <w:szCs w:val="18"/>
                <w:lang w:eastAsia="en-NZ"/>
              </w:rPr>
              <w:t xml:space="preserve"> (</w:t>
            </w:r>
            <w:r w:rsidR="00F448E1">
              <w:rPr>
                <w:rFonts w:cs="Arial"/>
                <w:szCs w:val="18"/>
                <w:lang w:eastAsia="en-NZ"/>
              </w:rPr>
              <w:t>Health Partners Consulting Group</w:t>
            </w:r>
            <w:r w:rsidRPr="006E6689">
              <w:rPr>
                <w:rFonts w:cs="Arial"/>
                <w:szCs w:val="18"/>
                <w:lang w:eastAsia="en-NZ"/>
              </w:rPr>
              <w:t xml:space="preserve"> 2014)</w:t>
            </w:r>
          </w:p>
        </w:tc>
        <w:tc>
          <w:tcPr>
            <w:tcW w:w="1818" w:type="pct"/>
            <w:tcBorders>
              <w:top w:val="single" w:sz="4" w:space="0" w:color="A6A6A6" w:themeColor="background1" w:themeShade="A6"/>
              <w:left w:val="nil"/>
              <w:bottom w:val="single" w:sz="4" w:space="0" w:color="BFBFBF" w:themeColor="background1" w:themeShade="BF"/>
              <w:right w:val="nil"/>
            </w:tcBorders>
          </w:tcPr>
          <w:p w14:paraId="49791CBB" w14:textId="77777777" w:rsidR="002E1589" w:rsidRPr="006E6689" w:rsidRDefault="002E1589" w:rsidP="003D48B4">
            <w:pPr>
              <w:pStyle w:val="TableBullet"/>
              <w:numPr>
                <w:ilvl w:val="0"/>
                <w:numId w:val="0"/>
              </w:numPr>
              <w:tabs>
                <w:tab w:val="left" w:pos="720"/>
              </w:tabs>
              <w:spacing w:before="60"/>
              <w:ind w:right="170"/>
              <w:rPr>
                <w:szCs w:val="18"/>
              </w:rPr>
            </w:pPr>
            <w:r>
              <w:rPr>
                <w:szCs w:val="18"/>
              </w:rPr>
              <w:t xml:space="preserve">Updated radiation oncology plan, ready </w:t>
            </w:r>
            <w:r w:rsidR="003A74AE">
              <w:rPr>
                <w:szCs w:val="18"/>
              </w:rPr>
              <w:t>for publication by 30 June 2016</w:t>
            </w:r>
          </w:p>
        </w:tc>
      </w:tr>
      <w:tr w:rsidR="003A74AE" w:rsidRPr="002F0F41" w14:paraId="6933A3DC" w14:textId="77777777" w:rsidTr="00F448E1">
        <w:trPr>
          <w:cantSplit/>
        </w:trPr>
        <w:tc>
          <w:tcPr>
            <w:tcW w:w="502" w:type="pct"/>
            <w:vMerge/>
            <w:tcBorders>
              <w:top w:val="single" w:sz="4" w:space="0" w:color="BFBFBF" w:themeColor="background1" w:themeShade="BF"/>
              <w:left w:val="nil"/>
              <w:bottom w:val="single" w:sz="4" w:space="0" w:color="A6A6A6" w:themeColor="background1" w:themeShade="A6"/>
              <w:right w:val="nil"/>
            </w:tcBorders>
            <w:shd w:val="clear" w:color="auto" w:fill="auto"/>
            <w:textDirection w:val="btLr"/>
          </w:tcPr>
          <w:p w14:paraId="0587B7A2" w14:textId="77777777" w:rsidR="003A74AE" w:rsidRPr="006E6689" w:rsidRDefault="003A74AE" w:rsidP="003D48B4">
            <w:pPr>
              <w:pStyle w:val="TableText"/>
              <w:ind w:left="113" w:right="113"/>
              <w:rPr>
                <w:rFonts w:cs="Arial"/>
                <w:b/>
                <w:szCs w:val="18"/>
                <w:lang w:eastAsia="en-NZ"/>
              </w:rPr>
            </w:pPr>
          </w:p>
        </w:tc>
        <w:tc>
          <w:tcPr>
            <w:tcW w:w="709" w:type="pct"/>
            <w:tcBorders>
              <w:top w:val="single" w:sz="4" w:space="0" w:color="A6A6A6" w:themeColor="background1" w:themeShade="A6"/>
              <w:left w:val="nil"/>
              <w:bottom w:val="single" w:sz="4" w:space="0" w:color="A6A6A6" w:themeColor="background1" w:themeShade="A6"/>
              <w:right w:val="nil"/>
            </w:tcBorders>
            <w:shd w:val="clear" w:color="auto" w:fill="auto"/>
          </w:tcPr>
          <w:p w14:paraId="429C8630" w14:textId="77777777" w:rsidR="003A74AE" w:rsidRPr="006E6689" w:rsidRDefault="000B4AF7" w:rsidP="003D48B4">
            <w:pPr>
              <w:pStyle w:val="TableText"/>
              <w:rPr>
                <w:rFonts w:cs="Arial"/>
                <w:szCs w:val="18"/>
                <w:lang w:eastAsia="en-NZ"/>
              </w:rPr>
            </w:pPr>
            <w:r>
              <w:rPr>
                <w:rFonts w:cs="Arial"/>
                <w:szCs w:val="18"/>
                <w:lang w:eastAsia="en-NZ"/>
              </w:rPr>
              <w:t>The regional cancer networks will</w:t>
            </w:r>
          </w:p>
        </w:tc>
        <w:tc>
          <w:tcPr>
            <w:tcW w:w="1971" w:type="pct"/>
            <w:tcBorders>
              <w:top w:val="single" w:sz="4" w:space="0" w:color="BFBFBF" w:themeColor="background1" w:themeShade="BF"/>
              <w:left w:val="nil"/>
              <w:bottom w:val="single" w:sz="4" w:space="0" w:color="A6A6A6" w:themeColor="background1" w:themeShade="A6"/>
              <w:right w:val="nil"/>
            </w:tcBorders>
            <w:shd w:val="clear" w:color="auto" w:fill="auto"/>
          </w:tcPr>
          <w:p w14:paraId="09D4AC18" w14:textId="77777777" w:rsidR="003A74AE" w:rsidRDefault="003A74AE" w:rsidP="00DA7974">
            <w:pPr>
              <w:pStyle w:val="TableText"/>
              <w:tabs>
                <w:tab w:val="left" w:pos="85"/>
              </w:tabs>
              <w:ind w:right="142"/>
              <w:rPr>
                <w:rFonts w:cs="Arial"/>
                <w:szCs w:val="18"/>
                <w:lang w:eastAsia="en-NZ"/>
              </w:rPr>
            </w:pPr>
            <w:r>
              <w:rPr>
                <w:rFonts w:cs="Arial"/>
                <w:szCs w:val="18"/>
                <w:lang w:eastAsia="en-NZ"/>
              </w:rPr>
              <w:t>support Auckland and Waikato</w:t>
            </w:r>
            <w:r w:rsidR="00A51CA6">
              <w:rPr>
                <w:rFonts w:cs="Arial"/>
                <w:szCs w:val="18"/>
                <w:lang w:eastAsia="en-NZ"/>
              </w:rPr>
              <w:t xml:space="preserve"> DHBs to finalise </w:t>
            </w:r>
            <w:r w:rsidR="00DA7974" w:rsidRPr="00F94B1A">
              <w:rPr>
                <w:rFonts w:cs="Arial"/>
                <w:szCs w:val="18"/>
                <w:lang w:eastAsia="en-NZ"/>
              </w:rPr>
              <w:t>proposed service configuration</w:t>
            </w:r>
            <w:r w:rsidRPr="00F94B1A">
              <w:rPr>
                <w:rFonts w:cs="Arial"/>
                <w:szCs w:val="18"/>
                <w:lang w:eastAsia="en-NZ"/>
              </w:rPr>
              <w:t xml:space="preserve"> for</w:t>
            </w:r>
            <w:r>
              <w:rPr>
                <w:rFonts w:cs="Arial"/>
                <w:szCs w:val="18"/>
                <w:lang w:eastAsia="en-NZ"/>
              </w:rPr>
              <w:t xml:space="preserve"> </w:t>
            </w:r>
            <w:proofErr w:type="spellStart"/>
            <w:r>
              <w:rPr>
                <w:rFonts w:cs="Arial"/>
                <w:szCs w:val="18"/>
                <w:lang w:eastAsia="en-NZ"/>
              </w:rPr>
              <w:t>gynae</w:t>
            </w:r>
            <w:proofErr w:type="spellEnd"/>
            <w:r w:rsidR="008861F2">
              <w:rPr>
                <w:rFonts w:cs="Arial"/>
                <w:szCs w:val="18"/>
                <w:lang w:eastAsia="en-NZ"/>
              </w:rPr>
              <w:t>-</w:t>
            </w:r>
            <w:r>
              <w:rPr>
                <w:rFonts w:cs="Arial"/>
                <w:szCs w:val="18"/>
                <w:lang w:eastAsia="en-NZ"/>
              </w:rPr>
              <w:t>oncology services in New Zealand</w:t>
            </w:r>
          </w:p>
        </w:tc>
        <w:tc>
          <w:tcPr>
            <w:tcW w:w="1818" w:type="pct"/>
            <w:tcBorders>
              <w:top w:val="single" w:sz="4" w:space="0" w:color="BFBFBF" w:themeColor="background1" w:themeShade="BF"/>
              <w:left w:val="nil"/>
              <w:bottom w:val="single" w:sz="4" w:space="0" w:color="A6A6A6" w:themeColor="background1" w:themeShade="A6"/>
              <w:right w:val="nil"/>
            </w:tcBorders>
            <w:shd w:val="clear" w:color="auto" w:fill="auto"/>
          </w:tcPr>
          <w:p w14:paraId="3EDAC13A" w14:textId="77777777" w:rsidR="003A74AE" w:rsidRDefault="00DA7974" w:rsidP="00DA7974">
            <w:pPr>
              <w:pStyle w:val="TableBullet"/>
              <w:numPr>
                <w:ilvl w:val="0"/>
                <w:numId w:val="0"/>
              </w:numPr>
              <w:tabs>
                <w:tab w:val="left" w:pos="720"/>
              </w:tabs>
              <w:spacing w:before="60"/>
              <w:ind w:right="170"/>
              <w:rPr>
                <w:szCs w:val="18"/>
              </w:rPr>
            </w:pPr>
            <w:r w:rsidRPr="00F94B1A">
              <w:rPr>
                <w:szCs w:val="18"/>
              </w:rPr>
              <w:t>Service configuration confirmed</w:t>
            </w:r>
            <w:r>
              <w:rPr>
                <w:szCs w:val="18"/>
              </w:rPr>
              <w:t xml:space="preserve"> by </w:t>
            </w:r>
            <w:r w:rsidR="008E0166">
              <w:rPr>
                <w:szCs w:val="18"/>
              </w:rPr>
              <w:t xml:space="preserve">1 July </w:t>
            </w:r>
            <w:r w:rsidR="003A74AE">
              <w:rPr>
                <w:szCs w:val="18"/>
              </w:rPr>
              <w:t>2016</w:t>
            </w:r>
          </w:p>
        </w:tc>
      </w:tr>
      <w:tr w:rsidR="002E1589" w:rsidRPr="002F0F41" w14:paraId="238FD0A8" w14:textId="77777777" w:rsidTr="003A74AE">
        <w:trPr>
          <w:cantSplit/>
        </w:trPr>
        <w:tc>
          <w:tcPr>
            <w:tcW w:w="502" w:type="pct"/>
            <w:vMerge/>
            <w:tcBorders>
              <w:top w:val="single" w:sz="4" w:space="0" w:color="auto"/>
              <w:left w:val="nil"/>
              <w:bottom w:val="single" w:sz="4" w:space="0" w:color="A6A6A6" w:themeColor="background1" w:themeShade="A6"/>
              <w:right w:val="nil"/>
            </w:tcBorders>
            <w:textDirection w:val="btLr"/>
          </w:tcPr>
          <w:p w14:paraId="7D222E4C" w14:textId="77777777" w:rsidR="002E1589" w:rsidRPr="006E6689" w:rsidRDefault="002E1589" w:rsidP="003D48B4">
            <w:pPr>
              <w:pStyle w:val="TableText"/>
              <w:ind w:left="113" w:right="113"/>
              <w:rPr>
                <w:rFonts w:cs="Arial"/>
                <w:b/>
                <w:szCs w:val="18"/>
                <w:lang w:eastAsia="en-NZ"/>
              </w:rPr>
            </w:pPr>
          </w:p>
        </w:tc>
        <w:tc>
          <w:tcPr>
            <w:tcW w:w="709" w:type="pct"/>
            <w:vMerge w:val="restart"/>
            <w:tcBorders>
              <w:top w:val="single" w:sz="4" w:space="0" w:color="A6A6A6" w:themeColor="background1" w:themeShade="A6"/>
              <w:left w:val="nil"/>
              <w:bottom w:val="single" w:sz="4" w:space="0" w:color="A6A6A6" w:themeColor="background1" w:themeShade="A6"/>
              <w:right w:val="nil"/>
            </w:tcBorders>
          </w:tcPr>
          <w:p w14:paraId="235711B9" w14:textId="77777777" w:rsidR="002E1589" w:rsidRPr="006E6689" w:rsidRDefault="000B4AF7" w:rsidP="003D48B4">
            <w:pPr>
              <w:pStyle w:val="TableText"/>
              <w:rPr>
                <w:rFonts w:cs="Arial"/>
                <w:szCs w:val="18"/>
                <w:lang w:eastAsia="en-NZ"/>
              </w:rPr>
            </w:pPr>
            <w:r>
              <w:rPr>
                <w:rFonts w:cs="Arial"/>
                <w:szCs w:val="18"/>
                <w:lang w:eastAsia="en-NZ"/>
              </w:rPr>
              <w:t>The Ministry will</w:t>
            </w:r>
          </w:p>
        </w:tc>
        <w:tc>
          <w:tcPr>
            <w:tcW w:w="1971" w:type="pct"/>
            <w:tcBorders>
              <w:top w:val="single" w:sz="4" w:space="0" w:color="A6A6A6" w:themeColor="background1" w:themeShade="A6"/>
              <w:left w:val="nil"/>
              <w:bottom w:val="single" w:sz="4" w:space="0" w:color="A6A6A6" w:themeColor="background1" w:themeShade="A6"/>
              <w:right w:val="nil"/>
            </w:tcBorders>
          </w:tcPr>
          <w:p w14:paraId="5E4FA046" w14:textId="77777777" w:rsidR="002E1589" w:rsidRPr="006E6689" w:rsidRDefault="002E1589" w:rsidP="002E1589">
            <w:pPr>
              <w:pStyle w:val="TableText"/>
              <w:tabs>
                <w:tab w:val="left" w:pos="85"/>
              </w:tabs>
              <w:ind w:right="142"/>
              <w:rPr>
                <w:rFonts w:cs="Arial"/>
                <w:szCs w:val="18"/>
                <w:lang w:eastAsia="en-NZ"/>
              </w:rPr>
            </w:pPr>
            <w:r w:rsidRPr="006E6689">
              <w:rPr>
                <w:rFonts w:cs="Arial"/>
                <w:szCs w:val="18"/>
                <w:lang w:eastAsia="en-NZ"/>
              </w:rPr>
              <w:t xml:space="preserve">continue to support DHBs to </w:t>
            </w:r>
            <w:r>
              <w:rPr>
                <w:rFonts w:cs="Arial"/>
                <w:szCs w:val="18"/>
                <w:lang w:eastAsia="en-NZ"/>
              </w:rPr>
              <w:t>improve</w:t>
            </w:r>
            <w:r w:rsidRPr="006E6689">
              <w:rPr>
                <w:rFonts w:cs="Arial"/>
                <w:szCs w:val="18"/>
                <w:lang w:eastAsia="en-NZ"/>
              </w:rPr>
              <w:t xml:space="preserve"> </w:t>
            </w:r>
            <w:r w:rsidRPr="006E6689">
              <w:rPr>
                <w:rFonts w:cs="Arial"/>
                <w:b/>
                <w:szCs w:val="18"/>
                <w:lang w:eastAsia="en-NZ"/>
              </w:rPr>
              <w:t xml:space="preserve">medical oncology </w:t>
            </w:r>
            <w:r>
              <w:rPr>
                <w:rFonts w:cs="Arial"/>
                <w:b/>
                <w:szCs w:val="18"/>
                <w:lang w:eastAsia="en-NZ"/>
              </w:rPr>
              <w:t>services</w:t>
            </w:r>
          </w:p>
        </w:tc>
        <w:tc>
          <w:tcPr>
            <w:tcW w:w="1818" w:type="pct"/>
            <w:tcBorders>
              <w:top w:val="single" w:sz="4" w:space="0" w:color="A6A6A6" w:themeColor="background1" w:themeShade="A6"/>
              <w:left w:val="nil"/>
              <w:bottom w:val="single" w:sz="4" w:space="0" w:color="A6A6A6" w:themeColor="background1" w:themeShade="A6"/>
              <w:right w:val="nil"/>
            </w:tcBorders>
          </w:tcPr>
          <w:p w14:paraId="2FC494DE" w14:textId="77777777" w:rsidR="002E1589" w:rsidRPr="006E6689" w:rsidRDefault="006A47F8" w:rsidP="006A47F8">
            <w:pPr>
              <w:pStyle w:val="TableBullet"/>
              <w:numPr>
                <w:ilvl w:val="0"/>
                <w:numId w:val="0"/>
              </w:numPr>
              <w:tabs>
                <w:tab w:val="left" w:pos="720"/>
              </w:tabs>
              <w:spacing w:before="60"/>
              <w:ind w:right="170"/>
              <w:rPr>
                <w:szCs w:val="18"/>
              </w:rPr>
            </w:pPr>
            <w:r>
              <w:rPr>
                <w:szCs w:val="18"/>
              </w:rPr>
              <w:t>Ongoing monitoring of i</w:t>
            </w:r>
            <w:r w:rsidR="002E1589">
              <w:rPr>
                <w:szCs w:val="18"/>
              </w:rPr>
              <w:t>mplementation of</w:t>
            </w:r>
            <w:r>
              <w:rPr>
                <w:szCs w:val="18"/>
              </w:rPr>
              <w:t xml:space="preserve"> the</w:t>
            </w:r>
            <w:r w:rsidR="002E1589">
              <w:rPr>
                <w:szCs w:val="18"/>
              </w:rPr>
              <w:t xml:space="preserve"> </w:t>
            </w:r>
            <w:r w:rsidR="002E1589" w:rsidRPr="006E6689">
              <w:rPr>
                <w:szCs w:val="18"/>
              </w:rPr>
              <w:t xml:space="preserve">Knowledge and Skills Framework for Cancer Nurses </w:t>
            </w:r>
            <w:r w:rsidR="002E1589">
              <w:rPr>
                <w:szCs w:val="18"/>
              </w:rPr>
              <w:t xml:space="preserve"> </w:t>
            </w:r>
          </w:p>
        </w:tc>
      </w:tr>
      <w:tr w:rsidR="002E1589" w:rsidRPr="002F0F41" w14:paraId="52C83AFE" w14:textId="77777777" w:rsidTr="002E1589">
        <w:trPr>
          <w:cantSplit/>
        </w:trPr>
        <w:tc>
          <w:tcPr>
            <w:tcW w:w="502" w:type="pct"/>
            <w:vMerge/>
            <w:tcBorders>
              <w:top w:val="single" w:sz="4" w:space="0" w:color="auto"/>
              <w:left w:val="nil"/>
              <w:bottom w:val="single" w:sz="4" w:space="0" w:color="A6A6A6" w:themeColor="background1" w:themeShade="A6"/>
              <w:right w:val="nil"/>
            </w:tcBorders>
            <w:textDirection w:val="btLr"/>
          </w:tcPr>
          <w:p w14:paraId="5F4485DC" w14:textId="77777777" w:rsidR="002E1589" w:rsidRPr="006E6689" w:rsidRDefault="002E1589" w:rsidP="003D48B4">
            <w:pPr>
              <w:pStyle w:val="TableText"/>
              <w:ind w:left="113" w:right="113"/>
              <w:rPr>
                <w:rFonts w:cs="Arial"/>
                <w:b/>
                <w:szCs w:val="18"/>
                <w:lang w:eastAsia="en-NZ"/>
              </w:rPr>
            </w:pPr>
          </w:p>
        </w:tc>
        <w:tc>
          <w:tcPr>
            <w:tcW w:w="709" w:type="pct"/>
            <w:vMerge/>
            <w:tcBorders>
              <w:top w:val="single" w:sz="4" w:space="0" w:color="A6A6A6" w:themeColor="background1" w:themeShade="A6"/>
              <w:left w:val="nil"/>
              <w:bottom w:val="single" w:sz="4" w:space="0" w:color="auto"/>
              <w:right w:val="nil"/>
            </w:tcBorders>
          </w:tcPr>
          <w:p w14:paraId="62D0380A" w14:textId="77777777" w:rsidR="002E1589" w:rsidRPr="006E6689" w:rsidRDefault="002E1589" w:rsidP="003D48B4">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14:paraId="6902BFC8" w14:textId="77777777" w:rsidR="002E1589" w:rsidRPr="006E6689" w:rsidRDefault="002E1589" w:rsidP="008861F2">
            <w:pPr>
              <w:pStyle w:val="TableText"/>
              <w:tabs>
                <w:tab w:val="left" w:pos="85"/>
              </w:tabs>
              <w:ind w:right="142"/>
              <w:rPr>
                <w:rFonts w:cs="Arial"/>
                <w:szCs w:val="18"/>
                <w:lang w:eastAsia="en-NZ"/>
              </w:rPr>
            </w:pPr>
            <w:r w:rsidRPr="00384718">
              <w:rPr>
                <w:rFonts w:cs="Arial"/>
                <w:szCs w:val="18"/>
              </w:rPr>
              <w:t xml:space="preserve">support the </w:t>
            </w:r>
            <w:r>
              <w:rPr>
                <w:rFonts w:cs="Arial"/>
                <w:b/>
                <w:szCs w:val="18"/>
              </w:rPr>
              <w:t xml:space="preserve">AYA Network </w:t>
            </w:r>
            <w:proofErr w:type="spellStart"/>
            <w:r w:rsidRPr="008E0166">
              <w:rPr>
                <w:rFonts w:cs="Arial"/>
                <w:b/>
                <w:szCs w:val="18"/>
              </w:rPr>
              <w:t>Aotearoa</w:t>
            </w:r>
            <w:proofErr w:type="spellEnd"/>
            <w:r w:rsidRPr="008E0166">
              <w:rPr>
                <w:rFonts w:cs="Arial"/>
                <w:b/>
                <w:szCs w:val="18"/>
              </w:rPr>
              <w:t xml:space="preserve"> </w:t>
            </w:r>
            <w:r w:rsidR="008E0166" w:rsidRPr="008E0166">
              <w:rPr>
                <w:rFonts w:cs="Arial"/>
                <w:szCs w:val="18"/>
              </w:rPr>
              <w:t xml:space="preserve">to </w:t>
            </w:r>
            <w:r w:rsidRPr="00384718">
              <w:rPr>
                <w:rFonts w:cs="Arial"/>
                <w:szCs w:val="18"/>
              </w:rPr>
              <w:t>deliver agreed work plan priorities</w:t>
            </w:r>
          </w:p>
        </w:tc>
        <w:tc>
          <w:tcPr>
            <w:tcW w:w="1818" w:type="pct"/>
            <w:tcBorders>
              <w:top w:val="single" w:sz="4" w:space="0" w:color="A6A6A6" w:themeColor="background1" w:themeShade="A6"/>
              <w:left w:val="nil"/>
              <w:bottom w:val="single" w:sz="4" w:space="0" w:color="A6A6A6" w:themeColor="background1" w:themeShade="A6"/>
              <w:right w:val="nil"/>
            </w:tcBorders>
          </w:tcPr>
          <w:p w14:paraId="298447EE" w14:textId="77777777" w:rsidR="002E1589" w:rsidRPr="006E6689" w:rsidRDefault="002E1589" w:rsidP="00F448E1">
            <w:pPr>
              <w:pStyle w:val="TableBullet"/>
              <w:tabs>
                <w:tab w:val="left" w:pos="720"/>
              </w:tabs>
              <w:spacing w:before="60"/>
              <w:ind w:left="0" w:right="170"/>
              <w:rPr>
                <w:szCs w:val="18"/>
              </w:rPr>
            </w:pPr>
            <w:r>
              <w:rPr>
                <w:szCs w:val="18"/>
              </w:rPr>
              <w:t xml:space="preserve">Develop </w:t>
            </w:r>
            <w:r>
              <w:rPr>
                <w:iCs/>
                <w:szCs w:val="18"/>
                <w:lang w:val="en-GB"/>
              </w:rPr>
              <w:t xml:space="preserve">standards </w:t>
            </w:r>
            <w:r w:rsidR="00F448E1">
              <w:rPr>
                <w:iCs/>
                <w:szCs w:val="18"/>
                <w:lang w:val="en-GB"/>
              </w:rPr>
              <w:t>that</w:t>
            </w:r>
            <w:r w:rsidRPr="00384718">
              <w:rPr>
                <w:iCs/>
                <w:szCs w:val="18"/>
                <w:lang w:val="en-GB"/>
              </w:rPr>
              <w:t xml:space="preserve"> describe the level and quality of service </w:t>
            </w:r>
            <w:r>
              <w:rPr>
                <w:iCs/>
                <w:szCs w:val="18"/>
                <w:lang w:val="en-GB"/>
              </w:rPr>
              <w:t>for 12-24 year olds with cancer by June 2016</w:t>
            </w:r>
            <w:r w:rsidRPr="00384718">
              <w:rPr>
                <w:iCs/>
                <w:szCs w:val="18"/>
                <w:lang w:val="en-GB"/>
              </w:rPr>
              <w:t>.</w:t>
            </w:r>
          </w:p>
        </w:tc>
      </w:tr>
      <w:tr w:rsidR="002E1589" w:rsidRPr="002F0F41" w14:paraId="6A1F17A4" w14:textId="77777777" w:rsidTr="002E1589">
        <w:trPr>
          <w:cantSplit/>
        </w:trPr>
        <w:tc>
          <w:tcPr>
            <w:tcW w:w="502" w:type="pct"/>
            <w:vMerge/>
            <w:tcBorders>
              <w:top w:val="single" w:sz="4" w:space="0" w:color="auto"/>
              <w:left w:val="nil"/>
              <w:bottom w:val="single" w:sz="4" w:space="0" w:color="A6A6A6" w:themeColor="background1" w:themeShade="A6"/>
              <w:right w:val="nil"/>
            </w:tcBorders>
            <w:textDirection w:val="btLr"/>
          </w:tcPr>
          <w:p w14:paraId="668C11B1" w14:textId="77777777" w:rsidR="002E1589" w:rsidRPr="006E6689" w:rsidRDefault="002E1589" w:rsidP="003D48B4">
            <w:pPr>
              <w:pStyle w:val="TableText"/>
              <w:ind w:left="113" w:right="113"/>
              <w:rPr>
                <w:rFonts w:cs="Arial"/>
                <w:b/>
                <w:szCs w:val="18"/>
                <w:lang w:eastAsia="en-NZ"/>
              </w:rPr>
            </w:pPr>
          </w:p>
        </w:tc>
        <w:tc>
          <w:tcPr>
            <w:tcW w:w="709" w:type="pct"/>
            <w:vMerge/>
            <w:tcBorders>
              <w:top w:val="nil"/>
              <w:left w:val="nil"/>
              <w:bottom w:val="single" w:sz="4" w:space="0" w:color="auto"/>
              <w:right w:val="nil"/>
            </w:tcBorders>
          </w:tcPr>
          <w:p w14:paraId="268F90F7" w14:textId="77777777" w:rsidR="002E1589" w:rsidRPr="006E6689" w:rsidRDefault="002E1589" w:rsidP="003D48B4">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14:paraId="6CB90927" w14:textId="77777777" w:rsidR="002E1589" w:rsidRPr="006E6689" w:rsidRDefault="002E1589" w:rsidP="006E6689">
            <w:pPr>
              <w:pStyle w:val="TableText"/>
              <w:ind w:right="142"/>
              <w:rPr>
                <w:rFonts w:cs="Arial"/>
                <w:szCs w:val="18"/>
              </w:rPr>
            </w:pPr>
            <w:r w:rsidRPr="006E6689">
              <w:rPr>
                <w:rFonts w:ascii="Arial Mäori" w:eastAsiaTheme="minorHAnsi" w:hAnsi="Arial Mäori" w:cs="Arial Mäori"/>
                <w:color w:val="000000"/>
                <w:szCs w:val="18"/>
                <w:lang w:eastAsia="en-US"/>
              </w:rPr>
              <w:t xml:space="preserve">continue to support the </w:t>
            </w:r>
            <w:r w:rsidRPr="006E6689">
              <w:rPr>
                <w:rFonts w:ascii="Arial Mäori" w:eastAsiaTheme="minorHAnsi" w:hAnsi="Arial Mäori" w:cs="Arial Mäori"/>
                <w:b/>
                <w:color w:val="000000"/>
                <w:szCs w:val="18"/>
                <w:lang w:eastAsia="en-US"/>
              </w:rPr>
              <w:t xml:space="preserve">National Child Cancer Network </w:t>
            </w:r>
            <w:r w:rsidRPr="006E6689">
              <w:rPr>
                <w:rFonts w:ascii="Arial Mäori" w:eastAsiaTheme="minorHAnsi" w:hAnsi="Arial Mäori" w:cs="Arial Mäori"/>
                <w:color w:val="000000"/>
                <w:szCs w:val="18"/>
                <w:lang w:eastAsia="en-US"/>
              </w:rPr>
              <w:t>to deli</w:t>
            </w:r>
            <w:r>
              <w:rPr>
                <w:rFonts w:ascii="Arial Mäori" w:eastAsiaTheme="minorHAnsi" w:hAnsi="Arial Mäori" w:cs="Arial Mäori"/>
                <w:color w:val="000000"/>
                <w:szCs w:val="18"/>
                <w:lang w:eastAsia="en-US"/>
              </w:rPr>
              <w:t>ver agreed work plan priorities</w:t>
            </w:r>
          </w:p>
        </w:tc>
        <w:tc>
          <w:tcPr>
            <w:tcW w:w="1818" w:type="pct"/>
            <w:tcBorders>
              <w:top w:val="single" w:sz="4" w:space="0" w:color="A6A6A6" w:themeColor="background1" w:themeShade="A6"/>
              <w:left w:val="nil"/>
              <w:bottom w:val="single" w:sz="4" w:space="0" w:color="A6A6A6" w:themeColor="background1" w:themeShade="A6"/>
              <w:right w:val="nil"/>
            </w:tcBorders>
          </w:tcPr>
          <w:p w14:paraId="11A10A91" w14:textId="77777777" w:rsidR="002E1589" w:rsidRPr="006E6689" w:rsidRDefault="002E1589" w:rsidP="003D48B4">
            <w:pPr>
              <w:pStyle w:val="TableText"/>
              <w:keepNext/>
              <w:rPr>
                <w:rFonts w:cs="Arial"/>
                <w:szCs w:val="18"/>
                <w:lang w:eastAsia="en-NZ"/>
              </w:rPr>
            </w:pPr>
            <w:r>
              <w:rPr>
                <w:szCs w:val="18"/>
              </w:rPr>
              <w:t>W</w:t>
            </w:r>
            <w:r w:rsidRPr="006E6689">
              <w:rPr>
                <w:szCs w:val="18"/>
              </w:rPr>
              <w:t>ork plan p</w:t>
            </w:r>
            <w:r>
              <w:rPr>
                <w:szCs w:val="18"/>
              </w:rPr>
              <w:t>riorities delivered by June 2016</w:t>
            </w:r>
          </w:p>
        </w:tc>
      </w:tr>
      <w:tr w:rsidR="002E1589" w:rsidRPr="002F0F41" w14:paraId="156EAFC2" w14:textId="77777777" w:rsidTr="002E1589">
        <w:trPr>
          <w:cantSplit/>
        </w:trPr>
        <w:tc>
          <w:tcPr>
            <w:tcW w:w="502" w:type="pct"/>
            <w:vMerge/>
            <w:tcBorders>
              <w:top w:val="single" w:sz="4" w:space="0" w:color="auto"/>
              <w:left w:val="nil"/>
              <w:bottom w:val="single" w:sz="4" w:space="0" w:color="A6A6A6" w:themeColor="background1" w:themeShade="A6"/>
              <w:right w:val="nil"/>
            </w:tcBorders>
            <w:textDirection w:val="btLr"/>
          </w:tcPr>
          <w:p w14:paraId="45DAECE8" w14:textId="77777777" w:rsidR="002E1589" w:rsidRPr="006E6689" w:rsidRDefault="002E1589" w:rsidP="003D48B4">
            <w:pPr>
              <w:pStyle w:val="TableText"/>
              <w:ind w:left="113" w:right="113"/>
              <w:rPr>
                <w:rFonts w:cs="Arial"/>
                <w:b/>
                <w:szCs w:val="18"/>
                <w:lang w:eastAsia="en-NZ"/>
              </w:rPr>
            </w:pPr>
          </w:p>
        </w:tc>
        <w:tc>
          <w:tcPr>
            <w:tcW w:w="709" w:type="pct"/>
            <w:vMerge/>
            <w:tcBorders>
              <w:top w:val="nil"/>
              <w:left w:val="nil"/>
              <w:bottom w:val="single" w:sz="4" w:space="0" w:color="A6A6A6" w:themeColor="background1" w:themeShade="A6"/>
              <w:right w:val="nil"/>
            </w:tcBorders>
          </w:tcPr>
          <w:p w14:paraId="7ABF638F" w14:textId="77777777" w:rsidR="002E1589" w:rsidRPr="006E6689" w:rsidRDefault="002E1589" w:rsidP="003D48B4">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14:paraId="1B5B58A4" w14:textId="77777777" w:rsidR="002E1589" w:rsidRPr="006E6689" w:rsidRDefault="002E1589" w:rsidP="006E6689">
            <w:pPr>
              <w:pStyle w:val="TableText"/>
              <w:ind w:right="142"/>
              <w:rPr>
                <w:rFonts w:ascii="Arial Mäori" w:eastAsiaTheme="minorHAnsi" w:hAnsi="Arial Mäori" w:cs="Arial Mäori"/>
                <w:color w:val="000000"/>
                <w:szCs w:val="18"/>
                <w:lang w:eastAsia="en-US"/>
              </w:rPr>
            </w:pPr>
            <w:r w:rsidRPr="006E6689">
              <w:rPr>
                <w:rFonts w:ascii="Arial Mäori" w:eastAsiaTheme="minorHAnsi" w:hAnsi="Arial Mäori" w:cs="Arial Mäori"/>
                <w:color w:val="000000"/>
                <w:szCs w:val="18"/>
                <w:lang w:eastAsia="en-US"/>
              </w:rPr>
              <w:t xml:space="preserve">continue to support DHBs to improve </w:t>
            </w:r>
            <w:r w:rsidRPr="006E6689">
              <w:rPr>
                <w:rFonts w:ascii="Arial Mäori" w:eastAsiaTheme="minorHAnsi" w:hAnsi="Arial Mäori" w:cs="Arial Mäori"/>
                <w:b/>
                <w:color w:val="000000"/>
                <w:szCs w:val="18"/>
                <w:lang w:eastAsia="en-US"/>
              </w:rPr>
              <w:t>timely access to colonoscopy</w:t>
            </w:r>
          </w:p>
        </w:tc>
        <w:tc>
          <w:tcPr>
            <w:tcW w:w="1818" w:type="pct"/>
            <w:tcBorders>
              <w:top w:val="single" w:sz="4" w:space="0" w:color="A6A6A6" w:themeColor="background1" w:themeShade="A6"/>
              <w:left w:val="nil"/>
              <w:bottom w:val="single" w:sz="4" w:space="0" w:color="A6A6A6" w:themeColor="background1" w:themeShade="A6"/>
              <w:right w:val="nil"/>
            </w:tcBorders>
          </w:tcPr>
          <w:p w14:paraId="1A645071" w14:textId="77777777" w:rsidR="002E1589" w:rsidRPr="006E6689" w:rsidRDefault="0030267F" w:rsidP="006E6689">
            <w:pPr>
              <w:pStyle w:val="TableText"/>
              <w:keepNext/>
              <w:rPr>
                <w:szCs w:val="18"/>
              </w:rPr>
            </w:pPr>
            <w:r>
              <w:rPr>
                <w:szCs w:val="18"/>
                <w:lang w:eastAsia="en-NZ"/>
              </w:rPr>
              <w:t xml:space="preserve">Achievement of the colonoscopy wait time indicator </w:t>
            </w:r>
            <w:r w:rsidRPr="002F7346">
              <w:rPr>
                <w:rFonts w:cs="Arial"/>
                <w:szCs w:val="18"/>
                <w:lang w:eastAsia="en-NZ"/>
              </w:rPr>
              <w:t>policy priority 29</w:t>
            </w:r>
            <w:r w:rsidR="00F94B1A">
              <w:rPr>
                <w:rStyle w:val="FootnoteReference"/>
                <w:rFonts w:cs="Arial"/>
                <w:szCs w:val="18"/>
                <w:lang w:eastAsia="en-NZ"/>
              </w:rPr>
              <w:footnoteReference w:id="5"/>
            </w:r>
          </w:p>
        </w:tc>
      </w:tr>
      <w:tr w:rsidR="00283C4A" w:rsidRPr="002F0F41" w14:paraId="221326B3" w14:textId="77777777" w:rsidTr="00F448E1">
        <w:trPr>
          <w:cantSplit/>
          <w:trHeight w:val="70"/>
        </w:trPr>
        <w:tc>
          <w:tcPr>
            <w:tcW w:w="502" w:type="pct"/>
            <w:vMerge w:val="restart"/>
            <w:tcBorders>
              <w:top w:val="single" w:sz="4" w:space="0" w:color="A6A6A6" w:themeColor="background1" w:themeShade="A6"/>
              <w:left w:val="nil"/>
              <w:bottom w:val="nil"/>
              <w:right w:val="nil"/>
            </w:tcBorders>
            <w:textDirection w:val="btLr"/>
          </w:tcPr>
          <w:p w14:paraId="52595B80" w14:textId="77777777" w:rsidR="00283C4A" w:rsidRPr="006E6689" w:rsidRDefault="00283C4A" w:rsidP="003D48B4">
            <w:pPr>
              <w:pStyle w:val="TableText"/>
              <w:ind w:left="113" w:right="113"/>
              <w:jc w:val="center"/>
              <w:rPr>
                <w:rFonts w:cs="Arial"/>
                <w:b/>
                <w:szCs w:val="18"/>
                <w:lang w:eastAsia="en-NZ"/>
              </w:rPr>
            </w:pPr>
            <w:r w:rsidRPr="006E6689">
              <w:rPr>
                <w:rFonts w:cs="Arial"/>
                <w:b/>
                <w:szCs w:val="18"/>
                <w:lang w:eastAsia="en-NZ"/>
              </w:rPr>
              <w:t>Enablers</w:t>
            </w:r>
          </w:p>
        </w:tc>
        <w:tc>
          <w:tcPr>
            <w:tcW w:w="709" w:type="pct"/>
            <w:vMerge w:val="restart"/>
            <w:tcBorders>
              <w:top w:val="single" w:sz="4" w:space="0" w:color="A6A6A6" w:themeColor="background1" w:themeShade="A6"/>
              <w:left w:val="nil"/>
              <w:bottom w:val="single" w:sz="4" w:space="0" w:color="A6A6A6" w:themeColor="background1" w:themeShade="A6"/>
              <w:right w:val="nil"/>
            </w:tcBorders>
          </w:tcPr>
          <w:p w14:paraId="491815EA" w14:textId="77777777" w:rsidR="00283C4A" w:rsidRDefault="00283C4A" w:rsidP="003D48B4">
            <w:pPr>
              <w:pStyle w:val="TableText"/>
              <w:rPr>
                <w:rFonts w:cs="Arial"/>
                <w:szCs w:val="18"/>
                <w:lang w:eastAsia="en-NZ"/>
              </w:rPr>
            </w:pPr>
            <w:r w:rsidRPr="006E6689">
              <w:rPr>
                <w:rFonts w:cs="Arial"/>
                <w:szCs w:val="18"/>
                <w:lang w:eastAsia="en-NZ"/>
              </w:rPr>
              <w:t>The Ministry will</w:t>
            </w:r>
          </w:p>
          <w:p w14:paraId="3C0D98BC" w14:textId="77777777" w:rsidR="0002647C" w:rsidRPr="006E6689" w:rsidRDefault="0002647C" w:rsidP="003D48B4">
            <w:pPr>
              <w:pStyle w:val="TableText"/>
              <w:rPr>
                <w:rFonts w:cs="Arial"/>
                <w:szCs w:val="18"/>
                <w:lang w:eastAsia="en-NZ"/>
              </w:rPr>
            </w:pPr>
          </w:p>
        </w:tc>
        <w:tc>
          <w:tcPr>
            <w:tcW w:w="1971" w:type="pct"/>
            <w:tcBorders>
              <w:top w:val="single" w:sz="4" w:space="0" w:color="A6A6A6" w:themeColor="background1" w:themeShade="A6"/>
              <w:left w:val="nil"/>
              <w:bottom w:val="nil"/>
              <w:right w:val="nil"/>
            </w:tcBorders>
          </w:tcPr>
          <w:p w14:paraId="70A93F42" w14:textId="77777777" w:rsidR="00F448E1" w:rsidRPr="004A4240" w:rsidRDefault="00F448E1" w:rsidP="00F448E1">
            <w:pPr>
              <w:pStyle w:val="TableText"/>
              <w:tabs>
                <w:tab w:val="left" w:pos="85"/>
              </w:tabs>
              <w:ind w:right="142"/>
              <w:rPr>
                <w:rFonts w:cs="Arial"/>
                <w:b/>
                <w:szCs w:val="18"/>
                <w:lang w:eastAsia="en-NZ"/>
              </w:rPr>
            </w:pPr>
            <w:r w:rsidRPr="004A4240">
              <w:rPr>
                <w:rFonts w:cs="Arial"/>
                <w:szCs w:val="18"/>
                <w:lang w:eastAsia="en-NZ"/>
              </w:rPr>
              <w:t xml:space="preserve">implement the </w:t>
            </w:r>
            <w:r w:rsidRPr="004A4240">
              <w:rPr>
                <w:rFonts w:cs="Arial"/>
                <w:b/>
                <w:szCs w:val="18"/>
                <w:lang w:eastAsia="en-NZ"/>
              </w:rPr>
              <w:t>Cancer Health Information Strategy</w:t>
            </w:r>
          </w:p>
          <w:p w14:paraId="27ECB473" w14:textId="77777777" w:rsidR="00283C4A" w:rsidRPr="006E6689" w:rsidRDefault="00283C4A" w:rsidP="003D48B4">
            <w:pPr>
              <w:pStyle w:val="TableText"/>
              <w:tabs>
                <w:tab w:val="left" w:pos="85"/>
              </w:tabs>
              <w:rPr>
                <w:szCs w:val="18"/>
              </w:rPr>
            </w:pPr>
          </w:p>
        </w:tc>
        <w:tc>
          <w:tcPr>
            <w:tcW w:w="1818" w:type="pct"/>
            <w:tcBorders>
              <w:top w:val="single" w:sz="4" w:space="0" w:color="A6A6A6" w:themeColor="background1" w:themeShade="A6"/>
              <w:left w:val="nil"/>
              <w:bottom w:val="nil"/>
              <w:right w:val="nil"/>
            </w:tcBorders>
          </w:tcPr>
          <w:p w14:paraId="3ED361CA" w14:textId="77777777" w:rsidR="00F448E1" w:rsidRDefault="00F448E1" w:rsidP="00F448E1">
            <w:pPr>
              <w:pStyle w:val="TableText"/>
              <w:tabs>
                <w:tab w:val="left" w:pos="85"/>
              </w:tabs>
              <w:rPr>
                <w:szCs w:val="18"/>
              </w:rPr>
            </w:pPr>
            <w:r>
              <w:rPr>
                <w:szCs w:val="18"/>
              </w:rPr>
              <w:t>Establish governance board by December 2015</w:t>
            </w:r>
          </w:p>
          <w:p w14:paraId="4E5B5D32" w14:textId="77777777" w:rsidR="00283C4A" w:rsidRPr="006E6689" w:rsidRDefault="00F448E1" w:rsidP="00F448E1">
            <w:pPr>
              <w:pStyle w:val="TableText"/>
              <w:tabs>
                <w:tab w:val="left" w:pos="85"/>
              </w:tabs>
              <w:rPr>
                <w:szCs w:val="18"/>
              </w:rPr>
            </w:pPr>
            <w:r w:rsidRPr="004A4240">
              <w:rPr>
                <w:szCs w:val="18"/>
              </w:rPr>
              <w:t>Implementation priorities identified and activities commenced by June 2016</w:t>
            </w:r>
          </w:p>
        </w:tc>
      </w:tr>
      <w:tr w:rsidR="006E6689" w:rsidRPr="002F0F41" w14:paraId="06301D16" w14:textId="77777777" w:rsidTr="006E6689">
        <w:trPr>
          <w:cantSplit/>
        </w:trPr>
        <w:tc>
          <w:tcPr>
            <w:tcW w:w="502" w:type="pct"/>
            <w:vMerge/>
            <w:tcBorders>
              <w:top w:val="nil"/>
              <w:left w:val="nil"/>
              <w:bottom w:val="nil"/>
              <w:right w:val="nil"/>
            </w:tcBorders>
            <w:textDirection w:val="btLr"/>
          </w:tcPr>
          <w:p w14:paraId="53C06B35" w14:textId="77777777" w:rsidR="00F40DF5" w:rsidRPr="006E6689" w:rsidRDefault="00F40DF5" w:rsidP="003D48B4">
            <w:pPr>
              <w:pStyle w:val="TableText"/>
              <w:ind w:left="113" w:right="113"/>
              <w:rPr>
                <w:rFonts w:cs="Arial"/>
                <w:b/>
                <w:szCs w:val="18"/>
                <w:lang w:eastAsia="en-NZ"/>
              </w:rPr>
            </w:pPr>
          </w:p>
        </w:tc>
        <w:tc>
          <w:tcPr>
            <w:tcW w:w="709" w:type="pct"/>
            <w:vMerge/>
            <w:tcBorders>
              <w:top w:val="nil"/>
              <w:left w:val="nil"/>
              <w:bottom w:val="nil"/>
              <w:right w:val="nil"/>
            </w:tcBorders>
          </w:tcPr>
          <w:p w14:paraId="17DDA35A" w14:textId="77777777" w:rsidR="00F40DF5" w:rsidRPr="006E6689" w:rsidRDefault="00F40DF5" w:rsidP="003D48B4">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14:paraId="2CD07808" w14:textId="77777777" w:rsidR="00F40DF5" w:rsidRPr="006E6689" w:rsidRDefault="004D7511" w:rsidP="002E1589">
            <w:pPr>
              <w:pStyle w:val="TableText"/>
              <w:tabs>
                <w:tab w:val="left" w:pos="85"/>
              </w:tabs>
              <w:ind w:right="142"/>
              <w:rPr>
                <w:rFonts w:cs="Arial"/>
                <w:szCs w:val="18"/>
                <w:lang w:eastAsia="en-NZ"/>
              </w:rPr>
            </w:pPr>
            <w:r>
              <w:rPr>
                <w:rFonts w:cs="Arial"/>
                <w:szCs w:val="18"/>
                <w:lang w:eastAsia="en-NZ"/>
              </w:rPr>
              <w:t xml:space="preserve">support DHBs to </w:t>
            </w:r>
            <w:r w:rsidR="002E1589">
              <w:rPr>
                <w:rFonts w:cs="Arial"/>
                <w:szCs w:val="18"/>
                <w:lang w:eastAsia="en-NZ"/>
              </w:rPr>
              <w:t>implement the</w:t>
            </w:r>
            <w:r w:rsidR="00F40DF5" w:rsidRPr="006E6689">
              <w:rPr>
                <w:rFonts w:cs="Arial"/>
                <w:szCs w:val="18"/>
                <w:lang w:eastAsia="en-NZ"/>
              </w:rPr>
              <w:t xml:space="preserve"> </w:t>
            </w:r>
            <w:r w:rsidR="00F40DF5" w:rsidRPr="002E1589">
              <w:rPr>
                <w:rFonts w:cs="Arial"/>
                <w:b/>
                <w:szCs w:val="18"/>
                <w:lang w:eastAsia="en-NZ"/>
              </w:rPr>
              <w:t>psychological and</w:t>
            </w:r>
            <w:r w:rsidR="00F40DF5" w:rsidRPr="006E6689">
              <w:rPr>
                <w:rFonts w:cs="Arial"/>
                <w:szCs w:val="18"/>
                <w:lang w:eastAsia="en-NZ"/>
              </w:rPr>
              <w:t xml:space="preserve"> </w:t>
            </w:r>
            <w:r w:rsidR="00F40DF5" w:rsidRPr="006E6689">
              <w:rPr>
                <w:rFonts w:cs="Arial"/>
                <w:b/>
                <w:szCs w:val="18"/>
                <w:lang w:eastAsia="en-NZ"/>
              </w:rPr>
              <w:t xml:space="preserve">social support </w:t>
            </w:r>
            <w:r w:rsidR="002E1589">
              <w:rPr>
                <w:rFonts w:cs="Arial"/>
                <w:b/>
                <w:szCs w:val="18"/>
                <w:lang w:eastAsia="en-NZ"/>
              </w:rPr>
              <w:t>workforce initiative</w:t>
            </w:r>
          </w:p>
        </w:tc>
        <w:tc>
          <w:tcPr>
            <w:tcW w:w="1818" w:type="pct"/>
            <w:tcBorders>
              <w:top w:val="single" w:sz="4" w:space="0" w:color="A6A6A6" w:themeColor="background1" w:themeShade="A6"/>
              <w:left w:val="nil"/>
              <w:bottom w:val="single" w:sz="4" w:space="0" w:color="A6A6A6" w:themeColor="background1" w:themeShade="A6"/>
              <w:right w:val="nil"/>
            </w:tcBorders>
          </w:tcPr>
          <w:p w14:paraId="5499978F" w14:textId="77777777" w:rsidR="00F40DF5" w:rsidRDefault="004D7511" w:rsidP="006E6689">
            <w:pPr>
              <w:pStyle w:val="TableText"/>
              <w:tabs>
                <w:tab w:val="left" w:pos="85"/>
              </w:tabs>
              <w:rPr>
                <w:szCs w:val="18"/>
              </w:rPr>
            </w:pPr>
            <w:r>
              <w:rPr>
                <w:szCs w:val="18"/>
              </w:rPr>
              <w:t>DHBs to appoint to roles by January 2016</w:t>
            </w:r>
          </w:p>
          <w:p w14:paraId="23581BD2" w14:textId="77777777" w:rsidR="004D7511" w:rsidRPr="006E6689" w:rsidRDefault="00AA2439" w:rsidP="006E6689">
            <w:pPr>
              <w:pStyle w:val="TableText"/>
              <w:tabs>
                <w:tab w:val="left" w:pos="85"/>
              </w:tabs>
              <w:rPr>
                <w:szCs w:val="18"/>
              </w:rPr>
            </w:pPr>
            <w:r>
              <w:rPr>
                <w:szCs w:val="18"/>
              </w:rPr>
              <w:t>National Lead annual work plan implemented by June 2016</w:t>
            </w:r>
          </w:p>
        </w:tc>
      </w:tr>
      <w:tr w:rsidR="006E6689" w:rsidRPr="004A4240" w14:paraId="7E61297F" w14:textId="77777777" w:rsidTr="006E6689">
        <w:trPr>
          <w:cantSplit/>
        </w:trPr>
        <w:tc>
          <w:tcPr>
            <w:tcW w:w="502" w:type="pct"/>
            <w:vMerge/>
            <w:tcBorders>
              <w:top w:val="nil"/>
              <w:left w:val="nil"/>
              <w:bottom w:val="nil"/>
              <w:right w:val="nil"/>
            </w:tcBorders>
            <w:textDirection w:val="btLr"/>
          </w:tcPr>
          <w:p w14:paraId="7ED887A4" w14:textId="77777777" w:rsidR="00F40DF5" w:rsidRPr="006E6689" w:rsidRDefault="00F40DF5" w:rsidP="003D48B4">
            <w:pPr>
              <w:pStyle w:val="TableText"/>
              <w:ind w:left="113" w:right="113"/>
              <w:rPr>
                <w:rFonts w:cs="Arial"/>
                <w:b/>
                <w:szCs w:val="18"/>
                <w:lang w:eastAsia="en-NZ"/>
              </w:rPr>
            </w:pPr>
          </w:p>
        </w:tc>
        <w:tc>
          <w:tcPr>
            <w:tcW w:w="709" w:type="pct"/>
            <w:vMerge/>
            <w:tcBorders>
              <w:top w:val="nil"/>
              <w:left w:val="nil"/>
              <w:bottom w:val="nil"/>
              <w:right w:val="nil"/>
            </w:tcBorders>
          </w:tcPr>
          <w:p w14:paraId="53D896B0" w14:textId="77777777" w:rsidR="00F40DF5" w:rsidRPr="006E6689" w:rsidRDefault="00F40DF5" w:rsidP="003D48B4">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14:paraId="3719BE5F" w14:textId="77777777" w:rsidR="00F40DF5" w:rsidRPr="002E1589" w:rsidRDefault="00F40DF5" w:rsidP="006E6689">
            <w:pPr>
              <w:pStyle w:val="TableText"/>
              <w:tabs>
                <w:tab w:val="left" w:pos="85"/>
              </w:tabs>
              <w:ind w:right="142"/>
              <w:rPr>
                <w:rFonts w:cs="Arial"/>
                <w:szCs w:val="18"/>
                <w:lang w:eastAsia="en-NZ"/>
              </w:rPr>
            </w:pPr>
            <w:r w:rsidRPr="002E1589">
              <w:rPr>
                <w:rFonts w:cs="Arial"/>
                <w:szCs w:val="18"/>
                <w:lang w:eastAsia="en-NZ"/>
              </w:rPr>
              <w:t xml:space="preserve">review the extent of pressures on the </w:t>
            </w:r>
            <w:r w:rsidRPr="002E1589">
              <w:rPr>
                <w:rFonts w:cs="Arial"/>
                <w:b/>
                <w:szCs w:val="18"/>
                <w:lang w:eastAsia="en-NZ"/>
              </w:rPr>
              <w:t>medical physicist workforce</w:t>
            </w:r>
            <w:r w:rsidRPr="002E1589">
              <w:rPr>
                <w:rFonts w:cs="Arial"/>
                <w:szCs w:val="18"/>
                <w:lang w:eastAsia="en-NZ"/>
              </w:rPr>
              <w:t xml:space="preserve"> to identify areas of need </w:t>
            </w:r>
          </w:p>
        </w:tc>
        <w:tc>
          <w:tcPr>
            <w:tcW w:w="1818" w:type="pct"/>
            <w:tcBorders>
              <w:top w:val="single" w:sz="4" w:space="0" w:color="A6A6A6" w:themeColor="background1" w:themeShade="A6"/>
              <w:left w:val="nil"/>
              <w:bottom w:val="single" w:sz="4" w:space="0" w:color="A6A6A6" w:themeColor="background1" w:themeShade="A6"/>
              <w:right w:val="nil"/>
            </w:tcBorders>
          </w:tcPr>
          <w:p w14:paraId="71A91395" w14:textId="77777777" w:rsidR="00F40DF5" w:rsidRPr="00A659BF" w:rsidRDefault="00A659BF" w:rsidP="0002647C">
            <w:pPr>
              <w:pStyle w:val="TableText"/>
              <w:tabs>
                <w:tab w:val="left" w:pos="85"/>
              </w:tabs>
              <w:rPr>
                <w:rFonts w:cs="Arial"/>
                <w:szCs w:val="18"/>
                <w:lang w:eastAsia="en-NZ"/>
              </w:rPr>
            </w:pPr>
            <w:r w:rsidRPr="00A659BF">
              <w:rPr>
                <w:rFonts w:cs="Arial"/>
                <w:szCs w:val="18"/>
                <w:lang w:eastAsia="en-NZ"/>
              </w:rPr>
              <w:t>Scoping to develop a new approach to funding for the training and retention of Medical Physicists in New Zealand to be completed June 2016</w:t>
            </w:r>
          </w:p>
        </w:tc>
      </w:tr>
      <w:tr w:rsidR="00F448E1" w:rsidRPr="004A4240" w14:paraId="56D9AC6D" w14:textId="77777777" w:rsidTr="006E6689">
        <w:trPr>
          <w:cantSplit/>
        </w:trPr>
        <w:tc>
          <w:tcPr>
            <w:tcW w:w="502" w:type="pct"/>
            <w:vMerge/>
            <w:tcBorders>
              <w:top w:val="nil"/>
              <w:left w:val="nil"/>
              <w:bottom w:val="nil"/>
              <w:right w:val="nil"/>
            </w:tcBorders>
            <w:textDirection w:val="btLr"/>
          </w:tcPr>
          <w:p w14:paraId="7081DC67" w14:textId="77777777" w:rsidR="00F448E1" w:rsidRPr="006E6689" w:rsidRDefault="00F448E1" w:rsidP="003D48B4">
            <w:pPr>
              <w:pStyle w:val="TableText"/>
              <w:ind w:left="113" w:right="113"/>
              <w:rPr>
                <w:rFonts w:cs="Arial"/>
                <w:b/>
                <w:szCs w:val="18"/>
                <w:lang w:eastAsia="en-NZ"/>
              </w:rPr>
            </w:pPr>
          </w:p>
        </w:tc>
        <w:tc>
          <w:tcPr>
            <w:tcW w:w="709" w:type="pct"/>
            <w:vMerge/>
            <w:tcBorders>
              <w:top w:val="nil"/>
              <w:left w:val="nil"/>
              <w:bottom w:val="nil"/>
              <w:right w:val="nil"/>
            </w:tcBorders>
          </w:tcPr>
          <w:p w14:paraId="40F15195" w14:textId="77777777" w:rsidR="00F448E1" w:rsidRPr="006E6689" w:rsidRDefault="00F448E1" w:rsidP="003D48B4">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14:paraId="04D385D8" w14:textId="77777777" w:rsidR="00F448E1" w:rsidRPr="002E1589" w:rsidRDefault="00F448E1" w:rsidP="006E6689">
            <w:pPr>
              <w:pStyle w:val="TableText"/>
              <w:tabs>
                <w:tab w:val="left" w:pos="85"/>
              </w:tabs>
              <w:ind w:right="142"/>
              <w:rPr>
                <w:rFonts w:cs="Arial"/>
                <w:szCs w:val="18"/>
                <w:lang w:eastAsia="en-NZ"/>
              </w:rPr>
            </w:pPr>
            <w:r w:rsidRPr="002E1589">
              <w:rPr>
                <w:rFonts w:cs="Arial"/>
                <w:szCs w:val="18"/>
                <w:lang w:eastAsia="en-NZ"/>
              </w:rPr>
              <w:t xml:space="preserve">scope the activities required to ensure a sustainable </w:t>
            </w:r>
            <w:proofErr w:type="spellStart"/>
            <w:r>
              <w:rPr>
                <w:rFonts w:cs="Arial"/>
                <w:b/>
                <w:szCs w:val="18"/>
                <w:lang w:eastAsia="en-NZ"/>
              </w:rPr>
              <w:t>gynae</w:t>
            </w:r>
            <w:proofErr w:type="spellEnd"/>
            <w:r>
              <w:rPr>
                <w:rFonts w:cs="Arial"/>
                <w:b/>
                <w:szCs w:val="18"/>
                <w:lang w:eastAsia="en-NZ"/>
              </w:rPr>
              <w:t>-</w:t>
            </w:r>
            <w:r w:rsidRPr="002E1589">
              <w:rPr>
                <w:rFonts w:cs="Arial"/>
                <w:b/>
                <w:szCs w:val="18"/>
                <w:lang w:eastAsia="en-NZ"/>
              </w:rPr>
              <w:t>oncology surgical workforce</w:t>
            </w:r>
          </w:p>
        </w:tc>
        <w:tc>
          <w:tcPr>
            <w:tcW w:w="1818" w:type="pct"/>
            <w:tcBorders>
              <w:top w:val="single" w:sz="4" w:space="0" w:color="A6A6A6" w:themeColor="background1" w:themeShade="A6"/>
              <w:left w:val="nil"/>
              <w:bottom w:val="single" w:sz="4" w:space="0" w:color="A6A6A6" w:themeColor="background1" w:themeShade="A6"/>
              <w:right w:val="nil"/>
            </w:tcBorders>
          </w:tcPr>
          <w:p w14:paraId="41C2523C" w14:textId="77777777" w:rsidR="00F448E1" w:rsidRPr="00A659BF" w:rsidRDefault="00F448E1" w:rsidP="00F448E1">
            <w:pPr>
              <w:pStyle w:val="TableText"/>
              <w:tabs>
                <w:tab w:val="left" w:pos="85"/>
              </w:tabs>
              <w:rPr>
                <w:rFonts w:cs="Arial"/>
                <w:szCs w:val="18"/>
                <w:lang w:eastAsia="en-NZ"/>
              </w:rPr>
            </w:pPr>
            <w:r w:rsidRPr="00A659BF">
              <w:rPr>
                <w:rFonts w:cs="Arial"/>
                <w:szCs w:val="18"/>
                <w:lang w:eastAsia="en-NZ"/>
              </w:rPr>
              <w:t xml:space="preserve">In conjunction with the </w:t>
            </w:r>
            <w:r>
              <w:rPr>
                <w:rFonts w:cs="Arial"/>
                <w:szCs w:val="18"/>
                <w:lang w:eastAsia="en-NZ"/>
              </w:rPr>
              <w:t>g</w:t>
            </w:r>
            <w:r w:rsidRPr="00A659BF">
              <w:rPr>
                <w:rFonts w:cs="Arial"/>
                <w:szCs w:val="18"/>
                <w:lang w:eastAsia="en-NZ"/>
              </w:rPr>
              <w:t xml:space="preserve">ynaecological </w:t>
            </w:r>
            <w:r>
              <w:rPr>
                <w:rFonts w:cs="Arial"/>
                <w:szCs w:val="18"/>
                <w:lang w:eastAsia="en-NZ"/>
              </w:rPr>
              <w:t>o</w:t>
            </w:r>
            <w:r w:rsidRPr="00A659BF">
              <w:rPr>
                <w:rFonts w:cs="Arial"/>
                <w:szCs w:val="18"/>
                <w:lang w:eastAsia="en-NZ"/>
              </w:rPr>
              <w:t xml:space="preserve">ncology specialists, identify strategies for addressing the shortage of </w:t>
            </w:r>
            <w:r>
              <w:rPr>
                <w:rFonts w:cs="Arial"/>
                <w:szCs w:val="18"/>
                <w:lang w:eastAsia="en-NZ"/>
              </w:rPr>
              <w:t>g</w:t>
            </w:r>
            <w:r w:rsidRPr="00A659BF">
              <w:rPr>
                <w:rFonts w:cs="Arial"/>
                <w:szCs w:val="18"/>
                <w:lang w:eastAsia="en-NZ"/>
              </w:rPr>
              <w:t>ynaecological oncologists by June 2016</w:t>
            </w:r>
          </w:p>
        </w:tc>
      </w:tr>
    </w:tbl>
    <w:p w14:paraId="77B8A943" w14:textId="77777777" w:rsidR="009F3406" w:rsidRDefault="009F3406" w:rsidP="006E6689"/>
    <w:tbl>
      <w:tblPr>
        <w:tblW w:w="4940"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941"/>
        <w:gridCol w:w="1327"/>
        <w:gridCol w:w="3665"/>
        <w:gridCol w:w="22"/>
        <w:gridCol w:w="3400"/>
      </w:tblGrid>
      <w:tr w:rsidR="00F40DF5" w:rsidRPr="002F0F41" w14:paraId="46FAD90F" w14:textId="77777777" w:rsidTr="002F7346">
        <w:trPr>
          <w:cantSplit/>
        </w:trPr>
        <w:tc>
          <w:tcPr>
            <w:tcW w:w="5000" w:type="pct"/>
            <w:gridSpan w:val="5"/>
            <w:tcBorders>
              <w:top w:val="single" w:sz="4" w:space="0" w:color="auto"/>
              <w:left w:val="nil"/>
              <w:bottom w:val="nil"/>
              <w:right w:val="nil"/>
            </w:tcBorders>
            <w:shd w:val="clear" w:color="auto" w:fill="auto"/>
          </w:tcPr>
          <w:p w14:paraId="02425D1D" w14:textId="77777777" w:rsidR="00F40DF5" w:rsidRPr="002F7346" w:rsidRDefault="00F40DF5" w:rsidP="002F7346">
            <w:pPr>
              <w:pStyle w:val="TableText"/>
              <w:keepNext/>
              <w:jc w:val="center"/>
              <w:rPr>
                <w:rFonts w:cs="Arial"/>
                <w:b/>
                <w:szCs w:val="18"/>
                <w:lang w:eastAsia="en-NZ"/>
              </w:rPr>
            </w:pPr>
            <w:r w:rsidRPr="002F7346">
              <w:rPr>
                <w:rFonts w:cs="Arial"/>
                <w:b/>
                <w:szCs w:val="18"/>
                <w:lang w:eastAsia="en-NZ"/>
              </w:rPr>
              <w:t>Regional activities</w:t>
            </w:r>
          </w:p>
        </w:tc>
      </w:tr>
      <w:tr w:rsidR="002F7346" w:rsidRPr="002F0F41" w14:paraId="0D2487DA" w14:textId="77777777" w:rsidTr="004A4240">
        <w:trPr>
          <w:cantSplit/>
        </w:trPr>
        <w:tc>
          <w:tcPr>
            <w:tcW w:w="503" w:type="pct"/>
            <w:tcBorders>
              <w:top w:val="nil"/>
              <w:left w:val="nil"/>
              <w:bottom w:val="single" w:sz="4" w:space="0" w:color="auto"/>
              <w:right w:val="nil"/>
            </w:tcBorders>
            <w:shd w:val="clear" w:color="auto" w:fill="auto"/>
            <w:hideMark/>
          </w:tcPr>
          <w:p w14:paraId="2065DEC8" w14:textId="77777777" w:rsidR="00F40DF5" w:rsidRPr="002F7346" w:rsidRDefault="00F40DF5" w:rsidP="002F7346">
            <w:pPr>
              <w:pStyle w:val="TableText"/>
              <w:keepNext/>
              <w:tabs>
                <w:tab w:val="left" w:pos="975"/>
              </w:tabs>
              <w:spacing w:before="0"/>
              <w:ind w:right="170"/>
              <w:jc w:val="center"/>
              <w:rPr>
                <w:rFonts w:cs="Arial"/>
                <w:b/>
                <w:szCs w:val="18"/>
                <w:lang w:eastAsia="en-NZ"/>
              </w:rPr>
            </w:pPr>
          </w:p>
        </w:tc>
        <w:tc>
          <w:tcPr>
            <w:tcW w:w="709" w:type="pct"/>
            <w:tcBorders>
              <w:top w:val="nil"/>
              <w:left w:val="nil"/>
              <w:bottom w:val="single" w:sz="4" w:space="0" w:color="auto"/>
              <w:right w:val="nil"/>
            </w:tcBorders>
            <w:shd w:val="clear" w:color="auto" w:fill="auto"/>
          </w:tcPr>
          <w:p w14:paraId="7F207053" w14:textId="77777777" w:rsidR="00F40DF5" w:rsidRPr="002F7346" w:rsidRDefault="00F40DF5" w:rsidP="002F7346">
            <w:pPr>
              <w:pStyle w:val="TableText"/>
              <w:keepNext/>
              <w:tabs>
                <w:tab w:val="left" w:pos="975"/>
              </w:tabs>
              <w:spacing w:before="0"/>
              <w:ind w:right="170"/>
              <w:jc w:val="center"/>
              <w:rPr>
                <w:rFonts w:cs="Arial"/>
                <w:b/>
                <w:szCs w:val="18"/>
                <w:lang w:eastAsia="en-NZ"/>
              </w:rPr>
            </w:pPr>
            <w:r w:rsidRPr="002F7346">
              <w:rPr>
                <w:rFonts w:cs="Arial"/>
                <w:b/>
                <w:szCs w:val="18"/>
                <w:lang w:eastAsia="en-NZ"/>
              </w:rPr>
              <w:t>Who</w:t>
            </w:r>
          </w:p>
        </w:tc>
        <w:tc>
          <w:tcPr>
            <w:tcW w:w="1959" w:type="pct"/>
            <w:tcBorders>
              <w:top w:val="nil"/>
              <w:left w:val="nil"/>
              <w:bottom w:val="single" w:sz="4" w:space="0" w:color="auto"/>
              <w:right w:val="nil"/>
            </w:tcBorders>
            <w:shd w:val="clear" w:color="auto" w:fill="auto"/>
            <w:hideMark/>
          </w:tcPr>
          <w:p w14:paraId="1A821FE8" w14:textId="77777777" w:rsidR="00F40DF5" w:rsidRPr="002F7346" w:rsidRDefault="00F40DF5" w:rsidP="002F7346">
            <w:pPr>
              <w:pStyle w:val="TableText"/>
              <w:keepNext/>
              <w:spacing w:before="0"/>
              <w:jc w:val="center"/>
              <w:rPr>
                <w:rFonts w:cs="Arial"/>
                <w:b/>
                <w:szCs w:val="18"/>
                <w:lang w:eastAsia="en-NZ"/>
              </w:rPr>
            </w:pPr>
            <w:r w:rsidRPr="002F7346">
              <w:rPr>
                <w:rFonts w:cs="Arial"/>
                <w:b/>
                <w:szCs w:val="18"/>
                <w:lang w:eastAsia="en-NZ"/>
              </w:rPr>
              <w:t>What</w:t>
            </w:r>
          </w:p>
        </w:tc>
        <w:tc>
          <w:tcPr>
            <w:tcW w:w="1829" w:type="pct"/>
            <w:gridSpan w:val="2"/>
            <w:tcBorders>
              <w:top w:val="nil"/>
              <w:left w:val="nil"/>
              <w:bottom w:val="single" w:sz="4" w:space="0" w:color="auto"/>
              <w:right w:val="nil"/>
            </w:tcBorders>
            <w:shd w:val="clear" w:color="auto" w:fill="auto"/>
          </w:tcPr>
          <w:p w14:paraId="0D0ED596" w14:textId="77777777" w:rsidR="00F40DF5" w:rsidRPr="002F7346" w:rsidRDefault="00F448E1" w:rsidP="002F7346">
            <w:pPr>
              <w:pStyle w:val="TableText"/>
              <w:keepNext/>
              <w:spacing w:before="0"/>
              <w:jc w:val="center"/>
              <w:rPr>
                <w:rFonts w:cs="Arial"/>
                <w:b/>
                <w:szCs w:val="18"/>
                <w:lang w:eastAsia="en-NZ"/>
              </w:rPr>
            </w:pPr>
            <w:r>
              <w:rPr>
                <w:rFonts w:cs="Arial"/>
                <w:b/>
                <w:szCs w:val="18"/>
                <w:lang w:eastAsia="en-NZ"/>
              </w:rPr>
              <w:t>Performance indicator</w:t>
            </w:r>
          </w:p>
        </w:tc>
      </w:tr>
      <w:tr w:rsidR="002F7346" w:rsidRPr="002F0F41" w14:paraId="0F3D440F" w14:textId="77777777" w:rsidTr="004A4240">
        <w:trPr>
          <w:cantSplit/>
        </w:trPr>
        <w:tc>
          <w:tcPr>
            <w:tcW w:w="503" w:type="pct"/>
            <w:vMerge w:val="restart"/>
            <w:tcBorders>
              <w:top w:val="single" w:sz="4" w:space="0" w:color="808080" w:themeColor="background1" w:themeShade="80"/>
              <w:left w:val="nil"/>
              <w:bottom w:val="single" w:sz="4" w:space="0" w:color="A6A6A6" w:themeColor="background1" w:themeShade="A6"/>
              <w:right w:val="nil"/>
            </w:tcBorders>
            <w:shd w:val="clear" w:color="auto" w:fill="auto"/>
            <w:textDirection w:val="btLr"/>
          </w:tcPr>
          <w:p w14:paraId="4D7C7E0D" w14:textId="77777777" w:rsidR="00F40DF5" w:rsidRPr="002F7346" w:rsidRDefault="00F40DF5" w:rsidP="002F7346">
            <w:pPr>
              <w:pStyle w:val="TableText"/>
              <w:keepNext/>
              <w:ind w:left="113" w:right="113"/>
              <w:jc w:val="center"/>
              <w:rPr>
                <w:rFonts w:cs="Arial"/>
                <w:b/>
                <w:szCs w:val="18"/>
                <w:lang w:eastAsia="en-NZ"/>
              </w:rPr>
            </w:pPr>
            <w:r w:rsidRPr="002F7346">
              <w:rPr>
                <w:rFonts w:cs="Arial"/>
                <w:b/>
                <w:szCs w:val="18"/>
                <w:lang w:eastAsia="en-NZ"/>
              </w:rPr>
              <w:t>Diagnosis and treatment</w:t>
            </w:r>
          </w:p>
        </w:tc>
        <w:tc>
          <w:tcPr>
            <w:tcW w:w="709" w:type="pct"/>
            <w:vMerge w:val="restart"/>
            <w:tcBorders>
              <w:top w:val="single" w:sz="4" w:space="0" w:color="808080" w:themeColor="background1" w:themeShade="80"/>
              <w:left w:val="nil"/>
              <w:bottom w:val="single" w:sz="4" w:space="0" w:color="A6A6A6" w:themeColor="background1" w:themeShade="A6"/>
              <w:right w:val="nil"/>
            </w:tcBorders>
            <w:shd w:val="clear" w:color="auto" w:fill="auto"/>
          </w:tcPr>
          <w:p w14:paraId="3BFC99FB" w14:textId="77777777" w:rsidR="00F40DF5" w:rsidRPr="002F7346" w:rsidRDefault="00F40DF5" w:rsidP="002F7346">
            <w:pPr>
              <w:pStyle w:val="TableText"/>
              <w:keepNext/>
              <w:ind w:right="113"/>
              <w:rPr>
                <w:rFonts w:cs="Arial"/>
                <w:szCs w:val="18"/>
                <w:lang w:eastAsia="en-NZ"/>
              </w:rPr>
            </w:pPr>
            <w:r w:rsidRPr="002F7346">
              <w:rPr>
                <w:rFonts w:cs="Arial"/>
                <w:szCs w:val="18"/>
                <w:lang w:eastAsia="en-NZ"/>
              </w:rPr>
              <w:t>The regional cancer networks will</w:t>
            </w:r>
          </w:p>
        </w:tc>
        <w:tc>
          <w:tcPr>
            <w:tcW w:w="1959" w:type="pct"/>
            <w:tcBorders>
              <w:top w:val="single" w:sz="4" w:space="0" w:color="808080" w:themeColor="background1" w:themeShade="80"/>
              <w:left w:val="nil"/>
              <w:bottom w:val="single" w:sz="4" w:space="0" w:color="A6A6A6" w:themeColor="background1" w:themeShade="A6"/>
              <w:right w:val="nil"/>
            </w:tcBorders>
            <w:shd w:val="clear" w:color="auto" w:fill="auto"/>
          </w:tcPr>
          <w:p w14:paraId="64AC032E" w14:textId="77777777" w:rsidR="00F40DF5" w:rsidRPr="002F7346" w:rsidRDefault="00F40DF5" w:rsidP="002F7346">
            <w:pPr>
              <w:pStyle w:val="TableText"/>
              <w:keepNext/>
              <w:ind w:right="142"/>
              <w:rPr>
                <w:rFonts w:cs="Arial"/>
                <w:szCs w:val="18"/>
                <w:lang w:eastAsia="en-NZ"/>
              </w:rPr>
            </w:pPr>
            <w:r w:rsidRPr="002F7346">
              <w:rPr>
                <w:rFonts w:cs="Arial"/>
                <w:szCs w:val="18"/>
                <w:lang w:eastAsia="en-NZ"/>
              </w:rPr>
              <w:t>support DHBs</w:t>
            </w:r>
            <w:r w:rsidR="008E0166">
              <w:rPr>
                <w:rFonts w:cs="Arial"/>
                <w:szCs w:val="18"/>
                <w:lang w:eastAsia="en-NZ"/>
              </w:rPr>
              <w:t xml:space="preserve"> </w:t>
            </w:r>
            <w:r w:rsidRPr="002F7346">
              <w:rPr>
                <w:rFonts w:cs="Arial"/>
                <w:szCs w:val="18"/>
                <w:lang w:eastAsia="en-NZ"/>
              </w:rPr>
              <w:t xml:space="preserve">to implement </w:t>
            </w:r>
            <w:r w:rsidRPr="004A4240">
              <w:rPr>
                <w:rFonts w:cs="Arial"/>
                <w:b/>
                <w:szCs w:val="18"/>
                <w:lang w:eastAsia="en-NZ"/>
              </w:rPr>
              <w:t>regional priority initiatives</w:t>
            </w:r>
            <w:r w:rsidRPr="002F7346">
              <w:rPr>
                <w:rFonts w:cs="Arial"/>
                <w:szCs w:val="18"/>
                <w:lang w:eastAsia="en-NZ"/>
              </w:rPr>
              <w:t xml:space="preserve"> for:</w:t>
            </w:r>
          </w:p>
          <w:p w14:paraId="3602E31D" w14:textId="77777777" w:rsidR="00F40DF5" w:rsidRPr="002F7346" w:rsidRDefault="002E1589" w:rsidP="002F7346">
            <w:pPr>
              <w:pStyle w:val="TableBullet"/>
              <w:keepNext/>
              <w:ind w:right="142"/>
              <w:rPr>
                <w:lang w:eastAsia="en-NZ"/>
              </w:rPr>
            </w:pPr>
            <w:r>
              <w:rPr>
                <w:lang w:eastAsia="en-NZ"/>
              </w:rPr>
              <w:t>medical oncology services</w:t>
            </w:r>
          </w:p>
          <w:p w14:paraId="27CF9C7D" w14:textId="77777777" w:rsidR="00F40DF5" w:rsidRPr="002F7346" w:rsidRDefault="00F40DF5" w:rsidP="002F7346">
            <w:pPr>
              <w:pStyle w:val="TableBullet"/>
              <w:keepNext/>
              <w:ind w:right="142"/>
              <w:rPr>
                <w:lang w:eastAsia="en-NZ"/>
              </w:rPr>
            </w:pPr>
            <w:r w:rsidRPr="002F7346">
              <w:rPr>
                <w:lang w:eastAsia="en-NZ"/>
              </w:rPr>
              <w:t>regional radiation oncology services</w:t>
            </w:r>
          </w:p>
        </w:tc>
        <w:tc>
          <w:tcPr>
            <w:tcW w:w="1829" w:type="pct"/>
            <w:gridSpan w:val="2"/>
            <w:tcBorders>
              <w:top w:val="single" w:sz="4" w:space="0" w:color="808080" w:themeColor="background1" w:themeShade="80"/>
              <w:left w:val="nil"/>
              <w:bottom w:val="single" w:sz="4" w:space="0" w:color="A6A6A6" w:themeColor="background1" w:themeShade="A6"/>
              <w:right w:val="nil"/>
            </w:tcBorders>
            <w:shd w:val="clear" w:color="auto" w:fill="auto"/>
          </w:tcPr>
          <w:p w14:paraId="62B32FCA" w14:textId="77777777" w:rsidR="00F40DF5" w:rsidRPr="002F7346" w:rsidRDefault="00F40DF5" w:rsidP="002F7346">
            <w:pPr>
              <w:pStyle w:val="TableText"/>
              <w:keepNext/>
              <w:rPr>
                <w:rFonts w:cs="Arial"/>
                <w:szCs w:val="18"/>
                <w:lang w:eastAsia="en-NZ"/>
              </w:rPr>
            </w:pPr>
            <w:r w:rsidRPr="002F7346">
              <w:rPr>
                <w:rFonts w:cs="Arial"/>
                <w:szCs w:val="18"/>
                <w:lang w:eastAsia="en-NZ"/>
              </w:rPr>
              <w:t>Regular monitoring activities and reporting</w:t>
            </w:r>
            <w:r w:rsidR="00DA7974">
              <w:rPr>
                <w:rFonts w:cs="Arial"/>
                <w:szCs w:val="18"/>
                <w:lang w:eastAsia="en-NZ"/>
              </w:rPr>
              <w:t xml:space="preserve"> requirements met</w:t>
            </w:r>
          </w:p>
        </w:tc>
      </w:tr>
      <w:tr w:rsidR="002F7346" w:rsidRPr="002F0F41" w14:paraId="35FDD5AE" w14:textId="77777777" w:rsidTr="004A4240">
        <w:trPr>
          <w:cantSplit/>
          <w:trHeight w:val="557"/>
        </w:trPr>
        <w:tc>
          <w:tcPr>
            <w:tcW w:w="503" w:type="pct"/>
            <w:vMerge/>
            <w:tcBorders>
              <w:top w:val="nil"/>
              <w:left w:val="nil"/>
              <w:bottom w:val="single" w:sz="4" w:space="0" w:color="A6A6A6" w:themeColor="background1" w:themeShade="A6"/>
              <w:right w:val="nil"/>
            </w:tcBorders>
            <w:shd w:val="clear" w:color="auto" w:fill="auto"/>
            <w:textDirection w:val="btLr"/>
          </w:tcPr>
          <w:p w14:paraId="3C68A79A" w14:textId="77777777" w:rsidR="00F40DF5" w:rsidRPr="002F7346" w:rsidRDefault="00F40DF5" w:rsidP="002F7346">
            <w:pPr>
              <w:pStyle w:val="TableText"/>
              <w:keepNext/>
              <w:ind w:left="113" w:right="113"/>
              <w:rPr>
                <w:rFonts w:cs="Arial"/>
                <w:b/>
                <w:szCs w:val="18"/>
                <w:lang w:eastAsia="en-NZ"/>
              </w:rPr>
            </w:pPr>
          </w:p>
        </w:tc>
        <w:tc>
          <w:tcPr>
            <w:tcW w:w="709" w:type="pct"/>
            <w:vMerge/>
            <w:tcBorders>
              <w:top w:val="nil"/>
              <w:left w:val="nil"/>
              <w:bottom w:val="single" w:sz="4" w:space="0" w:color="A6A6A6" w:themeColor="background1" w:themeShade="A6"/>
              <w:right w:val="nil"/>
            </w:tcBorders>
            <w:shd w:val="clear" w:color="auto" w:fill="auto"/>
          </w:tcPr>
          <w:p w14:paraId="15F2829C" w14:textId="77777777" w:rsidR="00F40DF5" w:rsidRPr="002F7346" w:rsidRDefault="00F40DF5" w:rsidP="002F7346">
            <w:pPr>
              <w:pStyle w:val="TableText"/>
              <w:keepNext/>
              <w:ind w:right="113"/>
              <w:rPr>
                <w:rFonts w:cs="Arial"/>
                <w:szCs w:val="18"/>
                <w:lang w:eastAsia="en-NZ"/>
              </w:rPr>
            </w:pPr>
          </w:p>
        </w:tc>
        <w:tc>
          <w:tcPr>
            <w:tcW w:w="1959" w:type="pct"/>
            <w:tcBorders>
              <w:top w:val="single" w:sz="4" w:space="0" w:color="A6A6A6" w:themeColor="background1" w:themeShade="A6"/>
              <w:left w:val="nil"/>
              <w:bottom w:val="single" w:sz="4" w:space="0" w:color="A6A6A6" w:themeColor="background1" w:themeShade="A6"/>
              <w:right w:val="nil"/>
            </w:tcBorders>
            <w:shd w:val="clear" w:color="auto" w:fill="auto"/>
          </w:tcPr>
          <w:p w14:paraId="13894EFA" w14:textId="77777777" w:rsidR="001B44EC" w:rsidRDefault="0002647C" w:rsidP="002E1589">
            <w:pPr>
              <w:pStyle w:val="TableText"/>
              <w:keepNext/>
              <w:ind w:right="142"/>
              <w:rPr>
                <w:rFonts w:cs="Arial"/>
                <w:szCs w:val="18"/>
                <w:lang w:eastAsia="en-NZ"/>
              </w:rPr>
            </w:pPr>
            <w:r>
              <w:rPr>
                <w:rFonts w:cs="Arial"/>
                <w:szCs w:val="18"/>
                <w:lang w:eastAsia="en-NZ"/>
              </w:rPr>
              <w:t>s</w:t>
            </w:r>
            <w:r w:rsidR="001B44EC">
              <w:rPr>
                <w:rFonts w:cs="Arial"/>
                <w:szCs w:val="18"/>
                <w:lang w:eastAsia="en-NZ"/>
              </w:rPr>
              <w:t>upport DHBs to</w:t>
            </w:r>
            <w:r w:rsidR="001B44EC" w:rsidRPr="006E6689">
              <w:rPr>
                <w:rFonts w:cs="Arial"/>
                <w:szCs w:val="18"/>
                <w:lang w:eastAsia="en-NZ"/>
              </w:rPr>
              <w:t xml:space="preserve"> implement the </w:t>
            </w:r>
            <w:r w:rsidR="001B44EC" w:rsidRPr="006E6689">
              <w:rPr>
                <w:rFonts w:cs="Arial"/>
                <w:b/>
                <w:szCs w:val="18"/>
                <w:lang w:eastAsia="en-NZ"/>
              </w:rPr>
              <w:t>Faster cancer treatment programme</w:t>
            </w:r>
            <w:r w:rsidR="001B44EC" w:rsidRPr="006E6689">
              <w:rPr>
                <w:rFonts w:cs="Arial"/>
                <w:szCs w:val="18"/>
                <w:lang w:eastAsia="en-NZ"/>
              </w:rPr>
              <w:t>, including</w:t>
            </w:r>
          </w:p>
          <w:p w14:paraId="15A7780F" w14:textId="77777777" w:rsidR="001B44EC" w:rsidRPr="001B44EC" w:rsidRDefault="001B44EC" w:rsidP="001B44EC">
            <w:pPr>
              <w:pStyle w:val="TableBullet"/>
              <w:ind w:right="142"/>
              <w:rPr>
                <w:szCs w:val="18"/>
                <w:lang w:eastAsia="en-NZ"/>
              </w:rPr>
            </w:pPr>
            <w:r w:rsidRPr="001B44EC">
              <w:rPr>
                <w:szCs w:val="18"/>
                <w:lang w:eastAsia="en-NZ"/>
              </w:rPr>
              <w:t>support implementation of national tumour standards</w:t>
            </w:r>
          </w:p>
          <w:p w14:paraId="54B58382" w14:textId="77777777" w:rsidR="001B44EC" w:rsidRPr="001B44EC" w:rsidRDefault="001B44EC" w:rsidP="001B44EC">
            <w:pPr>
              <w:pStyle w:val="TableBullet"/>
              <w:ind w:right="142"/>
              <w:rPr>
                <w:szCs w:val="18"/>
                <w:lang w:eastAsia="en-NZ"/>
              </w:rPr>
            </w:pPr>
            <w:r w:rsidRPr="001B44EC">
              <w:rPr>
                <w:szCs w:val="18"/>
                <w:lang w:eastAsia="en-NZ"/>
              </w:rPr>
              <w:t>support DHBs to improve coverage and functionality of MDMs</w:t>
            </w:r>
          </w:p>
          <w:p w14:paraId="5282E492" w14:textId="77777777" w:rsidR="00F40DF5" w:rsidRPr="002F7346" w:rsidRDefault="00F40DF5" w:rsidP="001B44EC">
            <w:pPr>
              <w:pStyle w:val="TableBullet"/>
              <w:ind w:right="142"/>
              <w:rPr>
                <w:rFonts w:cs="Arial"/>
                <w:szCs w:val="18"/>
                <w:lang w:eastAsia="en-NZ"/>
              </w:rPr>
            </w:pPr>
            <w:r w:rsidRPr="001B44EC">
              <w:rPr>
                <w:szCs w:val="18"/>
                <w:lang w:eastAsia="en-NZ"/>
              </w:rPr>
              <w:t xml:space="preserve">implementation of service improvement activities to improve </w:t>
            </w:r>
            <w:r w:rsidR="002E1589" w:rsidRPr="001B44EC">
              <w:rPr>
                <w:szCs w:val="18"/>
                <w:lang w:eastAsia="en-NZ"/>
              </w:rPr>
              <w:t>cancer services</w:t>
            </w:r>
          </w:p>
        </w:tc>
        <w:tc>
          <w:tcPr>
            <w:tcW w:w="1829" w:type="pct"/>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0287A6C9" w14:textId="77777777" w:rsidR="001B44EC" w:rsidRPr="0002647C" w:rsidRDefault="001B44EC" w:rsidP="0002647C">
            <w:pPr>
              <w:pStyle w:val="TableText"/>
              <w:tabs>
                <w:tab w:val="left" w:pos="85"/>
              </w:tabs>
              <w:rPr>
                <w:szCs w:val="18"/>
              </w:rPr>
            </w:pPr>
            <w:r w:rsidRPr="0002647C">
              <w:rPr>
                <w:szCs w:val="18"/>
              </w:rPr>
              <w:t xml:space="preserve">Findings from the 2014/15 service reviews are implemented and </w:t>
            </w:r>
            <w:r w:rsidR="00DA7974">
              <w:rPr>
                <w:szCs w:val="18"/>
              </w:rPr>
              <w:t xml:space="preserve">the </w:t>
            </w:r>
            <w:r w:rsidRPr="0002647C">
              <w:rPr>
                <w:szCs w:val="18"/>
              </w:rPr>
              <w:t>review</w:t>
            </w:r>
            <w:r w:rsidR="00DA7974">
              <w:rPr>
                <w:szCs w:val="18"/>
              </w:rPr>
              <w:t xml:space="preserve"> of</w:t>
            </w:r>
            <w:r w:rsidRPr="0002647C">
              <w:rPr>
                <w:szCs w:val="18"/>
              </w:rPr>
              <w:t xml:space="preserve"> services against the next round of tumour standards</w:t>
            </w:r>
            <w:r w:rsidR="00DA7974">
              <w:rPr>
                <w:szCs w:val="18"/>
              </w:rPr>
              <w:t xml:space="preserve"> are completed</w:t>
            </w:r>
            <w:r w:rsidRPr="0002647C">
              <w:rPr>
                <w:szCs w:val="18"/>
              </w:rPr>
              <w:t xml:space="preserve"> by June 2016</w:t>
            </w:r>
          </w:p>
          <w:p w14:paraId="29161628" w14:textId="77777777" w:rsidR="001B44EC" w:rsidRPr="0002647C" w:rsidRDefault="001B44EC" w:rsidP="0002647C">
            <w:pPr>
              <w:pStyle w:val="TableText"/>
              <w:tabs>
                <w:tab w:val="left" w:pos="85"/>
              </w:tabs>
              <w:rPr>
                <w:szCs w:val="18"/>
              </w:rPr>
            </w:pPr>
            <w:r w:rsidRPr="0002647C">
              <w:rPr>
                <w:szCs w:val="18"/>
              </w:rPr>
              <w:t>Quarterly monitoring DHB activity through policy priority 24</w:t>
            </w:r>
          </w:p>
          <w:p w14:paraId="4F5CCBA8" w14:textId="77777777" w:rsidR="00F40DF5" w:rsidRPr="002F7346" w:rsidRDefault="00F40DF5" w:rsidP="0002647C">
            <w:pPr>
              <w:pStyle w:val="TableText"/>
              <w:tabs>
                <w:tab w:val="left" w:pos="85"/>
              </w:tabs>
              <w:rPr>
                <w:rFonts w:cs="Arial"/>
                <w:szCs w:val="18"/>
                <w:lang w:eastAsia="en-NZ"/>
              </w:rPr>
            </w:pPr>
            <w:r w:rsidRPr="0002647C">
              <w:rPr>
                <w:szCs w:val="18"/>
              </w:rPr>
              <w:t>Service Improvement Fund project milestones met</w:t>
            </w:r>
          </w:p>
        </w:tc>
      </w:tr>
      <w:tr w:rsidR="002F7346" w:rsidRPr="002F0F41" w14:paraId="7F79ED94" w14:textId="77777777" w:rsidTr="004A4240">
        <w:trPr>
          <w:cantSplit/>
          <w:trHeight w:val="557"/>
        </w:trPr>
        <w:tc>
          <w:tcPr>
            <w:tcW w:w="503" w:type="pct"/>
            <w:vMerge/>
            <w:tcBorders>
              <w:top w:val="nil"/>
              <w:left w:val="nil"/>
              <w:bottom w:val="single" w:sz="4" w:space="0" w:color="A6A6A6" w:themeColor="background1" w:themeShade="A6"/>
              <w:right w:val="nil"/>
            </w:tcBorders>
            <w:shd w:val="clear" w:color="auto" w:fill="auto"/>
            <w:textDirection w:val="btLr"/>
          </w:tcPr>
          <w:p w14:paraId="65FB5265" w14:textId="77777777" w:rsidR="00F40DF5" w:rsidRPr="002F7346" w:rsidRDefault="00F40DF5" w:rsidP="002F7346">
            <w:pPr>
              <w:pStyle w:val="TableText"/>
              <w:ind w:left="113" w:right="113"/>
              <w:rPr>
                <w:rFonts w:cs="Arial"/>
                <w:b/>
                <w:szCs w:val="18"/>
                <w:lang w:eastAsia="en-NZ"/>
              </w:rPr>
            </w:pPr>
          </w:p>
        </w:tc>
        <w:tc>
          <w:tcPr>
            <w:tcW w:w="709" w:type="pct"/>
            <w:vMerge/>
            <w:tcBorders>
              <w:top w:val="nil"/>
              <w:left w:val="nil"/>
              <w:bottom w:val="single" w:sz="4" w:space="0" w:color="A6A6A6" w:themeColor="background1" w:themeShade="A6"/>
              <w:right w:val="nil"/>
            </w:tcBorders>
            <w:shd w:val="clear" w:color="auto" w:fill="auto"/>
          </w:tcPr>
          <w:p w14:paraId="7594D2E4" w14:textId="77777777" w:rsidR="00F40DF5" w:rsidRPr="002F7346" w:rsidRDefault="00F40DF5" w:rsidP="002F7346">
            <w:pPr>
              <w:pStyle w:val="TableText"/>
              <w:ind w:right="113"/>
              <w:rPr>
                <w:rFonts w:cs="Arial"/>
                <w:szCs w:val="18"/>
                <w:lang w:eastAsia="en-NZ"/>
              </w:rPr>
            </w:pPr>
          </w:p>
        </w:tc>
        <w:tc>
          <w:tcPr>
            <w:tcW w:w="1959" w:type="pct"/>
            <w:tcBorders>
              <w:top w:val="single" w:sz="4" w:space="0" w:color="A6A6A6" w:themeColor="background1" w:themeShade="A6"/>
              <w:left w:val="nil"/>
              <w:bottom w:val="single" w:sz="4" w:space="0" w:color="A6A6A6" w:themeColor="background1" w:themeShade="A6"/>
              <w:right w:val="nil"/>
            </w:tcBorders>
            <w:shd w:val="clear" w:color="auto" w:fill="auto"/>
          </w:tcPr>
          <w:p w14:paraId="696B6BBD" w14:textId="77777777" w:rsidR="00F40DF5" w:rsidRPr="002F7346" w:rsidRDefault="00F40DF5" w:rsidP="002F7346">
            <w:pPr>
              <w:pStyle w:val="TableText"/>
              <w:keepNext/>
              <w:rPr>
                <w:rFonts w:cs="Arial"/>
                <w:szCs w:val="18"/>
                <w:lang w:eastAsia="en-NZ"/>
              </w:rPr>
            </w:pPr>
            <w:r w:rsidRPr="002F7346">
              <w:rPr>
                <w:rFonts w:cs="Arial"/>
                <w:szCs w:val="18"/>
                <w:lang w:eastAsia="en-NZ"/>
              </w:rPr>
              <w:t xml:space="preserve">support DHBs to improve consistency of referral, and timeliness of access, to </w:t>
            </w:r>
            <w:r w:rsidRPr="004A4240">
              <w:rPr>
                <w:rFonts w:cs="Arial"/>
                <w:b/>
                <w:szCs w:val="18"/>
                <w:lang w:eastAsia="en-NZ"/>
              </w:rPr>
              <w:t>colonoscopy</w:t>
            </w:r>
          </w:p>
        </w:tc>
        <w:tc>
          <w:tcPr>
            <w:tcW w:w="1829" w:type="pct"/>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591115B0" w14:textId="77777777" w:rsidR="00F40DF5" w:rsidRPr="002F7346" w:rsidRDefault="0030267F" w:rsidP="00102856">
            <w:pPr>
              <w:pStyle w:val="TableText"/>
              <w:keepNext/>
              <w:rPr>
                <w:rFonts w:cs="Arial"/>
                <w:szCs w:val="18"/>
                <w:lang w:eastAsia="en-NZ"/>
              </w:rPr>
            </w:pPr>
            <w:r>
              <w:rPr>
                <w:szCs w:val="18"/>
                <w:lang w:eastAsia="en-NZ"/>
              </w:rPr>
              <w:t xml:space="preserve">Achievement of the colonoscopy wait time indicator </w:t>
            </w:r>
            <w:r w:rsidRPr="002F7346">
              <w:rPr>
                <w:rFonts w:cs="Arial"/>
                <w:szCs w:val="18"/>
                <w:lang w:eastAsia="en-NZ"/>
              </w:rPr>
              <w:t>policy priority 29</w:t>
            </w:r>
          </w:p>
        </w:tc>
      </w:tr>
      <w:tr w:rsidR="004A4240" w:rsidRPr="009F3406" w14:paraId="17A78CF5" w14:textId="77777777" w:rsidTr="004A4240">
        <w:trPr>
          <w:cantSplit/>
          <w:trHeight w:val="1134"/>
          <w:tblHeader/>
        </w:trPr>
        <w:tc>
          <w:tcPr>
            <w:tcW w:w="503" w:type="pct"/>
            <w:tcBorders>
              <w:top w:val="single" w:sz="4" w:space="0" w:color="A6A6A6" w:themeColor="background1" w:themeShade="A6"/>
              <w:left w:val="nil"/>
              <w:bottom w:val="nil"/>
              <w:right w:val="nil"/>
            </w:tcBorders>
            <w:shd w:val="clear" w:color="auto" w:fill="auto"/>
            <w:textDirection w:val="btLr"/>
          </w:tcPr>
          <w:p w14:paraId="039C5582" w14:textId="77777777" w:rsidR="004A4240" w:rsidRPr="002F7346" w:rsidRDefault="004A4240" w:rsidP="00402A90">
            <w:pPr>
              <w:pStyle w:val="TableText"/>
              <w:keepNext/>
              <w:tabs>
                <w:tab w:val="left" w:pos="975"/>
              </w:tabs>
              <w:ind w:left="113" w:right="170"/>
              <w:jc w:val="center"/>
              <w:rPr>
                <w:rFonts w:cs="Arial"/>
                <w:b/>
                <w:szCs w:val="18"/>
                <w:lang w:eastAsia="en-NZ"/>
              </w:rPr>
            </w:pPr>
            <w:r w:rsidRPr="002F7346">
              <w:rPr>
                <w:rFonts w:cs="Arial"/>
                <w:b/>
                <w:szCs w:val="18"/>
                <w:lang w:eastAsia="en-NZ"/>
              </w:rPr>
              <w:t>Enablers</w:t>
            </w:r>
          </w:p>
        </w:tc>
        <w:tc>
          <w:tcPr>
            <w:tcW w:w="709" w:type="pct"/>
            <w:tcBorders>
              <w:top w:val="single" w:sz="4" w:space="0" w:color="A6A6A6" w:themeColor="background1" w:themeShade="A6"/>
              <w:left w:val="nil"/>
              <w:bottom w:val="nil"/>
              <w:right w:val="nil"/>
            </w:tcBorders>
            <w:shd w:val="clear" w:color="auto" w:fill="auto"/>
          </w:tcPr>
          <w:p w14:paraId="1F8910C1" w14:textId="77777777" w:rsidR="004A4240" w:rsidRPr="002F7346" w:rsidRDefault="004A4240" w:rsidP="00402A90">
            <w:pPr>
              <w:pStyle w:val="TableText"/>
              <w:keepNext/>
              <w:tabs>
                <w:tab w:val="left" w:pos="975"/>
              </w:tabs>
              <w:ind w:right="170"/>
              <w:rPr>
                <w:rFonts w:cs="Arial"/>
                <w:szCs w:val="18"/>
                <w:lang w:eastAsia="en-NZ"/>
              </w:rPr>
            </w:pPr>
            <w:r w:rsidRPr="002F7346">
              <w:rPr>
                <w:rFonts w:cs="Arial"/>
                <w:szCs w:val="18"/>
                <w:lang w:eastAsia="en-NZ"/>
              </w:rPr>
              <w:t>The regional cancer networks will</w:t>
            </w:r>
          </w:p>
        </w:tc>
        <w:tc>
          <w:tcPr>
            <w:tcW w:w="1971" w:type="pct"/>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68547C40" w14:textId="77777777" w:rsidR="004A4240" w:rsidRPr="002F7346" w:rsidRDefault="004A4240" w:rsidP="00402A90">
            <w:pPr>
              <w:pStyle w:val="TableText"/>
              <w:keepNext/>
              <w:ind w:right="142"/>
              <w:rPr>
                <w:rFonts w:cs="Arial"/>
                <w:szCs w:val="18"/>
                <w:lang w:eastAsia="en-NZ"/>
              </w:rPr>
            </w:pPr>
            <w:r>
              <w:rPr>
                <w:rFonts w:cs="Arial"/>
                <w:szCs w:val="18"/>
                <w:lang w:eastAsia="en-NZ"/>
              </w:rPr>
              <w:t xml:space="preserve">support DHBs to implement the </w:t>
            </w:r>
            <w:r w:rsidRPr="004A4240">
              <w:rPr>
                <w:rFonts w:cs="Arial"/>
                <w:b/>
                <w:szCs w:val="18"/>
                <w:lang w:eastAsia="en-NZ"/>
              </w:rPr>
              <w:t>cancer psychological and social support</w:t>
            </w:r>
            <w:r>
              <w:rPr>
                <w:rFonts w:cs="Arial"/>
                <w:szCs w:val="18"/>
                <w:lang w:eastAsia="en-NZ"/>
              </w:rPr>
              <w:t xml:space="preserve"> workforce initiative</w:t>
            </w:r>
          </w:p>
        </w:tc>
        <w:tc>
          <w:tcPr>
            <w:tcW w:w="1817" w:type="pct"/>
            <w:tcBorders>
              <w:top w:val="single" w:sz="4" w:space="0" w:color="A6A6A6" w:themeColor="background1" w:themeShade="A6"/>
              <w:left w:val="nil"/>
              <w:bottom w:val="single" w:sz="4" w:space="0" w:color="A6A6A6" w:themeColor="background1" w:themeShade="A6"/>
              <w:right w:val="nil"/>
            </w:tcBorders>
            <w:shd w:val="clear" w:color="auto" w:fill="auto"/>
          </w:tcPr>
          <w:p w14:paraId="0C2F8FAD" w14:textId="77777777" w:rsidR="004A4240" w:rsidRPr="002F7346" w:rsidRDefault="008E0166" w:rsidP="00402A90">
            <w:pPr>
              <w:pStyle w:val="TableText"/>
              <w:keepNext/>
              <w:rPr>
                <w:rFonts w:cs="Arial"/>
                <w:szCs w:val="18"/>
                <w:lang w:eastAsia="en-NZ"/>
              </w:rPr>
            </w:pPr>
            <w:r>
              <w:rPr>
                <w:rFonts w:cs="Arial"/>
                <w:szCs w:val="18"/>
                <w:lang w:eastAsia="en-NZ"/>
              </w:rPr>
              <w:t>Implementation of regional plans commence</w:t>
            </w:r>
            <w:r w:rsidR="004A4240">
              <w:rPr>
                <w:rFonts w:cs="Arial"/>
                <w:szCs w:val="18"/>
                <w:lang w:eastAsia="en-NZ"/>
              </w:rPr>
              <w:t xml:space="preserve"> by January 2016</w:t>
            </w:r>
          </w:p>
        </w:tc>
      </w:tr>
      <w:tr w:rsidR="004A4240" w:rsidRPr="009F3406" w14:paraId="7F2615F1" w14:textId="77777777" w:rsidTr="00F448E1">
        <w:trPr>
          <w:cantSplit/>
          <w:trHeight w:val="631"/>
          <w:tblHeader/>
        </w:trPr>
        <w:tc>
          <w:tcPr>
            <w:tcW w:w="503" w:type="pct"/>
            <w:tcBorders>
              <w:top w:val="nil"/>
              <w:left w:val="nil"/>
              <w:bottom w:val="single" w:sz="4" w:space="0" w:color="auto"/>
              <w:right w:val="nil"/>
            </w:tcBorders>
            <w:shd w:val="clear" w:color="auto" w:fill="auto"/>
            <w:textDirection w:val="btLr"/>
          </w:tcPr>
          <w:p w14:paraId="11D753D2" w14:textId="77777777" w:rsidR="004A4240" w:rsidRPr="002F7346" w:rsidRDefault="004A4240" w:rsidP="00F448E1">
            <w:pPr>
              <w:pStyle w:val="TableText"/>
              <w:keepNext/>
              <w:tabs>
                <w:tab w:val="left" w:pos="975"/>
              </w:tabs>
              <w:ind w:left="113" w:right="170"/>
              <w:rPr>
                <w:rFonts w:cs="Arial"/>
                <w:b/>
                <w:szCs w:val="18"/>
                <w:lang w:eastAsia="en-NZ"/>
              </w:rPr>
            </w:pPr>
          </w:p>
        </w:tc>
        <w:tc>
          <w:tcPr>
            <w:tcW w:w="709" w:type="pct"/>
            <w:tcBorders>
              <w:top w:val="nil"/>
              <w:left w:val="nil"/>
              <w:bottom w:val="single" w:sz="4" w:space="0" w:color="auto"/>
              <w:right w:val="nil"/>
            </w:tcBorders>
            <w:shd w:val="clear" w:color="auto" w:fill="auto"/>
          </w:tcPr>
          <w:p w14:paraId="0CB75757" w14:textId="77777777" w:rsidR="004A4240" w:rsidRPr="002F7346" w:rsidRDefault="004A4240" w:rsidP="00402A90">
            <w:pPr>
              <w:pStyle w:val="TableText"/>
              <w:keepNext/>
              <w:tabs>
                <w:tab w:val="left" w:pos="975"/>
              </w:tabs>
              <w:ind w:right="170"/>
              <w:rPr>
                <w:rFonts w:cs="Arial"/>
                <w:szCs w:val="18"/>
                <w:lang w:eastAsia="en-NZ"/>
              </w:rPr>
            </w:pPr>
          </w:p>
        </w:tc>
        <w:tc>
          <w:tcPr>
            <w:tcW w:w="1971" w:type="pct"/>
            <w:gridSpan w:val="2"/>
            <w:tcBorders>
              <w:top w:val="single" w:sz="4" w:space="0" w:color="A6A6A6" w:themeColor="background1" w:themeShade="A6"/>
              <w:left w:val="nil"/>
              <w:bottom w:val="single" w:sz="4" w:space="0" w:color="auto"/>
              <w:right w:val="nil"/>
            </w:tcBorders>
            <w:shd w:val="clear" w:color="auto" w:fill="auto"/>
          </w:tcPr>
          <w:p w14:paraId="709E52FC" w14:textId="77777777" w:rsidR="004A4240" w:rsidRPr="00F448E1" w:rsidRDefault="002E1589" w:rsidP="00F448E1">
            <w:pPr>
              <w:pStyle w:val="TableBullet"/>
              <w:keepNext/>
              <w:numPr>
                <w:ilvl w:val="0"/>
                <w:numId w:val="0"/>
              </w:numPr>
              <w:spacing w:before="60"/>
              <w:ind w:right="142"/>
              <w:rPr>
                <w:b/>
                <w:lang w:eastAsia="en-NZ"/>
              </w:rPr>
            </w:pPr>
            <w:r>
              <w:rPr>
                <w:rFonts w:ascii="Helv" w:hAnsi="Helv" w:cs="Helv"/>
                <w:szCs w:val="18"/>
                <w:lang w:eastAsia="en-NZ"/>
              </w:rPr>
              <w:t xml:space="preserve">support DHBs to </w:t>
            </w:r>
            <w:r w:rsidR="004A4240" w:rsidRPr="004A4240">
              <w:rPr>
                <w:rFonts w:ascii="Helv" w:hAnsi="Helv" w:cs="Helv"/>
                <w:szCs w:val="18"/>
                <w:lang w:eastAsia="en-NZ"/>
              </w:rPr>
              <w:t>implement</w:t>
            </w:r>
            <w:r>
              <w:rPr>
                <w:rFonts w:ascii="Helv" w:hAnsi="Helv" w:cs="Helv"/>
                <w:szCs w:val="18"/>
                <w:lang w:eastAsia="en-NZ"/>
              </w:rPr>
              <w:t xml:space="preserve"> </w:t>
            </w:r>
            <w:r w:rsidR="004A4240" w:rsidRPr="004A4240">
              <w:rPr>
                <w:rFonts w:ascii="Helv" w:hAnsi="Helv" w:cs="Helv"/>
                <w:szCs w:val="18"/>
                <w:lang w:eastAsia="en-NZ"/>
              </w:rPr>
              <w:t xml:space="preserve">the </w:t>
            </w:r>
            <w:r w:rsidR="008E0166">
              <w:rPr>
                <w:rFonts w:ascii="Helv" w:hAnsi="Helv" w:cs="Helv"/>
                <w:b/>
                <w:szCs w:val="18"/>
                <w:lang w:eastAsia="en-NZ"/>
              </w:rPr>
              <w:t xml:space="preserve">Cancer Health Information </w:t>
            </w:r>
            <w:r w:rsidR="004A4240" w:rsidRPr="004A4240">
              <w:rPr>
                <w:rFonts w:ascii="Helv" w:hAnsi="Helv" w:cs="Helv"/>
                <w:b/>
                <w:szCs w:val="18"/>
                <w:lang w:eastAsia="en-NZ"/>
              </w:rPr>
              <w:t>Strategy</w:t>
            </w:r>
          </w:p>
        </w:tc>
        <w:tc>
          <w:tcPr>
            <w:tcW w:w="1817" w:type="pct"/>
            <w:tcBorders>
              <w:top w:val="single" w:sz="4" w:space="0" w:color="A6A6A6" w:themeColor="background1" w:themeShade="A6"/>
              <w:left w:val="nil"/>
              <w:bottom w:val="single" w:sz="4" w:space="0" w:color="auto"/>
              <w:right w:val="nil"/>
            </w:tcBorders>
            <w:shd w:val="clear" w:color="auto" w:fill="auto"/>
          </w:tcPr>
          <w:p w14:paraId="04E27819" w14:textId="77777777" w:rsidR="004A4240" w:rsidRPr="004A4240" w:rsidRDefault="008E0166" w:rsidP="008E0166">
            <w:pPr>
              <w:pStyle w:val="TableText"/>
              <w:keepNext/>
              <w:rPr>
                <w:rFonts w:cs="Arial"/>
                <w:szCs w:val="18"/>
                <w:lang w:eastAsia="en-NZ"/>
              </w:rPr>
            </w:pPr>
            <w:r>
              <w:rPr>
                <w:szCs w:val="18"/>
              </w:rPr>
              <w:t>I</w:t>
            </w:r>
            <w:r w:rsidR="004A4240" w:rsidRPr="004A4240">
              <w:rPr>
                <w:szCs w:val="18"/>
              </w:rPr>
              <w:t>dentif</w:t>
            </w:r>
            <w:r>
              <w:rPr>
                <w:szCs w:val="18"/>
              </w:rPr>
              <w:t>y</w:t>
            </w:r>
            <w:r w:rsidR="004A4240" w:rsidRPr="004A4240">
              <w:rPr>
                <w:szCs w:val="18"/>
              </w:rPr>
              <w:t xml:space="preserve"> </w:t>
            </w:r>
            <w:r>
              <w:rPr>
                <w:szCs w:val="18"/>
              </w:rPr>
              <w:t xml:space="preserve">regional priorities and commence implementation </w:t>
            </w:r>
            <w:r w:rsidR="004A4240" w:rsidRPr="004A4240">
              <w:rPr>
                <w:szCs w:val="18"/>
              </w:rPr>
              <w:t>by June 2016</w:t>
            </w:r>
          </w:p>
        </w:tc>
      </w:tr>
    </w:tbl>
    <w:p w14:paraId="7324CDF6" w14:textId="77777777" w:rsidR="002923CB" w:rsidRDefault="002923CB" w:rsidP="002F7346"/>
    <w:tbl>
      <w:tblPr>
        <w:tblW w:w="4940"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941"/>
        <w:gridCol w:w="1327"/>
        <w:gridCol w:w="3686"/>
        <w:gridCol w:w="3401"/>
      </w:tblGrid>
      <w:tr w:rsidR="00F40DF5" w:rsidRPr="002F0F41" w14:paraId="675D8707" w14:textId="77777777" w:rsidTr="002F7346">
        <w:trPr>
          <w:cantSplit/>
          <w:tblHeader/>
        </w:trPr>
        <w:tc>
          <w:tcPr>
            <w:tcW w:w="5000" w:type="pct"/>
            <w:gridSpan w:val="4"/>
            <w:tcBorders>
              <w:top w:val="single" w:sz="4" w:space="0" w:color="auto"/>
              <w:left w:val="nil"/>
              <w:bottom w:val="nil"/>
              <w:right w:val="nil"/>
            </w:tcBorders>
            <w:shd w:val="clear" w:color="auto" w:fill="auto"/>
          </w:tcPr>
          <w:p w14:paraId="65FE49AE" w14:textId="77777777" w:rsidR="00F40DF5" w:rsidRPr="002F7346" w:rsidRDefault="00F40DF5" w:rsidP="003D48B4">
            <w:pPr>
              <w:pStyle w:val="TableText"/>
              <w:keepNext/>
              <w:jc w:val="center"/>
              <w:rPr>
                <w:rFonts w:cs="Arial"/>
                <w:b/>
                <w:szCs w:val="18"/>
                <w:lang w:eastAsia="en-NZ"/>
              </w:rPr>
            </w:pPr>
            <w:r w:rsidRPr="002F7346">
              <w:rPr>
                <w:rFonts w:cs="Arial"/>
                <w:b/>
                <w:szCs w:val="18"/>
                <w:lang w:eastAsia="en-NZ"/>
              </w:rPr>
              <w:lastRenderedPageBreak/>
              <w:t>Local activities</w:t>
            </w:r>
          </w:p>
        </w:tc>
      </w:tr>
      <w:tr w:rsidR="002F7346" w:rsidRPr="002F0F41" w14:paraId="304F44D8" w14:textId="77777777" w:rsidTr="004A4240">
        <w:trPr>
          <w:cantSplit/>
          <w:tblHeader/>
        </w:trPr>
        <w:tc>
          <w:tcPr>
            <w:tcW w:w="503" w:type="pct"/>
            <w:tcBorders>
              <w:top w:val="nil"/>
              <w:left w:val="nil"/>
              <w:bottom w:val="single" w:sz="4" w:space="0" w:color="auto"/>
              <w:right w:val="nil"/>
            </w:tcBorders>
            <w:shd w:val="clear" w:color="auto" w:fill="auto"/>
            <w:hideMark/>
          </w:tcPr>
          <w:p w14:paraId="0A120A30" w14:textId="77777777" w:rsidR="00F40DF5" w:rsidRPr="002F7346" w:rsidRDefault="00F40DF5" w:rsidP="002F7346">
            <w:pPr>
              <w:pStyle w:val="TableText"/>
              <w:keepNext/>
              <w:tabs>
                <w:tab w:val="left" w:pos="975"/>
              </w:tabs>
              <w:spacing w:before="0"/>
              <w:ind w:right="170"/>
              <w:rPr>
                <w:rFonts w:cs="Arial"/>
                <w:b/>
                <w:szCs w:val="18"/>
                <w:lang w:eastAsia="en-NZ"/>
              </w:rPr>
            </w:pPr>
          </w:p>
        </w:tc>
        <w:tc>
          <w:tcPr>
            <w:tcW w:w="709" w:type="pct"/>
            <w:tcBorders>
              <w:top w:val="nil"/>
              <w:left w:val="nil"/>
              <w:bottom w:val="single" w:sz="4" w:space="0" w:color="auto"/>
              <w:right w:val="nil"/>
            </w:tcBorders>
            <w:shd w:val="clear" w:color="auto" w:fill="auto"/>
          </w:tcPr>
          <w:p w14:paraId="711D8377" w14:textId="77777777" w:rsidR="00F40DF5" w:rsidRPr="002F7346" w:rsidRDefault="00F40DF5" w:rsidP="002F7346">
            <w:pPr>
              <w:pStyle w:val="TableText"/>
              <w:keepNext/>
              <w:tabs>
                <w:tab w:val="left" w:pos="975"/>
              </w:tabs>
              <w:spacing w:before="0"/>
              <w:ind w:right="170"/>
              <w:jc w:val="center"/>
              <w:rPr>
                <w:rFonts w:cs="Arial"/>
                <w:b/>
                <w:szCs w:val="18"/>
                <w:lang w:eastAsia="en-NZ"/>
              </w:rPr>
            </w:pPr>
            <w:r w:rsidRPr="002F7346">
              <w:rPr>
                <w:rFonts w:cs="Arial"/>
                <w:b/>
                <w:szCs w:val="18"/>
                <w:lang w:eastAsia="en-NZ"/>
              </w:rPr>
              <w:t>Who</w:t>
            </w:r>
          </w:p>
        </w:tc>
        <w:tc>
          <w:tcPr>
            <w:tcW w:w="1970" w:type="pct"/>
            <w:tcBorders>
              <w:top w:val="nil"/>
              <w:left w:val="nil"/>
              <w:bottom w:val="single" w:sz="4" w:space="0" w:color="auto"/>
              <w:right w:val="nil"/>
            </w:tcBorders>
            <w:shd w:val="clear" w:color="auto" w:fill="auto"/>
            <w:hideMark/>
          </w:tcPr>
          <w:p w14:paraId="144956A2" w14:textId="77777777" w:rsidR="00F40DF5" w:rsidRPr="002F7346" w:rsidRDefault="00F40DF5" w:rsidP="002F7346">
            <w:pPr>
              <w:pStyle w:val="TableText"/>
              <w:keepNext/>
              <w:spacing w:before="0"/>
              <w:jc w:val="center"/>
              <w:rPr>
                <w:rFonts w:cs="Arial"/>
                <w:b/>
                <w:szCs w:val="18"/>
                <w:lang w:eastAsia="en-NZ"/>
              </w:rPr>
            </w:pPr>
            <w:r w:rsidRPr="002F7346">
              <w:rPr>
                <w:rFonts w:cs="Arial"/>
                <w:b/>
                <w:szCs w:val="18"/>
                <w:lang w:eastAsia="en-NZ"/>
              </w:rPr>
              <w:t>What</w:t>
            </w:r>
          </w:p>
        </w:tc>
        <w:tc>
          <w:tcPr>
            <w:tcW w:w="1818" w:type="pct"/>
            <w:tcBorders>
              <w:top w:val="nil"/>
              <w:left w:val="nil"/>
              <w:bottom w:val="single" w:sz="4" w:space="0" w:color="auto"/>
              <w:right w:val="nil"/>
            </w:tcBorders>
            <w:shd w:val="clear" w:color="auto" w:fill="auto"/>
          </w:tcPr>
          <w:p w14:paraId="5C8D35A1" w14:textId="77777777" w:rsidR="00F40DF5" w:rsidRPr="002F7346" w:rsidRDefault="00F448E1" w:rsidP="002F7346">
            <w:pPr>
              <w:pStyle w:val="TableText"/>
              <w:keepNext/>
              <w:spacing w:before="0"/>
              <w:jc w:val="center"/>
              <w:rPr>
                <w:rFonts w:cs="Arial"/>
                <w:b/>
                <w:szCs w:val="18"/>
                <w:lang w:eastAsia="en-NZ"/>
              </w:rPr>
            </w:pPr>
            <w:r>
              <w:rPr>
                <w:rFonts w:cs="Arial"/>
                <w:b/>
                <w:szCs w:val="18"/>
                <w:lang w:eastAsia="en-NZ"/>
              </w:rPr>
              <w:t>Performance indicator</w:t>
            </w:r>
          </w:p>
        </w:tc>
      </w:tr>
      <w:tr w:rsidR="004A4240" w:rsidRPr="002F0F41" w14:paraId="1E85C088" w14:textId="77777777" w:rsidTr="004A4240">
        <w:trPr>
          <w:cantSplit/>
          <w:trHeight w:val="1435"/>
          <w:tblHeader/>
        </w:trPr>
        <w:tc>
          <w:tcPr>
            <w:tcW w:w="503" w:type="pct"/>
            <w:vMerge w:val="restart"/>
            <w:tcBorders>
              <w:top w:val="single" w:sz="4" w:space="0" w:color="auto"/>
              <w:left w:val="nil"/>
              <w:bottom w:val="single" w:sz="4" w:space="0" w:color="A6A6A6" w:themeColor="background1" w:themeShade="A6"/>
              <w:right w:val="nil"/>
            </w:tcBorders>
            <w:shd w:val="clear" w:color="auto" w:fill="auto"/>
            <w:textDirection w:val="btLr"/>
          </w:tcPr>
          <w:p w14:paraId="6C10E6C3" w14:textId="77777777" w:rsidR="004A4240" w:rsidRPr="002F7346" w:rsidRDefault="004A4240" w:rsidP="002F7346">
            <w:pPr>
              <w:pStyle w:val="TableText"/>
              <w:keepNext/>
              <w:tabs>
                <w:tab w:val="left" w:pos="975"/>
              </w:tabs>
              <w:ind w:left="113" w:right="170"/>
              <w:jc w:val="center"/>
              <w:rPr>
                <w:rFonts w:cs="Arial"/>
                <w:b/>
                <w:szCs w:val="18"/>
                <w:lang w:eastAsia="en-NZ"/>
              </w:rPr>
            </w:pPr>
            <w:r w:rsidRPr="002F7346">
              <w:rPr>
                <w:rFonts w:cs="Arial"/>
                <w:b/>
                <w:szCs w:val="18"/>
                <w:lang w:eastAsia="en-NZ"/>
              </w:rPr>
              <w:t>Prevention and early detection</w:t>
            </w:r>
          </w:p>
        </w:tc>
        <w:tc>
          <w:tcPr>
            <w:tcW w:w="709" w:type="pct"/>
            <w:tcBorders>
              <w:top w:val="single" w:sz="4" w:space="0" w:color="auto"/>
              <w:left w:val="nil"/>
              <w:bottom w:val="nil"/>
              <w:right w:val="nil"/>
            </w:tcBorders>
            <w:shd w:val="clear" w:color="auto" w:fill="auto"/>
          </w:tcPr>
          <w:p w14:paraId="5F71ADF1" w14:textId="77777777" w:rsidR="004A4240" w:rsidRPr="00BC1A08" w:rsidRDefault="004A4240" w:rsidP="002F7346">
            <w:pPr>
              <w:pStyle w:val="TableText"/>
              <w:keepNext/>
              <w:tabs>
                <w:tab w:val="left" w:pos="975"/>
              </w:tabs>
              <w:ind w:right="170"/>
              <w:rPr>
                <w:rFonts w:cs="Arial"/>
                <w:szCs w:val="18"/>
                <w:lang w:eastAsia="en-NZ"/>
              </w:rPr>
            </w:pPr>
            <w:r w:rsidRPr="00BC1A08">
              <w:rPr>
                <w:rFonts w:cs="Arial"/>
                <w:szCs w:val="18"/>
                <w:lang w:eastAsia="en-NZ"/>
              </w:rPr>
              <w:t>DHBs will</w:t>
            </w:r>
          </w:p>
        </w:tc>
        <w:tc>
          <w:tcPr>
            <w:tcW w:w="1970" w:type="pct"/>
            <w:tcBorders>
              <w:top w:val="single" w:sz="4" w:space="0" w:color="auto"/>
              <w:left w:val="nil"/>
              <w:bottom w:val="single" w:sz="4" w:space="0" w:color="A6A6A6" w:themeColor="background1" w:themeShade="A6"/>
              <w:right w:val="nil"/>
            </w:tcBorders>
            <w:shd w:val="clear" w:color="auto" w:fill="auto"/>
          </w:tcPr>
          <w:p w14:paraId="272ACDFE" w14:textId="77777777" w:rsidR="004A4240" w:rsidRPr="00BC1A08" w:rsidRDefault="004A4240" w:rsidP="002F7346">
            <w:pPr>
              <w:pStyle w:val="TableText"/>
              <w:keepNext/>
              <w:ind w:right="142"/>
              <w:rPr>
                <w:rFonts w:cs="Arial"/>
                <w:szCs w:val="18"/>
                <w:lang w:eastAsia="en-NZ"/>
              </w:rPr>
            </w:pPr>
            <w:r w:rsidRPr="00BC1A08">
              <w:rPr>
                <w:rFonts w:cs="Arial"/>
                <w:szCs w:val="18"/>
                <w:lang w:eastAsia="en-NZ"/>
              </w:rPr>
              <w:t xml:space="preserve">implement </w:t>
            </w:r>
            <w:r w:rsidRPr="00BC1A08">
              <w:rPr>
                <w:rFonts w:cs="Arial"/>
                <w:b/>
                <w:szCs w:val="18"/>
                <w:lang w:eastAsia="en-NZ"/>
              </w:rPr>
              <w:t>smoking cessation initiatives</w:t>
            </w:r>
            <w:r w:rsidRPr="00BC1A08">
              <w:rPr>
                <w:rFonts w:cs="Arial"/>
                <w:szCs w:val="18"/>
                <w:lang w:eastAsia="en-NZ"/>
              </w:rPr>
              <w:t xml:space="preserve"> in hospitals and primary care</w:t>
            </w:r>
          </w:p>
        </w:tc>
        <w:tc>
          <w:tcPr>
            <w:tcW w:w="1818" w:type="pct"/>
            <w:tcBorders>
              <w:top w:val="single" w:sz="4" w:space="0" w:color="auto"/>
              <w:left w:val="nil"/>
              <w:bottom w:val="single" w:sz="4" w:space="0" w:color="A6A6A6" w:themeColor="background1" w:themeShade="A6"/>
              <w:right w:val="nil"/>
            </w:tcBorders>
            <w:shd w:val="clear" w:color="auto" w:fill="auto"/>
          </w:tcPr>
          <w:p w14:paraId="302D6224" w14:textId="77777777" w:rsidR="00BC1A08" w:rsidRPr="008E0401" w:rsidRDefault="00BC1A08" w:rsidP="008E0401">
            <w:pPr>
              <w:pStyle w:val="NormalWeb"/>
              <w:shd w:val="clear" w:color="auto" w:fill="FFFFFF"/>
              <w:spacing w:before="60"/>
              <w:rPr>
                <w:rFonts w:ascii="Arial" w:hAnsi="Arial" w:cs="Arial"/>
                <w:sz w:val="18"/>
                <w:szCs w:val="18"/>
              </w:rPr>
            </w:pPr>
            <w:r w:rsidRPr="008E0401">
              <w:rPr>
                <w:rFonts w:ascii="Arial" w:hAnsi="Arial" w:cs="Arial"/>
                <w:sz w:val="18"/>
                <w:szCs w:val="18"/>
              </w:rPr>
              <w:t>95 percent of hospital patients who smoke and are seen by a health practitioner in a public hospital are offered brief advice and support to quit smoking</w:t>
            </w:r>
          </w:p>
          <w:p w14:paraId="581AC2E3" w14:textId="77777777" w:rsidR="00BC1A08" w:rsidRPr="008E0401" w:rsidRDefault="00BC1A08" w:rsidP="00BC1A08">
            <w:pPr>
              <w:pStyle w:val="NormalWeb"/>
              <w:shd w:val="clear" w:color="auto" w:fill="FFFFFF"/>
              <w:rPr>
                <w:rFonts w:ascii="Arial" w:hAnsi="Arial" w:cs="Arial"/>
                <w:sz w:val="18"/>
                <w:szCs w:val="18"/>
              </w:rPr>
            </w:pPr>
            <w:r w:rsidRPr="008E0401">
              <w:rPr>
                <w:rFonts w:ascii="Arial" w:hAnsi="Arial" w:cs="Arial"/>
                <w:sz w:val="18"/>
                <w:szCs w:val="18"/>
              </w:rPr>
              <w:t>90 percent of PHO enrolled patients who smoke have been offered help to quit smoking by a health care practitioner in the last 15 months</w:t>
            </w:r>
          </w:p>
          <w:p w14:paraId="15B36711" w14:textId="77777777" w:rsidR="004A4240" w:rsidRPr="0030267F" w:rsidRDefault="0064434D" w:rsidP="002F7346">
            <w:pPr>
              <w:pStyle w:val="TableText"/>
              <w:keepNext/>
              <w:rPr>
                <w:rFonts w:cs="Arial"/>
                <w:szCs w:val="18"/>
                <w:highlight w:val="yellow"/>
                <w:lang w:eastAsia="en-NZ"/>
              </w:rPr>
            </w:pPr>
            <w:r w:rsidRPr="008E0401">
              <w:rPr>
                <w:rFonts w:cs="Arial"/>
                <w:szCs w:val="18"/>
                <w:lang w:eastAsia="en-NZ"/>
              </w:rPr>
              <w:t>90 percent of pregnant women who identify as smokers upon registration with a DHB-employed midwife or Lead Maternity Carer are offered brief advice and support to quit smoking</w:t>
            </w:r>
          </w:p>
        </w:tc>
      </w:tr>
      <w:tr w:rsidR="004A4240" w:rsidRPr="002F0F41" w14:paraId="4193E64B" w14:textId="77777777" w:rsidTr="002E1589">
        <w:trPr>
          <w:cantSplit/>
          <w:trHeight w:val="1435"/>
          <w:tblHeader/>
        </w:trPr>
        <w:tc>
          <w:tcPr>
            <w:tcW w:w="503" w:type="pct"/>
            <w:vMerge/>
            <w:tcBorders>
              <w:top w:val="nil"/>
              <w:left w:val="nil"/>
              <w:bottom w:val="single" w:sz="4" w:space="0" w:color="A6A6A6" w:themeColor="background1" w:themeShade="A6"/>
              <w:right w:val="nil"/>
            </w:tcBorders>
            <w:shd w:val="clear" w:color="auto" w:fill="auto"/>
            <w:textDirection w:val="btLr"/>
          </w:tcPr>
          <w:p w14:paraId="0C37F495" w14:textId="77777777" w:rsidR="004A4240" w:rsidRPr="002F7346" w:rsidRDefault="004A4240" w:rsidP="002F7346">
            <w:pPr>
              <w:pStyle w:val="TableText"/>
              <w:keepNext/>
              <w:tabs>
                <w:tab w:val="left" w:pos="975"/>
              </w:tabs>
              <w:ind w:left="113" w:right="170"/>
              <w:jc w:val="center"/>
              <w:rPr>
                <w:rFonts w:cs="Arial"/>
                <w:b/>
                <w:szCs w:val="18"/>
                <w:lang w:eastAsia="en-NZ"/>
              </w:rPr>
            </w:pPr>
          </w:p>
        </w:tc>
        <w:tc>
          <w:tcPr>
            <w:tcW w:w="709" w:type="pct"/>
            <w:tcBorders>
              <w:top w:val="nil"/>
              <w:left w:val="nil"/>
              <w:bottom w:val="single" w:sz="4" w:space="0" w:color="A6A6A6" w:themeColor="background1" w:themeShade="A6"/>
              <w:right w:val="nil"/>
            </w:tcBorders>
            <w:shd w:val="clear" w:color="auto" w:fill="auto"/>
          </w:tcPr>
          <w:p w14:paraId="59AE9D11" w14:textId="77777777" w:rsidR="004A4240" w:rsidRDefault="004A4240" w:rsidP="002F7346">
            <w:pPr>
              <w:pStyle w:val="TableText"/>
              <w:keepNext/>
              <w:tabs>
                <w:tab w:val="left" w:pos="975"/>
              </w:tabs>
              <w:ind w:right="170"/>
              <w:rPr>
                <w:rFonts w:cs="Arial"/>
                <w:szCs w:val="18"/>
                <w:lang w:eastAsia="en-NZ"/>
              </w:rPr>
            </w:pPr>
          </w:p>
        </w:tc>
        <w:tc>
          <w:tcPr>
            <w:tcW w:w="1970" w:type="pct"/>
            <w:tcBorders>
              <w:top w:val="single" w:sz="4" w:space="0" w:color="A6A6A6" w:themeColor="background1" w:themeShade="A6"/>
              <w:left w:val="nil"/>
              <w:bottom w:val="single" w:sz="4" w:space="0" w:color="A6A6A6" w:themeColor="background1" w:themeShade="A6"/>
              <w:right w:val="nil"/>
            </w:tcBorders>
            <w:shd w:val="clear" w:color="auto" w:fill="auto"/>
          </w:tcPr>
          <w:p w14:paraId="1ACC8412" w14:textId="77777777" w:rsidR="004A4240" w:rsidRPr="009F3406" w:rsidRDefault="0030267F" w:rsidP="004A4240">
            <w:pPr>
              <w:pStyle w:val="TableText"/>
              <w:keepNext/>
              <w:ind w:right="142"/>
              <w:rPr>
                <w:rFonts w:cs="Arial"/>
                <w:szCs w:val="18"/>
                <w:highlight w:val="yellow"/>
                <w:lang w:eastAsia="en-NZ"/>
              </w:rPr>
            </w:pPr>
            <w:proofErr w:type="gramStart"/>
            <w:r>
              <w:rPr>
                <w:rFonts w:ascii="Helv" w:hAnsi="Helv" w:cs="Helv"/>
                <w:color w:val="000000"/>
                <w:szCs w:val="18"/>
                <w:lang w:eastAsia="en-NZ"/>
              </w:rPr>
              <w:t>i</w:t>
            </w:r>
            <w:r w:rsidR="004A4240">
              <w:rPr>
                <w:rFonts w:ascii="Helv" w:hAnsi="Helv" w:cs="Helv"/>
                <w:color w:val="000000"/>
                <w:szCs w:val="18"/>
                <w:lang w:eastAsia="en-NZ"/>
              </w:rPr>
              <w:t>mplement</w:t>
            </w:r>
            <w:proofErr w:type="gramEnd"/>
            <w:r w:rsidR="004A4240">
              <w:rPr>
                <w:rFonts w:ascii="Helv" w:hAnsi="Helv" w:cs="Helv"/>
                <w:color w:val="000000"/>
                <w:szCs w:val="18"/>
                <w:lang w:eastAsia="en-NZ"/>
              </w:rPr>
              <w:t xml:space="preserve"> ongoing activities associated with round two </w:t>
            </w:r>
            <w:r w:rsidR="00DA7974">
              <w:rPr>
                <w:rFonts w:ascii="Helv" w:hAnsi="Helv" w:cs="Helv"/>
                <w:color w:val="000000"/>
                <w:szCs w:val="18"/>
                <w:lang w:eastAsia="en-NZ"/>
              </w:rPr>
              <w:t xml:space="preserve">and three </w:t>
            </w:r>
            <w:r w:rsidR="004A4240">
              <w:rPr>
                <w:rFonts w:ascii="Helv" w:hAnsi="Helv" w:cs="Helv"/>
                <w:color w:val="000000"/>
                <w:szCs w:val="18"/>
                <w:lang w:eastAsia="en-NZ"/>
              </w:rPr>
              <w:t xml:space="preserve">of the </w:t>
            </w:r>
            <w:r w:rsidR="004A4240" w:rsidRPr="004A4240">
              <w:rPr>
                <w:rFonts w:ascii="Helv" w:hAnsi="Helv" w:cs="Helv"/>
                <w:b/>
                <w:color w:val="000000"/>
                <w:szCs w:val="18"/>
                <w:lang w:eastAsia="en-NZ"/>
              </w:rPr>
              <w:t>bowel screening pilot</w:t>
            </w:r>
            <w:r w:rsidR="004A4240">
              <w:rPr>
                <w:rFonts w:ascii="Helv" w:hAnsi="Helv" w:cs="Helv"/>
                <w:color w:val="000000"/>
                <w:szCs w:val="18"/>
                <w:lang w:eastAsia="en-NZ"/>
              </w:rPr>
              <w:t xml:space="preserve"> (Waitemata and Auckland DHBs).</w:t>
            </w:r>
          </w:p>
        </w:tc>
        <w:tc>
          <w:tcPr>
            <w:tcW w:w="1818" w:type="pct"/>
            <w:tcBorders>
              <w:top w:val="single" w:sz="4" w:space="0" w:color="A6A6A6" w:themeColor="background1" w:themeShade="A6"/>
              <w:left w:val="nil"/>
              <w:bottom w:val="single" w:sz="4" w:space="0" w:color="A6A6A6" w:themeColor="background1" w:themeShade="A6"/>
              <w:right w:val="nil"/>
            </w:tcBorders>
            <w:shd w:val="clear" w:color="auto" w:fill="auto"/>
          </w:tcPr>
          <w:p w14:paraId="32F379C9" w14:textId="77777777" w:rsidR="004A4240" w:rsidRPr="009F3406" w:rsidRDefault="00DA7974" w:rsidP="00DA7974">
            <w:pPr>
              <w:pStyle w:val="TableText"/>
              <w:keepNext/>
              <w:rPr>
                <w:rFonts w:cs="Arial"/>
                <w:szCs w:val="18"/>
                <w:highlight w:val="yellow"/>
                <w:lang w:eastAsia="en-NZ"/>
              </w:rPr>
            </w:pPr>
            <w:r>
              <w:rPr>
                <w:rFonts w:cs="Arial"/>
                <w:szCs w:val="18"/>
                <w:lang w:eastAsia="en-NZ"/>
              </w:rPr>
              <w:t>Quarterly reporting requirements on the implementation of the bowel screening pilot are met</w:t>
            </w:r>
          </w:p>
        </w:tc>
      </w:tr>
      <w:tr w:rsidR="009F3406" w:rsidRPr="002F0F41" w14:paraId="2D2C5421" w14:textId="77777777" w:rsidTr="004A4240">
        <w:trPr>
          <w:cantSplit/>
          <w:trHeight w:val="548"/>
          <w:tblHeader/>
        </w:trPr>
        <w:tc>
          <w:tcPr>
            <w:tcW w:w="503" w:type="pct"/>
            <w:vMerge w:val="restart"/>
            <w:tcBorders>
              <w:top w:val="single" w:sz="4" w:space="0" w:color="A6A6A6" w:themeColor="background1" w:themeShade="A6"/>
              <w:left w:val="nil"/>
              <w:bottom w:val="nil"/>
              <w:right w:val="nil"/>
            </w:tcBorders>
            <w:shd w:val="clear" w:color="auto" w:fill="auto"/>
            <w:textDirection w:val="btLr"/>
          </w:tcPr>
          <w:p w14:paraId="61F68FA7" w14:textId="77777777" w:rsidR="009F3406" w:rsidRPr="002F7346" w:rsidRDefault="009F3406" w:rsidP="002F7346">
            <w:pPr>
              <w:pStyle w:val="TableText"/>
              <w:keepNext/>
              <w:tabs>
                <w:tab w:val="left" w:pos="85"/>
              </w:tabs>
              <w:ind w:left="113" w:right="113"/>
              <w:jc w:val="center"/>
              <w:rPr>
                <w:rFonts w:cs="Arial"/>
                <w:szCs w:val="18"/>
                <w:lang w:eastAsia="en-NZ"/>
              </w:rPr>
            </w:pPr>
            <w:r w:rsidRPr="002F7346">
              <w:rPr>
                <w:rFonts w:cs="Arial"/>
                <w:b/>
                <w:szCs w:val="18"/>
                <w:lang w:eastAsia="en-NZ"/>
              </w:rPr>
              <w:t>Diagnosis and treatment</w:t>
            </w:r>
          </w:p>
        </w:tc>
        <w:tc>
          <w:tcPr>
            <w:tcW w:w="709" w:type="pct"/>
            <w:vMerge w:val="restart"/>
            <w:tcBorders>
              <w:top w:val="single" w:sz="4" w:space="0" w:color="A6A6A6" w:themeColor="background1" w:themeShade="A6"/>
              <w:left w:val="nil"/>
              <w:bottom w:val="nil"/>
              <w:right w:val="nil"/>
            </w:tcBorders>
            <w:shd w:val="clear" w:color="auto" w:fill="auto"/>
          </w:tcPr>
          <w:p w14:paraId="4AF1F3A7" w14:textId="77777777" w:rsidR="009F3406" w:rsidRPr="002F7346" w:rsidRDefault="009F3406" w:rsidP="002F7346">
            <w:pPr>
              <w:pStyle w:val="TableText"/>
              <w:keepNext/>
              <w:ind w:right="113"/>
              <w:rPr>
                <w:rFonts w:cs="Arial"/>
                <w:b/>
                <w:szCs w:val="18"/>
                <w:lang w:eastAsia="en-NZ"/>
              </w:rPr>
            </w:pPr>
            <w:r w:rsidRPr="002F7346">
              <w:rPr>
                <w:rFonts w:cs="Arial"/>
                <w:szCs w:val="18"/>
                <w:lang w:eastAsia="en-NZ"/>
              </w:rPr>
              <w:t>DHBs will</w:t>
            </w:r>
          </w:p>
        </w:tc>
        <w:tc>
          <w:tcPr>
            <w:tcW w:w="1970" w:type="pct"/>
            <w:tcBorders>
              <w:top w:val="single" w:sz="4" w:space="0" w:color="A6A6A6" w:themeColor="background1" w:themeShade="A6"/>
              <w:left w:val="nil"/>
              <w:bottom w:val="single" w:sz="4" w:space="0" w:color="A6A6A6" w:themeColor="background1" w:themeShade="A6"/>
              <w:right w:val="nil"/>
            </w:tcBorders>
            <w:shd w:val="clear" w:color="auto" w:fill="auto"/>
          </w:tcPr>
          <w:p w14:paraId="3F1D1C6B" w14:textId="77777777" w:rsidR="009F3406" w:rsidRPr="004A4240" w:rsidRDefault="009F3406" w:rsidP="003E6E7B">
            <w:pPr>
              <w:pStyle w:val="TableText"/>
              <w:keepNext/>
              <w:ind w:right="142"/>
              <w:rPr>
                <w:rFonts w:cs="Arial"/>
                <w:szCs w:val="18"/>
                <w:lang w:eastAsia="en-NZ"/>
              </w:rPr>
            </w:pPr>
            <w:r w:rsidRPr="004A4240">
              <w:rPr>
                <w:rFonts w:ascii="Helv" w:hAnsi="Helv" w:cs="Helv"/>
                <w:color w:val="000000"/>
                <w:szCs w:val="18"/>
                <w:lang w:eastAsia="en-NZ"/>
              </w:rPr>
              <w:t xml:space="preserve">implement guidance on the use of </w:t>
            </w:r>
            <w:r w:rsidRPr="004A4240">
              <w:rPr>
                <w:rFonts w:ascii="Helv" w:hAnsi="Helv" w:cs="Helv"/>
                <w:b/>
                <w:color w:val="000000"/>
                <w:szCs w:val="18"/>
                <w:lang w:eastAsia="en-NZ"/>
              </w:rPr>
              <w:t>active surveillance treatment for prostate cancer</w:t>
            </w:r>
            <w:r w:rsidRPr="004A4240">
              <w:rPr>
                <w:rFonts w:ascii="Helv" w:hAnsi="Helv" w:cs="Helv"/>
                <w:color w:val="000000"/>
                <w:szCs w:val="18"/>
                <w:lang w:eastAsia="en-NZ"/>
              </w:rPr>
              <w:t xml:space="preserve"> care </w:t>
            </w:r>
          </w:p>
        </w:tc>
        <w:tc>
          <w:tcPr>
            <w:tcW w:w="1818" w:type="pct"/>
            <w:tcBorders>
              <w:top w:val="single" w:sz="4" w:space="0" w:color="A6A6A6" w:themeColor="background1" w:themeShade="A6"/>
              <w:left w:val="nil"/>
              <w:bottom w:val="single" w:sz="4" w:space="0" w:color="A6A6A6" w:themeColor="background1" w:themeShade="A6"/>
              <w:right w:val="nil"/>
            </w:tcBorders>
            <w:shd w:val="clear" w:color="auto" w:fill="auto"/>
          </w:tcPr>
          <w:p w14:paraId="5AD80B0A" w14:textId="77777777" w:rsidR="009F3406" w:rsidRPr="004A4240" w:rsidRDefault="002923CB" w:rsidP="002F7346">
            <w:pPr>
              <w:pStyle w:val="TableText"/>
              <w:keepNext/>
              <w:rPr>
                <w:rFonts w:cs="Arial"/>
                <w:szCs w:val="18"/>
                <w:lang w:eastAsia="en-NZ"/>
              </w:rPr>
            </w:pPr>
            <w:r w:rsidRPr="004A4240">
              <w:rPr>
                <w:rFonts w:ascii="Helv" w:hAnsi="Helv" w:cs="Helv"/>
                <w:color w:val="000000"/>
                <w:szCs w:val="18"/>
                <w:lang w:eastAsia="en-NZ"/>
              </w:rPr>
              <w:t>Regular monitoring activities and reporting</w:t>
            </w:r>
            <w:r w:rsidR="00DA7974">
              <w:rPr>
                <w:rFonts w:ascii="Helv" w:hAnsi="Helv" w:cs="Helv"/>
                <w:color w:val="000000"/>
                <w:szCs w:val="18"/>
                <w:lang w:eastAsia="en-NZ"/>
              </w:rPr>
              <w:t xml:space="preserve"> </w:t>
            </w:r>
            <w:r w:rsidR="00DA7974">
              <w:rPr>
                <w:rFonts w:cs="Arial"/>
                <w:szCs w:val="18"/>
                <w:lang w:eastAsia="en-NZ"/>
              </w:rPr>
              <w:t>requirements met</w:t>
            </w:r>
          </w:p>
        </w:tc>
      </w:tr>
      <w:tr w:rsidR="009F3406" w:rsidRPr="002F0F41" w14:paraId="347B5031" w14:textId="77777777" w:rsidTr="002F7346">
        <w:trPr>
          <w:cantSplit/>
          <w:trHeight w:val="548"/>
          <w:tblHeader/>
        </w:trPr>
        <w:tc>
          <w:tcPr>
            <w:tcW w:w="503" w:type="pct"/>
            <w:vMerge/>
            <w:tcBorders>
              <w:top w:val="nil"/>
              <w:left w:val="nil"/>
              <w:bottom w:val="nil"/>
              <w:right w:val="nil"/>
            </w:tcBorders>
            <w:shd w:val="clear" w:color="auto" w:fill="auto"/>
            <w:textDirection w:val="btLr"/>
          </w:tcPr>
          <w:p w14:paraId="18A43322" w14:textId="77777777" w:rsidR="009F3406" w:rsidRPr="002F7346" w:rsidRDefault="009F3406" w:rsidP="002F7346">
            <w:pPr>
              <w:pStyle w:val="TableText"/>
              <w:keepNext/>
              <w:tabs>
                <w:tab w:val="left" w:pos="85"/>
              </w:tabs>
              <w:ind w:left="113" w:right="113"/>
              <w:jc w:val="center"/>
              <w:rPr>
                <w:rFonts w:cs="Arial"/>
                <w:b/>
                <w:szCs w:val="18"/>
                <w:lang w:eastAsia="en-NZ"/>
              </w:rPr>
            </w:pPr>
          </w:p>
        </w:tc>
        <w:tc>
          <w:tcPr>
            <w:tcW w:w="709" w:type="pct"/>
            <w:vMerge/>
            <w:tcBorders>
              <w:top w:val="single" w:sz="4" w:space="0" w:color="A6A6A6" w:themeColor="background1" w:themeShade="A6"/>
              <w:left w:val="nil"/>
              <w:bottom w:val="nil"/>
              <w:right w:val="nil"/>
            </w:tcBorders>
            <w:shd w:val="clear" w:color="auto" w:fill="auto"/>
          </w:tcPr>
          <w:p w14:paraId="6E4A5B37" w14:textId="77777777" w:rsidR="009F3406" w:rsidRPr="002F7346" w:rsidRDefault="009F3406" w:rsidP="002F7346">
            <w:pPr>
              <w:pStyle w:val="TableText"/>
              <w:keepNext/>
              <w:ind w:right="113"/>
              <w:rPr>
                <w:rFonts w:cs="Arial"/>
                <w:szCs w:val="18"/>
                <w:lang w:eastAsia="en-NZ"/>
              </w:rPr>
            </w:pPr>
          </w:p>
        </w:tc>
        <w:tc>
          <w:tcPr>
            <w:tcW w:w="1970" w:type="pct"/>
            <w:tcBorders>
              <w:top w:val="single" w:sz="4" w:space="0" w:color="A6A6A6" w:themeColor="background1" w:themeShade="A6"/>
              <w:left w:val="nil"/>
              <w:bottom w:val="single" w:sz="4" w:space="0" w:color="A6A6A6" w:themeColor="background1" w:themeShade="A6"/>
              <w:right w:val="nil"/>
            </w:tcBorders>
            <w:shd w:val="clear" w:color="auto" w:fill="auto"/>
          </w:tcPr>
          <w:p w14:paraId="359A5234" w14:textId="77777777" w:rsidR="009F3406" w:rsidRPr="002F7346" w:rsidRDefault="00283C4A" w:rsidP="002E1589">
            <w:pPr>
              <w:pStyle w:val="TableText"/>
              <w:keepNext/>
              <w:ind w:right="142"/>
              <w:rPr>
                <w:rFonts w:cs="Arial"/>
                <w:szCs w:val="18"/>
                <w:lang w:eastAsia="en-NZ"/>
              </w:rPr>
            </w:pPr>
            <w:r>
              <w:rPr>
                <w:rFonts w:cs="Arial"/>
                <w:szCs w:val="18"/>
                <w:lang w:eastAsia="en-NZ"/>
              </w:rPr>
              <w:t>implement medical o</w:t>
            </w:r>
            <w:r w:rsidR="009F3406" w:rsidRPr="002F7346">
              <w:rPr>
                <w:rFonts w:cs="Arial"/>
                <w:szCs w:val="18"/>
                <w:lang w:eastAsia="en-NZ"/>
              </w:rPr>
              <w:t xml:space="preserve">ncology </w:t>
            </w:r>
            <w:r w:rsidR="002E1589">
              <w:rPr>
                <w:rFonts w:cs="Arial"/>
                <w:b/>
                <w:szCs w:val="18"/>
                <w:lang w:eastAsia="en-NZ"/>
              </w:rPr>
              <w:t>service improvements</w:t>
            </w:r>
          </w:p>
        </w:tc>
        <w:tc>
          <w:tcPr>
            <w:tcW w:w="1818" w:type="pct"/>
            <w:tcBorders>
              <w:top w:val="single" w:sz="4" w:space="0" w:color="A6A6A6" w:themeColor="background1" w:themeShade="A6"/>
              <w:left w:val="nil"/>
              <w:bottom w:val="single" w:sz="4" w:space="0" w:color="A6A6A6" w:themeColor="background1" w:themeShade="A6"/>
              <w:right w:val="nil"/>
            </w:tcBorders>
            <w:shd w:val="clear" w:color="auto" w:fill="auto"/>
          </w:tcPr>
          <w:p w14:paraId="7C506D3A" w14:textId="77777777" w:rsidR="009F3406" w:rsidRPr="002F7346" w:rsidRDefault="009F3406" w:rsidP="002F7346">
            <w:pPr>
              <w:pStyle w:val="TableText"/>
              <w:keepNext/>
              <w:rPr>
                <w:rFonts w:cs="Arial"/>
                <w:szCs w:val="18"/>
                <w:lang w:eastAsia="en-NZ"/>
              </w:rPr>
            </w:pPr>
            <w:r w:rsidRPr="002F7346">
              <w:rPr>
                <w:rFonts w:cs="Arial"/>
                <w:szCs w:val="18"/>
                <w:lang w:eastAsia="en-NZ"/>
              </w:rPr>
              <w:t>All patients, ready for treatment, wait less than four weeks for chemotherapy</w:t>
            </w:r>
          </w:p>
        </w:tc>
      </w:tr>
      <w:tr w:rsidR="009F3406" w:rsidRPr="002F0F41" w14:paraId="00FC47F1" w14:textId="77777777" w:rsidTr="002F7346">
        <w:trPr>
          <w:cantSplit/>
          <w:trHeight w:val="723"/>
          <w:tblHeader/>
        </w:trPr>
        <w:tc>
          <w:tcPr>
            <w:tcW w:w="503" w:type="pct"/>
            <w:vMerge/>
            <w:tcBorders>
              <w:top w:val="nil"/>
              <w:left w:val="nil"/>
              <w:bottom w:val="nil"/>
              <w:right w:val="nil"/>
            </w:tcBorders>
            <w:shd w:val="clear" w:color="auto" w:fill="auto"/>
          </w:tcPr>
          <w:p w14:paraId="79C04708" w14:textId="77777777" w:rsidR="009F3406" w:rsidRPr="002F7346" w:rsidRDefault="009F3406" w:rsidP="002F7346">
            <w:pPr>
              <w:pStyle w:val="TableText"/>
              <w:keepNext/>
              <w:ind w:left="113" w:right="113"/>
              <w:rPr>
                <w:rFonts w:cs="Arial"/>
                <w:b/>
                <w:szCs w:val="18"/>
                <w:lang w:eastAsia="en-NZ"/>
              </w:rPr>
            </w:pPr>
          </w:p>
        </w:tc>
        <w:tc>
          <w:tcPr>
            <w:tcW w:w="709" w:type="pct"/>
            <w:vMerge/>
            <w:tcBorders>
              <w:top w:val="nil"/>
              <w:left w:val="nil"/>
              <w:bottom w:val="nil"/>
              <w:right w:val="nil"/>
            </w:tcBorders>
            <w:shd w:val="clear" w:color="auto" w:fill="auto"/>
          </w:tcPr>
          <w:p w14:paraId="6071F8F0" w14:textId="77777777" w:rsidR="009F3406" w:rsidRPr="002F7346" w:rsidRDefault="009F3406" w:rsidP="002F7346">
            <w:pPr>
              <w:pStyle w:val="TableText"/>
              <w:keepNext/>
              <w:ind w:right="113"/>
              <w:rPr>
                <w:rFonts w:cs="Arial"/>
                <w:szCs w:val="18"/>
                <w:lang w:eastAsia="en-NZ"/>
              </w:rPr>
            </w:pPr>
          </w:p>
        </w:tc>
        <w:tc>
          <w:tcPr>
            <w:tcW w:w="1970" w:type="pct"/>
            <w:tcBorders>
              <w:top w:val="single" w:sz="4" w:space="0" w:color="A6A6A6" w:themeColor="background1" w:themeShade="A6"/>
              <w:left w:val="nil"/>
              <w:bottom w:val="single" w:sz="4" w:space="0" w:color="A6A6A6" w:themeColor="background1" w:themeShade="A6"/>
              <w:right w:val="nil"/>
            </w:tcBorders>
            <w:shd w:val="clear" w:color="auto" w:fill="auto"/>
          </w:tcPr>
          <w:p w14:paraId="0F67F2EC" w14:textId="77777777" w:rsidR="009F3406" w:rsidRPr="002F7346" w:rsidRDefault="009F3406" w:rsidP="008E0166">
            <w:pPr>
              <w:pStyle w:val="TableText"/>
              <w:keepNext/>
              <w:ind w:right="142"/>
              <w:rPr>
                <w:rFonts w:cs="Arial"/>
                <w:i/>
                <w:szCs w:val="18"/>
                <w:lang w:eastAsia="en-NZ"/>
              </w:rPr>
            </w:pPr>
            <w:r w:rsidRPr="002F7346">
              <w:rPr>
                <w:rFonts w:cs="Arial"/>
                <w:szCs w:val="18"/>
                <w:lang w:eastAsia="en-NZ"/>
              </w:rPr>
              <w:t xml:space="preserve">implement </w:t>
            </w:r>
            <w:r w:rsidRPr="004A4240">
              <w:rPr>
                <w:rFonts w:cs="Arial"/>
                <w:b/>
                <w:szCs w:val="18"/>
                <w:lang w:eastAsia="en-NZ"/>
              </w:rPr>
              <w:t xml:space="preserve">Radiation Oncology Plan </w:t>
            </w:r>
            <w:r w:rsidRPr="002F7346">
              <w:rPr>
                <w:rFonts w:cs="Arial"/>
                <w:szCs w:val="18"/>
                <w:lang w:eastAsia="en-NZ"/>
              </w:rPr>
              <w:t>priorities</w:t>
            </w:r>
          </w:p>
        </w:tc>
        <w:tc>
          <w:tcPr>
            <w:tcW w:w="1818" w:type="pct"/>
            <w:tcBorders>
              <w:top w:val="single" w:sz="4" w:space="0" w:color="A6A6A6" w:themeColor="background1" w:themeShade="A6"/>
              <w:left w:val="nil"/>
              <w:bottom w:val="single" w:sz="4" w:space="0" w:color="A6A6A6" w:themeColor="background1" w:themeShade="A6"/>
              <w:right w:val="nil"/>
            </w:tcBorders>
            <w:shd w:val="clear" w:color="auto" w:fill="auto"/>
          </w:tcPr>
          <w:p w14:paraId="21DEF225" w14:textId="77777777" w:rsidR="009F3406" w:rsidRPr="002F7346" w:rsidRDefault="009F3406" w:rsidP="002F7346">
            <w:pPr>
              <w:pStyle w:val="TableText"/>
              <w:keepNext/>
              <w:rPr>
                <w:rFonts w:cs="Arial"/>
                <w:szCs w:val="18"/>
                <w:lang w:eastAsia="en-NZ"/>
              </w:rPr>
            </w:pPr>
            <w:r w:rsidRPr="002F7346">
              <w:rPr>
                <w:rFonts w:cs="Arial"/>
                <w:szCs w:val="18"/>
                <w:lang w:eastAsia="en-NZ"/>
              </w:rPr>
              <w:t>All patients, ready for treatment, wait less than four weeks for radiotherapy</w:t>
            </w:r>
          </w:p>
        </w:tc>
      </w:tr>
      <w:tr w:rsidR="009F3406" w:rsidRPr="002F0F41" w14:paraId="2E5D908A" w14:textId="77777777" w:rsidTr="002F7346">
        <w:trPr>
          <w:cantSplit/>
          <w:tblHeader/>
        </w:trPr>
        <w:tc>
          <w:tcPr>
            <w:tcW w:w="503" w:type="pct"/>
            <w:vMerge/>
            <w:tcBorders>
              <w:top w:val="nil"/>
              <w:left w:val="nil"/>
              <w:bottom w:val="nil"/>
              <w:right w:val="nil"/>
            </w:tcBorders>
            <w:shd w:val="clear" w:color="auto" w:fill="auto"/>
            <w:textDirection w:val="btLr"/>
          </w:tcPr>
          <w:p w14:paraId="69609B80" w14:textId="77777777" w:rsidR="009F3406" w:rsidRPr="002F7346" w:rsidRDefault="009F3406" w:rsidP="002F7346">
            <w:pPr>
              <w:pStyle w:val="TableText"/>
              <w:keepNext/>
              <w:ind w:left="113" w:right="113"/>
              <w:rPr>
                <w:rFonts w:cs="Arial"/>
                <w:b/>
                <w:szCs w:val="18"/>
                <w:lang w:eastAsia="en-NZ"/>
              </w:rPr>
            </w:pPr>
          </w:p>
        </w:tc>
        <w:tc>
          <w:tcPr>
            <w:tcW w:w="709" w:type="pct"/>
            <w:vMerge/>
            <w:tcBorders>
              <w:top w:val="nil"/>
              <w:left w:val="nil"/>
              <w:bottom w:val="nil"/>
              <w:right w:val="nil"/>
            </w:tcBorders>
            <w:shd w:val="clear" w:color="auto" w:fill="auto"/>
          </w:tcPr>
          <w:p w14:paraId="3A3A6B1F" w14:textId="77777777" w:rsidR="009F3406" w:rsidRPr="002F7346" w:rsidRDefault="009F3406" w:rsidP="002F7346">
            <w:pPr>
              <w:pStyle w:val="TableText"/>
              <w:keepNext/>
              <w:ind w:right="113"/>
              <w:rPr>
                <w:rFonts w:cs="Arial"/>
                <w:szCs w:val="18"/>
                <w:lang w:eastAsia="en-NZ"/>
              </w:rPr>
            </w:pPr>
          </w:p>
        </w:tc>
        <w:tc>
          <w:tcPr>
            <w:tcW w:w="1970" w:type="pct"/>
            <w:tcBorders>
              <w:top w:val="single" w:sz="4" w:space="0" w:color="A6A6A6" w:themeColor="background1" w:themeShade="A6"/>
              <w:left w:val="nil"/>
              <w:bottom w:val="single" w:sz="4" w:space="0" w:color="A6A6A6" w:themeColor="background1" w:themeShade="A6"/>
              <w:right w:val="nil"/>
            </w:tcBorders>
            <w:shd w:val="clear" w:color="auto" w:fill="auto"/>
          </w:tcPr>
          <w:p w14:paraId="6E2C5F99" w14:textId="77777777" w:rsidR="009F3406" w:rsidRPr="002F7346" w:rsidRDefault="009F3406" w:rsidP="002F7346">
            <w:pPr>
              <w:pStyle w:val="TableText"/>
              <w:keepNext/>
              <w:tabs>
                <w:tab w:val="left" w:pos="85"/>
              </w:tabs>
              <w:ind w:right="142"/>
              <w:rPr>
                <w:rFonts w:cs="Arial"/>
                <w:szCs w:val="18"/>
                <w:lang w:eastAsia="en-NZ"/>
              </w:rPr>
            </w:pPr>
            <w:r w:rsidRPr="002F7346">
              <w:rPr>
                <w:rFonts w:cs="Arial"/>
                <w:szCs w:val="18"/>
                <w:lang w:eastAsia="en-NZ"/>
              </w:rPr>
              <w:t xml:space="preserve">implement the </w:t>
            </w:r>
            <w:r w:rsidRPr="004A4240">
              <w:rPr>
                <w:rFonts w:cs="Arial"/>
                <w:b/>
                <w:szCs w:val="18"/>
                <w:lang w:eastAsia="en-NZ"/>
              </w:rPr>
              <w:t>Faster cancer treatment programme</w:t>
            </w:r>
            <w:r w:rsidRPr="002F7346">
              <w:rPr>
                <w:rFonts w:cs="Arial"/>
                <w:szCs w:val="18"/>
                <w:lang w:eastAsia="en-NZ"/>
              </w:rPr>
              <w:t xml:space="preserve"> by:</w:t>
            </w:r>
          </w:p>
          <w:p w14:paraId="375C5A88" w14:textId="77777777" w:rsidR="002E1589" w:rsidRDefault="002E1589" w:rsidP="002E1589">
            <w:pPr>
              <w:pStyle w:val="TableBullet"/>
              <w:keepNext/>
              <w:ind w:right="142"/>
              <w:rPr>
                <w:lang w:eastAsia="en-NZ"/>
              </w:rPr>
            </w:pPr>
            <w:r>
              <w:rPr>
                <w:lang w:eastAsia="en-NZ"/>
              </w:rPr>
              <w:t>implementing national tumour standards and high suspicion of cancer definitions</w:t>
            </w:r>
          </w:p>
          <w:p w14:paraId="6D09E740" w14:textId="77777777" w:rsidR="009F3406" w:rsidRPr="002F7346" w:rsidRDefault="009F3406" w:rsidP="002F7346">
            <w:pPr>
              <w:pStyle w:val="TableBullet"/>
              <w:keepNext/>
              <w:ind w:right="142"/>
              <w:rPr>
                <w:lang w:eastAsia="en-NZ"/>
              </w:rPr>
            </w:pPr>
            <w:r w:rsidRPr="002F7346">
              <w:rPr>
                <w:lang w:eastAsia="en-NZ"/>
              </w:rPr>
              <w:t>improving coverage and functionality of MDMs</w:t>
            </w:r>
          </w:p>
          <w:p w14:paraId="2FF965E8" w14:textId="77777777" w:rsidR="009F3406" w:rsidRDefault="008E0166" w:rsidP="002F7346">
            <w:pPr>
              <w:pStyle w:val="TableBullet"/>
              <w:keepNext/>
              <w:ind w:right="142"/>
              <w:rPr>
                <w:lang w:eastAsia="en-NZ"/>
              </w:rPr>
            </w:pPr>
            <w:r>
              <w:rPr>
                <w:lang w:eastAsia="en-NZ"/>
              </w:rPr>
              <w:t xml:space="preserve">implementing </w:t>
            </w:r>
            <w:r w:rsidR="009F3406" w:rsidRPr="002F7346">
              <w:rPr>
                <w:lang w:eastAsia="en-NZ"/>
              </w:rPr>
              <w:t>the Cancer Nurse Coordinator Initiative</w:t>
            </w:r>
          </w:p>
          <w:p w14:paraId="0DC73F3D" w14:textId="77777777" w:rsidR="009F3406" w:rsidRPr="002F7346" w:rsidRDefault="008E0166" w:rsidP="002E1589">
            <w:pPr>
              <w:pStyle w:val="TableBullet"/>
              <w:keepNext/>
              <w:ind w:right="142"/>
              <w:rPr>
                <w:lang w:eastAsia="en-NZ"/>
              </w:rPr>
            </w:pPr>
            <w:r>
              <w:rPr>
                <w:lang w:eastAsia="en-NZ"/>
              </w:rPr>
              <w:t xml:space="preserve">implementing </w:t>
            </w:r>
            <w:r w:rsidR="002E1589">
              <w:rPr>
                <w:lang w:eastAsia="en-NZ"/>
              </w:rPr>
              <w:t>Service Improvement Fund activities and identify findings</w:t>
            </w:r>
            <w:r w:rsidR="009F3406">
              <w:rPr>
                <w:lang w:eastAsia="en-NZ"/>
              </w:rPr>
              <w:t xml:space="preserve"> to improve patient pathways</w:t>
            </w:r>
          </w:p>
        </w:tc>
        <w:tc>
          <w:tcPr>
            <w:tcW w:w="1818" w:type="pct"/>
            <w:tcBorders>
              <w:top w:val="single" w:sz="4" w:space="0" w:color="A6A6A6" w:themeColor="background1" w:themeShade="A6"/>
              <w:left w:val="nil"/>
              <w:bottom w:val="single" w:sz="4" w:space="0" w:color="A6A6A6" w:themeColor="background1" w:themeShade="A6"/>
              <w:right w:val="nil"/>
            </w:tcBorders>
            <w:shd w:val="clear" w:color="auto" w:fill="auto"/>
          </w:tcPr>
          <w:p w14:paraId="2FD1C55A" w14:textId="77777777" w:rsidR="008E0166" w:rsidRDefault="008E0166" w:rsidP="002F7346">
            <w:pPr>
              <w:pStyle w:val="TableText"/>
              <w:keepNext/>
              <w:rPr>
                <w:rFonts w:cs="Arial"/>
                <w:szCs w:val="18"/>
                <w:lang w:eastAsia="en-NZ"/>
              </w:rPr>
            </w:pPr>
            <w:r>
              <w:rPr>
                <w:rFonts w:cs="Arial"/>
                <w:szCs w:val="18"/>
                <w:lang w:eastAsia="en-NZ"/>
              </w:rPr>
              <w:t>F</w:t>
            </w:r>
            <w:r w:rsidRPr="002F7346">
              <w:rPr>
                <w:rFonts w:cs="Arial"/>
                <w:szCs w:val="18"/>
                <w:lang w:eastAsia="en-NZ"/>
              </w:rPr>
              <w:t>indings from the 201</w:t>
            </w:r>
            <w:r>
              <w:rPr>
                <w:rFonts w:cs="Arial"/>
                <w:szCs w:val="18"/>
                <w:lang w:eastAsia="en-NZ"/>
              </w:rPr>
              <w:t>4</w:t>
            </w:r>
            <w:r w:rsidRPr="002F7346">
              <w:rPr>
                <w:rFonts w:cs="Arial"/>
                <w:szCs w:val="18"/>
                <w:lang w:eastAsia="en-NZ"/>
              </w:rPr>
              <w:t>/1</w:t>
            </w:r>
            <w:r>
              <w:rPr>
                <w:rFonts w:cs="Arial"/>
                <w:szCs w:val="18"/>
                <w:lang w:eastAsia="en-NZ"/>
              </w:rPr>
              <w:t>5</w:t>
            </w:r>
            <w:r w:rsidRPr="002F7346">
              <w:rPr>
                <w:rFonts w:cs="Arial"/>
                <w:szCs w:val="18"/>
                <w:lang w:eastAsia="en-NZ"/>
              </w:rPr>
              <w:t xml:space="preserve"> service reviews </w:t>
            </w:r>
            <w:r>
              <w:rPr>
                <w:rFonts w:cs="Arial"/>
                <w:szCs w:val="18"/>
                <w:lang w:eastAsia="en-NZ"/>
              </w:rPr>
              <w:t xml:space="preserve">are implemented </w:t>
            </w:r>
            <w:r w:rsidR="00DA7974">
              <w:rPr>
                <w:rFonts w:cs="Arial"/>
                <w:szCs w:val="18"/>
                <w:lang w:eastAsia="en-NZ"/>
              </w:rPr>
              <w:t>and the</w:t>
            </w:r>
            <w:r>
              <w:rPr>
                <w:rFonts w:cs="Arial"/>
                <w:szCs w:val="18"/>
                <w:lang w:eastAsia="en-NZ"/>
              </w:rPr>
              <w:t xml:space="preserve"> review of services against </w:t>
            </w:r>
            <w:r w:rsidRPr="002F7346">
              <w:rPr>
                <w:rFonts w:cs="Arial"/>
                <w:szCs w:val="18"/>
                <w:lang w:eastAsia="en-NZ"/>
              </w:rPr>
              <w:t xml:space="preserve">the next round </w:t>
            </w:r>
            <w:r>
              <w:rPr>
                <w:rFonts w:cs="Arial"/>
                <w:szCs w:val="18"/>
                <w:lang w:eastAsia="en-NZ"/>
              </w:rPr>
              <w:t>of tumour standards</w:t>
            </w:r>
            <w:r w:rsidR="00DA7974">
              <w:rPr>
                <w:rFonts w:cs="Arial"/>
                <w:szCs w:val="18"/>
                <w:lang w:eastAsia="en-NZ"/>
              </w:rPr>
              <w:t xml:space="preserve"> are completed</w:t>
            </w:r>
            <w:r>
              <w:rPr>
                <w:rFonts w:cs="Arial"/>
                <w:szCs w:val="18"/>
                <w:lang w:eastAsia="en-NZ"/>
              </w:rPr>
              <w:t xml:space="preserve"> </w:t>
            </w:r>
            <w:r w:rsidRPr="002F7346">
              <w:rPr>
                <w:rFonts w:cs="Arial"/>
                <w:szCs w:val="18"/>
                <w:lang w:eastAsia="en-NZ"/>
              </w:rPr>
              <w:t>by June 201</w:t>
            </w:r>
            <w:r>
              <w:rPr>
                <w:rFonts w:cs="Arial"/>
                <w:szCs w:val="18"/>
                <w:lang w:eastAsia="en-NZ"/>
              </w:rPr>
              <w:t>6</w:t>
            </w:r>
          </w:p>
          <w:p w14:paraId="1D8CDE65" w14:textId="77777777" w:rsidR="009F3406" w:rsidRPr="002F7346" w:rsidRDefault="009F3406" w:rsidP="002F7346">
            <w:pPr>
              <w:pStyle w:val="TableText"/>
              <w:keepNext/>
              <w:rPr>
                <w:rFonts w:cs="Arial"/>
                <w:szCs w:val="18"/>
                <w:lang w:eastAsia="en-NZ"/>
              </w:rPr>
            </w:pPr>
            <w:r w:rsidRPr="002F7346">
              <w:rPr>
                <w:rFonts w:cs="Arial"/>
                <w:szCs w:val="18"/>
                <w:lang w:eastAsia="en-NZ"/>
              </w:rPr>
              <w:t xml:space="preserve">Quarterly reporting </w:t>
            </w:r>
            <w:r w:rsidR="002E1589">
              <w:rPr>
                <w:rFonts w:cs="Arial"/>
                <w:szCs w:val="18"/>
                <w:lang w:eastAsia="en-NZ"/>
              </w:rPr>
              <w:t>through policy priority 24</w:t>
            </w:r>
          </w:p>
          <w:p w14:paraId="403C9438" w14:textId="77777777" w:rsidR="002923CB" w:rsidRDefault="002923CB" w:rsidP="002F7346">
            <w:pPr>
              <w:pStyle w:val="TableText"/>
              <w:keepNext/>
              <w:rPr>
                <w:rFonts w:cs="Arial"/>
                <w:szCs w:val="18"/>
                <w:lang w:eastAsia="en-NZ"/>
              </w:rPr>
            </w:pPr>
            <w:r w:rsidRPr="002923CB">
              <w:rPr>
                <w:rFonts w:ascii="Helv" w:hAnsi="Helv" w:cs="Helv"/>
                <w:color w:val="000000"/>
                <w:szCs w:val="18"/>
                <w:lang w:eastAsia="en-NZ"/>
              </w:rPr>
              <w:t>Regular monitoring activities and reporting</w:t>
            </w:r>
            <w:r>
              <w:rPr>
                <w:rFonts w:cs="Arial"/>
                <w:szCs w:val="18"/>
                <w:lang w:eastAsia="en-NZ"/>
              </w:rPr>
              <w:t xml:space="preserve"> </w:t>
            </w:r>
            <w:r w:rsidR="00DA7974">
              <w:rPr>
                <w:rFonts w:cs="Arial"/>
                <w:szCs w:val="18"/>
                <w:lang w:eastAsia="en-NZ"/>
              </w:rPr>
              <w:t>requirements met</w:t>
            </w:r>
          </w:p>
          <w:p w14:paraId="6F0F05C7" w14:textId="77777777" w:rsidR="009F3406" w:rsidRPr="002F7346" w:rsidRDefault="009F3406" w:rsidP="002F7346">
            <w:pPr>
              <w:pStyle w:val="TableText"/>
              <w:keepNext/>
              <w:rPr>
                <w:rFonts w:cs="Arial"/>
                <w:szCs w:val="18"/>
                <w:lang w:eastAsia="en-NZ"/>
              </w:rPr>
            </w:pPr>
            <w:r w:rsidRPr="002F7346">
              <w:rPr>
                <w:rFonts w:cs="Arial"/>
                <w:szCs w:val="18"/>
                <w:lang w:eastAsia="en-NZ"/>
              </w:rPr>
              <w:t>Service Improvement Fund project milestones met</w:t>
            </w:r>
          </w:p>
        </w:tc>
      </w:tr>
      <w:tr w:rsidR="0030267F" w:rsidRPr="002F0F41" w14:paraId="6DA124FC" w14:textId="77777777" w:rsidTr="002F7346">
        <w:trPr>
          <w:cantSplit/>
          <w:tblHeader/>
        </w:trPr>
        <w:tc>
          <w:tcPr>
            <w:tcW w:w="503" w:type="pct"/>
            <w:vMerge/>
            <w:tcBorders>
              <w:top w:val="nil"/>
              <w:left w:val="nil"/>
              <w:bottom w:val="nil"/>
              <w:right w:val="nil"/>
            </w:tcBorders>
            <w:shd w:val="clear" w:color="auto" w:fill="auto"/>
            <w:textDirection w:val="btLr"/>
          </w:tcPr>
          <w:p w14:paraId="567ED1AD" w14:textId="77777777" w:rsidR="0030267F" w:rsidRPr="002F7346" w:rsidRDefault="0030267F" w:rsidP="002F7346">
            <w:pPr>
              <w:pStyle w:val="TableText"/>
              <w:keepNext/>
              <w:ind w:left="113" w:right="113"/>
              <w:rPr>
                <w:rFonts w:cs="Arial"/>
                <w:b/>
                <w:szCs w:val="18"/>
                <w:lang w:eastAsia="en-NZ"/>
              </w:rPr>
            </w:pPr>
          </w:p>
        </w:tc>
        <w:tc>
          <w:tcPr>
            <w:tcW w:w="709" w:type="pct"/>
            <w:vMerge/>
            <w:tcBorders>
              <w:top w:val="nil"/>
              <w:left w:val="nil"/>
              <w:bottom w:val="nil"/>
              <w:right w:val="nil"/>
            </w:tcBorders>
            <w:shd w:val="clear" w:color="auto" w:fill="auto"/>
          </w:tcPr>
          <w:p w14:paraId="5A3EC7FE" w14:textId="77777777" w:rsidR="0030267F" w:rsidRPr="002F7346" w:rsidRDefault="0030267F" w:rsidP="002F7346">
            <w:pPr>
              <w:pStyle w:val="TableText"/>
              <w:keepNext/>
              <w:ind w:right="113"/>
              <w:rPr>
                <w:rFonts w:cs="Arial"/>
                <w:szCs w:val="18"/>
                <w:lang w:eastAsia="en-NZ"/>
              </w:rPr>
            </w:pPr>
          </w:p>
        </w:tc>
        <w:tc>
          <w:tcPr>
            <w:tcW w:w="1970" w:type="pct"/>
            <w:tcBorders>
              <w:top w:val="single" w:sz="4" w:space="0" w:color="A6A6A6" w:themeColor="background1" w:themeShade="A6"/>
              <w:left w:val="nil"/>
              <w:bottom w:val="single" w:sz="4" w:space="0" w:color="A6A6A6" w:themeColor="background1" w:themeShade="A6"/>
              <w:right w:val="nil"/>
            </w:tcBorders>
            <w:shd w:val="clear" w:color="auto" w:fill="auto"/>
          </w:tcPr>
          <w:p w14:paraId="358B3590" w14:textId="77777777" w:rsidR="0030267F" w:rsidRPr="002F7346" w:rsidRDefault="0030267F" w:rsidP="002F7346">
            <w:pPr>
              <w:pStyle w:val="TableText"/>
              <w:keepNext/>
              <w:tabs>
                <w:tab w:val="left" w:pos="85"/>
              </w:tabs>
              <w:ind w:right="142"/>
              <w:rPr>
                <w:rFonts w:cs="Arial"/>
                <w:szCs w:val="18"/>
                <w:lang w:eastAsia="en-NZ"/>
              </w:rPr>
            </w:pPr>
            <w:r>
              <w:rPr>
                <w:rFonts w:cs="Arial"/>
                <w:szCs w:val="18"/>
                <w:lang w:eastAsia="en-NZ"/>
              </w:rPr>
              <w:t>achieve</w:t>
            </w:r>
            <w:r w:rsidRPr="006E6689">
              <w:rPr>
                <w:rFonts w:cs="Arial"/>
                <w:szCs w:val="18"/>
                <w:lang w:eastAsia="en-NZ"/>
              </w:rPr>
              <w:t xml:space="preserve"> the </w:t>
            </w:r>
            <w:r>
              <w:rPr>
                <w:rFonts w:cs="Arial"/>
                <w:b/>
                <w:szCs w:val="18"/>
                <w:lang w:eastAsia="en-NZ"/>
              </w:rPr>
              <w:t>Faster</w:t>
            </w:r>
            <w:r w:rsidRPr="006E6689">
              <w:rPr>
                <w:rFonts w:cs="Arial"/>
                <w:b/>
                <w:szCs w:val="18"/>
                <w:lang w:eastAsia="en-NZ"/>
              </w:rPr>
              <w:t xml:space="preserve"> cancer</w:t>
            </w:r>
            <w:r>
              <w:rPr>
                <w:rFonts w:cs="Arial"/>
                <w:b/>
                <w:szCs w:val="18"/>
                <w:lang w:eastAsia="en-NZ"/>
              </w:rPr>
              <w:t xml:space="preserve"> treatment</w:t>
            </w:r>
            <w:r w:rsidRPr="006E6689">
              <w:rPr>
                <w:rFonts w:cs="Arial"/>
                <w:b/>
                <w:szCs w:val="18"/>
                <w:lang w:eastAsia="en-NZ"/>
              </w:rPr>
              <w:t xml:space="preserve"> health target</w:t>
            </w:r>
          </w:p>
        </w:tc>
        <w:tc>
          <w:tcPr>
            <w:tcW w:w="1818" w:type="pct"/>
            <w:tcBorders>
              <w:top w:val="single" w:sz="4" w:space="0" w:color="A6A6A6" w:themeColor="background1" w:themeShade="A6"/>
              <w:left w:val="nil"/>
              <w:bottom w:val="single" w:sz="4" w:space="0" w:color="A6A6A6" w:themeColor="background1" w:themeShade="A6"/>
              <w:right w:val="nil"/>
            </w:tcBorders>
            <w:shd w:val="clear" w:color="auto" w:fill="auto"/>
          </w:tcPr>
          <w:p w14:paraId="3892AA6F" w14:textId="77777777" w:rsidR="0030267F" w:rsidRDefault="0030267F" w:rsidP="002F7346">
            <w:pPr>
              <w:pStyle w:val="TableText"/>
              <w:keepNext/>
              <w:rPr>
                <w:rFonts w:cs="Arial"/>
                <w:szCs w:val="18"/>
                <w:lang w:eastAsia="en-NZ"/>
              </w:rPr>
            </w:pPr>
            <w:r>
              <w:rPr>
                <w:szCs w:val="18"/>
              </w:rPr>
              <w:t>85% of patients receive their first cancer treatment (or other management) within 62 days of being referred with a high suspicion of cancer and a need to be seen within two weeks by July 2016</w:t>
            </w:r>
          </w:p>
        </w:tc>
      </w:tr>
      <w:tr w:rsidR="009F3406" w:rsidRPr="002F0F41" w14:paraId="303BE979" w14:textId="77777777" w:rsidTr="002F7346">
        <w:trPr>
          <w:cantSplit/>
          <w:trHeight w:val="338"/>
          <w:tblHeader/>
        </w:trPr>
        <w:tc>
          <w:tcPr>
            <w:tcW w:w="503" w:type="pct"/>
            <w:vMerge/>
            <w:tcBorders>
              <w:top w:val="nil"/>
              <w:left w:val="nil"/>
              <w:bottom w:val="nil"/>
              <w:right w:val="nil"/>
            </w:tcBorders>
            <w:shd w:val="clear" w:color="auto" w:fill="auto"/>
            <w:textDirection w:val="btLr"/>
          </w:tcPr>
          <w:p w14:paraId="5A14CE62" w14:textId="77777777" w:rsidR="009F3406" w:rsidRPr="002F7346" w:rsidRDefault="009F3406" w:rsidP="002F7346">
            <w:pPr>
              <w:pStyle w:val="TableText"/>
              <w:keepNext/>
              <w:ind w:left="113" w:right="113"/>
              <w:rPr>
                <w:rFonts w:cs="Arial"/>
                <w:b/>
                <w:szCs w:val="18"/>
                <w:lang w:eastAsia="en-NZ"/>
              </w:rPr>
            </w:pPr>
          </w:p>
        </w:tc>
        <w:tc>
          <w:tcPr>
            <w:tcW w:w="709" w:type="pct"/>
            <w:vMerge/>
            <w:tcBorders>
              <w:top w:val="nil"/>
              <w:left w:val="nil"/>
              <w:bottom w:val="nil"/>
              <w:right w:val="nil"/>
            </w:tcBorders>
            <w:shd w:val="clear" w:color="auto" w:fill="auto"/>
          </w:tcPr>
          <w:p w14:paraId="6B3E62BC" w14:textId="77777777" w:rsidR="009F3406" w:rsidRPr="002F7346" w:rsidRDefault="009F3406" w:rsidP="002F7346">
            <w:pPr>
              <w:pStyle w:val="TableText"/>
              <w:keepNext/>
              <w:ind w:right="113"/>
              <w:rPr>
                <w:rFonts w:cs="Arial"/>
                <w:szCs w:val="18"/>
                <w:lang w:eastAsia="en-NZ"/>
              </w:rPr>
            </w:pPr>
          </w:p>
        </w:tc>
        <w:tc>
          <w:tcPr>
            <w:tcW w:w="1970" w:type="pct"/>
            <w:tcBorders>
              <w:top w:val="single" w:sz="4" w:space="0" w:color="A6A6A6" w:themeColor="background1" w:themeShade="A6"/>
              <w:left w:val="nil"/>
              <w:bottom w:val="single" w:sz="4" w:space="0" w:color="A6A6A6" w:themeColor="background1" w:themeShade="A6"/>
              <w:right w:val="nil"/>
            </w:tcBorders>
            <w:shd w:val="clear" w:color="auto" w:fill="auto"/>
          </w:tcPr>
          <w:p w14:paraId="535EBE08" w14:textId="77777777" w:rsidR="009F3406" w:rsidRPr="002F7346" w:rsidRDefault="009F3406" w:rsidP="002F7346">
            <w:pPr>
              <w:pStyle w:val="TableText"/>
              <w:keepNext/>
              <w:tabs>
                <w:tab w:val="left" w:pos="85"/>
              </w:tabs>
              <w:ind w:right="142"/>
              <w:rPr>
                <w:rFonts w:cs="Arial"/>
                <w:szCs w:val="18"/>
                <w:lang w:eastAsia="en-NZ"/>
              </w:rPr>
            </w:pPr>
            <w:r w:rsidRPr="002F7346">
              <w:rPr>
                <w:rFonts w:cs="Arial"/>
                <w:szCs w:val="18"/>
                <w:lang w:eastAsia="en-NZ"/>
              </w:rPr>
              <w:t xml:space="preserve">implement the </w:t>
            </w:r>
            <w:r w:rsidRPr="004A4240">
              <w:rPr>
                <w:rFonts w:cs="Arial"/>
                <w:b/>
                <w:szCs w:val="18"/>
                <w:lang w:eastAsia="en-NZ"/>
              </w:rPr>
              <w:t>endoscopy quality improvement tool</w:t>
            </w:r>
          </w:p>
        </w:tc>
        <w:tc>
          <w:tcPr>
            <w:tcW w:w="1818" w:type="pct"/>
            <w:tcBorders>
              <w:top w:val="single" w:sz="4" w:space="0" w:color="A6A6A6" w:themeColor="background1" w:themeShade="A6"/>
              <w:left w:val="nil"/>
              <w:bottom w:val="single" w:sz="4" w:space="0" w:color="A6A6A6" w:themeColor="background1" w:themeShade="A6"/>
              <w:right w:val="nil"/>
            </w:tcBorders>
            <w:shd w:val="clear" w:color="auto" w:fill="auto"/>
          </w:tcPr>
          <w:p w14:paraId="74AD1CEF" w14:textId="77777777" w:rsidR="009F3406" w:rsidRPr="002F7346" w:rsidRDefault="002923CB" w:rsidP="002F7346">
            <w:pPr>
              <w:pStyle w:val="TableText"/>
              <w:keepNext/>
              <w:rPr>
                <w:rFonts w:cs="Arial"/>
                <w:szCs w:val="18"/>
                <w:lang w:eastAsia="en-NZ"/>
              </w:rPr>
            </w:pPr>
            <w:r w:rsidRPr="002923CB">
              <w:rPr>
                <w:rFonts w:ascii="Helv" w:hAnsi="Helv" w:cs="Helv"/>
                <w:color w:val="000000"/>
                <w:szCs w:val="18"/>
                <w:lang w:eastAsia="en-NZ"/>
              </w:rPr>
              <w:t>Regular monitoring activities and reporting</w:t>
            </w:r>
            <w:r w:rsidR="00DA7974">
              <w:rPr>
                <w:rFonts w:ascii="Helv" w:hAnsi="Helv" w:cs="Helv"/>
                <w:color w:val="000000"/>
                <w:szCs w:val="18"/>
                <w:lang w:eastAsia="en-NZ"/>
              </w:rPr>
              <w:t xml:space="preserve"> </w:t>
            </w:r>
            <w:r w:rsidR="00DA7974">
              <w:rPr>
                <w:rFonts w:cs="Arial"/>
                <w:szCs w:val="18"/>
                <w:lang w:eastAsia="en-NZ"/>
              </w:rPr>
              <w:t>requirements met</w:t>
            </w:r>
          </w:p>
        </w:tc>
      </w:tr>
      <w:tr w:rsidR="009F3406" w:rsidRPr="002F0F41" w14:paraId="117AB084" w14:textId="77777777" w:rsidTr="002E1589">
        <w:trPr>
          <w:cantSplit/>
          <w:trHeight w:val="338"/>
          <w:tblHeader/>
        </w:trPr>
        <w:tc>
          <w:tcPr>
            <w:tcW w:w="503" w:type="pct"/>
            <w:vMerge/>
            <w:tcBorders>
              <w:top w:val="nil"/>
              <w:left w:val="nil"/>
              <w:bottom w:val="nil"/>
              <w:right w:val="nil"/>
            </w:tcBorders>
            <w:shd w:val="clear" w:color="auto" w:fill="auto"/>
            <w:textDirection w:val="btLr"/>
          </w:tcPr>
          <w:p w14:paraId="0578891F" w14:textId="77777777" w:rsidR="009F3406" w:rsidRPr="002F7346" w:rsidRDefault="009F3406" w:rsidP="002F7346">
            <w:pPr>
              <w:pStyle w:val="TableText"/>
              <w:keepNext/>
              <w:ind w:left="113" w:right="113"/>
              <w:rPr>
                <w:rFonts w:cs="Arial"/>
                <w:b/>
                <w:szCs w:val="18"/>
                <w:lang w:eastAsia="en-NZ"/>
              </w:rPr>
            </w:pPr>
          </w:p>
        </w:tc>
        <w:tc>
          <w:tcPr>
            <w:tcW w:w="709" w:type="pct"/>
            <w:vMerge/>
            <w:tcBorders>
              <w:top w:val="nil"/>
              <w:left w:val="nil"/>
              <w:bottom w:val="single" w:sz="4" w:space="0" w:color="A6A6A6" w:themeColor="background1" w:themeShade="A6"/>
              <w:right w:val="nil"/>
            </w:tcBorders>
            <w:shd w:val="clear" w:color="auto" w:fill="auto"/>
          </w:tcPr>
          <w:p w14:paraId="7C312CA5" w14:textId="77777777" w:rsidR="009F3406" w:rsidRPr="002F7346" w:rsidRDefault="009F3406" w:rsidP="002F7346">
            <w:pPr>
              <w:pStyle w:val="TableText"/>
              <w:keepNext/>
              <w:ind w:right="113"/>
              <w:rPr>
                <w:rFonts w:cs="Arial"/>
                <w:szCs w:val="18"/>
                <w:lang w:eastAsia="en-NZ"/>
              </w:rPr>
            </w:pPr>
          </w:p>
        </w:tc>
        <w:tc>
          <w:tcPr>
            <w:tcW w:w="1970" w:type="pct"/>
            <w:tcBorders>
              <w:top w:val="single" w:sz="4" w:space="0" w:color="A6A6A6" w:themeColor="background1" w:themeShade="A6"/>
              <w:left w:val="nil"/>
              <w:bottom w:val="single" w:sz="4" w:space="0" w:color="A6A6A6" w:themeColor="background1" w:themeShade="A6"/>
              <w:right w:val="nil"/>
            </w:tcBorders>
            <w:shd w:val="clear" w:color="auto" w:fill="auto"/>
          </w:tcPr>
          <w:p w14:paraId="058AB39A" w14:textId="77777777" w:rsidR="009F3406" w:rsidRPr="002F7346" w:rsidRDefault="009F3406" w:rsidP="002F7346">
            <w:pPr>
              <w:pStyle w:val="TableText"/>
              <w:keepNext/>
              <w:tabs>
                <w:tab w:val="left" w:pos="85"/>
              </w:tabs>
              <w:ind w:right="142"/>
              <w:rPr>
                <w:rFonts w:cs="Arial"/>
                <w:szCs w:val="18"/>
                <w:lang w:eastAsia="en-NZ"/>
              </w:rPr>
            </w:pPr>
            <w:r w:rsidRPr="002F7346">
              <w:rPr>
                <w:rFonts w:cs="Arial"/>
                <w:szCs w:val="18"/>
                <w:lang w:eastAsia="en-NZ"/>
              </w:rPr>
              <w:t xml:space="preserve">improve consistency of referral, and timeliness of access, to </w:t>
            </w:r>
            <w:r w:rsidRPr="004A4240">
              <w:rPr>
                <w:rFonts w:cs="Arial"/>
                <w:b/>
                <w:szCs w:val="18"/>
                <w:lang w:eastAsia="en-NZ"/>
              </w:rPr>
              <w:t>colonoscopy</w:t>
            </w:r>
          </w:p>
        </w:tc>
        <w:tc>
          <w:tcPr>
            <w:tcW w:w="1818" w:type="pct"/>
            <w:tcBorders>
              <w:top w:val="single" w:sz="4" w:space="0" w:color="A6A6A6" w:themeColor="background1" w:themeShade="A6"/>
              <w:left w:val="nil"/>
              <w:bottom w:val="single" w:sz="4" w:space="0" w:color="A6A6A6" w:themeColor="background1" w:themeShade="A6"/>
              <w:right w:val="nil"/>
            </w:tcBorders>
            <w:shd w:val="clear" w:color="auto" w:fill="auto"/>
          </w:tcPr>
          <w:p w14:paraId="3518BF96" w14:textId="77777777" w:rsidR="009F3406" w:rsidRPr="002F7346" w:rsidRDefault="0030267F" w:rsidP="0030267F">
            <w:pPr>
              <w:pStyle w:val="TableText"/>
              <w:keepNext/>
              <w:rPr>
                <w:rFonts w:cs="Arial"/>
                <w:szCs w:val="18"/>
                <w:lang w:eastAsia="en-NZ"/>
              </w:rPr>
            </w:pPr>
            <w:r>
              <w:rPr>
                <w:szCs w:val="18"/>
                <w:lang w:eastAsia="en-NZ"/>
              </w:rPr>
              <w:t xml:space="preserve">Achievement of the colonoscopy wait time indicator </w:t>
            </w:r>
            <w:r w:rsidR="009F3406" w:rsidRPr="002F7346">
              <w:rPr>
                <w:rFonts w:cs="Arial"/>
                <w:szCs w:val="18"/>
                <w:lang w:eastAsia="en-NZ"/>
              </w:rPr>
              <w:t>policy priority 29</w:t>
            </w:r>
          </w:p>
        </w:tc>
      </w:tr>
      <w:tr w:rsidR="004A4240" w:rsidRPr="002F0F41" w14:paraId="1F065236" w14:textId="77777777" w:rsidTr="002E1589">
        <w:trPr>
          <w:cantSplit/>
          <w:trHeight w:val="1555"/>
          <w:tblHeader/>
        </w:trPr>
        <w:tc>
          <w:tcPr>
            <w:tcW w:w="503" w:type="pct"/>
            <w:tcBorders>
              <w:top w:val="nil"/>
              <w:left w:val="nil"/>
              <w:bottom w:val="single" w:sz="4" w:space="0" w:color="auto"/>
              <w:right w:val="nil"/>
            </w:tcBorders>
            <w:shd w:val="clear" w:color="auto" w:fill="auto"/>
            <w:textDirection w:val="btLr"/>
          </w:tcPr>
          <w:p w14:paraId="2AD27552" w14:textId="77777777" w:rsidR="004A4240" w:rsidRPr="002F7346" w:rsidRDefault="004A4240" w:rsidP="002F7346">
            <w:pPr>
              <w:pStyle w:val="TableText"/>
              <w:keepNext/>
              <w:ind w:left="113" w:right="113"/>
              <w:jc w:val="center"/>
              <w:rPr>
                <w:rFonts w:cs="Arial"/>
                <w:b/>
                <w:szCs w:val="18"/>
                <w:lang w:eastAsia="en-NZ"/>
              </w:rPr>
            </w:pPr>
            <w:r w:rsidRPr="002F7346">
              <w:rPr>
                <w:rFonts w:cs="Arial"/>
                <w:b/>
                <w:szCs w:val="18"/>
                <w:lang w:eastAsia="en-NZ"/>
              </w:rPr>
              <w:t>Follow-up care</w:t>
            </w:r>
          </w:p>
        </w:tc>
        <w:tc>
          <w:tcPr>
            <w:tcW w:w="709" w:type="pct"/>
            <w:tcBorders>
              <w:top w:val="single" w:sz="4" w:space="0" w:color="A6A6A6" w:themeColor="background1" w:themeShade="A6"/>
              <w:left w:val="nil"/>
              <w:bottom w:val="single" w:sz="4" w:space="0" w:color="auto"/>
              <w:right w:val="nil"/>
            </w:tcBorders>
            <w:shd w:val="clear" w:color="auto" w:fill="auto"/>
          </w:tcPr>
          <w:p w14:paraId="66EB9B8F" w14:textId="77777777" w:rsidR="004A4240" w:rsidRPr="002F7346" w:rsidRDefault="004A4240" w:rsidP="002F7346">
            <w:pPr>
              <w:pStyle w:val="TableText"/>
              <w:keepNext/>
              <w:ind w:right="113"/>
              <w:rPr>
                <w:rFonts w:cs="Arial"/>
                <w:b/>
                <w:szCs w:val="18"/>
                <w:lang w:eastAsia="en-NZ"/>
              </w:rPr>
            </w:pPr>
            <w:r w:rsidRPr="002F7346">
              <w:rPr>
                <w:rFonts w:cs="Arial"/>
                <w:szCs w:val="18"/>
                <w:lang w:eastAsia="en-NZ"/>
              </w:rPr>
              <w:t>DHBs will</w:t>
            </w:r>
          </w:p>
        </w:tc>
        <w:tc>
          <w:tcPr>
            <w:tcW w:w="1970" w:type="pct"/>
            <w:tcBorders>
              <w:top w:val="single" w:sz="4" w:space="0" w:color="A6A6A6" w:themeColor="background1" w:themeShade="A6"/>
              <w:left w:val="nil"/>
              <w:bottom w:val="single" w:sz="4" w:space="0" w:color="auto"/>
              <w:right w:val="nil"/>
            </w:tcBorders>
            <w:shd w:val="clear" w:color="auto" w:fill="auto"/>
          </w:tcPr>
          <w:p w14:paraId="77BBB5CE" w14:textId="77777777" w:rsidR="004A4240" w:rsidRPr="002F7346" w:rsidRDefault="004A4240" w:rsidP="002F7346">
            <w:pPr>
              <w:pStyle w:val="TableText"/>
              <w:keepNext/>
              <w:ind w:right="142"/>
              <w:rPr>
                <w:rFonts w:cs="Arial"/>
                <w:szCs w:val="18"/>
                <w:lang w:eastAsia="en-NZ"/>
              </w:rPr>
            </w:pPr>
            <w:r w:rsidRPr="002F7346">
              <w:rPr>
                <w:rFonts w:cs="Arial"/>
                <w:szCs w:val="18"/>
                <w:lang w:eastAsia="en-NZ"/>
              </w:rPr>
              <w:t xml:space="preserve">continue to implement the </w:t>
            </w:r>
            <w:r w:rsidRPr="004A4240">
              <w:rPr>
                <w:rFonts w:cs="Arial"/>
                <w:b/>
                <w:szCs w:val="18"/>
                <w:lang w:eastAsia="en-NZ"/>
              </w:rPr>
              <w:t>Late Effects Assessment Programme (LEAP)</w:t>
            </w:r>
          </w:p>
        </w:tc>
        <w:tc>
          <w:tcPr>
            <w:tcW w:w="1818" w:type="pct"/>
            <w:tcBorders>
              <w:top w:val="single" w:sz="4" w:space="0" w:color="A6A6A6" w:themeColor="background1" w:themeShade="A6"/>
              <w:left w:val="nil"/>
              <w:bottom w:val="single" w:sz="4" w:space="0" w:color="auto"/>
              <w:right w:val="nil"/>
            </w:tcBorders>
            <w:shd w:val="clear" w:color="auto" w:fill="auto"/>
          </w:tcPr>
          <w:p w14:paraId="773A9F83" w14:textId="77777777" w:rsidR="004A4240" w:rsidRPr="002F7346" w:rsidRDefault="004A4240" w:rsidP="002F7346">
            <w:pPr>
              <w:pStyle w:val="TableText"/>
              <w:keepNext/>
              <w:rPr>
                <w:rFonts w:cs="Arial"/>
                <w:szCs w:val="18"/>
                <w:lang w:eastAsia="en-NZ"/>
              </w:rPr>
            </w:pPr>
            <w:r w:rsidRPr="002F7346">
              <w:rPr>
                <w:rFonts w:cs="Arial"/>
                <w:szCs w:val="18"/>
                <w:lang w:eastAsia="en-NZ"/>
              </w:rPr>
              <w:t>All children completing cancer treatment are entered into LEAP</w:t>
            </w:r>
          </w:p>
        </w:tc>
      </w:tr>
      <w:tr w:rsidR="009F3406" w:rsidRPr="002F0F41" w14:paraId="26BF7F28" w14:textId="77777777" w:rsidTr="004A4240">
        <w:trPr>
          <w:cantSplit/>
          <w:trHeight w:val="1134"/>
          <w:tblHeader/>
        </w:trPr>
        <w:tc>
          <w:tcPr>
            <w:tcW w:w="503" w:type="pct"/>
            <w:tcBorders>
              <w:top w:val="single" w:sz="4" w:space="0" w:color="auto"/>
              <w:left w:val="nil"/>
              <w:bottom w:val="nil"/>
              <w:right w:val="nil"/>
            </w:tcBorders>
            <w:shd w:val="clear" w:color="auto" w:fill="auto"/>
            <w:textDirection w:val="btLr"/>
          </w:tcPr>
          <w:p w14:paraId="508CB191" w14:textId="77777777" w:rsidR="009F3406" w:rsidRPr="002F7346" w:rsidRDefault="009F3406" w:rsidP="003D48B4">
            <w:pPr>
              <w:pStyle w:val="TableText"/>
              <w:keepNext/>
              <w:tabs>
                <w:tab w:val="left" w:pos="975"/>
              </w:tabs>
              <w:ind w:left="113" w:right="170"/>
              <w:jc w:val="center"/>
              <w:rPr>
                <w:rFonts w:cs="Arial"/>
                <w:b/>
                <w:szCs w:val="18"/>
                <w:lang w:eastAsia="en-NZ"/>
              </w:rPr>
            </w:pPr>
            <w:r w:rsidRPr="002F7346">
              <w:rPr>
                <w:rFonts w:cs="Arial"/>
                <w:b/>
                <w:szCs w:val="18"/>
                <w:lang w:eastAsia="en-NZ"/>
              </w:rPr>
              <w:lastRenderedPageBreak/>
              <w:t>Enablers</w:t>
            </w:r>
          </w:p>
        </w:tc>
        <w:tc>
          <w:tcPr>
            <w:tcW w:w="709" w:type="pct"/>
            <w:tcBorders>
              <w:top w:val="single" w:sz="4" w:space="0" w:color="auto"/>
              <w:left w:val="nil"/>
              <w:bottom w:val="nil"/>
              <w:right w:val="nil"/>
            </w:tcBorders>
            <w:shd w:val="clear" w:color="auto" w:fill="auto"/>
          </w:tcPr>
          <w:p w14:paraId="4084DA3F" w14:textId="77777777" w:rsidR="009F3406" w:rsidRPr="002F7346" w:rsidRDefault="009F3406" w:rsidP="003D48B4">
            <w:pPr>
              <w:pStyle w:val="TableText"/>
              <w:keepNext/>
              <w:tabs>
                <w:tab w:val="left" w:pos="975"/>
              </w:tabs>
              <w:ind w:right="170"/>
              <w:rPr>
                <w:rFonts w:cs="Arial"/>
                <w:b/>
                <w:szCs w:val="18"/>
                <w:lang w:eastAsia="en-NZ"/>
              </w:rPr>
            </w:pPr>
            <w:r w:rsidRPr="002F7346">
              <w:rPr>
                <w:rFonts w:cs="Arial"/>
                <w:szCs w:val="18"/>
                <w:lang w:eastAsia="en-NZ"/>
              </w:rPr>
              <w:t>DHBs will</w:t>
            </w:r>
          </w:p>
        </w:tc>
        <w:tc>
          <w:tcPr>
            <w:tcW w:w="1970" w:type="pct"/>
            <w:tcBorders>
              <w:top w:val="single" w:sz="4" w:space="0" w:color="auto"/>
              <w:left w:val="nil"/>
              <w:bottom w:val="single" w:sz="4" w:space="0" w:color="A6A6A6" w:themeColor="background1" w:themeShade="A6"/>
              <w:right w:val="nil"/>
            </w:tcBorders>
            <w:shd w:val="clear" w:color="auto" w:fill="auto"/>
          </w:tcPr>
          <w:p w14:paraId="43B5832B" w14:textId="77777777" w:rsidR="009F3406" w:rsidRPr="009F3406" w:rsidRDefault="0030267F" w:rsidP="0030267F">
            <w:pPr>
              <w:pStyle w:val="TableBullet"/>
              <w:numPr>
                <w:ilvl w:val="0"/>
                <w:numId w:val="0"/>
              </w:numPr>
              <w:rPr>
                <w:lang w:eastAsia="en-NZ"/>
              </w:rPr>
            </w:pPr>
            <w:r>
              <w:rPr>
                <w:lang w:eastAsia="en-NZ"/>
              </w:rPr>
              <w:t xml:space="preserve">continue to ensure information technology systems are in place that support </w:t>
            </w:r>
            <w:r w:rsidRPr="0030267F">
              <w:rPr>
                <w:b/>
                <w:lang w:eastAsia="en-NZ"/>
              </w:rPr>
              <w:t>consistency and quality of cancer data</w:t>
            </w:r>
            <w:r w:rsidR="009F3406" w:rsidRPr="009F3406">
              <w:rPr>
                <w:lang w:eastAsia="en-NZ"/>
              </w:rPr>
              <w:t xml:space="preserve"> </w:t>
            </w:r>
          </w:p>
        </w:tc>
        <w:tc>
          <w:tcPr>
            <w:tcW w:w="1818" w:type="pct"/>
            <w:tcBorders>
              <w:top w:val="single" w:sz="4" w:space="0" w:color="auto"/>
              <w:left w:val="nil"/>
              <w:bottom w:val="single" w:sz="4" w:space="0" w:color="A6A6A6" w:themeColor="background1" w:themeShade="A6"/>
              <w:right w:val="nil"/>
            </w:tcBorders>
            <w:shd w:val="clear" w:color="auto" w:fill="auto"/>
          </w:tcPr>
          <w:p w14:paraId="2575F21F" w14:textId="77777777" w:rsidR="0030267F" w:rsidRPr="009F3406" w:rsidRDefault="0030267F" w:rsidP="0030267F">
            <w:pPr>
              <w:pStyle w:val="TableText"/>
              <w:rPr>
                <w:rFonts w:cs="Arial"/>
                <w:szCs w:val="18"/>
                <w:lang w:eastAsia="en-NZ"/>
              </w:rPr>
            </w:pPr>
            <w:r>
              <w:rPr>
                <w:rFonts w:cs="Arial"/>
                <w:szCs w:val="18"/>
                <w:lang w:eastAsia="en-NZ"/>
              </w:rPr>
              <w:t>M</w:t>
            </w:r>
            <w:r w:rsidRPr="009F3406">
              <w:rPr>
                <w:rFonts w:cs="Arial"/>
                <w:szCs w:val="18"/>
                <w:lang w:eastAsia="en-NZ"/>
              </w:rPr>
              <w:t xml:space="preserve">onthly </w:t>
            </w:r>
            <w:r>
              <w:rPr>
                <w:rFonts w:cs="Arial"/>
                <w:szCs w:val="18"/>
                <w:lang w:eastAsia="en-NZ"/>
              </w:rPr>
              <w:t>reporting</w:t>
            </w:r>
            <w:r w:rsidRPr="009F3406">
              <w:rPr>
                <w:rFonts w:cs="Arial"/>
                <w:szCs w:val="18"/>
                <w:lang w:eastAsia="en-NZ"/>
              </w:rPr>
              <w:t xml:space="preserve"> against</w:t>
            </w:r>
          </w:p>
          <w:p w14:paraId="38D65F83" w14:textId="77777777" w:rsidR="0030267F" w:rsidRPr="009F3406" w:rsidRDefault="0030267F" w:rsidP="0030267F">
            <w:pPr>
              <w:pStyle w:val="TableBullet"/>
              <w:rPr>
                <w:lang w:eastAsia="en-NZ"/>
              </w:rPr>
            </w:pPr>
            <w:r w:rsidRPr="009F3406">
              <w:rPr>
                <w:lang w:eastAsia="en-NZ"/>
              </w:rPr>
              <w:t xml:space="preserve">the 62-day Faster cancer treatment health target </w:t>
            </w:r>
          </w:p>
          <w:p w14:paraId="131AECAD" w14:textId="77777777" w:rsidR="0030267F" w:rsidRDefault="0030267F" w:rsidP="0030267F">
            <w:pPr>
              <w:pStyle w:val="TableBullet"/>
              <w:rPr>
                <w:lang w:eastAsia="en-NZ"/>
              </w:rPr>
            </w:pPr>
            <w:r w:rsidRPr="009F3406">
              <w:rPr>
                <w:lang w:eastAsia="en-NZ"/>
              </w:rPr>
              <w:t>the 31-day Faster cancer treatm</w:t>
            </w:r>
            <w:r w:rsidR="008861F2">
              <w:rPr>
                <w:lang w:eastAsia="en-NZ"/>
              </w:rPr>
              <w:t>ent policy priority 30 (Part A)</w:t>
            </w:r>
            <w:r w:rsidR="008861F2">
              <w:rPr>
                <w:rStyle w:val="FootnoteReference"/>
                <w:lang w:eastAsia="en-NZ"/>
              </w:rPr>
              <w:footnoteReference w:id="6"/>
            </w:r>
          </w:p>
          <w:p w14:paraId="0AF65249" w14:textId="77777777" w:rsidR="009F3406" w:rsidRPr="0030267F" w:rsidRDefault="0030267F" w:rsidP="0030267F">
            <w:pPr>
              <w:pStyle w:val="TableBullet"/>
              <w:rPr>
                <w:lang w:eastAsia="en-NZ"/>
              </w:rPr>
            </w:pPr>
            <w:r w:rsidRPr="009F3406">
              <w:rPr>
                <w:lang w:eastAsia="en-NZ"/>
              </w:rPr>
              <w:t>the Shorter waits for cancer treatment – radiotherapy and chemotherapy policy priority 30 (Part B)</w:t>
            </w:r>
            <w:r w:rsidR="008861F2">
              <w:rPr>
                <w:rStyle w:val="FootnoteReference"/>
                <w:lang w:eastAsia="en-NZ"/>
              </w:rPr>
              <w:footnoteReference w:id="7"/>
            </w:r>
          </w:p>
        </w:tc>
      </w:tr>
      <w:tr w:rsidR="009F3406" w:rsidRPr="002F0F41" w14:paraId="70EED984" w14:textId="77777777" w:rsidTr="004A4240">
        <w:trPr>
          <w:cantSplit/>
          <w:trHeight w:val="1134"/>
          <w:tblHeader/>
        </w:trPr>
        <w:tc>
          <w:tcPr>
            <w:tcW w:w="503" w:type="pct"/>
            <w:tcBorders>
              <w:top w:val="nil"/>
              <w:left w:val="nil"/>
              <w:bottom w:val="nil"/>
              <w:right w:val="nil"/>
            </w:tcBorders>
            <w:shd w:val="clear" w:color="auto" w:fill="auto"/>
            <w:textDirection w:val="btLr"/>
          </w:tcPr>
          <w:p w14:paraId="1B7DE3B2" w14:textId="77777777" w:rsidR="009F3406" w:rsidRPr="002F7346" w:rsidRDefault="009F3406" w:rsidP="003D48B4">
            <w:pPr>
              <w:pStyle w:val="TableText"/>
              <w:keepNext/>
              <w:tabs>
                <w:tab w:val="left" w:pos="975"/>
              </w:tabs>
              <w:ind w:left="113" w:right="170"/>
              <w:jc w:val="center"/>
              <w:rPr>
                <w:rFonts w:cs="Arial"/>
                <w:b/>
                <w:szCs w:val="18"/>
                <w:lang w:eastAsia="en-NZ"/>
              </w:rPr>
            </w:pPr>
          </w:p>
        </w:tc>
        <w:tc>
          <w:tcPr>
            <w:tcW w:w="709" w:type="pct"/>
            <w:tcBorders>
              <w:top w:val="nil"/>
              <w:left w:val="nil"/>
              <w:bottom w:val="nil"/>
              <w:right w:val="nil"/>
            </w:tcBorders>
            <w:shd w:val="clear" w:color="auto" w:fill="auto"/>
          </w:tcPr>
          <w:p w14:paraId="4794E60D" w14:textId="77777777" w:rsidR="009F3406" w:rsidRPr="002F7346" w:rsidRDefault="009F3406" w:rsidP="003D48B4">
            <w:pPr>
              <w:pStyle w:val="TableText"/>
              <w:keepNext/>
              <w:tabs>
                <w:tab w:val="left" w:pos="975"/>
              </w:tabs>
              <w:ind w:right="170"/>
              <w:rPr>
                <w:rFonts w:cs="Arial"/>
                <w:szCs w:val="18"/>
                <w:lang w:eastAsia="en-NZ"/>
              </w:rPr>
            </w:pPr>
          </w:p>
        </w:tc>
        <w:tc>
          <w:tcPr>
            <w:tcW w:w="1970" w:type="pct"/>
            <w:tcBorders>
              <w:top w:val="single" w:sz="4" w:space="0" w:color="A6A6A6" w:themeColor="background1" w:themeShade="A6"/>
              <w:left w:val="nil"/>
              <w:bottom w:val="single" w:sz="4" w:space="0" w:color="A6A6A6" w:themeColor="background1" w:themeShade="A6"/>
              <w:right w:val="nil"/>
            </w:tcBorders>
            <w:shd w:val="clear" w:color="auto" w:fill="auto"/>
          </w:tcPr>
          <w:p w14:paraId="364A5804" w14:textId="77777777" w:rsidR="003E6E7B" w:rsidRPr="004A4240" w:rsidRDefault="00F448E1" w:rsidP="003E6E7B">
            <w:pPr>
              <w:pStyle w:val="TableBullet"/>
              <w:keepNext/>
              <w:numPr>
                <w:ilvl w:val="0"/>
                <w:numId w:val="0"/>
              </w:numPr>
              <w:spacing w:before="60"/>
              <w:ind w:right="142"/>
              <w:rPr>
                <w:b/>
                <w:lang w:eastAsia="en-NZ"/>
              </w:rPr>
            </w:pPr>
            <w:r>
              <w:rPr>
                <w:rFonts w:ascii="Helv" w:hAnsi="Helv" w:cs="Helv"/>
                <w:szCs w:val="18"/>
                <w:lang w:eastAsia="en-NZ"/>
              </w:rPr>
              <w:t xml:space="preserve">support the implementation of </w:t>
            </w:r>
            <w:r w:rsidR="003E6E7B" w:rsidRPr="004A4240">
              <w:rPr>
                <w:rFonts w:ascii="Helv" w:hAnsi="Helv" w:cs="Helv"/>
                <w:szCs w:val="18"/>
                <w:lang w:eastAsia="en-NZ"/>
              </w:rPr>
              <w:t xml:space="preserve">the </w:t>
            </w:r>
            <w:r w:rsidR="003E6E7B" w:rsidRPr="004A4240">
              <w:rPr>
                <w:rFonts w:ascii="Helv" w:hAnsi="Helv" w:cs="Helv"/>
                <w:b/>
                <w:szCs w:val="18"/>
                <w:lang w:eastAsia="en-NZ"/>
              </w:rPr>
              <w:t>Cancer Health Information Strategy</w:t>
            </w:r>
          </w:p>
          <w:p w14:paraId="5D1F5C61" w14:textId="77777777" w:rsidR="009F3406" w:rsidRPr="004A4240" w:rsidRDefault="009F3406" w:rsidP="003D48B4">
            <w:pPr>
              <w:pStyle w:val="TableText"/>
              <w:rPr>
                <w:rFonts w:cs="Arial"/>
                <w:szCs w:val="18"/>
                <w:lang w:eastAsia="en-NZ"/>
              </w:rPr>
            </w:pPr>
          </w:p>
        </w:tc>
        <w:tc>
          <w:tcPr>
            <w:tcW w:w="1818" w:type="pct"/>
            <w:tcBorders>
              <w:top w:val="single" w:sz="4" w:space="0" w:color="A6A6A6" w:themeColor="background1" w:themeShade="A6"/>
              <w:left w:val="nil"/>
              <w:bottom w:val="single" w:sz="4" w:space="0" w:color="A6A6A6" w:themeColor="background1" w:themeShade="A6"/>
              <w:right w:val="nil"/>
            </w:tcBorders>
            <w:shd w:val="clear" w:color="auto" w:fill="auto"/>
          </w:tcPr>
          <w:p w14:paraId="1727E7A8" w14:textId="77777777" w:rsidR="009F3406" w:rsidRPr="004A4240" w:rsidRDefault="003E6E7B" w:rsidP="003D48B4">
            <w:pPr>
              <w:pStyle w:val="TableText"/>
              <w:keepNext/>
              <w:rPr>
                <w:rFonts w:cs="Arial"/>
                <w:szCs w:val="18"/>
                <w:lang w:eastAsia="en-NZ"/>
              </w:rPr>
            </w:pPr>
            <w:r w:rsidRPr="004A4240">
              <w:rPr>
                <w:szCs w:val="18"/>
              </w:rPr>
              <w:t>Implementation priorities identified and activities commenced by June 2016</w:t>
            </w:r>
          </w:p>
        </w:tc>
      </w:tr>
      <w:tr w:rsidR="002923CB" w:rsidRPr="002F0F41" w14:paraId="7E2D9098" w14:textId="77777777" w:rsidTr="004A4240">
        <w:trPr>
          <w:cantSplit/>
          <w:trHeight w:val="1134"/>
          <w:tblHeader/>
        </w:trPr>
        <w:tc>
          <w:tcPr>
            <w:tcW w:w="503" w:type="pct"/>
            <w:tcBorders>
              <w:top w:val="nil"/>
              <w:left w:val="nil"/>
              <w:bottom w:val="single" w:sz="4" w:space="0" w:color="auto"/>
              <w:right w:val="nil"/>
            </w:tcBorders>
            <w:shd w:val="clear" w:color="auto" w:fill="auto"/>
            <w:textDirection w:val="btLr"/>
          </w:tcPr>
          <w:p w14:paraId="161B93B8" w14:textId="77777777" w:rsidR="002923CB" w:rsidRPr="002F7346" w:rsidRDefault="002923CB" w:rsidP="003D48B4">
            <w:pPr>
              <w:pStyle w:val="TableText"/>
              <w:keepNext/>
              <w:tabs>
                <w:tab w:val="left" w:pos="975"/>
              </w:tabs>
              <w:ind w:left="113" w:right="170"/>
              <w:jc w:val="center"/>
              <w:rPr>
                <w:rFonts w:cs="Arial"/>
                <w:b/>
                <w:szCs w:val="18"/>
                <w:lang w:eastAsia="en-NZ"/>
              </w:rPr>
            </w:pPr>
          </w:p>
        </w:tc>
        <w:tc>
          <w:tcPr>
            <w:tcW w:w="709" w:type="pct"/>
            <w:tcBorders>
              <w:top w:val="nil"/>
              <w:left w:val="nil"/>
              <w:bottom w:val="single" w:sz="4" w:space="0" w:color="auto"/>
              <w:right w:val="nil"/>
            </w:tcBorders>
            <w:shd w:val="clear" w:color="auto" w:fill="auto"/>
          </w:tcPr>
          <w:p w14:paraId="3AFEA993" w14:textId="77777777" w:rsidR="002923CB" w:rsidRPr="002F7346" w:rsidRDefault="002923CB" w:rsidP="003D48B4">
            <w:pPr>
              <w:pStyle w:val="TableText"/>
              <w:keepNext/>
              <w:tabs>
                <w:tab w:val="left" w:pos="975"/>
              </w:tabs>
              <w:ind w:right="170"/>
              <w:rPr>
                <w:rFonts w:cs="Arial"/>
                <w:szCs w:val="18"/>
                <w:lang w:eastAsia="en-NZ"/>
              </w:rPr>
            </w:pPr>
          </w:p>
        </w:tc>
        <w:tc>
          <w:tcPr>
            <w:tcW w:w="1970" w:type="pct"/>
            <w:tcBorders>
              <w:top w:val="single" w:sz="4" w:space="0" w:color="A6A6A6" w:themeColor="background1" w:themeShade="A6"/>
              <w:left w:val="nil"/>
              <w:bottom w:val="single" w:sz="4" w:space="0" w:color="auto"/>
              <w:right w:val="nil"/>
            </w:tcBorders>
            <w:shd w:val="clear" w:color="auto" w:fill="auto"/>
          </w:tcPr>
          <w:p w14:paraId="56BC3AED" w14:textId="77777777" w:rsidR="002923CB" w:rsidRDefault="002923CB" w:rsidP="002923CB">
            <w:pPr>
              <w:pStyle w:val="TableBullet"/>
              <w:keepNext/>
              <w:numPr>
                <w:ilvl w:val="0"/>
                <w:numId w:val="0"/>
              </w:numPr>
              <w:ind w:right="142"/>
              <w:rPr>
                <w:lang w:eastAsia="en-NZ"/>
              </w:rPr>
            </w:pPr>
            <w:r>
              <w:rPr>
                <w:lang w:eastAsia="en-NZ"/>
              </w:rPr>
              <w:t xml:space="preserve">implement the </w:t>
            </w:r>
            <w:r w:rsidRPr="004A4240">
              <w:rPr>
                <w:b/>
                <w:lang w:eastAsia="en-NZ"/>
              </w:rPr>
              <w:t>cancer psychological and social support</w:t>
            </w:r>
            <w:r>
              <w:rPr>
                <w:lang w:eastAsia="en-NZ"/>
              </w:rPr>
              <w:t xml:space="preserve"> workforce initiative</w:t>
            </w:r>
          </w:p>
          <w:p w14:paraId="0E2D7DBA" w14:textId="77777777" w:rsidR="002923CB" w:rsidRPr="009F3406" w:rsidRDefault="002923CB" w:rsidP="003D48B4">
            <w:pPr>
              <w:pStyle w:val="TableText"/>
              <w:rPr>
                <w:rFonts w:ascii="Helv" w:hAnsi="Helv" w:cs="Helv"/>
                <w:szCs w:val="18"/>
                <w:highlight w:val="yellow"/>
                <w:lang w:eastAsia="en-NZ"/>
              </w:rPr>
            </w:pPr>
          </w:p>
        </w:tc>
        <w:tc>
          <w:tcPr>
            <w:tcW w:w="1818" w:type="pct"/>
            <w:tcBorders>
              <w:top w:val="single" w:sz="4" w:space="0" w:color="A6A6A6" w:themeColor="background1" w:themeShade="A6"/>
              <w:left w:val="nil"/>
              <w:bottom w:val="single" w:sz="4" w:space="0" w:color="auto"/>
              <w:right w:val="nil"/>
            </w:tcBorders>
            <w:shd w:val="clear" w:color="auto" w:fill="auto"/>
          </w:tcPr>
          <w:p w14:paraId="023D0411" w14:textId="77777777" w:rsidR="002923CB" w:rsidRDefault="002923CB" w:rsidP="002923CB">
            <w:pPr>
              <w:pStyle w:val="TableText"/>
              <w:keepNext/>
              <w:rPr>
                <w:rFonts w:cs="Arial"/>
                <w:szCs w:val="18"/>
                <w:lang w:eastAsia="en-NZ"/>
              </w:rPr>
            </w:pPr>
            <w:r>
              <w:rPr>
                <w:rFonts w:cs="Arial"/>
                <w:szCs w:val="18"/>
                <w:lang w:eastAsia="en-NZ"/>
              </w:rPr>
              <w:t xml:space="preserve">Recruitment to the psychological and </w:t>
            </w:r>
            <w:r w:rsidR="002E1589">
              <w:rPr>
                <w:rFonts w:cs="Arial"/>
                <w:szCs w:val="18"/>
                <w:lang w:eastAsia="en-NZ"/>
              </w:rPr>
              <w:t xml:space="preserve">social </w:t>
            </w:r>
            <w:r>
              <w:rPr>
                <w:rFonts w:cs="Arial"/>
                <w:szCs w:val="18"/>
                <w:lang w:eastAsia="en-NZ"/>
              </w:rPr>
              <w:t>support roles by January 2016</w:t>
            </w:r>
          </w:p>
          <w:p w14:paraId="79D1BC31" w14:textId="77777777" w:rsidR="002923CB" w:rsidRPr="009F3406" w:rsidRDefault="002923CB" w:rsidP="003D48B4">
            <w:pPr>
              <w:pStyle w:val="TableText"/>
              <w:keepNext/>
              <w:rPr>
                <w:rFonts w:cs="Arial"/>
                <w:szCs w:val="18"/>
                <w:highlight w:val="yellow"/>
                <w:lang w:eastAsia="en-NZ"/>
              </w:rPr>
            </w:pPr>
          </w:p>
        </w:tc>
      </w:tr>
    </w:tbl>
    <w:p w14:paraId="3511249C" w14:textId="77777777" w:rsidR="00F448E1" w:rsidRDefault="00F448E1" w:rsidP="002F7346"/>
    <w:p w14:paraId="6DB64538" w14:textId="77777777" w:rsidR="00F448E1" w:rsidRDefault="00F448E1" w:rsidP="00F81626">
      <w:r>
        <w:br w:type="page"/>
      </w:r>
    </w:p>
    <w:p w14:paraId="048A594D" w14:textId="77777777" w:rsidR="00863117" w:rsidRDefault="00F448E1" w:rsidP="00F81626">
      <w:pPr>
        <w:pStyle w:val="Heading1"/>
      </w:pPr>
      <w:bookmarkStart w:id="20" w:name="_Toc430084600"/>
      <w:r>
        <w:lastRenderedPageBreak/>
        <w:t>References</w:t>
      </w:r>
      <w:bookmarkEnd w:id="20"/>
    </w:p>
    <w:p w14:paraId="4A909E70" w14:textId="77777777" w:rsidR="00F448E1" w:rsidRDefault="00F448E1" w:rsidP="00F448E1">
      <w:proofErr w:type="gramStart"/>
      <w:r>
        <w:t>Health Partners Consulting Group.</w:t>
      </w:r>
      <w:proofErr w:type="gramEnd"/>
      <w:r>
        <w:t xml:space="preserve"> 2014. </w:t>
      </w:r>
      <w:r>
        <w:rPr>
          <w:i/>
        </w:rPr>
        <w:t xml:space="preserve">Radiation Oncology National Linear Accelerator and Workforce Plan. </w:t>
      </w:r>
      <w:r>
        <w:t>Wellington: Ministry of Health.</w:t>
      </w:r>
    </w:p>
    <w:p w14:paraId="291B02C2" w14:textId="77777777" w:rsidR="00F448E1" w:rsidRDefault="00F448E1" w:rsidP="00F448E1"/>
    <w:p w14:paraId="65E51049" w14:textId="48CE77CF" w:rsidR="00F448E1" w:rsidRDefault="00F448E1" w:rsidP="00F448E1">
      <w:pPr>
        <w:rPr>
          <w:rFonts w:cs="Meta Normal LF"/>
          <w:color w:val="000000"/>
          <w:szCs w:val="22"/>
        </w:rPr>
      </w:pPr>
      <w:proofErr w:type="gramStart"/>
      <w:r>
        <w:t>Ministry of Health.</w:t>
      </w:r>
      <w:proofErr w:type="gramEnd"/>
      <w:r>
        <w:t xml:space="preserve"> 2010. </w:t>
      </w:r>
      <w:r w:rsidR="004B44BC">
        <w:rPr>
          <w:rFonts w:cs="Meta Normal LF"/>
          <w:color w:val="000000"/>
          <w:szCs w:val="22"/>
        </w:rPr>
        <w:t xml:space="preserve">Ministry of Health. 2010. </w:t>
      </w:r>
      <w:proofErr w:type="spellStart"/>
      <w:r w:rsidR="004B44BC">
        <w:rPr>
          <w:rFonts w:cs="Meta Normal LF"/>
          <w:i/>
          <w:iCs/>
          <w:color w:val="000000"/>
          <w:szCs w:val="22"/>
        </w:rPr>
        <w:t>Kōrero</w:t>
      </w:r>
      <w:proofErr w:type="spellEnd"/>
      <w:r w:rsidR="004B44BC">
        <w:rPr>
          <w:rFonts w:cs="Meta Normal LF"/>
          <w:i/>
          <w:iCs/>
          <w:color w:val="000000"/>
          <w:szCs w:val="22"/>
        </w:rPr>
        <w:t xml:space="preserve"> </w:t>
      </w:r>
      <w:proofErr w:type="spellStart"/>
      <w:r w:rsidR="004B44BC">
        <w:rPr>
          <w:rFonts w:cs="Meta Normal LF"/>
          <w:i/>
          <w:iCs/>
          <w:color w:val="000000"/>
          <w:szCs w:val="22"/>
        </w:rPr>
        <w:t>Mārama</w:t>
      </w:r>
      <w:proofErr w:type="spellEnd"/>
      <w:r w:rsidR="004B44BC">
        <w:rPr>
          <w:rFonts w:cs="Meta Normal LF"/>
          <w:i/>
          <w:iCs/>
          <w:color w:val="000000"/>
          <w:szCs w:val="22"/>
        </w:rPr>
        <w:t xml:space="preserve">: Health Literacy and Māori Results from the 2006 Adult Literacy and Life Skills Survey. </w:t>
      </w:r>
      <w:r w:rsidR="004B44BC">
        <w:rPr>
          <w:rFonts w:cs="Meta Normal LF"/>
          <w:color w:val="000000"/>
          <w:szCs w:val="22"/>
        </w:rPr>
        <w:t>Wellington: Ministry of Health</w:t>
      </w:r>
    </w:p>
    <w:p w14:paraId="33D71B17" w14:textId="77777777" w:rsidR="004B44BC" w:rsidRDefault="004B44BC" w:rsidP="00F448E1"/>
    <w:p w14:paraId="1FAEBEA0" w14:textId="77777777" w:rsidR="00F448E1" w:rsidRDefault="00F448E1" w:rsidP="00F448E1">
      <w:proofErr w:type="gramStart"/>
      <w:r>
        <w:t>Ministry of Health.</w:t>
      </w:r>
      <w:proofErr w:type="gramEnd"/>
      <w:r>
        <w:t xml:space="preserve"> 2014a. </w:t>
      </w:r>
      <w:r>
        <w:rPr>
          <w:i/>
        </w:rPr>
        <w:t>New Zealand Cancer Plan: Better, faster cancer care.</w:t>
      </w:r>
      <w:r>
        <w:t xml:space="preserve"> Wellington: Ministry of Health.</w:t>
      </w:r>
    </w:p>
    <w:p w14:paraId="0DD3CE81" w14:textId="77777777" w:rsidR="00F448E1" w:rsidRPr="00F448E1" w:rsidRDefault="00F448E1" w:rsidP="00F448E1"/>
    <w:p w14:paraId="11A5DE31" w14:textId="77777777" w:rsidR="00F448E1" w:rsidRDefault="00F448E1" w:rsidP="002F7346">
      <w:proofErr w:type="gramStart"/>
      <w:r>
        <w:t>Ministry of Health.</w:t>
      </w:r>
      <w:proofErr w:type="gramEnd"/>
      <w:r>
        <w:t xml:space="preserve"> 2014b. </w:t>
      </w:r>
      <w:proofErr w:type="gramStart"/>
      <w:r w:rsidRPr="00F448E1">
        <w:rPr>
          <w:i/>
        </w:rPr>
        <w:t>The</w:t>
      </w:r>
      <w:proofErr w:type="gramEnd"/>
      <w:r w:rsidRPr="00F448E1">
        <w:rPr>
          <w:i/>
        </w:rPr>
        <w:t xml:space="preserve"> Guide to He Korowai </w:t>
      </w:r>
      <w:proofErr w:type="spellStart"/>
      <w:r w:rsidRPr="00F448E1">
        <w:rPr>
          <w:i/>
        </w:rPr>
        <w:t>Oranga</w:t>
      </w:r>
      <w:proofErr w:type="spellEnd"/>
      <w:r w:rsidRPr="00F448E1">
        <w:rPr>
          <w:i/>
        </w:rPr>
        <w:t xml:space="preserve"> – Māori Health Strategy</w:t>
      </w:r>
      <w:r>
        <w:t>. Wellington: Ministry of Health.</w:t>
      </w:r>
    </w:p>
    <w:p w14:paraId="2349C18A" w14:textId="77777777" w:rsidR="00F448E1" w:rsidRDefault="00F448E1" w:rsidP="002F7346"/>
    <w:p w14:paraId="5F928666" w14:textId="65CB1317" w:rsidR="00F448E1" w:rsidRPr="00F448E1" w:rsidRDefault="00F448E1" w:rsidP="00F448E1">
      <w:proofErr w:type="gramStart"/>
      <w:r>
        <w:t>OECD.</w:t>
      </w:r>
      <w:proofErr w:type="gramEnd"/>
      <w:r>
        <w:t xml:space="preserve"> 2013. </w:t>
      </w:r>
      <w:r w:rsidR="004B44BC" w:rsidRPr="004B44BC">
        <w:rPr>
          <w:i/>
        </w:rPr>
        <w:t>Cancer Care: Assuring Quality to Improve Survival.</w:t>
      </w:r>
      <w:r w:rsidR="004B44BC">
        <w:t xml:space="preserve"> </w:t>
      </w:r>
      <w:proofErr w:type="gramStart"/>
      <w:r w:rsidR="004B44BC">
        <w:t>OECD.</w:t>
      </w:r>
      <w:proofErr w:type="gramEnd"/>
    </w:p>
    <w:sectPr w:rsidR="00F448E1" w:rsidRPr="00F448E1" w:rsidSect="003E6E7B">
      <w:headerReference w:type="default" r:id="rId19"/>
      <w:footerReference w:type="default" r:id="rId20"/>
      <w:pgSz w:w="11907" w:h="16834" w:code="9"/>
      <w:pgMar w:top="851" w:right="1134" w:bottom="1134" w:left="1134" w:header="284" w:footer="567" w:gutter="284"/>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88E9B3" w15:done="0"/>
  <w15:commentEx w15:paraId="1F7A35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5A169" w14:textId="77777777" w:rsidR="00E428C6" w:rsidRDefault="00E428C6">
      <w:pPr>
        <w:spacing w:line="240" w:lineRule="auto"/>
      </w:pPr>
      <w:r>
        <w:separator/>
      </w:r>
    </w:p>
  </w:endnote>
  <w:endnote w:type="continuationSeparator" w:id="0">
    <w:p w14:paraId="539CBFDD" w14:textId="77777777" w:rsidR="00E428C6" w:rsidRDefault="00E42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271C4" w14:textId="77777777" w:rsidR="00EE5CB7" w:rsidRPr="003648EF" w:rsidRDefault="00EE5CB7"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C9BD" w14:textId="77777777" w:rsidR="00EE5CB7" w:rsidRDefault="00EE5CB7"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ADD9D" w14:textId="77777777" w:rsidR="00EE5CB7" w:rsidRDefault="00EE5C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B96BD" w14:textId="77777777" w:rsidR="00671078" w:rsidRPr="00275D08" w:rsidRDefault="00671078" w:rsidP="005F127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A71E35">
      <w:rPr>
        <w:rStyle w:val="PageNumber"/>
        <w:noProof/>
      </w:rPr>
      <w:t>10</w:t>
    </w:r>
    <w:r w:rsidRPr="00FC46E7">
      <w:rPr>
        <w:rStyle w:val="PageNumber"/>
      </w:rPr>
      <w:fldChar w:fldCharType="end"/>
    </w:r>
    <w:r>
      <w:tab/>
    </w:r>
    <w:r w:rsidR="00A45EC9">
      <w:t>National Cancer Programme</w:t>
    </w:r>
    <w:r w:rsidR="003F465A">
      <w:t>:</w:t>
    </w:r>
    <w:r w:rsidR="00A45EC9">
      <w:t xml:space="preserve"> Work Plan 201</w:t>
    </w:r>
    <w:r w:rsidR="0011185C">
      <w:t>5/16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EB079" w14:textId="77777777" w:rsidR="005621F2" w:rsidRDefault="005621F2" w:rsidP="00533B90">
    <w:pPr>
      <w:pStyle w:val="RectoFooter"/>
    </w:pPr>
    <w:r>
      <w:tab/>
    </w:r>
    <w:r w:rsidR="003A5578">
      <w:t>National Cancer Programme</w:t>
    </w:r>
    <w:r w:rsidR="003F465A">
      <w:t>:</w:t>
    </w:r>
    <w:r w:rsidR="003A5578">
      <w:t xml:space="preserve"> Work Plan 2015/16</w:t>
    </w:r>
    <w:r>
      <w:tab/>
    </w:r>
    <w:r>
      <w:rPr>
        <w:rStyle w:val="PageNumber"/>
      </w:rPr>
      <w:fldChar w:fldCharType="begin"/>
    </w:r>
    <w:r>
      <w:rPr>
        <w:rStyle w:val="PageNumber"/>
      </w:rPr>
      <w:instrText xml:space="preserve"> PAGE </w:instrText>
    </w:r>
    <w:r>
      <w:rPr>
        <w:rStyle w:val="PageNumber"/>
      </w:rPr>
      <w:fldChar w:fldCharType="separate"/>
    </w:r>
    <w:r w:rsidR="00A71E35">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83D00" w14:textId="77777777" w:rsidR="005621F2" w:rsidRDefault="005621F2" w:rsidP="00533B90">
    <w:pPr>
      <w:pStyle w:val="RectoFooter"/>
    </w:pPr>
    <w:r>
      <w:tab/>
    </w:r>
    <w:r w:rsidR="000B4AF7">
      <w:t xml:space="preserve"> </w:t>
    </w:r>
    <w:r w:rsidR="003A5578">
      <w:t>National Cancer Programme</w:t>
    </w:r>
    <w:r w:rsidR="003F465A">
      <w:t>:</w:t>
    </w:r>
    <w:r w:rsidR="00A45EC9">
      <w:t xml:space="preserve"> Work Plan 201</w:t>
    </w:r>
    <w:r w:rsidR="0088351A">
      <w:t>5</w:t>
    </w:r>
    <w:r w:rsidR="00A45EC9">
      <w:t>/1</w:t>
    </w:r>
    <w:r w:rsidR="0088351A">
      <w:t>6</w:t>
    </w:r>
    <w:r>
      <w:tab/>
    </w:r>
    <w:r>
      <w:rPr>
        <w:rStyle w:val="PageNumber"/>
      </w:rPr>
      <w:fldChar w:fldCharType="begin"/>
    </w:r>
    <w:r>
      <w:rPr>
        <w:rStyle w:val="PageNumber"/>
      </w:rPr>
      <w:instrText xml:space="preserve"> PAGE </w:instrText>
    </w:r>
    <w:r>
      <w:rPr>
        <w:rStyle w:val="PageNumber"/>
      </w:rPr>
      <w:fldChar w:fldCharType="separate"/>
    </w:r>
    <w:r w:rsidR="00A71E35">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311A9" w14:textId="77777777" w:rsidR="00E428C6" w:rsidRPr="00E460B6" w:rsidRDefault="00E428C6" w:rsidP="007B4D3E"/>
  </w:footnote>
  <w:footnote w:type="continuationSeparator" w:id="0">
    <w:p w14:paraId="7150FAA1" w14:textId="77777777" w:rsidR="00E428C6" w:rsidRDefault="00E428C6">
      <w:pPr>
        <w:spacing w:line="240" w:lineRule="auto"/>
      </w:pPr>
      <w:r>
        <w:continuationSeparator/>
      </w:r>
    </w:p>
  </w:footnote>
  <w:footnote w:id="1">
    <w:p w14:paraId="2F844124" w14:textId="77777777" w:rsidR="00F40DF5" w:rsidRDefault="00F40DF5" w:rsidP="00A45EC9">
      <w:pPr>
        <w:pStyle w:val="FootnoteText"/>
      </w:pPr>
      <w:r w:rsidRPr="00A45EC9">
        <w:rPr>
          <w:rStyle w:val="FootnoteReference"/>
        </w:rPr>
        <w:footnoteRef/>
      </w:r>
      <w:r>
        <w:tab/>
        <w:t>The work plan does not include activities associated</w:t>
      </w:r>
      <w:r w:rsidR="008E0166">
        <w:t xml:space="preserve"> with horizon scanning or new or </w:t>
      </w:r>
      <w:r>
        <w:t>emerging technologies, which is led by the National Health Committee.</w:t>
      </w:r>
    </w:p>
  </w:footnote>
  <w:footnote w:id="2">
    <w:p w14:paraId="7FC3C044" w14:textId="77777777" w:rsidR="002E1589" w:rsidRDefault="002E1589" w:rsidP="003F465A">
      <w:pPr>
        <w:pStyle w:val="FootnoteText"/>
      </w:pPr>
      <w:r>
        <w:rPr>
          <w:rStyle w:val="FootnoteReference"/>
        </w:rPr>
        <w:footnoteRef/>
      </w:r>
      <w:r w:rsidR="003F465A">
        <w:tab/>
      </w:r>
      <w:r>
        <w:t>‘</w:t>
      </w:r>
      <w:r w:rsidRPr="00FB5647">
        <w:t>the capacity to obtain</w:t>
      </w:r>
      <w:r>
        <w:t>,</w:t>
      </w:r>
      <w:r w:rsidRPr="00FB5647">
        <w:t xml:space="preserve"> process and understand basic health information and services in order to make informed a</w:t>
      </w:r>
      <w:r>
        <w:t>nd appropriate health decisions’</w:t>
      </w:r>
      <w:r w:rsidRPr="00FB5647">
        <w:t xml:space="preserve"> (Ministry of Health 2010)</w:t>
      </w:r>
    </w:p>
  </w:footnote>
  <w:footnote w:id="3">
    <w:p w14:paraId="13B3E7C4" w14:textId="77777777" w:rsidR="00F40DF5" w:rsidRDefault="00F40DF5" w:rsidP="00EB2EF2">
      <w:pPr>
        <w:pStyle w:val="FootnoteText"/>
      </w:pPr>
      <w:r w:rsidRPr="00EB2EF2">
        <w:rPr>
          <w:rStyle w:val="FootnoteReference"/>
        </w:rPr>
        <w:footnoteRef/>
      </w:r>
      <w:r w:rsidR="00EB2EF2">
        <w:tab/>
      </w:r>
      <w:r>
        <w:t>Women aged 20 to 69 years screened in the previous three years.</w:t>
      </w:r>
    </w:p>
  </w:footnote>
  <w:footnote w:id="4">
    <w:p w14:paraId="77CF15CD" w14:textId="77777777" w:rsidR="00F94B1A" w:rsidRDefault="00F94B1A">
      <w:pPr>
        <w:pStyle w:val="FootnoteText"/>
      </w:pPr>
      <w:r>
        <w:rPr>
          <w:rStyle w:val="FootnoteReference"/>
        </w:rPr>
        <w:footnoteRef/>
      </w:r>
      <w:r>
        <w:t xml:space="preserve"> </w:t>
      </w:r>
      <w:r>
        <w:tab/>
      </w:r>
      <w:r w:rsidRPr="00F448E1">
        <w:rPr>
          <w:rFonts w:ascii="Arial" w:hAnsi="Arial" w:cs="Arial"/>
          <w:color w:val="000000"/>
          <w:szCs w:val="18"/>
          <w:lang w:eastAsia="en-NZ"/>
        </w:rPr>
        <w:t>DHBs are expected</w:t>
      </w:r>
      <w:r w:rsidRPr="00F448E1">
        <w:rPr>
          <w:rFonts w:ascii="Arial" w:hAnsi="Arial" w:cs="Arial"/>
          <w:szCs w:val="18"/>
        </w:rPr>
        <w:t xml:space="preserve"> to</w:t>
      </w:r>
      <w:r w:rsidRPr="00F448E1">
        <w:rPr>
          <w:rFonts w:ascii="Arial" w:hAnsi="Arial" w:cs="Arial"/>
          <w:color w:val="000000"/>
          <w:szCs w:val="18"/>
          <w:lang w:eastAsia="en-NZ"/>
        </w:rPr>
        <w:t xml:space="preserve"> improve the coverage and functionality of multidisciplinary meetings</w:t>
      </w:r>
    </w:p>
  </w:footnote>
  <w:footnote w:id="5">
    <w:p w14:paraId="5E84643D" w14:textId="77777777" w:rsidR="00F94B1A" w:rsidRDefault="00F94B1A" w:rsidP="00F94B1A">
      <w:pPr>
        <w:pStyle w:val="FootnoteText"/>
        <w:spacing w:before="0"/>
        <w:rPr>
          <w:rFonts w:ascii="Arial" w:hAnsi="Arial" w:cs="Arial"/>
          <w:color w:val="000000"/>
          <w:szCs w:val="22"/>
          <w:lang w:eastAsia="en-NZ"/>
        </w:rPr>
      </w:pPr>
      <w:r>
        <w:rPr>
          <w:rStyle w:val="FootnoteReference"/>
        </w:rPr>
        <w:footnoteRef/>
      </w:r>
      <w:r>
        <w:rPr>
          <w:rFonts w:ascii="Arial" w:hAnsi="Arial" w:cs="Arial"/>
          <w:color w:val="000000"/>
          <w:szCs w:val="22"/>
          <w:lang w:eastAsia="en-NZ"/>
        </w:rPr>
        <w:t xml:space="preserve"> </w:t>
      </w:r>
      <w:r w:rsidR="003F465A">
        <w:tab/>
      </w:r>
      <w:r>
        <w:rPr>
          <w:rFonts w:ascii="Arial" w:hAnsi="Arial" w:cs="Arial"/>
          <w:color w:val="000000"/>
          <w:szCs w:val="22"/>
          <w:lang w:eastAsia="en-NZ"/>
        </w:rPr>
        <w:t xml:space="preserve">DHBs are required to </w:t>
      </w:r>
      <w:proofErr w:type="gramStart"/>
      <w:r>
        <w:rPr>
          <w:rFonts w:ascii="Arial" w:hAnsi="Arial" w:cs="Arial"/>
          <w:color w:val="000000"/>
          <w:szCs w:val="22"/>
          <w:lang w:eastAsia="en-NZ"/>
        </w:rPr>
        <w:t>collect,</w:t>
      </w:r>
      <w:proofErr w:type="gramEnd"/>
      <w:r>
        <w:rPr>
          <w:rFonts w:ascii="Arial" w:hAnsi="Arial" w:cs="Arial"/>
          <w:color w:val="000000"/>
          <w:szCs w:val="22"/>
          <w:lang w:eastAsia="en-NZ"/>
        </w:rPr>
        <w:t xml:space="preserve"> measure and monitor how long people are waiting for identified diagnostic procedures</w:t>
      </w:r>
      <w:r w:rsidR="00F448E1">
        <w:rPr>
          <w:rFonts w:ascii="Arial" w:hAnsi="Arial" w:cs="Arial"/>
          <w:color w:val="000000"/>
          <w:szCs w:val="22"/>
          <w:lang w:eastAsia="en-NZ"/>
        </w:rPr>
        <w:t>,</w:t>
      </w:r>
      <w:r>
        <w:rPr>
          <w:rFonts w:ascii="Arial" w:hAnsi="Arial" w:cs="Arial"/>
          <w:color w:val="000000"/>
          <w:szCs w:val="22"/>
          <w:lang w:eastAsia="en-NZ"/>
        </w:rPr>
        <w:t xml:space="preserve"> including colo</w:t>
      </w:r>
      <w:r w:rsidR="00F448E1">
        <w:rPr>
          <w:rFonts w:ascii="Arial" w:hAnsi="Arial" w:cs="Arial"/>
          <w:color w:val="000000"/>
          <w:szCs w:val="22"/>
          <w:lang w:eastAsia="en-NZ"/>
        </w:rPr>
        <w:t xml:space="preserve">noscopy. </w:t>
      </w:r>
      <w:r>
        <w:rPr>
          <w:rFonts w:ascii="Arial" w:hAnsi="Arial" w:cs="Arial"/>
          <w:color w:val="000000"/>
          <w:szCs w:val="22"/>
          <w:lang w:eastAsia="en-NZ"/>
        </w:rPr>
        <w:t>Indicators are:</w:t>
      </w:r>
    </w:p>
    <w:p w14:paraId="1806614A" w14:textId="77777777" w:rsidR="00F94B1A" w:rsidRPr="00F94B1A" w:rsidRDefault="00F94B1A" w:rsidP="00F448E1">
      <w:pPr>
        <w:tabs>
          <w:tab w:val="left" w:pos="1701"/>
        </w:tabs>
        <w:autoSpaceDE w:val="0"/>
        <w:autoSpaceDN w:val="0"/>
        <w:adjustRightInd w:val="0"/>
        <w:spacing w:line="240" w:lineRule="auto"/>
        <w:ind w:left="567" w:hanging="283"/>
        <w:jc w:val="both"/>
        <w:rPr>
          <w:rFonts w:ascii="Arial" w:hAnsi="Arial" w:cs="Arial"/>
          <w:color w:val="000000"/>
          <w:sz w:val="18"/>
          <w:szCs w:val="18"/>
          <w:lang w:eastAsia="en-NZ"/>
        </w:rPr>
      </w:pPr>
      <w:r w:rsidRPr="00F94B1A">
        <w:rPr>
          <w:rFonts w:ascii="Arial" w:hAnsi="Arial" w:cs="Arial"/>
          <w:color w:val="000000"/>
          <w:sz w:val="18"/>
          <w:szCs w:val="18"/>
          <w:lang w:eastAsia="en-NZ"/>
        </w:rPr>
        <w:t>a.</w:t>
      </w:r>
      <w:r w:rsidRPr="00F94B1A">
        <w:rPr>
          <w:rFonts w:ascii="Arial" w:hAnsi="Arial" w:cs="Arial"/>
          <w:color w:val="000000"/>
          <w:sz w:val="18"/>
          <w:szCs w:val="18"/>
          <w:lang w:eastAsia="en-NZ"/>
        </w:rPr>
        <w:tab/>
        <w:t>75% of people accepted for an urgent diagnostic colonoscopy will receive their procedure within two weeks (14 days) and</w:t>
      </w:r>
    </w:p>
    <w:p w14:paraId="47CF014A" w14:textId="77777777" w:rsidR="00F94B1A" w:rsidRDefault="00F94B1A" w:rsidP="00F448E1">
      <w:pPr>
        <w:tabs>
          <w:tab w:val="left" w:pos="1701"/>
        </w:tabs>
        <w:autoSpaceDE w:val="0"/>
        <w:autoSpaceDN w:val="0"/>
        <w:adjustRightInd w:val="0"/>
        <w:spacing w:line="240" w:lineRule="auto"/>
        <w:ind w:left="567" w:hanging="283"/>
        <w:jc w:val="both"/>
        <w:rPr>
          <w:rFonts w:ascii="Arial" w:hAnsi="Arial" w:cs="Arial"/>
          <w:color w:val="000000"/>
          <w:sz w:val="18"/>
          <w:szCs w:val="18"/>
          <w:lang w:eastAsia="en-NZ"/>
        </w:rPr>
      </w:pPr>
      <w:r w:rsidRPr="00F94B1A">
        <w:rPr>
          <w:rFonts w:ascii="Arial" w:hAnsi="Arial" w:cs="Arial"/>
          <w:color w:val="000000"/>
          <w:sz w:val="18"/>
          <w:szCs w:val="18"/>
          <w:lang w:eastAsia="en-NZ"/>
        </w:rPr>
        <w:t>b.</w:t>
      </w:r>
      <w:r w:rsidRPr="00F94B1A">
        <w:rPr>
          <w:rFonts w:ascii="Arial" w:hAnsi="Arial" w:cs="Arial"/>
          <w:color w:val="000000"/>
          <w:sz w:val="18"/>
          <w:szCs w:val="18"/>
          <w:lang w:eastAsia="en-NZ"/>
        </w:rPr>
        <w:tab/>
        <w:t>60% of people accepted for a diagnostic colonoscopy will receive their proce</w:t>
      </w:r>
      <w:r>
        <w:rPr>
          <w:rFonts w:ascii="Arial" w:hAnsi="Arial" w:cs="Arial"/>
          <w:color w:val="000000"/>
          <w:sz w:val="18"/>
          <w:szCs w:val="18"/>
          <w:lang w:eastAsia="en-NZ"/>
        </w:rPr>
        <w:t>dure within six weeks (42 days)</w:t>
      </w:r>
    </w:p>
    <w:p w14:paraId="6B715091" w14:textId="77777777" w:rsidR="00F94B1A" w:rsidRPr="00F94B1A" w:rsidRDefault="00F94B1A" w:rsidP="00F448E1">
      <w:pPr>
        <w:tabs>
          <w:tab w:val="left" w:pos="1701"/>
        </w:tabs>
        <w:autoSpaceDE w:val="0"/>
        <w:autoSpaceDN w:val="0"/>
        <w:adjustRightInd w:val="0"/>
        <w:spacing w:line="240" w:lineRule="auto"/>
        <w:ind w:left="567" w:hanging="283"/>
        <w:jc w:val="both"/>
        <w:rPr>
          <w:rFonts w:ascii="Arial" w:hAnsi="Arial" w:cs="Arial"/>
          <w:color w:val="000000"/>
          <w:sz w:val="18"/>
          <w:szCs w:val="18"/>
          <w:lang w:eastAsia="en-NZ"/>
        </w:rPr>
      </w:pPr>
      <w:proofErr w:type="gramStart"/>
      <w:r w:rsidRPr="00F94B1A">
        <w:rPr>
          <w:rFonts w:ascii="Arial" w:hAnsi="Arial" w:cs="Arial"/>
          <w:color w:val="000000"/>
          <w:sz w:val="18"/>
          <w:szCs w:val="18"/>
          <w:lang w:eastAsia="en-NZ"/>
        </w:rPr>
        <w:t>c.</w:t>
      </w:r>
      <w:r w:rsidRPr="00F94B1A">
        <w:rPr>
          <w:rFonts w:ascii="Arial" w:hAnsi="Arial" w:cs="Arial"/>
          <w:color w:val="000000"/>
          <w:sz w:val="18"/>
          <w:szCs w:val="18"/>
          <w:lang w:eastAsia="en-NZ"/>
        </w:rPr>
        <w:tab/>
        <w:t>60</w:t>
      </w:r>
      <w:proofErr w:type="gramEnd"/>
      <w:r w:rsidRPr="00F94B1A">
        <w:rPr>
          <w:rFonts w:ascii="Arial" w:hAnsi="Arial" w:cs="Arial"/>
          <w:color w:val="000000"/>
          <w:sz w:val="18"/>
          <w:szCs w:val="18"/>
          <w:lang w:eastAsia="en-NZ"/>
        </w:rPr>
        <w:t>% of people waiting for a surveillance colonoscopy will wait no longer than twelve weeks (84 days) beyond the planned date</w:t>
      </w:r>
      <w:r w:rsidR="00F448E1">
        <w:rPr>
          <w:rFonts w:ascii="Arial" w:hAnsi="Arial" w:cs="Arial"/>
          <w:color w:val="000000"/>
          <w:sz w:val="18"/>
          <w:szCs w:val="18"/>
          <w:lang w:eastAsia="en-NZ"/>
        </w:rPr>
        <w:t>.</w:t>
      </w:r>
    </w:p>
  </w:footnote>
  <w:footnote w:id="6">
    <w:p w14:paraId="752CBEF6" w14:textId="77777777" w:rsidR="008861F2" w:rsidRDefault="008861F2" w:rsidP="008861F2">
      <w:pPr>
        <w:pStyle w:val="FootnoteText"/>
      </w:pPr>
      <w:r>
        <w:rPr>
          <w:rStyle w:val="FootnoteReference"/>
        </w:rPr>
        <w:footnoteRef/>
      </w:r>
      <w:r>
        <w:t xml:space="preserve"> </w:t>
      </w:r>
      <w:r>
        <w:tab/>
      </w:r>
      <w:r>
        <w:rPr>
          <w:rFonts w:ascii="Arial" w:hAnsi="Arial" w:cs="Arial"/>
          <w:color w:val="000000"/>
          <w:szCs w:val="22"/>
          <w:lang w:eastAsia="en-NZ"/>
        </w:rPr>
        <w:t xml:space="preserve">Faster cancer treatment </w:t>
      </w:r>
      <w:r w:rsidR="00F448E1">
        <w:rPr>
          <w:rFonts w:ascii="Arial" w:hAnsi="Arial" w:cs="Arial"/>
          <w:color w:val="000000"/>
          <w:szCs w:val="22"/>
          <w:lang w:eastAsia="en-NZ"/>
        </w:rPr>
        <w:t>–</w:t>
      </w:r>
      <w:r>
        <w:rPr>
          <w:rFonts w:ascii="Arial" w:hAnsi="Arial" w:cs="Arial"/>
          <w:color w:val="000000"/>
          <w:szCs w:val="22"/>
          <w:lang w:eastAsia="en-NZ"/>
        </w:rPr>
        <w:t xml:space="preserve"> 31</w:t>
      </w:r>
      <w:r w:rsidR="00F448E1">
        <w:rPr>
          <w:rFonts w:ascii="Arial" w:hAnsi="Arial" w:cs="Arial"/>
          <w:color w:val="000000"/>
          <w:szCs w:val="22"/>
          <w:lang w:eastAsia="en-NZ"/>
        </w:rPr>
        <w:t>-</w:t>
      </w:r>
      <w:r>
        <w:rPr>
          <w:rFonts w:ascii="Arial" w:hAnsi="Arial" w:cs="Arial"/>
          <w:color w:val="000000"/>
          <w:szCs w:val="22"/>
          <w:lang w:eastAsia="en-NZ"/>
        </w:rPr>
        <w:t>day indicator</w:t>
      </w:r>
      <w:r w:rsidR="00F448E1">
        <w:rPr>
          <w:rFonts w:ascii="Arial" w:hAnsi="Arial" w:cs="Arial"/>
          <w:color w:val="000000"/>
          <w:szCs w:val="22"/>
          <w:lang w:eastAsia="en-NZ"/>
        </w:rPr>
        <w:t>,</w:t>
      </w:r>
      <w:r>
        <w:rPr>
          <w:rFonts w:ascii="Arial" w:hAnsi="Arial" w:cs="Arial"/>
          <w:color w:val="000000"/>
          <w:szCs w:val="22"/>
          <w:lang w:eastAsia="en-NZ"/>
        </w:rPr>
        <w:t xml:space="preserve"> which measures the length of time taken for patients to receive their first cancer treatment (or other management) from date of decision-to-treat</w:t>
      </w:r>
    </w:p>
  </w:footnote>
  <w:footnote w:id="7">
    <w:p w14:paraId="50A6DFF9" w14:textId="77777777" w:rsidR="008861F2" w:rsidRPr="008861F2" w:rsidRDefault="008861F2" w:rsidP="008861F2">
      <w:pPr>
        <w:autoSpaceDE w:val="0"/>
        <w:autoSpaceDN w:val="0"/>
        <w:adjustRightInd w:val="0"/>
        <w:spacing w:line="240" w:lineRule="auto"/>
        <w:ind w:left="284" w:hanging="284"/>
        <w:rPr>
          <w:rFonts w:ascii="Arial" w:hAnsi="Arial" w:cs="Arial"/>
          <w:color w:val="000000"/>
          <w:sz w:val="18"/>
          <w:szCs w:val="22"/>
          <w:lang w:eastAsia="en-NZ"/>
        </w:rPr>
      </w:pPr>
      <w:r>
        <w:rPr>
          <w:rStyle w:val="FootnoteReference"/>
        </w:rPr>
        <w:footnoteRef/>
      </w:r>
      <w:r>
        <w:t xml:space="preserve"> </w:t>
      </w:r>
      <w:r w:rsidR="003F465A">
        <w:tab/>
      </w:r>
      <w:r w:rsidRPr="008861F2">
        <w:rPr>
          <w:rFonts w:ascii="Arial" w:hAnsi="Arial" w:cs="Arial"/>
          <w:color w:val="000000"/>
          <w:sz w:val="18"/>
          <w:szCs w:val="22"/>
          <w:lang w:eastAsia="en-NZ"/>
        </w:rPr>
        <w:t>Shor</w:t>
      </w:r>
      <w:r w:rsidR="00F448E1">
        <w:rPr>
          <w:rFonts w:ascii="Arial" w:hAnsi="Arial" w:cs="Arial"/>
          <w:color w:val="000000"/>
          <w:sz w:val="18"/>
          <w:szCs w:val="22"/>
          <w:lang w:eastAsia="en-NZ"/>
        </w:rPr>
        <w:t>ter waits for cancer treatment –</w:t>
      </w:r>
      <w:r w:rsidRPr="008861F2">
        <w:rPr>
          <w:rFonts w:ascii="Arial" w:hAnsi="Arial" w:cs="Arial"/>
          <w:color w:val="000000"/>
          <w:sz w:val="18"/>
          <w:szCs w:val="22"/>
          <w:lang w:eastAsia="en-NZ"/>
        </w:rPr>
        <w:t xml:space="preserve"> radiotherapy and chemotherapy</w:t>
      </w:r>
      <w:r w:rsidR="00F448E1">
        <w:rPr>
          <w:rFonts w:ascii="Arial" w:hAnsi="Arial" w:cs="Arial"/>
          <w:color w:val="000000"/>
          <w:sz w:val="18"/>
          <w:szCs w:val="22"/>
          <w:lang w:eastAsia="en-NZ"/>
        </w:rPr>
        <w:t>,</w:t>
      </w:r>
      <w:r w:rsidRPr="008861F2">
        <w:rPr>
          <w:rFonts w:ascii="Arial" w:hAnsi="Arial" w:cs="Arial"/>
          <w:color w:val="000000"/>
          <w:sz w:val="18"/>
          <w:szCs w:val="22"/>
          <w:lang w:eastAsia="en-NZ"/>
        </w:rPr>
        <w:t xml:space="preserve"> which </w:t>
      </w:r>
      <w:r w:rsidR="00F448E1">
        <w:rPr>
          <w:rFonts w:ascii="Arial" w:hAnsi="Arial" w:cs="Arial"/>
          <w:color w:val="000000"/>
          <w:sz w:val="18"/>
          <w:szCs w:val="22"/>
          <w:lang w:eastAsia="en-NZ"/>
        </w:rPr>
        <w:t>are</w:t>
      </w:r>
      <w:r w:rsidRPr="008861F2">
        <w:rPr>
          <w:rFonts w:ascii="Arial" w:hAnsi="Arial" w:cs="Arial"/>
          <w:color w:val="000000"/>
          <w:sz w:val="18"/>
          <w:szCs w:val="22"/>
          <w:lang w:eastAsia="en-NZ"/>
        </w:rPr>
        <w:t xml:space="preserve"> the previous cancer target and measures that all patients ready</w:t>
      </w:r>
      <w:r w:rsidR="00F448E1">
        <w:rPr>
          <w:rFonts w:ascii="Arial" w:hAnsi="Arial" w:cs="Arial"/>
          <w:color w:val="000000"/>
          <w:sz w:val="18"/>
          <w:szCs w:val="22"/>
          <w:lang w:eastAsia="en-NZ"/>
        </w:rPr>
        <w:t xml:space="preserve"> </w:t>
      </w:r>
      <w:r w:rsidRPr="008861F2">
        <w:rPr>
          <w:rFonts w:ascii="Arial" w:hAnsi="Arial" w:cs="Arial"/>
          <w:color w:val="000000"/>
          <w:sz w:val="18"/>
          <w:szCs w:val="22"/>
          <w:lang w:eastAsia="en-NZ"/>
        </w:rPr>
        <w:t>for</w:t>
      </w:r>
      <w:r w:rsidR="00F448E1">
        <w:rPr>
          <w:rFonts w:ascii="Arial" w:hAnsi="Arial" w:cs="Arial"/>
          <w:color w:val="000000"/>
          <w:sz w:val="18"/>
          <w:szCs w:val="22"/>
          <w:lang w:eastAsia="en-NZ"/>
        </w:rPr>
        <w:t xml:space="preserve"> </w:t>
      </w:r>
      <w:r w:rsidRPr="008861F2">
        <w:rPr>
          <w:rFonts w:ascii="Arial" w:hAnsi="Arial" w:cs="Arial"/>
          <w:color w:val="000000"/>
          <w:sz w:val="18"/>
          <w:szCs w:val="22"/>
          <w:lang w:eastAsia="en-NZ"/>
        </w:rPr>
        <w:t>treatment wait less than four weeks for radiotherapy or chemotherapy from decision to treat.</w:t>
      </w:r>
      <w:r>
        <w:rPr>
          <w:rFonts w:ascii="Arial" w:hAnsi="Arial" w:cs="Arial"/>
          <w:color w:val="000000"/>
          <w:sz w:val="18"/>
          <w:szCs w:val="22"/>
          <w:lang w:eastAsia="en-NZ"/>
        </w:rPr>
        <w:t xml:space="preserve">   </w:t>
      </w:r>
    </w:p>
    <w:p w14:paraId="2CEB2FFF" w14:textId="77777777" w:rsidR="008861F2" w:rsidRDefault="008861F2" w:rsidP="008861F2">
      <w:pPr>
        <w:autoSpaceDE w:val="0"/>
        <w:autoSpaceDN w:val="0"/>
        <w:adjustRightInd w:val="0"/>
        <w:spacing w:line="240" w:lineRule="auto"/>
        <w:ind w:left="284" w:hanging="284"/>
        <w:rPr>
          <w:rFonts w:ascii="Arial" w:hAnsi="Arial" w:cs="Arial"/>
          <w:color w:val="000000"/>
          <w:szCs w:val="22"/>
          <w:lang w:eastAsia="en-NZ"/>
        </w:rPr>
      </w:pPr>
    </w:p>
    <w:p w14:paraId="559D09A0" w14:textId="77777777" w:rsidR="008861F2" w:rsidRDefault="008861F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1621E" w14:textId="77777777" w:rsidR="00EE5CB7" w:rsidRDefault="008C64C4" w:rsidP="00D25FFE">
    <w:pPr>
      <w:pStyle w:val="Header"/>
      <w:ind w:left="-1559"/>
    </w:pPr>
    <w:r>
      <w:rPr>
        <w:noProof/>
        <w:lang w:eastAsia="en-NZ"/>
      </w:rPr>
      <w:drawing>
        <wp:inline distT="0" distB="0" distL="0" distR="0" wp14:anchorId="25EAA34E" wp14:editId="3587A2FB">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654FA" w14:textId="77777777" w:rsidR="009E6B77" w:rsidRDefault="009E6B77"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C38B2" w14:textId="77777777" w:rsidR="009E6B77" w:rsidRDefault="009E6B77"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66783" w14:textId="77777777" w:rsidR="00EE5CB7" w:rsidRDefault="00EE5CB7"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43C1139"/>
    <w:multiLevelType w:val="hybridMultilevel"/>
    <w:tmpl w:val="F76446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1F177F55"/>
    <w:multiLevelType w:val="hybridMultilevel"/>
    <w:tmpl w:val="8DE643A6"/>
    <w:lvl w:ilvl="0" w:tplc="F1E687BA">
      <w:start w:val="22"/>
      <w:numFmt w:val="bullet"/>
      <w:lvlText w:val="-"/>
      <w:lvlJc w:val="left"/>
      <w:pPr>
        <w:ind w:left="1364" w:hanging="360"/>
      </w:pPr>
      <w:rPr>
        <w:rFonts w:ascii="Georgia" w:eastAsia="Times New Roman" w:hAnsi="Georgia" w:cs="Times New Roman"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6">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A964CEF"/>
    <w:multiLevelType w:val="hybridMultilevel"/>
    <w:tmpl w:val="4F5862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B2E5573"/>
    <w:multiLevelType w:val="hybridMultilevel"/>
    <w:tmpl w:val="3BC459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49D3FCE"/>
    <w:multiLevelType w:val="hybridMultilevel"/>
    <w:tmpl w:val="55BC61C8"/>
    <w:lvl w:ilvl="0" w:tplc="1409000F">
      <w:start w:val="1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7965814"/>
    <w:multiLevelType w:val="hybridMultilevel"/>
    <w:tmpl w:val="68D67B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F0C2A00"/>
    <w:multiLevelType w:val="hybridMultilevel"/>
    <w:tmpl w:val="D7C64742"/>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6">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7">
    <w:nsid w:val="69437DE8"/>
    <w:multiLevelType w:val="hybridMultilevel"/>
    <w:tmpl w:val="F57E7C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14C35AA"/>
    <w:multiLevelType w:val="hybridMultilevel"/>
    <w:tmpl w:val="E65600B0"/>
    <w:lvl w:ilvl="0" w:tplc="1AFCBB38">
      <w:start w:val="1"/>
      <w:numFmt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0"/>
  </w:num>
  <w:num w:numId="2">
    <w:abstractNumId w:val="16"/>
  </w:num>
  <w:num w:numId="3">
    <w:abstractNumId w:val="8"/>
  </w:num>
  <w:num w:numId="4">
    <w:abstractNumId w:val="9"/>
  </w:num>
  <w:num w:numId="5">
    <w:abstractNumId w:val="1"/>
  </w:num>
  <w:num w:numId="6">
    <w:abstractNumId w:val="14"/>
  </w:num>
  <w:num w:numId="7">
    <w:abstractNumId w:val="4"/>
  </w:num>
  <w:num w:numId="8">
    <w:abstractNumId w:val="19"/>
  </w:num>
  <w:num w:numId="9">
    <w:abstractNumId w:val="3"/>
  </w:num>
  <w:num w:numId="10">
    <w:abstractNumId w:val="6"/>
  </w:num>
  <w:num w:numId="11">
    <w:abstractNumId w:val="10"/>
  </w:num>
  <w:num w:numId="12">
    <w:abstractNumId w:val="0"/>
  </w:num>
  <w:num w:numId="13">
    <w:abstractNumId w:val="15"/>
  </w:num>
  <w:num w:numId="14">
    <w:abstractNumId w:val="7"/>
  </w:num>
  <w:num w:numId="15">
    <w:abstractNumId w:val="5"/>
  </w:num>
  <w:num w:numId="16">
    <w:abstractNumId w:val="18"/>
  </w:num>
  <w:num w:numId="17">
    <w:abstractNumId w:val="12"/>
  </w:num>
  <w:num w:numId="18">
    <w:abstractNumId w:val="20"/>
  </w:num>
  <w:num w:numId="19">
    <w:abstractNumId w:val="17"/>
  </w:num>
  <w:num w:numId="20">
    <w:abstractNumId w:val="20"/>
  </w:num>
  <w:num w:numId="21">
    <w:abstractNumId w:val="2"/>
  </w:num>
  <w:num w:numId="22">
    <w:abstractNumId w:val="11"/>
  </w:num>
  <w:num w:numId="23">
    <w:abstractNumId w:val="1"/>
  </w:num>
  <w:num w:numId="24">
    <w:abstractNumId w:val="1"/>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6D04"/>
    <w:rsid w:val="0001786F"/>
    <w:rsid w:val="0002647C"/>
    <w:rsid w:val="00030B26"/>
    <w:rsid w:val="000400C2"/>
    <w:rsid w:val="0006228D"/>
    <w:rsid w:val="00072BD6"/>
    <w:rsid w:val="00075B78"/>
    <w:rsid w:val="00082CD6"/>
    <w:rsid w:val="00085AFE"/>
    <w:rsid w:val="000B0730"/>
    <w:rsid w:val="000B4AF7"/>
    <w:rsid w:val="000B72BE"/>
    <w:rsid w:val="000F2AE2"/>
    <w:rsid w:val="00102063"/>
    <w:rsid w:val="00102856"/>
    <w:rsid w:val="0010541C"/>
    <w:rsid w:val="00106F93"/>
    <w:rsid w:val="0011185C"/>
    <w:rsid w:val="00111D50"/>
    <w:rsid w:val="00113B8E"/>
    <w:rsid w:val="001342C7"/>
    <w:rsid w:val="0013585C"/>
    <w:rsid w:val="00142954"/>
    <w:rsid w:val="001460E0"/>
    <w:rsid w:val="00147F71"/>
    <w:rsid w:val="00150A6E"/>
    <w:rsid w:val="0016468A"/>
    <w:rsid w:val="00180334"/>
    <w:rsid w:val="001A5CF5"/>
    <w:rsid w:val="001B39D2"/>
    <w:rsid w:val="001B44EC"/>
    <w:rsid w:val="001C4326"/>
    <w:rsid w:val="001D3541"/>
    <w:rsid w:val="001F34B9"/>
    <w:rsid w:val="00201A01"/>
    <w:rsid w:val="002104D3"/>
    <w:rsid w:val="00213A33"/>
    <w:rsid w:val="0021763B"/>
    <w:rsid w:val="00235F19"/>
    <w:rsid w:val="00246DB1"/>
    <w:rsid w:val="002476B5"/>
    <w:rsid w:val="00253ECF"/>
    <w:rsid w:val="002546A1"/>
    <w:rsid w:val="00275997"/>
    <w:rsid w:val="00275D08"/>
    <w:rsid w:val="00275DB1"/>
    <w:rsid w:val="00283C4A"/>
    <w:rsid w:val="002858E3"/>
    <w:rsid w:val="0029190A"/>
    <w:rsid w:val="002923CB"/>
    <w:rsid w:val="00292C5A"/>
    <w:rsid w:val="00295241"/>
    <w:rsid w:val="002A708A"/>
    <w:rsid w:val="002B047D"/>
    <w:rsid w:val="002B732B"/>
    <w:rsid w:val="002C2219"/>
    <w:rsid w:val="002D0DF2"/>
    <w:rsid w:val="002D23BD"/>
    <w:rsid w:val="002D3E93"/>
    <w:rsid w:val="002E0B47"/>
    <w:rsid w:val="002E1589"/>
    <w:rsid w:val="002F7213"/>
    <w:rsid w:val="002F7346"/>
    <w:rsid w:val="0030267F"/>
    <w:rsid w:val="0030382F"/>
    <w:rsid w:val="0030408D"/>
    <w:rsid w:val="003060E4"/>
    <w:rsid w:val="0030701E"/>
    <w:rsid w:val="003160E7"/>
    <w:rsid w:val="0031739E"/>
    <w:rsid w:val="003325AB"/>
    <w:rsid w:val="0033412B"/>
    <w:rsid w:val="00343365"/>
    <w:rsid w:val="00353501"/>
    <w:rsid w:val="003606F8"/>
    <w:rsid w:val="003648EF"/>
    <w:rsid w:val="003673E6"/>
    <w:rsid w:val="00377264"/>
    <w:rsid w:val="00384718"/>
    <w:rsid w:val="0038734F"/>
    <w:rsid w:val="003A26A5"/>
    <w:rsid w:val="003A2D94"/>
    <w:rsid w:val="003A3761"/>
    <w:rsid w:val="003A5578"/>
    <w:rsid w:val="003A5FEA"/>
    <w:rsid w:val="003A74AE"/>
    <w:rsid w:val="003B1D10"/>
    <w:rsid w:val="003C76D4"/>
    <w:rsid w:val="003E6E7B"/>
    <w:rsid w:val="003E6ECE"/>
    <w:rsid w:val="003E7C46"/>
    <w:rsid w:val="003F465A"/>
    <w:rsid w:val="003F52A7"/>
    <w:rsid w:val="0040240C"/>
    <w:rsid w:val="00413021"/>
    <w:rsid w:val="004263BB"/>
    <w:rsid w:val="00440BE0"/>
    <w:rsid w:val="00442C1C"/>
    <w:rsid w:val="0044584B"/>
    <w:rsid w:val="00447CB7"/>
    <w:rsid w:val="00460826"/>
    <w:rsid w:val="00460EA7"/>
    <w:rsid w:val="0046195B"/>
    <w:rsid w:val="0046596D"/>
    <w:rsid w:val="004730C3"/>
    <w:rsid w:val="00487A47"/>
    <w:rsid w:val="00487C04"/>
    <w:rsid w:val="004907E1"/>
    <w:rsid w:val="0049615D"/>
    <w:rsid w:val="004A035B"/>
    <w:rsid w:val="004A38D7"/>
    <w:rsid w:val="004A4240"/>
    <w:rsid w:val="004A778C"/>
    <w:rsid w:val="004B44BC"/>
    <w:rsid w:val="004C2E6A"/>
    <w:rsid w:val="004D2A2D"/>
    <w:rsid w:val="004D6689"/>
    <w:rsid w:val="004D7511"/>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63E0"/>
    <w:rsid w:val="00576FE5"/>
    <w:rsid w:val="005A27CA"/>
    <w:rsid w:val="005A43BD"/>
    <w:rsid w:val="005E226E"/>
    <w:rsid w:val="005F1277"/>
    <w:rsid w:val="005F7153"/>
    <w:rsid w:val="006015D7"/>
    <w:rsid w:val="00601B21"/>
    <w:rsid w:val="00626CF8"/>
    <w:rsid w:val="006327D1"/>
    <w:rsid w:val="00635C6D"/>
    <w:rsid w:val="00636D7D"/>
    <w:rsid w:val="00637408"/>
    <w:rsid w:val="00642868"/>
    <w:rsid w:val="0064434D"/>
    <w:rsid w:val="00647AFE"/>
    <w:rsid w:val="006512BC"/>
    <w:rsid w:val="00653A5A"/>
    <w:rsid w:val="006575F4"/>
    <w:rsid w:val="006579E6"/>
    <w:rsid w:val="00663EDC"/>
    <w:rsid w:val="00671078"/>
    <w:rsid w:val="00680A04"/>
    <w:rsid w:val="006818C2"/>
    <w:rsid w:val="00686D80"/>
    <w:rsid w:val="00687500"/>
    <w:rsid w:val="00694895"/>
    <w:rsid w:val="006958F7"/>
    <w:rsid w:val="00695DAE"/>
    <w:rsid w:val="00697E2E"/>
    <w:rsid w:val="006A25A2"/>
    <w:rsid w:val="006A47F8"/>
    <w:rsid w:val="006B0E73"/>
    <w:rsid w:val="006B4A4D"/>
    <w:rsid w:val="006B5695"/>
    <w:rsid w:val="006C78EB"/>
    <w:rsid w:val="006D1660"/>
    <w:rsid w:val="006E59F4"/>
    <w:rsid w:val="006E6689"/>
    <w:rsid w:val="006F1B67"/>
    <w:rsid w:val="007008F7"/>
    <w:rsid w:val="0070091D"/>
    <w:rsid w:val="00702854"/>
    <w:rsid w:val="0071741C"/>
    <w:rsid w:val="007210CE"/>
    <w:rsid w:val="007272AA"/>
    <w:rsid w:val="00740104"/>
    <w:rsid w:val="00742B90"/>
    <w:rsid w:val="0074434D"/>
    <w:rsid w:val="00771B1E"/>
    <w:rsid w:val="00773C95"/>
    <w:rsid w:val="0078171E"/>
    <w:rsid w:val="007916D8"/>
    <w:rsid w:val="00795B34"/>
    <w:rsid w:val="007B1770"/>
    <w:rsid w:val="007B4D3E"/>
    <w:rsid w:val="007B7C70"/>
    <w:rsid w:val="007C156D"/>
    <w:rsid w:val="007C46B7"/>
    <w:rsid w:val="007D2151"/>
    <w:rsid w:val="007D42CC"/>
    <w:rsid w:val="007D5DE4"/>
    <w:rsid w:val="007E1341"/>
    <w:rsid w:val="007E1B41"/>
    <w:rsid w:val="007E2168"/>
    <w:rsid w:val="007E30B9"/>
    <w:rsid w:val="007F0F0C"/>
    <w:rsid w:val="007F1288"/>
    <w:rsid w:val="00800A8A"/>
    <w:rsid w:val="0080155C"/>
    <w:rsid w:val="008052E1"/>
    <w:rsid w:val="00822F2C"/>
    <w:rsid w:val="008305E8"/>
    <w:rsid w:val="00840F8B"/>
    <w:rsid w:val="00860826"/>
    <w:rsid w:val="00860E21"/>
    <w:rsid w:val="00863117"/>
    <w:rsid w:val="0086388B"/>
    <w:rsid w:val="008642E5"/>
    <w:rsid w:val="00872D93"/>
    <w:rsid w:val="00880470"/>
    <w:rsid w:val="00880D94"/>
    <w:rsid w:val="0088351A"/>
    <w:rsid w:val="008861F2"/>
    <w:rsid w:val="008924DE"/>
    <w:rsid w:val="008A3755"/>
    <w:rsid w:val="008B264F"/>
    <w:rsid w:val="008B6F83"/>
    <w:rsid w:val="008B7FD8"/>
    <w:rsid w:val="008C2973"/>
    <w:rsid w:val="008C64C4"/>
    <w:rsid w:val="008D74D5"/>
    <w:rsid w:val="008E0166"/>
    <w:rsid w:val="008E0401"/>
    <w:rsid w:val="008F29BE"/>
    <w:rsid w:val="008F2AC1"/>
    <w:rsid w:val="008F4AE5"/>
    <w:rsid w:val="008F51EB"/>
    <w:rsid w:val="00900197"/>
    <w:rsid w:val="00902F55"/>
    <w:rsid w:val="0090582B"/>
    <w:rsid w:val="009060C0"/>
    <w:rsid w:val="0091318F"/>
    <w:rsid w:val="009133F5"/>
    <w:rsid w:val="00914313"/>
    <w:rsid w:val="00920A27"/>
    <w:rsid w:val="00920E72"/>
    <w:rsid w:val="00921216"/>
    <w:rsid w:val="00932D69"/>
    <w:rsid w:val="00944647"/>
    <w:rsid w:val="00977B8A"/>
    <w:rsid w:val="00982971"/>
    <w:rsid w:val="009845AD"/>
    <w:rsid w:val="00993816"/>
    <w:rsid w:val="00995BA0"/>
    <w:rsid w:val="009A34D9"/>
    <w:rsid w:val="009A418B"/>
    <w:rsid w:val="009A4473"/>
    <w:rsid w:val="009A5C5F"/>
    <w:rsid w:val="009C151C"/>
    <w:rsid w:val="009D5125"/>
    <w:rsid w:val="009D60B8"/>
    <w:rsid w:val="009D623E"/>
    <w:rsid w:val="009D7D4B"/>
    <w:rsid w:val="009E36ED"/>
    <w:rsid w:val="009E6B77"/>
    <w:rsid w:val="009F3406"/>
    <w:rsid w:val="009F460A"/>
    <w:rsid w:val="009F4DE8"/>
    <w:rsid w:val="00A043FB"/>
    <w:rsid w:val="00A06F40"/>
    <w:rsid w:val="00A0729C"/>
    <w:rsid w:val="00A07779"/>
    <w:rsid w:val="00A079D5"/>
    <w:rsid w:val="00A2078B"/>
    <w:rsid w:val="00A20B2E"/>
    <w:rsid w:val="00A220AF"/>
    <w:rsid w:val="00A3068F"/>
    <w:rsid w:val="00A3145B"/>
    <w:rsid w:val="00A339D0"/>
    <w:rsid w:val="00A41002"/>
    <w:rsid w:val="00A4201A"/>
    <w:rsid w:val="00A45EC9"/>
    <w:rsid w:val="00A51CA6"/>
    <w:rsid w:val="00A553CE"/>
    <w:rsid w:val="00A5677A"/>
    <w:rsid w:val="00A57148"/>
    <w:rsid w:val="00A6490D"/>
    <w:rsid w:val="00A659BF"/>
    <w:rsid w:val="00A71E1A"/>
    <w:rsid w:val="00A71E35"/>
    <w:rsid w:val="00A80363"/>
    <w:rsid w:val="00A8065B"/>
    <w:rsid w:val="00A9169D"/>
    <w:rsid w:val="00AA2439"/>
    <w:rsid w:val="00AA576B"/>
    <w:rsid w:val="00AA76DE"/>
    <w:rsid w:val="00AB300D"/>
    <w:rsid w:val="00AC101C"/>
    <w:rsid w:val="00AD4CF1"/>
    <w:rsid w:val="00AD5988"/>
    <w:rsid w:val="00AF7800"/>
    <w:rsid w:val="00B072E0"/>
    <w:rsid w:val="00B10BF8"/>
    <w:rsid w:val="00B253F6"/>
    <w:rsid w:val="00B332F8"/>
    <w:rsid w:val="00B3492B"/>
    <w:rsid w:val="00B4646F"/>
    <w:rsid w:val="00B55C7D"/>
    <w:rsid w:val="00B63038"/>
    <w:rsid w:val="00B64A4F"/>
    <w:rsid w:val="00B64BD8"/>
    <w:rsid w:val="00B701D1"/>
    <w:rsid w:val="00B73AF2"/>
    <w:rsid w:val="00B7551A"/>
    <w:rsid w:val="00BB0791"/>
    <w:rsid w:val="00BC0EBE"/>
    <w:rsid w:val="00BC1A08"/>
    <w:rsid w:val="00BC3324"/>
    <w:rsid w:val="00BC59F1"/>
    <w:rsid w:val="00BF3DE1"/>
    <w:rsid w:val="00BF4843"/>
    <w:rsid w:val="00BF5205"/>
    <w:rsid w:val="00BF6FB6"/>
    <w:rsid w:val="00C12508"/>
    <w:rsid w:val="00C15BEE"/>
    <w:rsid w:val="00C23F46"/>
    <w:rsid w:val="00C45AA2"/>
    <w:rsid w:val="00C66296"/>
    <w:rsid w:val="00C77282"/>
    <w:rsid w:val="00C84DE5"/>
    <w:rsid w:val="00C86248"/>
    <w:rsid w:val="00C97256"/>
    <w:rsid w:val="00CA4C33"/>
    <w:rsid w:val="00CA6F4A"/>
    <w:rsid w:val="00CD2119"/>
    <w:rsid w:val="00CD36AC"/>
    <w:rsid w:val="00CF1747"/>
    <w:rsid w:val="00D2392A"/>
    <w:rsid w:val="00D2395D"/>
    <w:rsid w:val="00D25FFE"/>
    <w:rsid w:val="00D339E8"/>
    <w:rsid w:val="00D4476F"/>
    <w:rsid w:val="00D54D50"/>
    <w:rsid w:val="00D66797"/>
    <w:rsid w:val="00D7087C"/>
    <w:rsid w:val="00D70C3C"/>
    <w:rsid w:val="00D72BE5"/>
    <w:rsid w:val="00D744CE"/>
    <w:rsid w:val="00D815DD"/>
    <w:rsid w:val="00D82F26"/>
    <w:rsid w:val="00D863D0"/>
    <w:rsid w:val="00D87C87"/>
    <w:rsid w:val="00DA7974"/>
    <w:rsid w:val="00DB39CF"/>
    <w:rsid w:val="00DD447A"/>
    <w:rsid w:val="00DE3B20"/>
    <w:rsid w:val="00DE5F54"/>
    <w:rsid w:val="00DE6C94"/>
    <w:rsid w:val="00DE6FD7"/>
    <w:rsid w:val="00DF3FFA"/>
    <w:rsid w:val="00E06AAA"/>
    <w:rsid w:val="00E23271"/>
    <w:rsid w:val="00E24F80"/>
    <w:rsid w:val="00E259F3"/>
    <w:rsid w:val="00E33238"/>
    <w:rsid w:val="00E428C6"/>
    <w:rsid w:val="00E4486C"/>
    <w:rsid w:val="00E460B6"/>
    <w:rsid w:val="00E511D5"/>
    <w:rsid w:val="00E60249"/>
    <w:rsid w:val="00E65269"/>
    <w:rsid w:val="00E76D66"/>
    <w:rsid w:val="00E96731"/>
    <w:rsid w:val="00EA796A"/>
    <w:rsid w:val="00EB1856"/>
    <w:rsid w:val="00EB2EF2"/>
    <w:rsid w:val="00EC39F6"/>
    <w:rsid w:val="00EC4625"/>
    <w:rsid w:val="00EC50CE"/>
    <w:rsid w:val="00EC5B34"/>
    <w:rsid w:val="00ED6B7C"/>
    <w:rsid w:val="00EE4ADE"/>
    <w:rsid w:val="00EE5CB7"/>
    <w:rsid w:val="00F024FE"/>
    <w:rsid w:val="00F05AD4"/>
    <w:rsid w:val="00F10DA6"/>
    <w:rsid w:val="00F11A48"/>
    <w:rsid w:val="00F25E83"/>
    <w:rsid w:val="00F40DF5"/>
    <w:rsid w:val="00F448E1"/>
    <w:rsid w:val="00F61381"/>
    <w:rsid w:val="00F67496"/>
    <w:rsid w:val="00F801BA"/>
    <w:rsid w:val="00F81626"/>
    <w:rsid w:val="00F946C9"/>
    <w:rsid w:val="00F94B1A"/>
    <w:rsid w:val="00FA74EE"/>
    <w:rsid w:val="00FC3E52"/>
    <w:rsid w:val="00FC46E7"/>
    <w:rsid w:val="00FC5D25"/>
    <w:rsid w:val="00FD0D7E"/>
    <w:rsid w:val="00FD2A43"/>
    <w:rsid w:val="00FE4673"/>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AC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link w:val="BulletChar"/>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6E6689"/>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BulletChar">
    <w:name w:val="Bullet Char"/>
    <w:link w:val="Bullet"/>
    <w:locked/>
    <w:rsid w:val="00F40DF5"/>
    <w:rPr>
      <w:rFonts w:ascii="Georgia" w:hAnsi="Georgia"/>
      <w:sz w:val="22"/>
      <w:lang w:eastAsia="en-GB"/>
    </w:rPr>
  </w:style>
  <w:style w:type="paragraph" w:styleId="BalloonText">
    <w:name w:val="Balloon Text"/>
    <w:basedOn w:val="Normal"/>
    <w:link w:val="BalloonTextChar"/>
    <w:uiPriority w:val="99"/>
    <w:semiHidden/>
    <w:unhideWhenUsed/>
    <w:rsid w:val="00AA57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76B"/>
    <w:rPr>
      <w:rFonts w:ascii="Tahoma" w:hAnsi="Tahoma" w:cs="Tahoma"/>
      <w:sz w:val="16"/>
      <w:szCs w:val="16"/>
      <w:lang w:eastAsia="en-GB"/>
    </w:rPr>
  </w:style>
  <w:style w:type="character" w:styleId="CommentReference">
    <w:name w:val="annotation reference"/>
    <w:basedOn w:val="DefaultParagraphFont"/>
    <w:uiPriority w:val="99"/>
    <w:semiHidden/>
    <w:unhideWhenUsed/>
    <w:rsid w:val="004D7511"/>
    <w:rPr>
      <w:sz w:val="16"/>
      <w:szCs w:val="16"/>
    </w:rPr>
  </w:style>
  <w:style w:type="paragraph" w:styleId="CommentText">
    <w:name w:val="annotation text"/>
    <w:basedOn w:val="Normal"/>
    <w:link w:val="CommentTextChar"/>
    <w:uiPriority w:val="99"/>
    <w:semiHidden/>
    <w:unhideWhenUsed/>
    <w:rsid w:val="004D7511"/>
    <w:pPr>
      <w:spacing w:line="240" w:lineRule="auto"/>
    </w:pPr>
    <w:rPr>
      <w:sz w:val="20"/>
    </w:rPr>
  </w:style>
  <w:style w:type="character" w:customStyle="1" w:styleId="CommentTextChar">
    <w:name w:val="Comment Text Char"/>
    <w:basedOn w:val="DefaultParagraphFont"/>
    <w:link w:val="CommentText"/>
    <w:uiPriority w:val="99"/>
    <w:semiHidden/>
    <w:rsid w:val="004D7511"/>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4D7511"/>
    <w:rPr>
      <w:b/>
      <w:bCs/>
    </w:rPr>
  </w:style>
  <w:style w:type="character" w:customStyle="1" w:styleId="CommentSubjectChar">
    <w:name w:val="Comment Subject Char"/>
    <w:basedOn w:val="CommentTextChar"/>
    <w:link w:val="CommentSubject"/>
    <w:uiPriority w:val="99"/>
    <w:semiHidden/>
    <w:rsid w:val="004D7511"/>
    <w:rPr>
      <w:rFonts w:ascii="Georgia" w:hAnsi="Georgia"/>
      <w:b/>
      <w:bCs/>
      <w:lang w:eastAsia="en-GB"/>
    </w:rPr>
  </w:style>
  <w:style w:type="paragraph" w:styleId="ListParagraph">
    <w:name w:val="List Paragraph"/>
    <w:basedOn w:val="Normal"/>
    <w:uiPriority w:val="34"/>
    <w:qFormat/>
    <w:rsid w:val="007C156D"/>
    <w:pPr>
      <w:ind w:left="720"/>
      <w:contextualSpacing/>
    </w:pPr>
  </w:style>
  <w:style w:type="paragraph" w:styleId="EndnoteText">
    <w:name w:val="endnote text"/>
    <w:basedOn w:val="Normal"/>
    <w:link w:val="EndnoteTextChar"/>
    <w:uiPriority w:val="99"/>
    <w:semiHidden/>
    <w:unhideWhenUsed/>
    <w:rsid w:val="007C156D"/>
    <w:pPr>
      <w:spacing w:line="240" w:lineRule="auto"/>
    </w:pPr>
    <w:rPr>
      <w:sz w:val="20"/>
    </w:rPr>
  </w:style>
  <w:style w:type="character" w:customStyle="1" w:styleId="EndnoteTextChar">
    <w:name w:val="Endnote Text Char"/>
    <w:basedOn w:val="DefaultParagraphFont"/>
    <w:link w:val="EndnoteText"/>
    <w:uiPriority w:val="99"/>
    <w:semiHidden/>
    <w:rsid w:val="007C156D"/>
    <w:rPr>
      <w:rFonts w:ascii="Georgia" w:hAnsi="Georgia"/>
      <w:lang w:eastAsia="en-GB"/>
    </w:rPr>
  </w:style>
  <w:style w:type="character" w:styleId="EndnoteReference">
    <w:name w:val="endnote reference"/>
    <w:basedOn w:val="DefaultParagraphFont"/>
    <w:uiPriority w:val="99"/>
    <w:semiHidden/>
    <w:unhideWhenUsed/>
    <w:rsid w:val="007C156D"/>
    <w:rPr>
      <w:vertAlign w:val="superscript"/>
    </w:rPr>
  </w:style>
  <w:style w:type="paragraph" w:styleId="NormalWeb">
    <w:name w:val="Normal (Web)"/>
    <w:basedOn w:val="Normal"/>
    <w:uiPriority w:val="99"/>
    <w:semiHidden/>
    <w:unhideWhenUsed/>
    <w:rsid w:val="00BC1A08"/>
    <w:pPr>
      <w:spacing w:before="360" w:after="360" w:line="240" w:lineRule="auto"/>
    </w:pPr>
    <w:rPr>
      <w:rFonts w:ascii="Times New Roman" w:hAnsi="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link w:val="BulletChar"/>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6E6689"/>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BulletChar">
    <w:name w:val="Bullet Char"/>
    <w:link w:val="Bullet"/>
    <w:locked/>
    <w:rsid w:val="00F40DF5"/>
    <w:rPr>
      <w:rFonts w:ascii="Georgia" w:hAnsi="Georgia"/>
      <w:sz w:val="22"/>
      <w:lang w:eastAsia="en-GB"/>
    </w:rPr>
  </w:style>
  <w:style w:type="paragraph" w:styleId="BalloonText">
    <w:name w:val="Balloon Text"/>
    <w:basedOn w:val="Normal"/>
    <w:link w:val="BalloonTextChar"/>
    <w:uiPriority w:val="99"/>
    <w:semiHidden/>
    <w:unhideWhenUsed/>
    <w:rsid w:val="00AA57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76B"/>
    <w:rPr>
      <w:rFonts w:ascii="Tahoma" w:hAnsi="Tahoma" w:cs="Tahoma"/>
      <w:sz w:val="16"/>
      <w:szCs w:val="16"/>
      <w:lang w:eastAsia="en-GB"/>
    </w:rPr>
  </w:style>
  <w:style w:type="character" w:styleId="CommentReference">
    <w:name w:val="annotation reference"/>
    <w:basedOn w:val="DefaultParagraphFont"/>
    <w:uiPriority w:val="99"/>
    <w:semiHidden/>
    <w:unhideWhenUsed/>
    <w:rsid w:val="004D7511"/>
    <w:rPr>
      <w:sz w:val="16"/>
      <w:szCs w:val="16"/>
    </w:rPr>
  </w:style>
  <w:style w:type="paragraph" w:styleId="CommentText">
    <w:name w:val="annotation text"/>
    <w:basedOn w:val="Normal"/>
    <w:link w:val="CommentTextChar"/>
    <w:uiPriority w:val="99"/>
    <w:semiHidden/>
    <w:unhideWhenUsed/>
    <w:rsid w:val="004D7511"/>
    <w:pPr>
      <w:spacing w:line="240" w:lineRule="auto"/>
    </w:pPr>
    <w:rPr>
      <w:sz w:val="20"/>
    </w:rPr>
  </w:style>
  <w:style w:type="character" w:customStyle="1" w:styleId="CommentTextChar">
    <w:name w:val="Comment Text Char"/>
    <w:basedOn w:val="DefaultParagraphFont"/>
    <w:link w:val="CommentText"/>
    <w:uiPriority w:val="99"/>
    <w:semiHidden/>
    <w:rsid w:val="004D7511"/>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4D7511"/>
    <w:rPr>
      <w:b/>
      <w:bCs/>
    </w:rPr>
  </w:style>
  <w:style w:type="character" w:customStyle="1" w:styleId="CommentSubjectChar">
    <w:name w:val="Comment Subject Char"/>
    <w:basedOn w:val="CommentTextChar"/>
    <w:link w:val="CommentSubject"/>
    <w:uiPriority w:val="99"/>
    <w:semiHidden/>
    <w:rsid w:val="004D7511"/>
    <w:rPr>
      <w:rFonts w:ascii="Georgia" w:hAnsi="Georgia"/>
      <w:b/>
      <w:bCs/>
      <w:lang w:eastAsia="en-GB"/>
    </w:rPr>
  </w:style>
  <w:style w:type="paragraph" w:styleId="ListParagraph">
    <w:name w:val="List Paragraph"/>
    <w:basedOn w:val="Normal"/>
    <w:uiPriority w:val="34"/>
    <w:qFormat/>
    <w:rsid w:val="007C156D"/>
    <w:pPr>
      <w:ind w:left="720"/>
      <w:contextualSpacing/>
    </w:pPr>
  </w:style>
  <w:style w:type="paragraph" w:styleId="EndnoteText">
    <w:name w:val="endnote text"/>
    <w:basedOn w:val="Normal"/>
    <w:link w:val="EndnoteTextChar"/>
    <w:uiPriority w:val="99"/>
    <w:semiHidden/>
    <w:unhideWhenUsed/>
    <w:rsid w:val="007C156D"/>
    <w:pPr>
      <w:spacing w:line="240" w:lineRule="auto"/>
    </w:pPr>
    <w:rPr>
      <w:sz w:val="20"/>
    </w:rPr>
  </w:style>
  <w:style w:type="character" w:customStyle="1" w:styleId="EndnoteTextChar">
    <w:name w:val="Endnote Text Char"/>
    <w:basedOn w:val="DefaultParagraphFont"/>
    <w:link w:val="EndnoteText"/>
    <w:uiPriority w:val="99"/>
    <w:semiHidden/>
    <w:rsid w:val="007C156D"/>
    <w:rPr>
      <w:rFonts w:ascii="Georgia" w:hAnsi="Georgia"/>
      <w:lang w:eastAsia="en-GB"/>
    </w:rPr>
  </w:style>
  <w:style w:type="character" w:styleId="EndnoteReference">
    <w:name w:val="endnote reference"/>
    <w:basedOn w:val="DefaultParagraphFont"/>
    <w:uiPriority w:val="99"/>
    <w:semiHidden/>
    <w:unhideWhenUsed/>
    <w:rsid w:val="007C156D"/>
    <w:rPr>
      <w:vertAlign w:val="superscript"/>
    </w:rPr>
  </w:style>
  <w:style w:type="paragraph" w:styleId="NormalWeb">
    <w:name w:val="Normal (Web)"/>
    <w:basedOn w:val="Normal"/>
    <w:uiPriority w:val="99"/>
    <w:semiHidden/>
    <w:unhideWhenUsed/>
    <w:rsid w:val="00BC1A08"/>
    <w:pPr>
      <w:spacing w:before="360" w:after="360" w:line="240" w:lineRule="auto"/>
    </w:pPr>
    <w:rPr>
      <w:rFonts w:ascii="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00957">
      <w:bodyDiv w:val="1"/>
      <w:marLeft w:val="0"/>
      <w:marRight w:val="0"/>
      <w:marTop w:val="0"/>
      <w:marBottom w:val="0"/>
      <w:divBdr>
        <w:top w:val="none" w:sz="0" w:space="0" w:color="auto"/>
        <w:left w:val="none" w:sz="0" w:space="0" w:color="auto"/>
        <w:bottom w:val="none" w:sz="0" w:space="0" w:color="auto"/>
        <w:right w:val="none" w:sz="0" w:space="0" w:color="auto"/>
      </w:divBdr>
      <w:divsChild>
        <w:div w:id="1196233866">
          <w:marLeft w:val="0"/>
          <w:marRight w:val="0"/>
          <w:marTop w:val="0"/>
          <w:marBottom w:val="0"/>
          <w:divBdr>
            <w:top w:val="none" w:sz="0" w:space="0" w:color="auto"/>
            <w:left w:val="none" w:sz="0" w:space="0" w:color="auto"/>
            <w:bottom w:val="none" w:sz="0" w:space="0" w:color="auto"/>
            <w:right w:val="none" w:sz="0" w:space="0" w:color="auto"/>
          </w:divBdr>
          <w:divsChild>
            <w:div w:id="1637639884">
              <w:marLeft w:val="0"/>
              <w:marRight w:val="0"/>
              <w:marTop w:val="0"/>
              <w:marBottom w:val="0"/>
              <w:divBdr>
                <w:top w:val="none" w:sz="0" w:space="0" w:color="auto"/>
                <w:left w:val="none" w:sz="0" w:space="0" w:color="auto"/>
                <w:bottom w:val="none" w:sz="0" w:space="0" w:color="auto"/>
                <w:right w:val="none" w:sz="0" w:space="0" w:color="auto"/>
              </w:divBdr>
              <w:divsChild>
                <w:div w:id="926773415">
                  <w:marLeft w:val="-225"/>
                  <w:marRight w:val="-225"/>
                  <w:marTop w:val="0"/>
                  <w:marBottom w:val="0"/>
                  <w:divBdr>
                    <w:top w:val="none" w:sz="0" w:space="0" w:color="auto"/>
                    <w:left w:val="none" w:sz="0" w:space="0" w:color="auto"/>
                    <w:bottom w:val="none" w:sz="0" w:space="0" w:color="auto"/>
                    <w:right w:val="none" w:sz="0" w:space="0" w:color="auto"/>
                  </w:divBdr>
                  <w:divsChild>
                    <w:div w:id="640963438">
                      <w:marLeft w:val="0"/>
                      <w:marRight w:val="0"/>
                      <w:marTop w:val="0"/>
                      <w:marBottom w:val="0"/>
                      <w:divBdr>
                        <w:top w:val="none" w:sz="0" w:space="0" w:color="auto"/>
                        <w:left w:val="none" w:sz="0" w:space="0" w:color="auto"/>
                        <w:bottom w:val="none" w:sz="0" w:space="0" w:color="auto"/>
                        <w:right w:val="none" w:sz="0" w:space="0" w:color="auto"/>
                      </w:divBdr>
                      <w:divsChild>
                        <w:div w:id="1294823132">
                          <w:marLeft w:val="0"/>
                          <w:marRight w:val="0"/>
                          <w:marTop w:val="0"/>
                          <w:marBottom w:val="0"/>
                          <w:divBdr>
                            <w:top w:val="none" w:sz="0" w:space="0" w:color="auto"/>
                            <w:left w:val="none" w:sz="0" w:space="0" w:color="auto"/>
                            <w:bottom w:val="none" w:sz="0" w:space="0" w:color="auto"/>
                            <w:right w:val="none" w:sz="0" w:space="0" w:color="auto"/>
                          </w:divBdr>
                          <w:divsChild>
                            <w:div w:id="1864128757">
                              <w:marLeft w:val="-225"/>
                              <w:marRight w:val="-225"/>
                              <w:marTop w:val="0"/>
                              <w:marBottom w:val="0"/>
                              <w:divBdr>
                                <w:top w:val="none" w:sz="0" w:space="0" w:color="auto"/>
                                <w:left w:val="none" w:sz="0" w:space="0" w:color="auto"/>
                                <w:bottom w:val="none" w:sz="0" w:space="0" w:color="auto"/>
                                <w:right w:val="none" w:sz="0" w:space="0" w:color="auto"/>
                              </w:divBdr>
                              <w:divsChild>
                                <w:div w:id="385226513">
                                  <w:marLeft w:val="0"/>
                                  <w:marRight w:val="0"/>
                                  <w:marTop w:val="0"/>
                                  <w:marBottom w:val="0"/>
                                  <w:divBdr>
                                    <w:top w:val="none" w:sz="0" w:space="0" w:color="auto"/>
                                    <w:left w:val="none" w:sz="0" w:space="0" w:color="auto"/>
                                    <w:bottom w:val="none" w:sz="0" w:space="0" w:color="auto"/>
                                    <w:right w:val="none" w:sz="0" w:space="0" w:color="auto"/>
                                  </w:divBdr>
                                  <w:divsChild>
                                    <w:div w:id="861209727">
                                      <w:marLeft w:val="0"/>
                                      <w:marRight w:val="0"/>
                                      <w:marTop w:val="0"/>
                                      <w:marBottom w:val="0"/>
                                      <w:divBdr>
                                        <w:top w:val="none" w:sz="0" w:space="0" w:color="auto"/>
                                        <w:left w:val="none" w:sz="0" w:space="0" w:color="auto"/>
                                        <w:bottom w:val="none" w:sz="0" w:space="0" w:color="auto"/>
                                        <w:right w:val="none" w:sz="0" w:space="0" w:color="auto"/>
                                      </w:divBdr>
                                      <w:divsChild>
                                        <w:div w:id="1106854381">
                                          <w:marLeft w:val="0"/>
                                          <w:marRight w:val="0"/>
                                          <w:marTop w:val="0"/>
                                          <w:marBottom w:val="0"/>
                                          <w:divBdr>
                                            <w:top w:val="none" w:sz="0" w:space="0" w:color="auto"/>
                                            <w:left w:val="none" w:sz="0" w:space="0" w:color="auto"/>
                                            <w:bottom w:val="none" w:sz="0" w:space="0" w:color="auto"/>
                                            <w:right w:val="none" w:sz="0" w:space="0" w:color="auto"/>
                                          </w:divBdr>
                                          <w:divsChild>
                                            <w:div w:id="1821188544">
                                              <w:marLeft w:val="0"/>
                                              <w:marRight w:val="0"/>
                                              <w:marTop w:val="0"/>
                                              <w:marBottom w:val="0"/>
                                              <w:divBdr>
                                                <w:top w:val="none" w:sz="0" w:space="0" w:color="auto"/>
                                                <w:left w:val="none" w:sz="0" w:space="0" w:color="auto"/>
                                                <w:bottom w:val="none" w:sz="0" w:space="0" w:color="auto"/>
                                                <w:right w:val="none" w:sz="0" w:space="0" w:color="auto"/>
                                              </w:divBdr>
                                              <w:divsChild>
                                                <w:div w:id="142894363">
                                                  <w:marLeft w:val="0"/>
                                                  <w:marRight w:val="0"/>
                                                  <w:marTop w:val="0"/>
                                                  <w:marBottom w:val="0"/>
                                                  <w:divBdr>
                                                    <w:top w:val="none" w:sz="0" w:space="0" w:color="auto"/>
                                                    <w:left w:val="none" w:sz="0" w:space="0" w:color="auto"/>
                                                    <w:bottom w:val="none" w:sz="0" w:space="0" w:color="auto"/>
                                                    <w:right w:val="none" w:sz="0" w:space="0" w:color="auto"/>
                                                  </w:divBdr>
                                                  <w:divsChild>
                                                    <w:div w:id="11466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AE86A-2C22-4E78-97D4-7A024AFA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14</Pages>
  <Words>2983</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National Cancer Programme Work Plan 2015/16</vt:lpstr>
    </vt:vector>
  </TitlesOfParts>
  <Company>Microsoft</Company>
  <LinksUpToDate>false</LinksUpToDate>
  <CharactersWithSpaces>19952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Cancer Programme Work Plan 2015/16</dc:title>
  <dc:creator>Ministry of Health</dc:creator>
  <cp:lastModifiedBy>Raena Armitage</cp:lastModifiedBy>
  <cp:revision>2</cp:revision>
  <cp:lastPrinted>2015-09-01T23:30:00Z</cp:lastPrinted>
  <dcterms:created xsi:type="dcterms:W3CDTF">2015-09-28T01:26:00Z</dcterms:created>
  <dcterms:modified xsi:type="dcterms:W3CDTF">2015-09-28T01:26:00Z</dcterms:modified>
</cp:coreProperties>
</file>