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885D52" w:rsidRDefault="00000384" w:rsidP="00D54D50">
      <w:pPr>
        <w:pStyle w:val="Title"/>
      </w:pPr>
      <w:r w:rsidRPr="00885D52">
        <w:t>Mortality and Demographic Data</w:t>
      </w:r>
    </w:p>
    <w:p w:rsidR="00343365" w:rsidRPr="00885D52" w:rsidRDefault="00000384" w:rsidP="00343365">
      <w:pPr>
        <w:pStyle w:val="Year"/>
      </w:pPr>
      <w:r w:rsidRPr="00885D52">
        <w:t>2011</w:t>
      </w:r>
    </w:p>
    <w:p w:rsidR="00C86248" w:rsidRPr="00885D52" w:rsidRDefault="00C86248" w:rsidP="00343365">
      <w:pPr>
        <w:pStyle w:val="Subhead"/>
      </w:pPr>
    </w:p>
    <w:p w:rsidR="00142954" w:rsidRPr="00885D52" w:rsidRDefault="00142954" w:rsidP="00142954">
      <w:pPr>
        <w:sectPr w:rsidR="00142954" w:rsidRPr="00885D52" w:rsidSect="000F2AE2">
          <w:headerReference w:type="default" r:id="rId8"/>
          <w:footerReference w:type="default" r:id="rId9"/>
          <w:pgSz w:w="11907" w:h="16834" w:code="9"/>
          <w:pgMar w:top="3969" w:right="851" w:bottom="851" w:left="2552" w:header="851" w:footer="851" w:gutter="0"/>
          <w:cols w:space="720"/>
        </w:sectPr>
      </w:pPr>
    </w:p>
    <w:p w:rsidR="00000384" w:rsidRPr="00885D52" w:rsidRDefault="00000384" w:rsidP="00000384">
      <w:pPr>
        <w:pStyle w:val="IntroHead"/>
        <w:pBdr>
          <w:top w:val="none" w:sz="0" w:space="0" w:color="auto"/>
        </w:pBdr>
        <w:spacing w:before="600" w:after="240"/>
        <w:rPr>
          <w:sz w:val="28"/>
          <w:szCs w:val="28"/>
        </w:rPr>
      </w:pPr>
      <w:r w:rsidRPr="00885D52">
        <w:rPr>
          <w:sz w:val="28"/>
          <w:szCs w:val="28"/>
        </w:rPr>
        <w:t>Disclaimer</w:t>
      </w:r>
    </w:p>
    <w:p w:rsidR="00000384" w:rsidRPr="00885D52" w:rsidRDefault="00000384" w:rsidP="0014080E">
      <w:pPr>
        <w:rPr>
          <w:sz w:val="20"/>
        </w:rPr>
      </w:pPr>
      <w:r w:rsidRPr="00885D52">
        <w:rPr>
          <w:sz w:val="20"/>
        </w:rPr>
        <w:t>The purpose of this publication is to inform discussion and assist policy development. The opinions expressed in the publication do not necessarily reflect the official views of the Ministry of Health.</w:t>
      </w:r>
    </w:p>
    <w:p w:rsidR="00000384" w:rsidRPr="00885D52" w:rsidRDefault="00000384" w:rsidP="0014080E">
      <w:pPr>
        <w:rPr>
          <w:sz w:val="20"/>
        </w:rPr>
      </w:pPr>
    </w:p>
    <w:p w:rsidR="00000384" w:rsidRPr="00885D52" w:rsidRDefault="00000384" w:rsidP="0014080E">
      <w:pPr>
        <w:rPr>
          <w:sz w:val="20"/>
        </w:rPr>
      </w:pPr>
      <w:r w:rsidRPr="00885D52">
        <w:rPr>
          <w:sz w:val="20"/>
        </w:rPr>
        <w:t>All care has been taken in the production of this publication; the data was considered to be accurate at the time of publication, but may be subject to slight changes over time as further information is received. It is advisable to check the current status of figures given here with the Ministry of Health before quoting or using them in further analysis.</w:t>
      </w:r>
    </w:p>
    <w:p w:rsidR="00000384" w:rsidRPr="00885D52" w:rsidRDefault="00000384" w:rsidP="0014080E">
      <w:pPr>
        <w:rPr>
          <w:sz w:val="20"/>
        </w:rPr>
      </w:pPr>
    </w:p>
    <w:p w:rsidR="00AB021E" w:rsidRDefault="00000384" w:rsidP="00AB021E">
      <w:pPr>
        <w:rPr>
          <w:sz w:val="20"/>
        </w:rPr>
      </w:pPr>
      <w:r w:rsidRPr="00885D52">
        <w:rPr>
          <w:sz w:val="20"/>
        </w:rPr>
        <w:t>The Ministry of Health makes no warranty, expressed or implied, nor assumes any legal liability or responsibility for the accuracy, correctness, completeness or use of the information or data in this publication. Further, the Ministry of Health will not be liable for any loss or damage arising directly or indirectly from the information or data presented in this publication.</w:t>
      </w:r>
    </w:p>
    <w:p w:rsidR="00AB021E" w:rsidRDefault="00AB021E" w:rsidP="00AB021E">
      <w:pPr>
        <w:rPr>
          <w:sz w:val="20"/>
        </w:rPr>
      </w:pPr>
    </w:p>
    <w:p w:rsidR="00AB021E" w:rsidRDefault="00AB021E"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6B5CE5" w:rsidRDefault="006B5CE5" w:rsidP="00AB021E">
      <w:pPr>
        <w:rPr>
          <w:sz w:val="20"/>
        </w:rPr>
      </w:pPr>
    </w:p>
    <w:p w:rsidR="00AB021E" w:rsidRDefault="00AB021E" w:rsidP="00AB021E">
      <w:pPr>
        <w:rPr>
          <w:sz w:val="20"/>
        </w:rPr>
      </w:pPr>
    </w:p>
    <w:p w:rsidR="00A80363" w:rsidRPr="00885D52" w:rsidRDefault="00A80363" w:rsidP="00AB021E">
      <w:pPr>
        <w:jc w:val="center"/>
      </w:pPr>
      <w:r w:rsidRPr="00885D52">
        <w:t xml:space="preserve">Citation: </w:t>
      </w:r>
      <w:r w:rsidR="00442C1C" w:rsidRPr="00885D52">
        <w:t xml:space="preserve">Ministry of Health. </w:t>
      </w:r>
      <w:r w:rsidR="0014080E" w:rsidRPr="00885D52">
        <w:t>2014</w:t>
      </w:r>
      <w:r w:rsidR="00442C1C" w:rsidRPr="00885D52">
        <w:t xml:space="preserve">. </w:t>
      </w:r>
      <w:r w:rsidR="0014080E" w:rsidRPr="00885D52">
        <w:rPr>
          <w:i/>
        </w:rPr>
        <w:t>Mortality and Demographic Data 2011</w:t>
      </w:r>
      <w:r w:rsidR="00442C1C" w:rsidRPr="00885D52">
        <w:t>. Wellington: Ministry of Health.</w:t>
      </w:r>
    </w:p>
    <w:p w:rsidR="00C86248" w:rsidRPr="00885D52" w:rsidRDefault="00C86248">
      <w:pPr>
        <w:pStyle w:val="Imprint"/>
      </w:pPr>
      <w:r w:rsidRPr="00885D52">
        <w:t xml:space="preserve">Published in </w:t>
      </w:r>
      <w:r w:rsidR="00FD3532">
        <w:t>December</w:t>
      </w:r>
      <w:r w:rsidR="0014080E" w:rsidRPr="00885D52">
        <w:t xml:space="preserve"> 2014</w:t>
      </w:r>
      <w:r w:rsidR="005019AE" w:rsidRPr="00885D52">
        <w:br/>
      </w:r>
      <w:r w:rsidRPr="00885D52">
        <w:t>by the</w:t>
      </w:r>
      <w:r w:rsidR="00442C1C" w:rsidRPr="00885D52">
        <w:t xml:space="preserve"> </w:t>
      </w:r>
      <w:r w:rsidRPr="00885D52">
        <w:t>Ministry of Health</w:t>
      </w:r>
      <w:r w:rsidRPr="00885D52">
        <w:br/>
        <w:t>PO Box 5013, Wellington</w:t>
      </w:r>
      <w:r w:rsidR="00A80363" w:rsidRPr="00885D52">
        <w:t xml:space="preserve"> 6145</w:t>
      </w:r>
      <w:r w:rsidRPr="00885D52">
        <w:t>, New Zealand</w:t>
      </w:r>
    </w:p>
    <w:p w:rsidR="00082CD6" w:rsidRPr="00885D52" w:rsidRDefault="00D863D0" w:rsidP="00082CD6">
      <w:pPr>
        <w:pStyle w:val="Imprint"/>
      </w:pPr>
      <w:r w:rsidRPr="00885D52">
        <w:t>ISBN</w:t>
      </w:r>
      <w:r w:rsidR="00442C1C" w:rsidRPr="00885D52">
        <w:t xml:space="preserve">: </w:t>
      </w:r>
      <w:r w:rsidR="001A7834">
        <w:t>978-0-478-44452-0</w:t>
      </w:r>
      <w:r w:rsidR="00442C1C" w:rsidRPr="00885D52">
        <w:t xml:space="preserve"> </w:t>
      </w:r>
      <w:r w:rsidRPr="00885D52">
        <w:t>(</w:t>
      </w:r>
      <w:r w:rsidR="00442C1C" w:rsidRPr="00885D52">
        <w:t>online</w:t>
      </w:r>
      <w:r w:rsidRPr="00885D52">
        <w:t>)</w:t>
      </w:r>
      <w:r w:rsidR="00082CD6" w:rsidRPr="00885D52">
        <w:br/>
        <w:t xml:space="preserve">HP </w:t>
      </w:r>
      <w:r w:rsidR="001A7834">
        <w:t>6080</w:t>
      </w:r>
    </w:p>
    <w:p w:rsidR="00C86248" w:rsidRPr="00885D52" w:rsidRDefault="00C86248">
      <w:pPr>
        <w:pStyle w:val="Imprint"/>
      </w:pPr>
      <w:r w:rsidRPr="00885D52">
        <w:t xml:space="preserve">This document is available </w:t>
      </w:r>
      <w:r w:rsidR="0071741C" w:rsidRPr="00885D52">
        <w:t>at w</w:t>
      </w:r>
      <w:r w:rsidRPr="00885D52">
        <w:t>ww.h</w:t>
      </w:r>
      <w:r w:rsidR="00A80363" w:rsidRPr="00885D52">
        <w:t>ealth</w:t>
      </w:r>
      <w:r w:rsidRPr="00885D52">
        <w:t>.govt.nz</w:t>
      </w:r>
    </w:p>
    <w:p w:rsidR="00C86248" w:rsidRPr="00885D52" w:rsidRDefault="008C64C4">
      <w:pPr>
        <w:jc w:val="center"/>
      </w:pPr>
      <w:r w:rsidRPr="00885D52">
        <w:rPr>
          <w:noProof/>
          <w:lang w:eastAsia="en-NZ"/>
        </w:rPr>
        <w:drawing>
          <wp:inline distT="0" distB="0" distL="0" distR="0" wp14:anchorId="2B86632E" wp14:editId="5D97A3F1">
            <wp:extent cx="1670685" cy="681355"/>
            <wp:effectExtent l="0" t="0" r="5715" b="4445"/>
            <wp:docPr id="2" name="Picture 2"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bookmarkStart w:id="0" w:name="_GoBack"/>
      <w:bookmarkEnd w:id="0"/>
    </w:p>
    <w:p w:rsidR="00AB021E" w:rsidRPr="00D535D0" w:rsidRDefault="00AB021E" w:rsidP="00AB021E">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Pr="00885D52" w:rsidRDefault="00C86248">
      <w:pPr>
        <w:jc w:val="center"/>
        <w:sectPr w:rsidR="00C86248" w:rsidRPr="00885D52" w:rsidSect="00327729">
          <w:footerReference w:type="even" r:id="rId12"/>
          <w:footerReference w:type="default" r:id="rId13"/>
          <w:pgSz w:w="11907" w:h="16834" w:code="9"/>
          <w:pgMar w:top="1134" w:right="1134" w:bottom="1134" w:left="1985" w:header="0" w:footer="0" w:gutter="0"/>
          <w:cols w:space="720"/>
        </w:sectPr>
      </w:pPr>
    </w:p>
    <w:p w:rsidR="0021763B" w:rsidRPr="00885D52" w:rsidRDefault="0021763B" w:rsidP="0021763B">
      <w:pPr>
        <w:pStyle w:val="Heading1"/>
      </w:pPr>
      <w:bookmarkStart w:id="1" w:name="_Toc403120508"/>
      <w:bookmarkStart w:id="2" w:name="_Toc405792991"/>
      <w:bookmarkStart w:id="3" w:name="_Toc405793224"/>
      <w:r w:rsidRPr="00885D52">
        <w:lastRenderedPageBreak/>
        <w:t>Acknowledgements</w:t>
      </w:r>
      <w:bookmarkEnd w:id="1"/>
    </w:p>
    <w:p w:rsidR="00000384" w:rsidRPr="00885D52" w:rsidRDefault="00000384" w:rsidP="008D5D23">
      <w:r w:rsidRPr="00885D52">
        <w:t>Many people have assisted in the production of this publication. In particular, the Ministry of Health thanks the peer reviewers for their valuable contribution.</w:t>
      </w:r>
    </w:p>
    <w:p w:rsidR="00000384" w:rsidRPr="00885D52" w:rsidRDefault="00000384" w:rsidP="008D5D23"/>
    <w:p w:rsidR="00000384" w:rsidRPr="00885D52" w:rsidRDefault="00000384" w:rsidP="008D5D23">
      <w:r w:rsidRPr="00885D52">
        <w:t>The Ministry of Health would also like to thank the following organisations:</w:t>
      </w:r>
    </w:p>
    <w:p w:rsidR="00000384" w:rsidRPr="00885D52" w:rsidRDefault="00000384" w:rsidP="008D5D23">
      <w:pPr>
        <w:pStyle w:val="Bullet"/>
      </w:pPr>
      <w:r w:rsidRPr="00885D52">
        <w:t>Department of Internal Affairs, Births, Deaths, Marriages and Citizenship</w:t>
      </w:r>
    </w:p>
    <w:p w:rsidR="00000384" w:rsidRPr="00885D52" w:rsidRDefault="00000384" w:rsidP="008D5D23">
      <w:pPr>
        <w:pStyle w:val="Bullet"/>
      </w:pPr>
      <w:r w:rsidRPr="00885D52">
        <w:t>Ministry of Justice, coroners and the Coronial Services Unit</w:t>
      </w:r>
    </w:p>
    <w:p w:rsidR="00000384" w:rsidRPr="00885D52" w:rsidRDefault="00000384" w:rsidP="008D5D23">
      <w:pPr>
        <w:pStyle w:val="Bullet"/>
      </w:pPr>
      <w:r w:rsidRPr="00885D52">
        <w:t>Land Transport New Zealand</w:t>
      </w:r>
    </w:p>
    <w:p w:rsidR="00000384" w:rsidRPr="00885D52" w:rsidRDefault="00000384" w:rsidP="008D5D23">
      <w:pPr>
        <w:pStyle w:val="Bullet"/>
      </w:pPr>
      <w:r w:rsidRPr="00885D52">
        <w:t>Water Safety New Zealand</w:t>
      </w:r>
    </w:p>
    <w:p w:rsidR="00000384" w:rsidRPr="00885D52" w:rsidRDefault="00000384" w:rsidP="008D5D23">
      <w:pPr>
        <w:pStyle w:val="Bullet"/>
      </w:pPr>
      <w:r w:rsidRPr="00885D52">
        <w:t>district health boards.</w:t>
      </w:r>
    </w:p>
    <w:p w:rsidR="00E33238" w:rsidRPr="00885D52" w:rsidRDefault="00E33238" w:rsidP="008D5D23"/>
    <w:p w:rsidR="000F48FE" w:rsidRPr="00885D52" w:rsidRDefault="000F48FE" w:rsidP="00E33238">
      <w:pPr>
        <w:sectPr w:rsidR="000F48FE" w:rsidRPr="00885D52"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E33238" w:rsidRPr="00885D52" w:rsidRDefault="00E33238" w:rsidP="00E33238"/>
    <w:p w:rsidR="000F48FE" w:rsidRPr="00885D52" w:rsidRDefault="000F48FE" w:rsidP="00E33238">
      <w:pPr>
        <w:sectPr w:rsidR="000F48FE" w:rsidRPr="00885D52" w:rsidSect="009D5125">
          <w:footerReference w:type="even" r:id="rId18"/>
          <w:pgSz w:w="11907" w:h="16840" w:code="9"/>
          <w:pgMar w:top="851" w:right="1134" w:bottom="1134" w:left="1134" w:header="284" w:footer="567" w:gutter="284"/>
          <w:pgNumType w:fmt="lowerRoman"/>
          <w:cols w:space="720"/>
        </w:sectPr>
      </w:pPr>
    </w:p>
    <w:p w:rsidR="00C86248" w:rsidRPr="00885D52" w:rsidRDefault="00C86248">
      <w:pPr>
        <w:pStyle w:val="IntroHead"/>
      </w:pPr>
      <w:r w:rsidRPr="00885D52">
        <w:lastRenderedPageBreak/>
        <w:t>Contents</w:t>
      </w:r>
      <w:bookmarkEnd w:id="2"/>
      <w:bookmarkEnd w:id="3"/>
    </w:p>
    <w:p w:rsidR="00D85F98" w:rsidRDefault="00C86248">
      <w:pPr>
        <w:pStyle w:val="TOC1"/>
        <w:rPr>
          <w:rFonts w:asciiTheme="minorHAnsi" w:eastAsiaTheme="minorEastAsia" w:hAnsiTheme="minorHAnsi" w:cstheme="minorBidi"/>
          <w:b w:val="0"/>
          <w:noProof/>
          <w:szCs w:val="22"/>
          <w:lang w:eastAsia="en-NZ"/>
        </w:rPr>
      </w:pPr>
      <w:r w:rsidRPr="00885D52">
        <w:rPr>
          <w:b w:val="0"/>
        </w:rPr>
        <w:fldChar w:fldCharType="begin"/>
      </w:r>
      <w:r w:rsidRPr="00885D52">
        <w:instrText xml:space="preserve"> TOC \o "1-2" </w:instrText>
      </w:r>
      <w:r w:rsidRPr="00885D52">
        <w:rPr>
          <w:b w:val="0"/>
        </w:rPr>
        <w:fldChar w:fldCharType="separate"/>
      </w:r>
      <w:r w:rsidR="00D85F98">
        <w:rPr>
          <w:noProof/>
        </w:rPr>
        <w:t>Acknowledgements</w:t>
      </w:r>
      <w:r w:rsidR="00D85F98">
        <w:rPr>
          <w:noProof/>
        </w:rPr>
        <w:tab/>
      </w:r>
      <w:r w:rsidR="00D85F98">
        <w:rPr>
          <w:noProof/>
        </w:rPr>
        <w:fldChar w:fldCharType="begin"/>
      </w:r>
      <w:r w:rsidR="00D85F98">
        <w:rPr>
          <w:noProof/>
        </w:rPr>
        <w:instrText xml:space="preserve"> PAGEREF _Toc403120508 \h </w:instrText>
      </w:r>
      <w:r w:rsidR="00D85F98">
        <w:rPr>
          <w:noProof/>
        </w:rPr>
      </w:r>
      <w:r w:rsidR="00D85F98">
        <w:rPr>
          <w:noProof/>
        </w:rPr>
        <w:fldChar w:fldCharType="separate"/>
      </w:r>
      <w:r w:rsidR="006B5CE5">
        <w:rPr>
          <w:noProof/>
        </w:rPr>
        <w:t>iii</w:t>
      </w:r>
      <w:r w:rsidR="00D85F98">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_Toc403120509 \h </w:instrText>
      </w:r>
      <w:r>
        <w:rPr>
          <w:noProof/>
        </w:rPr>
      </w:r>
      <w:r>
        <w:rPr>
          <w:noProof/>
        </w:rPr>
        <w:fldChar w:fldCharType="separate"/>
      </w:r>
      <w:r w:rsidR="006B5CE5">
        <w:rPr>
          <w:noProof/>
        </w:rPr>
        <w:t>1</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Late data</w:t>
      </w:r>
      <w:r>
        <w:rPr>
          <w:noProof/>
        </w:rPr>
        <w:tab/>
      </w:r>
      <w:r>
        <w:rPr>
          <w:noProof/>
        </w:rPr>
        <w:fldChar w:fldCharType="begin"/>
      </w:r>
      <w:r>
        <w:rPr>
          <w:noProof/>
        </w:rPr>
        <w:instrText xml:space="preserve"> PAGEREF _Toc403120510 \h </w:instrText>
      </w:r>
      <w:r>
        <w:rPr>
          <w:noProof/>
        </w:rPr>
      </w:r>
      <w:r>
        <w:rPr>
          <w:noProof/>
        </w:rPr>
        <w:fldChar w:fldCharType="separate"/>
      </w:r>
      <w:r w:rsidR="006B5CE5">
        <w:rPr>
          <w:noProof/>
        </w:rPr>
        <w:t>1</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Ethnicity data and analysis</w:t>
      </w:r>
      <w:r>
        <w:rPr>
          <w:noProof/>
        </w:rPr>
        <w:tab/>
      </w:r>
      <w:r>
        <w:rPr>
          <w:noProof/>
        </w:rPr>
        <w:fldChar w:fldCharType="begin"/>
      </w:r>
      <w:r>
        <w:rPr>
          <w:noProof/>
        </w:rPr>
        <w:instrText xml:space="preserve"> PAGEREF _Toc403120511 \h </w:instrText>
      </w:r>
      <w:r>
        <w:rPr>
          <w:noProof/>
        </w:rPr>
      </w:r>
      <w:r>
        <w:rPr>
          <w:noProof/>
        </w:rPr>
        <w:fldChar w:fldCharType="separate"/>
      </w:r>
      <w:r w:rsidR="006B5CE5">
        <w:rPr>
          <w:noProof/>
        </w:rPr>
        <w:t>3</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Statistical notes</w:t>
      </w:r>
      <w:r>
        <w:rPr>
          <w:noProof/>
        </w:rPr>
        <w:tab/>
      </w:r>
      <w:r>
        <w:rPr>
          <w:noProof/>
        </w:rPr>
        <w:fldChar w:fldCharType="begin"/>
      </w:r>
      <w:r>
        <w:rPr>
          <w:noProof/>
        </w:rPr>
        <w:instrText xml:space="preserve"> PAGEREF _Toc403120512 \h </w:instrText>
      </w:r>
      <w:r>
        <w:rPr>
          <w:noProof/>
        </w:rPr>
      </w:r>
      <w:r>
        <w:rPr>
          <w:noProof/>
        </w:rPr>
        <w:fldChar w:fldCharType="separate"/>
      </w:r>
      <w:r w:rsidR="006B5CE5">
        <w:rPr>
          <w:noProof/>
        </w:rPr>
        <w:t>3</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Further mortality data</w:t>
      </w:r>
      <w:r>
        <w:rPr>
          <w:noProof/>
        </w:rPr>
        <w:tab/>
      </w:r>
      <w:r>
        <w:rPr>
          <w:noProof/>
        </w:rPr>
        <w:fldChar w:fldCharType="begin"/>
      </w:r>
      <w:r>
        <w:rPr>
          <w:noProof/>
        </w:rPr>
        <w:instrText xml:space="preserve"> PAGEREF _Toc403120513 \h </w:instrText>
      </w:r>
      <w:r>
        <w:rPr>
          <w:noProof/>
        </w:rPr>
      </w:r>
      <w:r>
        <w:rPr>
          <w:noProof/>
        </w:rPr>
        <w:fldChar w:fldCharType="separate"/>
      </w:r>
      <w:r w:rsidR="006B5CE5">
        <w:rPr>
          <w:noProof/>
        </w:rPr>
        <w:t>4</w:t>
      </w:r>
      <w:r>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Quick facts</w:t>
      </w:r>
      <w:r>
        <w:rPr>
          <w:noProof/>
        </w:rPr>
        <w:tab/>
      </w:r>
      <w:r>
        <w:rPr>
          <w:noProof/>
        </w:rPr>
        <w:fldChar w:fldCharType="begin"/>
      </w:r>
      <w:r>
        <w:rPr>
          <w:noProof/>
        </w:rPr>
        <w:instrText xml:space="preserve"> PAGEREF _Toc403120514 \h </w:instrText>
      </w:r>
      <w:r>
        <w:rPr>
          <w:noProof/>
        </w:rPr>
      </w:r>
      <w:r>
        <w:rPr>
          <w:noProof/>
        </w:rPr>
        <w:fldChar w:fldCharType="separate"/>
      </w:r>
      <w:r w:rsidR="006B5CE5">
        <w:rPr>
          <w:noProof/>
        </w:rPr>
        <w:t>5</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Mortality 2011 – numbers and rates</w:t>
      </w:r>
      <w:r>
        <w:rPr>
          <w:noProof/>
        </w:rPr>
        <w:tab/>
      </w:r>
      <w:r>
        <w:rPr>
          <w:noProof/>
        </w:rPr>
        <w:fldChar w:fldCharType="begin"/>
      </w:r>
      <w:r>
        <w:rPr>
          <w:noProof/>
        </w:rPr>
        <w:instrText xml:space="preserve"> PAGEREF _Toc403120515 \h </w:instrText>
      </w:r>
      <w:r>
        <w:rPr>
          <w:noProof/>
        </w:rPr>
      </w:r>
      <w:r>
        <w:rPr>
          <w:noProof/>
        </w:rPr>
        <w:fldChar w:fldCharType="separate"/>
      </w:r>
      <w:r w:rsidR="006B5CE5">
        <w:rPr>
          <w:noProof/>
        </w:rPr>
        <w:t>5</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Selected causes of mortality 2011</w:t>
      </w:r>
      <w:r>
        <w:rPr>
          <w:noProof/>
        </w:rPr>
        <w:tab/>
      </w:r>
      <w:r>
        <w:rPr>
          <w:noProof/>
        </w:rPr>
        <w:fldChar w:fldCharType="begin"/>
      </w:r>
      <w:r>
        <w:rPr>
          <w:noProof/>
        </w:rPr>
        <w:instrText xml:space="preserve"> PAGEREF _Toc403120516 \h </w:instrText>
      </w:r>
      <w:r>
        <w:rPr>
          <w:noProof/>
        </w:rPr>
      </w:r>
      <w:r>
        <w:rPr>
          <w:noProof/>
        </w:rPr>
        <w:fldChar w:fldCharType="separate"/>
      </w:r>
      <w:r w:rsidR="006B5CE5">
        <w:rPr>
          <w:noProof/>
        </w:rPr>
        <w:t>5</w:t>
      </w:r>
      <w:r>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Major causes of mortality</w:t>
      </w:r>
      <w:r>
        <w:rPr>
          <w:noProof/>
        </w:rPr>
        <w:tab/>
      </w:r>
      <w:r>
        <w:rPr>
          <w:noProof/>
        </w:rPr>
        <w:fldChar w:fldCharType="begin"/>
      </w:r>
      <w:r>
        <w:rPr>
          <w:noProof/>
        </w:rPr>
        <w:instrText xml:space="preserve"> PAGEREF _Toc403120517 \h </w:instrText>
      </w:r>
      <w:r>
        <w:rPr>
          <w:noProof/>
        </w:rPr>
      </w:r>
      <w:r>
        <w:rPr>
          <w:noProof/>
        </w:rPr>
        <w:fldChar w:fldCharType="separate"/>
      </w:r>
      <w:r w:rsidR="006B5CE5">
        <w:rPr>
          <w:noProof/>
        </w:rPr>
        <w:t>6</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Overview of mortality statistics</w:t>
      </w:r>
      <w:r>
        <w:rPr>
          <w:noProof/>
        </w:rPr>
        <w:tab/>
      </w:r>
      <w:r>
        <w:rPr>
          <w:noProof/>
        </w:rPr>
        <w:fldChar w:fldCharType="begin"/>
      </w:r>
      <w:r>
        <w:rPr>
          <w:noProof/>
        </w:rPr>
        <w:instrText xml:space="preserve"> PAGEREF _Toc403120518 \h </w:instrText>
      </w:r>
      <w:r>
        <w:rPr>
          <w:noProof/>
        </w:rPr>
      </w:r>
      <w:r>
        <w:rPr>
          <w:noProof/>
        </w:rPr>
        <w:fldChar w:fldCharType="separate"/>
      </w:r>
      <w:r w:rsidR="006B5CE5">
        <w:rPr>
          <w:noProof/>
        </w:rPr>
        <w:t>6</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Selected causes of mortality</w:t>
      </w:r>
      <w:r>
        <w:rPr>
          <w:noProof/>
        </w:rPr>
        <w:tab/>
      </w:r>
      <w:r>
        <w:rPr>
          <w:noProof/>
        </w:rPr>
        <w:fldChar w:fldCharType="begin"/>
      </w:r>
      <w:r>
        <w:rPr>
          <w:noProof/>
        </w:rPr>
        <w:instrText xml:space="preserve"> PAGEREF _Toc403120519 \h </w:instrText>
      </w:r>
      <w:r>
        <w:rPr>
          <w:noProof/>
        </w:rPr>
      </w:r>
      <w:r>
        <w:rPr>
          <w:noProof/>
        </w:rPr>
        <w:fldChar w:fldCharType="separate"/>
      </w:r>
      <w:r w:rsidR="006B5CE5">
        <w:rPr>
          <w:noProof/>
        </w:rPr>
        <w:t>12</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Mortality by region</w:t>
      </w:r>
      <w:r>
        <w:rPr>
          <w:noProof/>
        </w:rPr>
        <w:tab/>
      </w:r>
      <w:r>
        <w:rPr>
          <w:noProof/>
        </w:rPr>
        <w:fldChar w:fldCharType="begin"/>
      </w:r>
      <w:r>
        <w:rPr>
          <w:noProof/>
        </w:rPr>
        <w:instrText xml:space="preserve"> PAGEREF _Toc403120520 \h </w:instrText>
      </w:r>
      <w:r>
        <w:rPr>
          <w:noProof/>
        </w:rPr>
      </w:r>
      <w:r>
        <w:rPr>
          <w:noProof/>
        </w:rPr>
        <w:fldChar w:fldCharType="separate"/>
      </w:r>
      <w:r w:rsidR="006B5CE5">
        <w:rPr>
          <w:noProof/>
        </w:rPr>
        <w:t>14</w:t>
      </w:r>
      <w:r>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Selected trends</w:t>
      </w:r>
      <w:r>
        <w:rPr>
          <w:noProof/>
        </w:rPr>
        <w:tab/>
      </w:r>
      <w:r>
        <w:rPr>
          <w:noProof/>
        </w:rPr>
        <w:fldChar w:fldCharType="begin"/>
      </w:r>
      <w:r>
        <w:rPr>
          <w:noProof/>
        </w:rPr>
        <w:instrText xml:space="preserve"> PAGEREF _Toc403120521 \h </w:instrText>
      </w:r>
      <w:r>
        <w:rPr>
          <w:noProof/>
        </w:rPr>
      </w:r>
      <w:r>
        <w:rPr>
          <w:noProof/>
        </w:rPr>
        <w:fldChar w:fldCharType="separate"/>
      </w:r>
      <w:r w:rsidR="006B5CE5">
        <w:rPr>
          <w:noProof/>
        </w:rPr>
        <w:t>19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Cancer (C00–C96, D45–D47)</w:t>
      </w:r>
      <w:r>
        <w:rPr>
          <w:noProof/>
        </w:rPr>
        <w:tab/>
      </w:r>
      <w:r>
        <w:rPr>
          <w:noProof/>
        </w:rPr>
        <w:fldChar w:fldCharType="begin"/>
      </w:r>
      <w:r>
        <w:rPr>
          <w:noProof/>
        </w:rPr>
        <w:instrText xml:space="preserve"> PAGEREF _Toc403120522 \h </w:instrText>
      </w:r>
      <w:r>
        <w:rPr>
          <w:noProof/>
        </w:rPr>
      </w:r>
      <w:r>
        <w:rPr>
          <w:noProof/>
        </w:rPr>
        <w:fldChar w:fldCharType="separate"/>
      </w:r>
      <w:r w:rsidR="006B5CE5">
        <w:rPr>
          <w:noProof/>
        </w:rPr>
        <w:t>19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Trachea, bronchus and lung cancer (C33–C34)</w:t>
      </w:r>
      <w:r>
        <w:rPr>
          <w:noProof/>
        </w:rPr>
        <w:tab/>
      </w:r>
      <w:r>
        <w:rPr>
          <w:noProof/>
        </w:rPr>
        <w:fldChar w:fldCharType="begin"/>
      </w:r>
      <w:r>
        <w:rPr>
          <w:noProof/>
        </w:rPr>
        <w:instrText xml:space="preserve"> PAGEREF _Toc403120523 \h </w:instrText>
      </w:r>
      <w:r>
        <w:rPr>
          <w:noProof/>
        </w:rPr>
      </w:r>
      <w:r>
        <w:rPr>
          <w:noProof/>
        </w:rPr>
        <w:fldChar w:fldCharType="separate"/>
      </w:r>
      <w:r w:rsidR="006B5CE5">
        <w:rPr>
          <w:noProof/>
        </w:rPr>
        <w:t>24</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Female breast cancer (C50)</w:t>
      </w:r>
      <w:r>
        <w:rPr>
          <w:noProof/>
        </w:rPr>
        <w:tab/>
      </w:r>
      <w:r>
        <w:rPr>
          <w:noProof/>
        </w:rPr>
        <w:fldChar w:fldCharType="begin"/>
      </w:r>
      <w:r>
        <w:rPr>
          <w:noProof/>
        </w:rPr>
        <w:instrText xml:space="preserve"> PAGEREF _Toc403120524 \h </w:instrText>
      </w:r>
      <w:r>
        <w:rPr>
          <w:noProof/>
        </w:rPr>
      </w:r>
      <w:r>
        <w:rPr>
          <w:noProof/>
        </w:rPr>
        <w:fldChar w:fldCharType="separate"/>
      </w:r>
      <w:r w:rsidR="006B5CE5">
        <w:rPr>
          <w:noProof/>
        </w:rPr>
        <w:t>28</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Prostate cancer (C61)</w:t>
      </w:r>
      <w:r>
        <w:rPr>
          <w:noProof/>
        </w:rPr>
        <w:tab/>
      </w:r>
      <w:r>
        <w:rPr>
          <w:noProof/>
        </w:rPr>
        <w:fldChar w:fldCharType="begin"/>
      </w:r>
      <w:r>
        <w:rPr>
          <w:noProof/>
        </w:rPr>
        <w:instrText xml:space="preserve"> PAGEREF _Toc403120525 \h </w:instrText>
      </w:r>
      <w:r>
        <w:rPr>
          <w:noProof/>
        </w:rPr>
      </w:r>
      <w:r>
        <w:rPr>
          <w:noProof/>
        </w:rPr>
        <w:fldChar w:fldCharType="separate"/>
      </w:r>
      <w:r w:rsidR="006B5CE5">
        <w:rPr>
          <w:noProof/>
        </w:rPr>
        <w:t>32</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Malignant melanoma of the skin (C43)</w:t>
      </w:r>
      <w:r>
        <w:rPr>
          <w:noProof/>
        </w:rPr>
        <w:tab/>
      </w:r>
      <w:r>
        <w:rPr>
          <w:noProof/>
        </w:rPr>
        <w:fldChar w:fldCharType="begin"/>
      </w:r>
      <w:r>
        <w:rPr>
          <w:noProof/>
        </w:rPr>
        <w:instrText xml:space="preserve"> PAGEREF _Toc403120526 \h </w:instrText>
      </w:r>
      <w:r>
        <w:rPr>
          <w:noProof/>
        </w:rPr>
      </w:r>
      <w:r>
        <w:rPr>
          <w:noProof/>
        </w:rPr>
        <w:fldChar w:fldCharType="separate"/>
      </w:r>
      <w:r w:rsidR="006B5CE5">
        <w:rPr>
          <w:noProof/>
        </w:rPr>
        <w:t>36</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Cervical cancer (C53)</w:t>
      </w:r>
      <w:r>
        <w:rPr>
          <w:noProof/>
        </w:rPr>
        <w:tab/>
      </w:r>
      <w:r>
        <w:rPr>
          <w:noProof/>
        </w:rPr>
        <w:fldChar w:fldCharType="begin"/>
      </w:r>
      <w:r>
        <w:rPr>
          <w:noProof/>
        </w:rPr>
        <w:instrText xml:space="preserve"> PAGEREF _Toc403120527 \h </w:instrText>
      </w:r>
      <w:r>
        <w:rPr>
          <w:noProof/>
        </w:rPr>
      </w:r>
      <w:r>
        <w:rPr>
          <w:noProof/>
        </w:rPr>
        <w:fldChar w:fldCharType="separate"/>
      </w:r>
      <w:r w:rsidR="006B5CE5">
        <w:rPr>
          <w:noProof/>
        </w:rPr>
        <w:t>39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Ischaemic heart disease (I20–I25)</w:t>
      </w:r>
      <w:r>
        <w:rPr>
          <w:noProof/>
        </w:rPr>
        <w:tab/>
      </w:r>
      <w:r>
        <w:rPr>
          <w:noProof/>
        </w:rPr>
        <w:fldChar w:fldCharType="begin"/>
      </w:r>
      <w:r>
        <w:rPr>
          <w:noProof/>
        </w:rPr>
        <w:instrText xml:space="preserve"> PAGEREF _Toc403120528 \h </w:instrText>
      </w:r>
      <w:r>
        <w:rPr>
          <w:noProof/>
        </w:rPr>
      </w:r>
      <w:r>
        <w:rPr>
          <w:noProof/>
        </w:rPr>
        <w:fldChar w:fldCharType="separate"/>
      </w:r>
      <w:r w:rsidR="006B5CE5">
        <w:rPr>
          <w:noProof/>
        </w:rPr>
        <w:t>42</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Cerebrovascular disease (I60–I69)</w:t>
      </w:r>
      <w:r>
        <w:rPr>
          <w:noProof/>
        </w:rPr>
        <w:tab/>
      </w:r>
      <w:r>
        <w:rPr>
          <w:noProof/>
        </w:rPr>
        <w:fldChar w:fldCharType="begin"/>
      </w:r>
      <w:r>
        <w:rPr>
          <w:noProof/>
        </w:rPr>
        <w:instrText xml:space="preserve"> PAGEREF _Toc403120529 \h </w:instrText>
      </w:r>
      <w:r>
        <w:rPr>
          <w:noProof/>
        </w:rPr>
      </w:r>
      <w:r>
        <w:rPr>
          <w:noProof/>
        </w:rPr>
        <w:fldChar w:fldCharType="separate"/>
      </w:r>
      <w:r w:rsidR="006B5CE5">
        <w:rPr>
          <w:noProof/>
        </w:rPr>
        <w:t>48</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Diabetes mellitus (E10–E14)</w:t>
      </w:r>
      <w:r>
        <w:rPr>
          <w:noProof/>
        </w:rPr>
        <w:tab/>
      </w:r>
      <w:r>
        <w:rPr>
          <w:noProof/>
        </w:rPr>
        <w:fldChar w:fldCharType="begin"/>
      </w:r>
      <w:r>
        <w:rPr>
          <w:noProof/>
        </w:rPr>
        <w:instrText xml:space="preserve"> PAGEREF _Toc403120530 \h </w:instrText>
      </w:r>
      <w:r>
        <w:rPr>
          <w:noProof/>
        </w:rPr>
      </w:r>
      <w:r>
        <w:rPr>
          <w:noProof/>
        </w:rPr>
        <w:fldChar w:fldCharType="separate"/>
      </w:r>
      <w:r w:rsidR="006B5CE5">
        <w:rPr>
          <w:noProof/>
        </w:rPr>
        <w:t>54</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Motor vehicle accidents (selected codes: V02–V89)</w:t>
      </w:r>
      <w:r>
        <w:rPr>
          <w:noProof/>
        </w:rPr>
        <w:tab/>
      </w:r>
      <w:r>
        <w:rPr>
          <w:noProof/>
        </w:rPr>
        <w:fldChar w:fldCharType="begin"/>
      </w:r>
      <w:r>
        <w:rPr>
          <w:noProof/>
        </w:rPr>
        <w:instrText xml:space="preserve"> PAGEREF _Toc403120531 \h </w:instrText>
      </w:r>
      <w:r>
        <w:rPr>
          <w:noProof/>
        </w:rPr>
      </w:r>
      <w:r>
        <w:rPr>
          <w:noProof/>
        </w:rPr>
        <w:fldChar w:fldCharType="separate"/>
      </w:r>
      <w:r w:rsidR="006B5CE5">
        <w:rPr>
          <w:noProof/>
        </w:rPr>
        <w:t>59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Suicide (X60–X84)</w:t>
      </w:r>
      <w:r>
        <w:rPr>
          <w:noProof/>
        </w:rPr>
        <w:tab/>
      </w:r>
      <w:r>
        <w:rPr>
          <w:noProof/>
        </w:rPr>
        <w:fldChar w:fldCharType="begin"/>
      </w:r>
      <w:r>
        <w:rPr>
          <w:noProof/>
        </w:rPr>
        <w:instrText xml:space="preserve"> PAGEREF _Toc403120532 \h </w:instrText>
      </w:r>
      <w:r>
        <w:rPr>
          <w:noProof/>
        </w:rPr>
      </w:r>
      <w:r>
        <w:rPr>
          <w:noProof/>
        </w:rPr>
        <w:fldChar w:fldCharType="separate"/>
      </w:r>
      <w:r w:rsidR="006B5CE5">
        <w:rPr>
          <w:noProof/>
        </w:rPr>
        <w:t>64</w:t>
      </w:r>
      <w:r>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Further mortality-related information</w:t>
      </w:r>
      <w:r>
        <w:rPr>
          <w:noProof/>
        </w:rPr>
        <w:tab/>
      </w:r>
      <w:r>
        <w:rPr>
          <w:noProof/>
        </w:rPr>
        <w:fldChar w:fldCharType="begin"/>
      </w:r>
      <w:r>
        <w:rPr>
          <w:noProof/>
        </w:rPr>
        <w:instrText xml:space="preserve"> PAGEREF _Toc403120533 \h </w:instrText>
      </w:r>
      <w:r>
        <w:rPr>
          <w:noProof/>
        </w:rPr>
      </w:r>
      <w:r>
        <w:rPr>
          <w:noProof/>
        </w:rPr>
        <w:fldChar w:fldCharType="separate"/>
      </w:r>
      <w:r w:rsidR="006B5CE5">
        <w:rPr>
          <w:noProof/>
        </w:rPr>
        <w:t>69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Statistical mortality data tables</w:t>
      </w:r>
      <w:r>
        <w:rPr>
          <w:noProof/>
        </w:rPr>
        <w:tab/>
      </w:r>
      <w:r>
        <w:rPr>
          <w:noProof/>
        </w:rPr>
        <w:fldChar w:fldCharType="begin"/>
      </w:r>
      <w:r>
        <w:rPr>
          <w:noProof/>
        </w:rPr>
        <w:instrText xml:space="preserve"> PAGEREF _Toc403120534 \h </w:instrText>
      </w:r>
      <w:r>
        <w:rPr>
          <w:noProof/>
        </w:rPr>
      </w:r>
      <w:r>
        <w:rPr>
          <w:noProof/>
        </w:rPr>
        <w:fldChar w:fldCharType="separate"/>
      </w:r>
      <w:r w:rsidR="006B5CE5">
        <w:rPr>
          <w:noProof/>
        </w:rPr>
        <w:t>69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Other mortality-related Ministry of Health publications</w:t>
      </w:r>
      <w:r>
        <w:rPr>
          <w:noProof/>
        </w:rPr>
        <w:tab/>
      </w:r>
      <w:r>
        <w:rPr>
          <w:noProof/>
        </w:rPr>
        <w:fldChar w:fldCharType="begin"/>
      </w:r>
      <w:r>
        <w:rPr>
          <w:noProof/>
        </w:rPr>
        <w:instrText xml:space="preserve"> PAGEREF _Toc403120535 \h </w:instrText>
      </w:r>
      <w:r>
        <w:rPr>
          <w:noProof/>
        </w:rPr>
      </w:r>
      <w:r>
        <w:rPr>
          <w:noProof/>
        </w:rPr>
        <w:fldChar w:fldCharType="separate"/>
      </w:r>
      <w:r w:rsidR="006B5CE5">
        <w:rPr>
          <w:noProof/>
        </w:rPr>
        <w:t>69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Other mortality-related publications</w:t>
      </w:r>
      <w:r>
        <w:rPr>
          <w:noProof/>
        </w:rPr>
        <w:tab/>
      </w:r>
      <w:r>
        <w:rPr>
          <w:noProof/>
        </w:rPr>
        <w:fldChar w:fldCharType="begin"/>
      </w:r>
      <w:r>
        <w:rPr>
          <w:noProof/>
        </w:rPr>
        <w:instrText xml:space="preserve"> PAGEREF _Toc403120536 \h </w:instrText>
      </w:r>
      <w:r>
        <w:rPr>
          <w:noProof/>
        </w:rPr>
      </w:r>
      <w:r>
        <w:rPr>
          <w:noProof/>
        </w:rPr>
        <w:fldChar w:fldCharType="separate"/>
      </w:r>
      <w:r w:rsidR="006B5CE5">
        <w:rPr>
          <w:noProof/>
        </w:rPr>
        <w:t>69</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Population and demographic data</w:t>
      </w:r>
      <w:r>
        <w:rPr>
          <w:noProof/>
        </w:rPr>
        <w:tab/>
      </w:r>
      <w:r>
        <w:rPr>
          <w:noProof/>
        </w:rPr>
        <w:fldChar w:fldCharType="begin"/>
      </w:r>
      <w:r>
        <w:rPr>
          <w:noProof/>
        </w:rPr>
        <w:instrText xml:space="preserve"> PAGEREF _Toc403120537 \h </w:instrText>
      </w:r>
      <w:r>
        <w:rPr>
          <w:noProof/>
        </w:rPr>
      </w:r>
      <w:r>
        <w:rPr>
          <w:noProof/>
        </w:rPr>
        <w:fldChar w:fldCharType="separate"/>
      </w:r>
      <w:r w:rsidR="006B5CE5">
        <w:rPr>
          <w:noProof/>
        </w:rPr>
        <w:t>70</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Mortality data available from the Ministry of Health</w:t>
      </w:r>
      <w:r>
        <w:rPr>
          <w:noProof/>
        </w:rPr>
        <w:tab/>
      </w:r>
      <w:r>
        <w:rPr>
          <w:noProof/>
        </w:rPr>
        <w:fldChar w:fldCharType="begin"/>
      </w:r>
      <w:r>
        <w:rPr>
          <w:noProof/>
        </w:rPr>
        <w:instrText xml:space="preserve"> PAGEREF _Toc403120538 \h </w:instrText>
      </w:r>
      <w:r>
        <w:rPr>
          <w:noProof/>
        </w:rPr>
      </w:r>
      <w:r>
        <w:rPr>
          <w:noProof/>
        </w:rPr>
        <w:fldChar w:fldCharType="separate"/>
      </w:r>
      <w:r w:rsidR="006B5CE5">
        <w:rPr>
          <w:noProof/>
        </w:rPr>
        <w:t>70</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Additional information available from the Ministry of Health</w:t>
      </w:r>
      <w:r>
        <w:rPr>
          <w:noProof/>
        </w:rPr>
        <w:tab/>
      </w:r>
      <w:r>
        <w:rPr>
          <w:noProof/>
        </w:rPr>
        <w:fldChar w:fldCharType="begin"/>
      </w:r>
      <w:r>
        <w:rPr>
          <w:noProof/>
        </w:rPr>
        <w:instrText xml:space="preserve"> PAGEREF _Toc403120539 \h </w:instrText>
      </w:r>
      <w:r>
        <w:rPr>
          <w:noProof/>
        </w:rPr>
      </w:r>
      <w:r>
        <w:rPr>
          <w:noProof/>
        </w:rPr>
        <w:fldChar w:fldCharType="separate"/>
      </w:r>
      <w:r w:rsidR="006B5CE5">
        <w:rPr>
          <w:noProof/>
        </w:rPr>
        <w:t>72</w:t>
      </w:r>
      <w:r>
        <w:rPr>
          <w:noProof/>
        </w:rPr>
        <w:fldChar w:fldCharType="end"/>
      </w:r>
    </w:p>
    <w:p w:rsidR="00D85F98" w:rsidRDefault="00D85F98" w:rsidP="00D85F98">
      <w:pPr>
        <w:pStyle w:val="TOC1"/>
        <w:keepNext/>
        <w:rPr>
          <w:rFonts w:asciiTheme="minorHAnsi" w:eastAsiaTheme="minorEastAsia" w:hAnsiTheme="minorHAnsi" w:cstheme="minorBidi"/>
          <w:b w:val="0"/>
          <w:noProof/>
          <w:szCs w:val="22"/>
          <w:lang w:eastAsia="en-NZ"/>
        </w:rPr>
      </w:pPr>
      <w:r>
        <w:rPr>
          <w:noProof/>
        </w:rPr>
        <w:lastRenderedPageBreak/>
        <w:t>Explanatory notes</w:t>
      </w:r>
      <w:r>
        <w:rPr>
          <w:noProof/>
        </w:rPr>
        <w:tab/>
      </w:r>
      <w:r>
        <w:rPr>
          <w:noProof/>
        </w:rPr>
        <w:fldChar w:fldCharType="begin"/>
      </w:r>
      <w:r>
        <w:rPr>
          <w:noProof/>
        </w:rPr>
        <w:instrText xml:space="preserve"> PAGEREF _Toc403120540 \h </w:instrText>
      </w:r>
      <w:r>
        <w:rPr>
          <w:noProof/>
        </w:rPr>
      </w:r>
      <w:r>
        <w:rPr>
          <w:noProof/>
        </w:rPr>
        <w:fldChar w:fldCharType="separate"/>
      </w:r>
      <w:r w:rsidR="006B5CE5">
        <w:rPr>
          <w:noProof/>
        </w:rPr>
        <w:t>73</w:t>
      </w:r>
      <w:r>
        <w:rPr>
          <w:noProof/>
        </w:rPr>
        <w:fldChar w:fldCharType="end"/>
      </w:r>
    </w:p>
    <w:p w:rsidR="00D85F98" w:rsidRDefault="00D85F98" w:rsidP="00D85F98">
      <w:pPr>
        <w:pStyle w:val="TOC2"/>
        <w:keepNext/>
        <w:rPr>
          <w:rFonts w:asciiTheme="minorHAnsi" w:eastAsiaTheme="minorEastAsia" w:hAnsiTheme="minorHAnsi" w:cstheme="minorBidi"/>
          <w:noProof/>
          <w:szCs w:val="22"/>
          <w:lang w:eastAsia="en-NZ"/>
        </w:rPr>
      </w:pPr>
      <w:r>
        <w:rPr>
          <w:noProof/>
        </w:rPr>
        <w:t>Mortality notes</w:t>
      </w:r>
      <w:r>
        <w:rPr>
          <w:noProof/>
        </w:rPr>
        <w:tab/>
      </w:r>
      <w:r>
        <w:rPr>
          <w:noProof/>
        </w:rPr>
        <w:fldChar w:fldCharType="begin"/>
      </w:r>
      <w:r>
        <w:rPr>
          <w:noProof/>
        </w:rPr>
        <w:instrText xml:space="preserve"> PAGEREF _Toc403120541 \h </w:instrText>
      </w:r>
      <w:r>
        <w:rPr>
          <w:noProof/>
        </w:rPr>
      </w:r>
      <w:r>
        <w:rPr>
          <w:noProof/>
        </w:rPr>
        <w:fldChar w:fldCharType="separate"/>
      </w:r>
      <w:r w:rsidR="006B5CE5">
        <w:rPr>
          <w:noProof/>
        </w:rPr>
        <w:t>73</w:t>
      </w:r>
      <w:r>
        <w:rPr>
          <w:noProof/>
        </w:rPr>
        <w:fldChar w:fldCharType="end"/>
      </w:r>
    </w:p>
    <w:p w:rsidR="00D85F98" w:rsidRDefault="00D85F98" w:rsidP="00D85F98">
      <w:pPr>
        <w:pStyle w:val="TOC2"/>
        <w:keepNext/>
        <w:rPr>
          <w:rFonts w:asciiTheme="minorHAnsi" w:eastAsiaTheme="minorEastAsia" w:hAnsiTheme="minorHAnsi" w:cstheme="minorBidi"/>
          <w:noProof/>
          <w:szCs w:val="22"/>
          <w:lang w:eastAsia="en-NZ"/>
        </w:rPr>
      </w:pPr>
      <w:r>
        <w:rPr>
          <w:noProof/>
        </w:rPr>
        <w:t>Population notes</w:t>
      </w:r>
      <w:r>
        <w:rPr>
          <w:noProof/>
        </w:rPr>
        <w:tab/>
      </w:r>
      <w:r>
        <w:rPr>
          <w:noProof/>
        </w:rPr>
        <w:fldChar w:fldCharType="begin"/>
      </w:r>
      <w:r>
        <w:rPr>
          <w:noProof/>
        </w:rPr>
        <w:instrText xml:space="preserve"> PAGEREF _Toc403120542 \h </w:instrText>
      </w:r>
      <w:r>
        <w:rPr>
          <w:noProof/>
        </w:rPr>
      </w:r>
      <w:r>
        <w:rPr>
          <w:noProof/>
        </w:rPr>
        <w:fldChar w:fldCharType="separate"/>
      </w:r>
      <w:r w:rsidR="006B5CE5">
        <w:rPr>
          <w:noProof/>
        </w:rPr>
        <w:t>75</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Ethnicity notes</w:t>
      </w:r>
      <w:r>
        <w:rPr>
          <w:noProof/>
        </w:rPr>
        <w:tab/>
      </w:r>
      <w:r>
        <w:rPr>
          <w:noProof/>
        </w:rPr>
        <w:fldChar w:fldCharType="begin"/>
      </w:r>
      <w:r>
        <w:rPr>
          <w:noProof/>
        </w:rPr>
        <w:instrText xml:space="preserve"> PAGEREF _Toc403120543 \h </w:instrText>
      </w:r>
      <w:r>
        <w:rPr>
          <w:noProof/>
        </w:rPr>
      </w:r>
      <w:r>
        <w:rPr>
          <w:noProof/>
        </w:rPr>
        <w:fldChar w:fldCharType="separate"/>
      </w:r>
      <w:r w:rsidR="006B5CE5">
        <w:rPr>
          <w:noProof/>
        </w:rPr>
        <w:t>77</w:t>
      </w:r>
      <w:r>
        <w:rPr>
          <w:noProof/>
        </w:rPr>
        <w:fldChar w:fldCharType="end"/>
      </w:r>
    </w:p>
    <w:p w:rsidR="00D85F98" w:rsidRDefault="00D85F98">
      <w:pPr>
        <w:pStyle w:val="TOC2"/>
        <w:rPr>
          <w:rFonts w:asciiTheme="minorHAnsi" w:eastAsiaTheme="minorEastAsia" w:hAnsiTheme="minorHAnsi" w:cstheme="minorBidi"/>
          <w:noProof/>
          <w:szCs w:val="22"/>
          <w:lang w:eastAsia="en-NZ"/>
        </w:rPr>
      </w:pPr>
      <w:r>
        <w:rPr>
          <w:noProof/>
        </w:rPr>
        <w:t>Statistical notes</w:t>
      </w:r>
      <w:r>
        <w:rPr>
          <w:noProof/>
        </w:rPr>
        <w:tab/>
      </w:r>
      <w:r>
        <w:rPr>
          <w:noProof/>
        </w:rPr>
        <w:fldChar w:fldCharType="begin"/>
      </w:r>
      <w:r>
        <w:rPr>
          <w:noProof/>
        </w:rPr>
        <w:instrText xml:space="preserve"> PAGEREF _Toc403120544 \h </w:instrText>
      </w:r>
      <w:r>
        <w:rPr>
          <w:noProof/>
        </w:rPr>
      </w:r>
      <w:r>
        <w:rPr>
          <w:noProof/>
        </w:rPr>
        <w:fldChar w:fldCharType="separate"/>
      </w:r>
      <w:r w:rsidR="006B5CE5">
        <w:rPr>
          <w:noProof/>
        </w:rPr>
        <w:t>78</w:t>
      </w:r>
      <w:r>
        <w:rPr>
          <w:noProof/>
        </w:rPr>
        <w:fldChar w:fldCharType="end"/>
      </w:r>
    </w:p>
    <w:p w:rsidR="00D85F98" w:rsidRDefault="00D85F98">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_Toc403120545 \h </w:instrText>
      </w:r>
      <w:r>
        <w:rPr>
          <w:noProof/>
        </w:rPr>
      </w:r>
      <w:r>
        <w:rPr>
          <w:noProof/>
        </w:rPr>
        <w:fldChar w:fldCharType="separate"/>
      </w:r>
      <w:r w:rsidR="006B5CE5">
        <w:rPr>
          <w:noProof/>
        </w:rPr>
        <w:t>81</w:t>
      </w:r>
      <w:r>
        <w:rPr>
          <w:noProof/>
        </w:rPr>
        <w:fldChar w:fldCharType="end"/>
      </w:r>
    </w:p>
    <w:p w:rsidR="00C86248" w:rsidRPr="00885D52" w:rsidRDefault="00C86248">
      <w:r w:rsidRPr="00885D52">
        <w:rPr>
          <w:b/>
        </w:rPr>
        <w:fldChar w:fldCharType="end"/>
      </w:r>
    </w:p>
    <w:p w:rsidR="00C86248" w:rsidRPr="00885D52" w:rsidRDefault="00C86248"/>
    <w:p w:rsidR="00C86248" w:rsidRPr="00885D52" w:rsidRDefault="00C86248" w:rsidP="003B1D10">
      <w:pPr>
        <w:pStyle w:val="TOC1"/>
        <w:keepNext/>
      </w:pPr>
      <w:r w:rsidRPr="00885D52">
        <w:t>List of Tables</w:t>
      </w:r>
    </w:p>
    <w:p w:rsidR="00D85F98" w:rsidRDefault="00C86248">
      <w:pPr>
        <w:pStyle w:val="TOC3"/>
        <w:rPr>
          <w:rFonts w:asciiTheme="minorHAnsi" w:eastAsiaTheme="minorEastAsia" w:hAnsiTheme="minorHAnsi" w:cstheme="minorBidi"/>
          <w:noProof/>
          <w:szCs w:val="22"/>
          <w:lang w:eastAsia="en-NZ"/>
        </w:rPr>
      </w:pPr>
      <w:r w:rsidRPr="00885D52">
        <w:rPr>
          <w:sz w:val="20"/>
        </w:rPr>
        <w:fldChar w:fldCharType="begin"/>
      </w:r>
      <w:r w:rsidRPr="00885D52">
        <w:instrText xml:space="preserve"> TOC \t "Table,3" </w:instrText>
      </w:r>
      <w:r w:rsidRPr="00885D52">
        <w:rPr>
          <w:sz w:val="20"/>
        </w:rPr>
        <w:fldChar w:fldCharType="separate"/>
      </w:r>
      <w:r w:rsidR="00D85F98">
        <w:rPr>
          <w:noProof/>
        </w:rPr>
        <w:t>Table 1:</w:t>
      </w:r>
      <w:r w:rsidR="00D85F98">
        <w:rPr>
          <w:noProof/>
        </w:rPr>
        <w:tab/>
        <w:t>Mortality rates by age group, sex and ethnicity, 2011</w:t>
      </w:r>
      <w:r w:rsidR="00D85F98">
        <w:rPr>
          <w:noProof/>
        </w:rPr>
        <w:tab/>
      </w:r>
      <w:r w:rsidR="00D85F98">
        <w:rPr>
          <w:noProof/>
        </w:rPr>
        <w:fldChar w:fldCharType="begin"/>
      </w:r>
      <w:r w:rsidR="00D85F98">
        <w:rPr>
          <w:noProof/>
        </w:rPr>
        <w:instrText xml:space="preserve"> PAGEREF _Toc403120546 \h </w:instrText>
      </w:r>
      <w:r w:rsidR="00D85F98">
        <w:rPr>
          <w:noProof/>
        </w:rPr>
      </w:r>
      <w:r w:rsidR="00D85F98">
        <w:rPr>
          <w:noProof/>
        </w:rPr>
        <w:fldChar w:fldCharType="separate"/>
      </w:r>
      <w:r w:rsidR="006B5CE5">
        <w:rPr>
          <w:noProof/>
        </w:rPr>
        <w:t>7</w:t>
      </w:r>
      <w:r w:rsidR="00D85F98">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w:t>
      </w:r>
      <w:r>
        <w:rPr>
          <w:noProof/>
        </w:rPr>
        <w:tab/>
        <w:t>Numbers and age-standardised mortality rates by sex, 1980–2011</w:t>
      </w:r>
      <w:r>
        <w:rPr>
          <w:noProof/>
        </w:rPr>
        <w:tab/>
      </w:r>
      <w:r>
        <w:rPr>
          <w:noProof/>
        </w:rPr>
        <w:fldChar w:fldCharType="begin"/>
      </w:r>
      <w:r>
        <w:rPr>
          <w:noProof/>
        </w:rPr>
        <w:instrText xml:space="preserve"> PAGEREF _Toc403120547 \h </w:instrText>
      </w:r>
      <w:r>
        <w:rPr>
          <w:noProof/>
        </w:rPr>
      </w:r>
      <w:r>
        <w:rPr>
          <w:noProof/>
        </w:rPr>
        <w:fldChar w:fldCharType="separate"/>
      </w:r>
      <w:r w:rsidR="006B5CE5">
        <w:rPr>
          <w:noProof/>
        </w:rPr>
        <w:t>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3:</w:t>
      </w:r>
      <w:r>
        <w:rPr>
          <w:noProof/>
        </w:rPr>
        <w:tab/>
        <w:t>Age-standardised mortality rates for selected causes, by sex and ethnicity, 2011</w:t>
      </w:r>
      <w:r>
        <w:rPr>
          <w:noProof/>
        </w:rPr>
        <w:tab/>
      </w:r>
      <w:r>
        <w:rPr>
          <w:noProof/>
        </w:rPr>
        <w:fldChar w:fldCharType="begin"/>
      </w:r>
      <w:r>
        <w:rPr>
          <w:noProof/>
        </w:rPr>
        <w:instrText xml:space="preserve"> PAGEREF _Toc403120548 \h </w:instrText>
      </w:r>
      <w:r>
        <w:rPr>
          <w:noProof/>
        </w:rPr>
      </w:r>
      <w:r>
        <w:rPr>
          <w:noProof/>
        </w:rPr>
        <w:fldChar w:fldCharType="separate"/>
      </w:r>
      <w:r w:rsidR="006B5CE5">
        <w:rPr>
          <w:noProof/>
        </w:rPr>
        <w:t>12</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4:</w:t>
      </w:r>
      <w:r>
        <w:rPr>
          <w:noProof/>
        </w:rPr>
        <w:tab/>
        <w:t>Numbers and age-standardised mortality rates from cancer, by sex, 1980–2011</w:t>
      </w:r>
      <w:r>
        <w:rPr>
          <w:noProof/>
        </w:rPr>
        <w:tab/>
      </w:r>
      <w:r>
        <w:rPr>
          <w:noProof/>
        </w:rPr>
        <w:fldChar w:fldCharType="begin"/>
      </w:r>
      <w:r>
        <w:rPr>
          <w:noProof/>
        </w:rPr>
        <w:instrText xml:space="preserve"> PAGEREF _Toc403120549 \h </w:instrText>
      </w:r>
      <w:r>
        <w:rPr>
          <w:noProof/>
        </w:rPr>
      </w:r>
      <w:r>
        <w:rPr>
          <w:noProof/>
        </w:rPr>
        <w:fldChar w:fldCharType="separate"/>
      </w:r>
      <w:r w:rsidR="006B5CE5">
        <w:rPr>
          <w:noProof/>
        </w:rPr>
        <w:t>20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5:</w:t>
      </w:r>
      <w:r>
        <w:rPr>
          <w:noProof/>
        </w:rPr>
        <w:tab/>
        <w:t>Age distribution of deaths from cancer, percentages and age-specific rates, by ethnicity and sex, 2011</w:t>
      </w:r>
      <w:r>
        <w:rPr>
          <w:noProof/>
        </w:rPr>
        <w:tab/>
      </w:r>
      <w:r>
        <w:rPr>
          <w:noProof/>
        </w:rPr>
        <w:fldChar w:fldCharType="begin"/>
      </w:r>
      <w:r>
        <w:rPr>
          <w:noProof/>
        </w:rPr>
        <w:instrText xml:space="preserve"> PAGEREF _Toc403120550 \h </w:instrText>
      </w:r>
      <w:r>
        <w:rPr>
          <w:noProof/>
        </w:rPr>
      </w:r>
      <w:r>
        <w:rPr>
          <w:noProof/>
        </w:rPr>
        <w:fldChar w:fldCharType="separate"/>
      </w:r>
      <w:r w:rsidR="006B5CE5">
        <w:rPr>
          <w:noProof/>
        </w:rPr>
        <w:t>21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sidRPr="00C611D6">
        <w:rPr>
          <w:bCs/>
          <w:noProof/>
        </w:rPr>
        <w:t>Table 6</w:t>
      </w:r>
      <w:r>
        <w:rPr>
          <w:bCs/>
          <w:noProof/>
        </w:rPr>
        <w:t>:</w:t>
      </w:r>
      <w:r>
        <w:rPr>
          <w:bCs/>
          <w:noProof/>
        </w:rPr>
        <w:tab/>
      </w:r>
      <w:r>
        <w:rPr>
          <w:noProof/>
        </w:rPr>
        <w:t>Numbers and age-standardised mortality rates from lung cancer, by sex,</w:t>
      </w:r>
      <w:r w:rsidR="0015525C">
        <w:rPr>
          <w:noProof/>
        </w:rPr>
        <w:br/>
      </w:r>
      <w:r>
        <w:rPr>
          <w:noProof/>
        </w:rPr>
        <w:t>1980–2011</w:t>
      </w:r>
      <w:r>
        <w:rPr>
          <w:noProof/>
        </w:rPr>
        <w:tab/>
      </w:r>
      <w:r>
        <w:rPr>
          <w:noProof/>
        </w:rPr>
        <w:fldChar w:fldCharType="begin"/>
      </w:r>
      <w:r>
        <w:rPr>
          <w:noProof/>
        </w:rPr>
        <w:instrText xml:space="preserve"> PAGEREF _Toc403120551 \h </w:instrText>
      </w:r>
      <w:r>
        <w:rPr>
          <w:noProof/>
        </w:rPr>
      </w:r>
      <w:r>
        <w:rPr>
          <w:noProof/>
        </w:rPr>
        <w:fldChar w:fldCharType="separate"/>
      </w:r>
      <w:r w:rsidR="006B5CE5">
        <w:rPr>
          <w:noProof/>
        </w:rPr>
        <w:t>25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7:</w:t>
      </w:r>
      <w:r>
        <w:rPr>
          <w:noProof/>
        </w:rPr>
        <w:tab/>
        <w:t>Age distribution of deaths from lung cancer, percentages and age-specific rates, by ethnicity and sex, 2011</w:t>
      </w:r>
      <w:r>
        <w:rPr>
          <w:noProof/>
        </w:rPr>
        <w:tab/>
      </w:r>
      <w:r>
        <w:rPr>
          <w:noProof/>
        </w:rPr>
        <w:fldChar w:fldCharType="begin"/>
      </w:r>
      <w:r>
        <w:rPr>
          <w:noProof/>
        </w:rPr>
        <w:instrText xml:space="preserve"> PAGEREF _Toc403120552 \h </w:instrText>
      </w:r>
      <w:r>
        <w:rPr>
          <w:noProof/>
        </w:rPr>
      </w:r>
      <w:r>
        <w:rPr>
          <w:noProof/>
        </w:rPr>
        <w:fldChar w:fldCharType="separate"/>
      </w:r>
      <w:r w:rsidR="006B5CE5">
        <w:rPr>
          <w:noProof/>
        </w:rPr>
        <w:t>26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8:</w:t>
      </w:r>
      <w:r>
        <w:rPr>
          <w:noProof/>
        </w:rPr>
        <w:tab/>
        <w:t>Numbers and age-standardised mortality rates from breast cancer in females, 1980–2011</w:t>
      </w:r>
      <w:r>
        <w:rPr>
          <w:noProof/>
        </w:rPr>
        <w:tab/>
      </w:r>
      <w:r>
        <w:rPr>
          <w:noProof/>
        </w:rPr>
        <w:fldChar w:fldCharType="begin"/>
      </w:r>
      <w:r>
        <w:rPr>
          <w:noProof/>
        </w:rPr>
        <w:instrText xml:space="preserve"> PAGEREF _Toc403120553 \h </w:instrText>
      </w:r>
      <w:r>
        <w:rPr>
          <w:noProof/>
        </w:rPr>
      </w:r>
      <w:r>
        <w:rPr>
          <w:noProof/>
        </w:rPr>
        <w:fldChar w:fldCharType="separate"/>
      </w:r>
      <w:r w:rsidR="006B5CE5">
        <w:rPr>
          <w:noProof/>
        </w:rPr>
        <w:t>29</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9:</w:t>
      </w:r>
      <w:r>
        <w:rPr>
          <w:noProof/>
        </w:rPr>
        <w:tab/>
        <w:t>Age distribution of deaths from breast cancer in females, percentages and age-specific rates, by ethnicity, 2011</w:t>
      </w:r>
      <w:r>
        <w:rPr>
          <w:noProof/>
        </w:rPr>
        <w:tab/>
      </w:r>
      <w:r>
        <w:rPr>
          <w:noProof/>
        </w:rPr>
        <w:fldChar w:fldCharType="begin"/>
      </w:r>
      <w:r>
        <w:rPr>
          <w:noProof/>
        </w:rPr>
        <w:instrText xml:space="preserve"> PAGEREF _Toc403120554 \h </w:instrText>
      </w:r>
      <w:r>
        <w:rPr>
          <w:noProof/>
        </w:rPr>
      </w:r>
      <w:r>
        <w:rPr>
          <w:noProof/>
        </w:rPr>
        <w:fldChar w:fldCharType="separate"/>
      </w:r>
      <w:r w:rsidR="006B5CE5">
        <w:rPr>
          <w:noProof/>
        </w:rPr>
        <w:t>30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10:</w:t>
      </w:r>
      <w:r>
        <w:rPr>
          <w:noProof/>
        </w:rPr>
        <w:tab/>
        <w:t>Numbers and age-standardised mortality rates from prostate cancer,</w:t>
      </w:r>
      <w:r w:rsidR="0015525C">
        <w:rPr>
          <w:noProof/>
        </w:rPr>
        <w:br/>
      </w:r>
      <w:r>
        <w:rPr>
          <w:noProof/>
        </w:rPr>
        <w:t>1980–2011</w:t>
      </w:r>
      <w:r>
        <w:rPr>
          <w:noProof/>
        </w:rPr>
        <w:tab/>
      </w:r>
      <w:r>
        <w:rPr>
          <w:noProof/>
        </w:rPr>
        <w:fldChar w:fldCharType="begin"/>
      </w:r>
      <w:r>
        <w:rPr>
          <w:noProof/>
        </w:rPr>
        <w:instrText xml:space="preserve"> PAGEREF _Toc403120555 \h </w:instrText>
      </w:r>
      <w:r>
        <w:rPr>
          <w:noProof/>
        </w:rPr>
      </w:r>
      <w:r>
        <w:rPr>
          <w:noProof/>
        </w:rPr>
        <w:fldChar w:fldCharType="separate"/>
      </w:r>
      <w:r w:rsidR="006B5CE5">
        <w:rPr>
          <w:noProof/>
        </w:rPr>
        <w:t>33</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sidRPr="00C611D6">
        <w:rPr>
          <w:bCs/>
          <w:noProof/>
        </w:rPr>
        <w:t>Table 11</w:t>
      </w:r>
      <w:r>
        <w:rPr>
          <w:bCs/>
          <w:noProof/>
        </w:rPr>
        <w:t>:</w:t>
      </w:r>
      <w:r>
        <w:rPr>
          <w:bCs/>
          <w:noProof/>
        </w:rPr>
        <w:tab/>
      </w:r>
      <w:r>
        <w:rPr>
          <w:noProof/>
        </w:rPr>
        <w:t>Age distribution of deaths from prostate cancer in males, percentages and age</w:t>
      </w:r>
      <w:r w:rsidR="0015525C">
        <w:rPr>
          <w:noProof/>
        </w:rPr>
        <w:noBreakHyphen/>
      </w:r>
      <w:r>
        <w:rPr>
          <w:noProof/>
        </w:rPr>
        <w:t>specific rates, by ethnicity, 2011</w:t>
      </w:r>
      <w:r>
        <w:rPr>
          <w:noProof/>
        </w:rPr>
        <w:tab/>
      </w:r>
      <w:r>
        <w:rPr>
          <w:noProof/>
        </w:rPr>
        <w:fldChar w:fldCharType="begin"/>
      </w:r>
      <w:r>
        <w:rPr>
          <w:noProof/>
        </w:rPr>
        <w:instrText xml:space="preserve"> PAGEREF _Toc403120556 \h </w:instrText>
      </w:r>
      <w:r>
        <w:rPr>
          <w:noProof/>
        </w:rPr>
      </w:r>
      <w:r>
        <w:rPr>
          <w:noProof/>
        </w:rPr>
        <w:fldChar w:fldCharType="separate"/>
      </w:r>
      <w:r w:rsidR="006B5CE5">
        <w:rPr>
          <w:noProof/>
        </w:rPr>
        <w:t>34</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12:</w:t>
      </w:r>
      <w:r>
        <w:rPr>
          <w:noProof/>
        </w:rPr>
        <w:tab/>
        <w:t>Numbers and age-standardised mortality rates from malignant melanoma of the skin, by sex, 1980–2011</w:t>
      </w:r>
      <w:r>
        <w:rPr>
          <w:noProof/>
        </w:rPr>
        <w:tab/>
      </w:r>
      <w:r>
        <w:rPr>
          <w:noProof/>
        </w:rPr>
        <w:fldChar w:fldCharType="begin"/>
      </w:r>
      <w:r>
        <w:rPr>
          <w:noProof/>
        </w:rPr>
        <w:instrText xml:space="preserve"> PAGEREF _Toc403120557 \h </w:instrText>
      </w:r>
      <w:r>
        <w:rPr>
          <w:noProof/>
        </w:rPr>
      </w:r>
      <w:r>
        <w:rPr>
          <w:noProof/>
        </w:rPr>
        <w:fldChar w:fldCharType="separate"/>
      </w:r>
      <w:r w:rsidR="006B5CE5">
        <w:rPr>
          <w:noProof/>
        </w:rPr>
        <w:t>37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13:</w:t>
      </w:r>
      <w:r>
        <w:rPr>
          <w:noProof/>
        </w:rPr>
        <w:tab/>
        <w:t>Age distribution of deaths from malignant melanoma of the skin, percentages and age-specific rates, by ethnicity and sex, 2011</w:t>
      </w:r>
      <w:r>
        <w:rPr>
          <w:noProof/>
        </w:rPr>
        <w:tab/>
      </w:r>
      <w:r>
        <w:rPr>
          <w:noProof/>
        </w:rPr>
        <w:fldChar w:fldCharType="begin"/>
      </w:r>
      <w:r>
        <w:rPr>
          <w:noProof/>
        </w:rPr>
        <w:instrText xml:space="preserve"> PAGEREF _Toc403120558 \h </w:instrText>
      </w:r>
      <w:r>
        <w:rPr>
          <w:noProof/>
        </w:rPr>
      </w:r>
      <w:r>
        <w:rPr>
          <w:noProof/>
        </w:rPr>
        <w:fldChar w:fldCharType="separate"/>
      </w:r>
      <w:r w:rsidR="006B5CE5">
        <w:rPr>
          <w:noProof/>
        </w:rPr>
        <w:t>38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14:</w:t>
      </w:r>
      <w:r>
        <w:rPr>
          <w:noProof/>
        </w:rPr>
        <w:tab/>
        <w:t>Numbers and age-standardised mortality rates from cervical cancer,</w:t>
      </w:r>
      <w:r w:rsidR="0015525C">
        <w:rPr>
          <w:noProof/>
        </w:rPr>
        <w:br/>
      </w:r>
      <w:r>
        <w:rPr>
          <w:noProof/>
        </w:rPr>
        <w:t>1980–2011</w:t>
      </w:r>
      <w:r>
        <w:rPr>
          <w:noProof/>
        </w:rPr>
        <w:tab/>
      </w:r>
      <w:r>
        <w:rPr>
          <w:noProof/>
        </w:rPr>
        <w:fldChar w:fldCharType="begin"/>
      </w:r>
      <w:r>
        <w:rPr>
          <w:noProof/>
        </w:rPr>
        <w:instrText xml:space="preserve"> PAGEREF _Toc403120559 \h </w:instrText>
      </w:r>
      <w:r>
        <w:rPr>
          <w:noProof/>
        </w:rPr>
      </w:r>
      <w:r>
        <w:rPr>
          <w:noProof/>
        </w:rPr>
        <w:fldChar w:fldCharType="separate"/>
      </w:r>
      <w:r w:rsidR="006B5CE5">
        <w:rPr>
          <w:noProof/>
        </w:rPr>
        <w:t>39</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15:</w:t>
      </w:r>
      <w:r>
        <w:rPr>
          <w:noProof/>
        </w:rPr>
        <w:tab/>
        <w:t>Age distribution of deaths from cervical cancer, percentages and age-specific rates, by ethnicity, 2011</w:t>
      </w:r>
      <w:r>
        <w:rPr>
          <w:noProof/>
        </w:rPr>
        <w:tab/>
      </w:r>
      <w:r>
        <w:rPr>
          <w:noProof/>
        </w:rPr>
        <w:fldChar w:fldCharType="begin"/>
      </w:r>
      <w:r>
        <w:rPr>
          <w:noProof/>
        </w:rPr>
        <w:instrText xml:space="preserve"> PAGEREF _Toc403120560 \h </w:instrText>
      </w:r>
      <w:r>
        <w:rPr>
          <w:noProof/>
        </w:rPr>
      </w:r>
      <w:r>
        <w:rPr>
          <w:noProof/>
        </w:rPr>
        <w:fldChar w:fldCharType="separate"/>
      </w:r>
      <w:r w:rsidR="006B5CE5">
        <w:rPr>
          <w:noProof/>
        </w:rPr>
        <w:t>40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16:</w:t>
      </w:r>
      <w:r>
        <w:rPr>
          <w:noProof/>
        </w:rPr>
        <w:tab/>
        <w:t>Numbers and age-standardised mortality rates from ischaemic heart disease, by sex, 1980–2011</w:t>
      </w:r>
      <w:r>
        <w:rPr>
          <w:noProof/>
        </w:rPr>
        <w:tab/>
      </w:r>
      <w:r>
        <w:rPr>
          <w:noProof/>
        </w:rPr>
        <w:fldChar w:fldCharType="begin"/>
      </w:r>
      <w:r>
        <w:rPr>
          <w:noProof/>
        </w:rPr>
        <w:instrText xml:space="preserve"> PAGEREF _Toc403120561 \h </w:instrText>
      </w:r>
      <w:r>
        <w:rPr>
          <w:noProof/>
        </w:rPr>
      </w:r>
      <w:r>
        <w:rPr>
          <w:noProof/>
        </w:rPr>
        <w:fldChar w:fldCharType="separate"/>
      </w:r>
      <w:r w:rsidR="006B5CE5">
        <w:rPr>
          <w:noProof/>
        </w:rPr>
        <w:t>43</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17:</w:t>
      </w:r>
      <w:r>
        <w:rPr>
          <w:noProof/>
        </w:rPr>
        <w:tab/>
        <w:t>Age distribution of deaths from ischaemic heart disease, percentages and age</w:t>
      </w:r>
      <w:r w:rsidR="0015525C">
        <w:rPr>
          <w:noProof/>
        </w:rPr>
        <w:noBreakHyphen/>
      </w:r>
      <w:r>
        <w:rPr>
          <w:noProof/>
        </w:rPr>
        <w:t>specific rates, by ethnicity and sex, 2011</w:t>
      </w:r>
      <w:r>
        <w:rPr>
          <w:noProof/>
        </w:rPr>
        <w:tab/>
      </w:r>
      <w:r>
        <w:rPr>
          <w:noProof/>
        </w:rPr>
        <w:fldChar w:fldCharType="begin"/>
      </w:r>
      <w:r>
        <w:rPr>
          <w:noProof/>
        </w:rPr>
        <w:instrText xml:space="preserve"> PAGEREF _Toc403120562 \h </w:instrText>
      </w:r>
      <w:r>
        <w:rPr>
          <w:noProof/>
        </w:rPr>
      </w:r>
      <w:r>
        <w:rPr>
          <w:noProof/>
        </w:rPr>
        <w:fldChar w:fldCharType="separate"/>
      </w:r>
      <w:r w:rsidR="006B5CE5">
        <w:rPr>
          <w:noProof/>
        </w:rPr>
        <w:t>44</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18:</w:t>
      </w:r>
      <w:r>
        <w:rPr>
          <w:noProof/>
        </w:rPr>
        <w:tab/>
        <w:t>Numbers and age-standardised mortality rates for cerebrovascular disease, by sex, 1980–2011</w:t>
      </w:r>
      <w:r>
        <w:rPr>
          <w:noProof/>
        </w:rPr>
        <w:tab/>
      </w:r>
      <w:r>
        <w:rPr>
          <w:noProof/>
        </w:rPr>
        <w:fldChar w:fldCharType="begin"/>
      </w:r>
      <w:r>
        <w:rPr>
          <w:noProof/>
        </w:rPr>
        <w:instrText xml:space="preserve"> PAGEREF _Toc403120563 \h </w:instrText>
      </w:r>
      <w:r>
        <w:rPr>
          <w:noProof/>
        </w:rPr>
      </w:r>
      <w:r>
        <w:rPr>
          <w:noProof/>
        </w:rPr>
        <w:fldChar w:fldCharType="separate"/>
      </w:r>
      <w:r w:rsidR="006B5CE5">
        <w:rPr>
          <w:noProof/>
        </w:rPr>
        <w:t>49</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lastRenderedPageBreak/>
        <w:t>Table 19:</w:t>
      </w:r>
      <w:r>
        <w:rPr>
          <w:noProof/>
        </w:rPr>
        <w:tab/>
        <w:t>Age distribution of deaths from cerebrovascular disease, percentages and age</w:t>
      </w:r>
      <w:r w:rsidR="0015525C">
        <w:rPr>
          <w:noProof/>
        </w:rPr>
        <w:noBreakHyphen/>
      </w:r>
      <w:r>
        <w:rPr>
          <w:noProof/>
        </w:rPr>
        <w:t>specific rates, by ethnicity and sex, 2011</w:t>
      </w:r>
      <w:r>
        <w:rPr>
          <w:noProof/>
        </w:rPr>
        <w:tab/>
      </w:r>
      <w:r>
        <w:rPr>
          <w:noProof/>
        </w:rPr>
        <w:fldChar w:fldCharType="begin"/>
      </w:r>
      <w:r>
        <w:rPr>
          <w:noProof/>
        </w:rPr>
        <w:instrText xml:space="preserve"> PAGEREF _Toc403120564 \h </w:instrText>
      </w:r>
      <w:r>
        <w:rPr>
          <w:noProof/>
        </w:rPr>
      </w:r>
      <w:r>
        <w:rPr>
          <w:noProof/>
        </w:rPr>
        <w:fldChar w:fldCharType="separate"/>
      </w:r>
      <w:r w:rsidR="006B5CE5">
        <w:rPr>
          <w:noProof/>
        </w:rPr>
        <w:t>50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sidRPr="00C611D6">
        <w:rPr>
          <w:noProof/>
          <w:color w:val="000000"/>
        </w:rPr>
        <w:t>Table 20</w:t>
      </w:r>
      <w:r>
        <w:rPr>
          <w:noProof/>
          <w:color w:val="000000"/>
        </w:rPr>
        <w:t>:</w:t>
      </w:r>
      <w:r>
        <w:rPr>
          <w:noProof/>
          <w:color w:val="000000"/>
        </w:rPr>
        <w:tab/>
      </w:r>
      <w:r w:rsidRPr="00C611D6">
        <w:rPr>
          <w:noProof/>
          <w:color w:val="000000"/>
        </w:rPr>
        <w:t>Numbers and age-standardised mortality rates for diabetes mellitus, by sex, 1980–2011</w:t>
      </w:r>
      <w:r>
        <w:rPr>
          <w:noProof/>
        </w:rPr>
        <w:tab/>
      </w:r>
      <w:r>
        <w:rPr>
          <w:noProof/>
        </w:rPr>
        <w:fldChar w:fldCharType="begin"/>
      </w:r>
      <w:r>
        <w:rPr>
          <w:noProof/>
        </w:rPr>
        <w:instrText xml:space="preserve"> PAGEREF _Toc403120565 \h </w:instrText>
      </w:r>
      <w:r>
        <w:rPr>
          <w:noProof/>
        </w:rPr>
      </w:r>
      <w:r>
        <w:rPr>
          <w:noProof/>
        </w:rPr>
        <w:fldChar w:fldCharType="separate"/>
      </w:r>
      <w:r w:rsidR="006B5CE5">
        <w:rPr>
          <w:noProof/>
        </w:rPr>
        <w:t>55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sidRPr="00C611D6">
        <w:rPr>
          <w:bCs/>
          <w:noProof/>
        </w:rPr>
        <w:t>Table 21</w:t>
      </w:r>
      <w:r>
        <w:rPr>
          <w:bCs/>
          <w:noProof/>
        </w:rPr>
        <w:t>:</w:t>
      </w:r>
      <w:r>
        <w:rPr>
          <w:bCs/>
          <w:noProof/>
        </w:rPr>
        <w:tab/>
      </w:r>
      <w:r>
        <w:rPr>
          <w:noProof/>
        </w:rPr>
        <w:t>Age distribution of deaths from diabetes mellitus, percentages and age-specific rates, by ethnicity and sex, 2011</w:t>
      </w:r>
      <w:r>
        <w:rPr>
          <w:noProof/>
        </w:rPr>
        <w:tab/>
      </w:r>
      <w:r>
        <w:rPr>
          <w:noProof/>
        </w:rPr>
        <w:fldChar w:fldCharType="begin"/>
      </w:r>
      <w:r>
        <w:rPr>
          <w:noProof/>
        </w:rPr>
        <w:instrText xml:space="preserve"> PAGEREF _Toc403120566 \h </w:instrText>
      </w:r>
      <w:r>
        <w:rPr>
          <w:noProof/>
        </w:rPr>
      </w:r>
      <w:r>
        <w:rPr>
          <w:noProof/>
        </w:rPr>
        <w:fldChar w:fldCharType="separate"/>
      </w:r>
      <w:r w:rsidR="006B5CE5">
        <w:rPr>
          <w:noProof/>
        </w:rPr>
        <w:t>56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22:</w:t>
      </w:r>
      <w:r>
        <w:rPr>
          <w:noProof/>
        </w:rPr>
        <w:tab/>
        <w:t>Numbers and age-standardised mortality rates for motor vehicle accidents, by sex, 1980–2011</w:t>
      </w:r>
      <w:r>
        <w:rPr>
          <w:noProof/>
        </w:rPr>
        <w:tab/>
      </w:r>
      <w:r>
        <w:rPr>
          <w:noProof/>
        </w:rPr>
        <w:fldChar w:fldCharType="begin"/>
      </w:r>
      <w:r>
        <w:rPr>
          <w:noProof/>
        </w:rPr>
        <w:instrText xml:space="preserve"> PAGEREF _Toc403120567 \h </w:instrText>
      </w:r>
      <w:r>
        <w:rPr>
          <w:noProof/>
        </w:rPr>
      </w:r>
      <w:r>
        <w:rPr>
          <w:noProof/>
        </w:rPr>
        <w:fldChar w:fldCharType="separate"/>
      </w:r>
      <w:r w:rsidR="006B5CE5">
        <w:rPr>
          <w:noProof/>
        </w:rPr>
        <w:t>60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23:</w:t>
      </w:r>
      <w:r>
        <w:rPr>
          <w:noProof/>
        </w:rPr>
        <w:tab/>
        <w:t>Age distribution of deaths from motor vehicle accidents, percentages and age</w:t>
      </w:r>
      <w:r w:rsidR="0015525C">
        <w:rPr>
          <w:noProof/>
        </w:rPr>
        <w:noBreakHyphen/>
      </w:r>
      <w:r>
        <w:rPr>
          <w:noProof/>
        </w:rPr>
        <w:t>specific rates, by ethnicity and sex, 2011</w:t>
      </w:r>
      <w:r>
        <w:rPr>
          <w:noProof/>
        </w:rPr>
        <w:tab/>
      </w:r>
      <w:r>
        <w:rPr>
          <w:noProof/>
        </w:rPr>
        <w:fldChar w:fldCharType="begin"/>
      </w:r>
      <w:r>
        <w:rPr>
          <w:noProof/>
        </w:rPr>
        <w:instrText xml:space="preserve"> PAGEREF _Toc403120568 \h </w:instrText>
      </w:r>
      <w:r>
        <w:rPr>
          <w:noProof/>
        </w:rPr>
      </w:r>
      <w:r>
        <w:rPr>
          <w:noProof/>
        </w:rPr>
        <w:fldChar w:fldCharType="separate"/>
      </w:r>
      <w:r w:rsidR="006B5CE5">
        <w:rPr>
          <w:noProof/>
        </w:rPr>
        <w:t>61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24:</w:t>
      </w:r>
      <w:r>
        <w:rPr>
          <w:noProof/>
        </w:rPr>
        <w:tab/>
        <w:t>Numbers and age-standardised mortality rates for suicide, by sex, 1980–2011</w:t>
      </w:r>
      <w:r>
        <w:rPr>
          <w:noProof/>
        </w:rPr>
        <w:tab/>
      </w:r>
      <w:r>
        <w:rPr>
          <w:noProof/>
        </w:rPr>
        <w:fldChar w:fldCharType="begin"/>
      </w:r>
      <w:r>
        <w:rPr>
          <w:noProof/>
        </w:rPr>
        <w:instrText xml:space="preserve"> PAGEREF _Toc403120569 \h </w:instrText>
      </w:r>
      <w:r>
        <w:rPr>
          <w:noProof/>
        </w:rPr>
      </w:r>
      <w:r>
        <w:rPr>
          <w:noProof/>
        </w:rPr>
        <w:fldChar w:fldCharType="separate"/>
      </w:r>
      <w:r w:rsidR="006B5CE5">
        <w:rPr>
          <w:noProof/>
        </w:rPr>
        <w:t>65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25:</w:t>
      </w:r>
      <w:r>
        <w:rPr>
          <w:noProof/>
        </w:rPr>
        <w:tab/>
        <w:t>Age distribution of deaths from suicide, percentages and age-specific rates, by ethnicity and sex, 2011</w:t>
      </w:r>
      <w:r>
        <w:rPr>
          <w:noProof/>
        </w:rPr>
        <w:tab/>
      </w:r>
      <w:r>
        <w:rPr>
          <w:noProof/>
        </w:rPr>
        <w:fldChar w:fldCharType="begin"/>
      </w:r>
      <w:r>
        <w:rPr>
          <w:noProof/>
        </w:rPr>
        <w:instrText xml:space="preserve"> PAGEREF _Toc403120570 \h </w:instrText>
      </w:r>
      <w:r>
        <w:rPr>
          <w:noProof/>
        </w:rPr>
      </w:r>
      <w:r>
        <w:rPr>
          <w:noProof/>
        </w:rPr>
        <w:fldChar w:fldCharType="separate"/>
      </w:r>
      <w:r w:rsidR="006B5CE5">
        <w:rPr>
          <w:noProof/>
        </w:rPr>
        <w:t>66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26:</w:t>
      </w:r>
      <w:r>
        <w:rPr>
          <w:noProof/>
        </w:rPr>
        <w:tab/>
        <w:t>Mortality data available from the Ministry of Health</w:t>
      </w:r>
      <w:r>
        <w:rPr>
          <w:noProof/>
        </w:rPr>
        <w:tab/>
      </w:r>
      <w:r>
        <w:rPr>
          <w:noProof/>
        </w:rPr>
        <w:fldChar w:fldCharType="begin"/>
      </w:r>
      <w:r>
        <w:rPr>
          <w:noProof/>
        </w:rPr>
        <w:instrText xml:space="preserve"> PAGEREF _Toc403120571 \h </w:instrText>
      </w:r>
      <w:r>
        <w:rPr>
          <w:noProof/>
        </w:rPr>
      </w:r>
      <w:r>
        <w:rPr>
          <w:noProof/>
        </w:rPr>
        <w:fldChar w:fldCharType="separate"/>
      </w:r>
      <w:r w:rsidR="006B5CE5">
        <w:rPr>
          <w:noProof/>
        </w:rPr>
        <w:t>71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27:</w:t>
      </w:r>
      <w:r>
        <w:rPr>
          <w:noProof/>
        </w:rPr>
        <w:tab/>
        <w:t>Codes used to define amenable mortality</w:t>
      </w:r>
      <w:r>
        <w:rPr>
          <w:noProof/>
        </w:rPr>
        <w:tab/>
      </w:r>
      <w:r>
        <w:rPr>
          <w:noProof/>
        </w:rPr>
        <w:fldChar w:fldCharType="begin"/>
      </w:r>
      <w:r>
        <w:rPr>
          <w:noProof/>
        </w:rPr>
        <w:instrText xml:space="preserve"> PAGEREF _Toc403120572 \h </w:instrText>
      </w:r>
      <w:r>
        <w:rPr>
          <w:noProof/>
        </w:rPr>
      </w:r>
      <w:r>
        <w:rPr>
          <w:noProof/>
        </w:rPr>
        <w:fldChar w:fldCharType="separate"/>
      </w:r>
      <w:r w:rsidR="006B5CE5">
        <w:rPr>
          <w:noProof/>
        </w:rPr>
        <w:t>74</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28:</w:t>
      </w:r>
      <w:r>
        <w:rPr>
          <w:noProof/>
        </w:rPr>
        <w:tab/>
        <w:t>Estimated resident population of New Zealand, by sex and five-year age group, mean year ended 31 December 2011</w:t>
      </w:r>
      <w:r>
        <w:rPr>
          <w:noProof/>
        </w:rPr>
        <w:tab/>
      </w:r>
      <w:r>
        <w:rPr>
          <w:noProof/>
        </w:rPr>
        <w:fldChar w:fldCharType="begin"/>
      </w:r>
      <w:r>
        <w:rPr>
          <w:noProof/>
        </w:rPr>
        <w:instrText xml:space="preserve"> PAGEREF _Toc403120573 \h </w:instrText>
      </w:r>
      <w:r>
        <w:rPr>
          <w:noProof/>
        </w:rPr>
      </w:r>
      <w:r>
        <w:rPr>
          <w:noProof/>
        </w:rPr>
        <w:fldChar w:fldCharType="separate"/>
      </w:r>
      <w:r w:rsidR="006B5CE5">
        <w:rPr>
          <w:noProof/>
        </w:rPr>
        <w:t>76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Table 29:</w:t>
      </w:r>
      <w:r>
        <w:rPr>
          <w:noProof/>
        </w:rPr>
        <w:tab/>
        <w:t>The WHO World Standard Population</w:t>
      </w:r>
      <w:r>
        <w:rPr>
          <w:noProof/>
        </w:rPr>
        <w:tab/>
      </w:r>
      <w:r>
        <w:rPr>
          <w:noProof/>
        </w:rPr>
        <w:fldChar w:fldCharType="begin"/>
      </w:r>
      <w:r>
        <w:rPr>
          <w:noProof/>
        </w:rPr>
        <w:instrText xml:space="preserve"> PAGEREF _Toc403120574 \h </w:instrText>
      </w:r>
      <w:r>
        <w:rPr>
          <w:noProof/>
        </w:rPr>
      </w:r>
      <w:r>
        <w:rPr>
          <w:noProof/>
        </w:rPr>
        <w:fldChar w:fldCharType="separate"/>
      </w:r>
      <w:r w:rsidR="006B5CE5">
        <w:rPr>
          <w:noProof/>
        </w:rPr>
        <w:t>79</w:t>
      </w:r>
      <w:r>
        <w:rPr>
          <w:noProof/>
        </w:rPr>
        <w:fldChar w:fldCharType="end"/>
      </w:r>
    </w:p>
    <w:p w:rsidR="00C86248" w:rsidRPr="00885D52" w:rsidRDefault="00C86248" w:rsidP="0030382F">
      <w:r w:rsidRPr="00885D52">
        <w:fldChar w:fldCharType="end"/>
      </w:r>
    </w:p>
    <w:p w:rsidR="003A5FEA" w:rsidRPr="00885D52" w:rsidRDefault="003A5FEA" w:rsidP="003A5FEA">
      <w:pPr>
        <w:pStyle w:val="TOC1"/>
      </w:pPr>
      <w:r w:rsidRPr="00885D52">
        <w:t>List of Figures</w:t>
      </w:r>
    </w:p>
    <w:p w:rsidR="00D85F98" w:rsidRDefault="003A5FEA">
      <w:pPr>
        <w:pStyle w:val="TOC3"/>
        <w:rPr>
          <w:rFonts w:asciiTheme="minorHAnsi" w:eastAsiaTheme="minorEastAsia" w:hAnsiTheme="minorHAnsi" w:cstheme="minorBidi"/>
          <w:noProof/>
          <w:szCs w:val="22"/>
          <w:lang w:eastAsia="en-NZ"/>
        </w:rPr>
      </w:pPr>
      <w:r w:rsidRPr="00885D52">
        <w:fldChar w:fldCharType="begin"/>
      </w:r>
      <w:r w:rsidRPr="00885D52">
        <w:instrText xml:space="preserve"> TOC \t "Figure,3" </w:instrText>
      </w:r>
      <w:r w:rsidRPr="00885D52">
        <w:fldChar w:fldCharType="separate"/>
      </w:r>
      <w:r w:rsidR="00D85F98">
        <w:rPr>
          <w:noProof/>
        </w:rPr>
        <w:t>Figure 1:</w:t>
      </w:r>
      <w:r w:rsidR="00D85F98">
        <w:rPr>
          <w:noProof/>
        </w:rPr>
        <w:tab/>
        <w:t>Stages of processing cause of death data in New Zealand</w:t>
      </w:r>
      <w:r w:rsidR="00D85F98">
        <w:rPr>
          <w:noProof/>
        </w:rPr>
        <w:tab/>
      </w:r>
      <w:r w:rsidR="00D85F98">
        <w:rPr>
          <w:noProof/>
        </w:rPr>
        <w:fldChar w:fldCharType="begin"/>
      </w:r>
      <w:r w:rsidR="00D85F98">
        <w:rPr>
          <w:noProof/>
        </w:rPr>
        <w:instrText xml:space="preserve"> PAGEREF _Toc403120575 \h </w:instrText>
      </w:r>
      <w:r w:rsidR="00D85F98">
        <w:rPr>
          <w:noProof/>
        </w:rPr>
      </w:r>
      <w:r w:rsidR="00D85F98">
        <w:rPr>
          <w:noProof/>
        </w:rPr>
        <w:fldChar w:fldCharType="separate"/>
      </w:r>
      <w:r w:rsidR="006B5CE5">
        <w:rPr>
          <w:noProof/>
        </w:rPr>
        <w:t>2</w:t>
      </w:r>
      <w:r w:rsidR="00D85F98">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w:t>
      </w:r>
      <w:r>
        <w:rPr>
          <w:noProof/>
        </w:rPr>
        <w:tab/>
        <w:t>Numbers and age-standardised mortality rates by sex, 1950–2011</w:t>
      </w:r>
      <w:r>
        <w:rPr>
          <w:noProof/>
        </w:rPr>
        <w:tab/>
      </w:r>
      <w:r>
        <w:rPr>
          <w:noProof/>
        </w:rPr>
        <w:fldChar w:fldCharType="begin"/>
      </w:r>
      <w:r>
        <w:rPr>
          <w:noProof/>
        </w:rPr>
        <w:instrText xml:space="preserve"> PAGEREF _Toc403120576 \h </w:instrText>
      </w:r>
      <w:r>
        <w:rPr>
          <w:noProof/>
        </w:rPr>
      </w:r>
      <w:r>
        <w:rPr>
          <w:noProof/>
        </w:rPr>
        <w:fldChar w:fldCharType="separate"/>
      </w:r>
      <w:r w:rsidR="006B5CE5">
        <w:rPr>
          <w:noProof/>
        </w:rPr>
        <w:t>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w:t>
      </w:r>
      <w:r>
        <w:rPr>
          <w:noProof/>
        </w:rPr>
        <w:tab/>
        <w:t>Age-standardised mortality rates by sex and ethnicity, 1996–2011</w:t>
      </w:r>
      <w:r>
        <w:rPr>
          <w:noProof/>
        </w:rPr>
        <w:tab/>
      </w:r>
      <w:r>
        <w:rPr>
          <w:noProof/>
        </w:rPr>
        <w:fldChar w:fldCharType="begin"/>
      </w:r>
      <w:r>
        <w:rPr>
          <w:noProof/>
        </w:rPr>
        <w:instrText xml:space="preserve"> PAGEREF _Toc403120577 \h </w:instrText>
      </w:r>
      <w:r>
        <w:rPr>
          <w:noProof/>
        </w:rPr>
      </w:r>
      <w:r>
        <w:rPr>
          <w:noProof/>
        </w:rPr>
        <w:fldChar w:fldCharType="separate"/>
      </w:r>
      <w:r w:rsidR="006B5CE5">
        <w:rPr>
          <w:noProof/>
        </w:rPr>
        <w:t>9</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4:</w:t>
      </w:r>
      <w:r>
        <w:rPr>
          <w:noProof/>
        </w:rPr>
        <w:tab/>
        <w:t>Age-standardised mortality rates for the five major causes of mortality,</w:t>
      </w:r>
      <w:r w:rsidR="0015525C">
        <w:rPr>
          <w:noProof/>
        </w:rPr>
        <w:br/>
      </w:r>
      <w:r>
        <w:rPr>
          <w:noProof/>
        </w:rPr>
        <w:t>1980–2011</w:t>
      </w:r>
      <w:r>
        <w:rPr>
          <w:noProof/>
        </w:rPr>
        <w:tab/>
      </w:r>
      <w:r>
        <w:rPr>
          <w:noProof/>
        </w:rPr>
        <w:fldChar w:fldCharType="begin"/>
      </w:r>
      <w:r>
        <w:rPr>
          <w:noProof/>
        </w:rPr>
        <w:instrText xml:space="preserve"> PAGEREF _Toc403120578 \h </w:instrText>
      </w:r>
      <w:r>
        <w:rPr>
          <w:noProof/>
        </w:rPr>
      </w:r>
      <w:r>
        <w:rPr>
          <w:noProof/>
        </w:rPr>
        <w:fldChar w:fldCharType="separate"/>
      </w:r>
      <w:r w:rsidR="006B5CE5">
        <w:rPr>
          <w:noProof/>
        </w:rPr>
        <w:t>10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5:</w:t>
      </w:r>
      <w:r>
        <w:rPr>
          <w:noProof/>
        </w:rPr>
        <w:tab/>
        <w:t>Age at death, rates by ethnicity, 2011</w:t>
      </w:r>
      <w:r>
        <w:rPr>
          <w:noProof/>
        </w:rPr>
        <w:tab/>
      </w:r>
      <w:r>
        <w:rPr>
          <w:noProof/>
        </w:rPr>
        <w:fldChar w:fldCharType="begin"/>
      </w:r>
      <w:r>
        <w:rPr>
          <w:noProof/>
        </w:rPr>
        <w:instrText xml:space="preserve"> PAGEREF _Toc403120579 \h </w:instrText>
      </w:r>
      <w:r>
        <w:rPr>
          <w:noProof/>
        </w:rPr>
      </w:r>
      <w:r>
        <w:rPr>
          <w:noProof/>
        </w:rPr>
        <w:fldChar w:fldCharType="separate"/>
      </w:r>
      <w:r w:rsidR="006B5CE5">
        <w:rPr>
          <w:noProof/>
        </w:rPr>
        <w:t>10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6:</w:t>
      </w:r>
      <w:r>
        <w:rPr>
          <w:noProof/>
        </w:rPr>
        <w:tab/>
        <w:t>Amenable mortality rates per 100,000 people aged 0–74 years, by sex and ethnicity, 2000–2011</w:t>
      </w:r>
      <w:r>
        <w:rPr>
          <w:noProof/>
        </w:rPr>
        <w:tab/>
      </w:r>
      <w:r>
        <w:rPr>
          <w:noProof/>
        </w:rPr>
        <w:fldChar w:fldCharType="begin"/>
      </w:r>
      <w:r>
        <w:rPr>
          <w:noProof/>
        </w:rPr>
        <w:instrText xml:space="preserve"> PAGEREF _Toc403120580 \h </w:instrText>
      </w:r>
      <w:r>
        <w:rPr>
          <w:noProof/>
        </w:rPr>
      </w:r>
      <w:r>
        <w:rPr>
          <w:noProof/>
        </w:rPr>
        <w:fldChar w:fldCharType="separate"/>
      </w:r>
      <w:r w:rsidR="006B5CE5">
        <w:rPr>
          <w:noProof/>
        </w:rPr>
        <w:t>11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7:</w:t>
      </w:r>
      <w:r>
        <w:rPr>
          <w:noProof/>
        </w:rPr>
        <w:tab/>
        <w:t>Comparison of DHB region mortality rates with national rate, 2011</w:t>
      </w:r>
      <w:r>
        <w:rPr>
          <w:noProof/>
        </w:rPr>
        <w:tab/>
      </w:r>
      <w:r>
        <w:rPr>
          <w:noProof/>
        </w:rPr>
        <w:fldChar w:fldCharType="begin"/>
      </w:r>
      <w:r>
        <w:rPr>
          <w:noProof/>
        </w:rPr>
        <w:instrText xml:space="preserve"> PAGEREF _Toc403120581 \h </w:instrText>
      </w:r>
      <w:r>
        <w:rPr>
          <w:noProof/>
        </w:rPr>
      </w:r>
      <w:r>
        <w:rPr>
          <w:noProof/>
        </w:rPr>
        <w:fldChar w:fldCharType="separate"/>
      </w:r>
      <w:r w:rsidR="006B5CE5">
        <w:rPr>
          <w:noProof/>
        </w:rPr>
        <w:t>15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8:</w:t>
      </w:r>
      <w:r>
        <w:rPr>
          <w:noProof/>
        </w:rPr>
        <w:tab/>
        <w:t>Age-standardised mortality rates, by DHB region, total population,</w:t>
      </w:r>
      <w:r w:rsidR="00501C56">
        <w:rPr>
          <w:noProof/>
        </w:rPr>
        <w:t xml:space="preserve"> 2011</w:t>
      </w:r>
      <w:r>
        <w:rPr>
          <w:noProof/>
        </w:rPr>
        <w:tab/>
      </w:r>
      <w:r>
        <w:rPr>
          <w:noProof/>
        </w:rPr>
        <w:fldChar w:fldCharType="begin"/>
      </w:r>
      <w:r>
        <w:rPr>
          <w:noProof/>
        </w:rPr>
        <w:instrText xml:space="preserve"> PAGEREF _Toc403120582 \h </w:instrText>
      </w:r>
      <w:r>
        <w:rPr>
          <w:noProof/>
        </w:rPr>
      </w:r>
      <w:r>
        <w:rPr>
          <w:noProof/>
        </w:rPr>
        <w:fldChar w:fldCharType="separate"/>
      </w:r>
      <w:r w:rsidR="006B5CE5">
        <w:rPr>
          <w:noProof/>
        </w:rPr>
        <w:t>16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9:</w:t>
      </w:r>
      <w:r>
        <w:rPr>
          <w:noProof/>
        </w:rPr>
        <w:tab/>
        <w:t>Age-standardised mortality rates, by DHB region, M</w:t>
      </w:r>
      <w:r w:rsidRPr="00802422">
        <w:rPr>
          <w:rFonts w:cs="Arial"/>
          <w:noProof/>
        </w:rPr>
        <w:t>ā</w:t>
      </w:r>
      <w:r>
        <w:rPr>
          <w:noProof/>
        </w:rPr>
        <w:t>ori population, 2011</w:t>
      </w:r>
      <w:r>
        <w:rPr>
          <w:noProof/>
        </w:rPr>
        <w:tab/>
      </w:r>
      <w:r>
        <w:rPr>
          <w:noProof/>
        </w:rPr>
        <w:fldChar w:fldCharType="begin"/>
      </w:r>
      <w:r>
        <w:rPr>
          <w:noProof/>
        </w:rPr>
        <w:instrText xml:space="preserve"> PAGEREF _Toc403120583 \h </w:instrText>
      </w:r>
      <w:r>
        <w:rPr>
          <w:noProof/>
        </w:rPr>
      </w:r>
      <w:r>
        <w:rPr>
          <w:noProof/>
        </w:rPr>
        <w:fldChar w:fldCharType="separate"/>
      </w:r>
      <w:r w:rsidR="006B5CE5">
        <w:rPr>
          <w:noProof/>
        </w:rPr>
        <w:t>17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10:</w:t>
      </w:r>
      <w:r>
        <w:rPr>
          <w:noProof/>
        </w:rPr>
        <w:tab/>
        <w:t>Age-standardised mortality rates, by DHB region, non-M</w:t>
      </w:r>
      <w:r w:rsidRPr="00802422">
        <w:rPr>
          <w:rFonts w:cs="Arial"/>
          <w:noProof/>
        </w:rPr>
        <w:t>ā</w:t>
      </w:r>
      <w:r>
        <w:rPr>
          <w:noProof/>
        </w:rPr>
        <w:t>ori population, 2011</w:t>
      </w:r>
      <w:r>
        <w:rPr>
          <w:noProof/>
        </w:rPr>
        <w:tab/>
      </w:r>
      <w:r>
        <w:rPr>
          <w:noProof/>
        </w:rPr>
        <w:fldChar w:fldCharType="begin"/>
      </w:r>
      <w:r>
        <w:rPr>
          <w:noProof/>
        </w:rPr>
        <w:instrText xml:space="preserve"> PAGEREF _Toc403120584 \h </w:instrText>
      </w:r>
      <w:r>
        <w:rPr>
          <w:noProof/>
        </w:rPr>
      </w:r>
      <w:r>
        <w:rPr>
          <w:noProof/>
        </w:rPr>
        <w:fldChar w:fldCharType="separate"/>
      </w:r>
      <w:r w:rsidR="006B5CE5">
        <w:rPr>
          <w:noProof/>
        </w:rPr>
        <w:t>18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11:</w:t>
      </w:r>
      <w:r>
        <w:rPr>
          <w:noProof/>
        </w:rPr>
        <w:tab/>
        <w:t>Numbers and age-standardised mortality rates from cancer, by sex, 1950–2011</w:t>
      </w:r>
      <w:r>
        <w:rPr>
          <w:noProof/>
        </w:rPr>
        <w:tab/>
      </w:r>
      <w:r>
        <w:rPr>
          <w:noProof/>
        </w:rPr>
        <w:fldChar w:fldCharType="begin"/>
      </w:r>
      <w:r>
        <w:rPr>
          <w:noProof/>
        </w:rPr>
        <w:instrText xml:space="preserve"> PAGEREF _Toc403120585 \h </w:instrText>
      </w:r>
      <w:r>
        <w:rPr>
          <w:noProof/>
        </w:rPr>
      </w:r>
      <w:r>
        <w:rPr>
          <w:noProof/>
        </w:rPr>
        <w:fldChar w:fldCharType="separate"/>
      </w:r>
      <w:r w:rsidR="006B5CE5">
        <w:rPr>
          <w:noProof/>
        </w:rPr>
        <w:t>21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12</w:t>
      </w:r>
      <w:r>
        <w:rPr>
          <w:bCs/>
          <w:noProof/>
        </w:rPr>
        <w:t>:</w:t>
      </w:r>
      <w:r>
        <w:rPr>
          <w:bCs/>
          <w:noProof/>
        </w:rPr>
        <w:tab/>
      </w:r>
      <w:r w:rsidRPr="00802422">
        <w:rPr>
          <w:bCs/>
          <w:noProof/>
        </w:rPr>
        <w:t xml:space="preserve">Age-standardised mortality </w:t>
      </w:r>
      <w:r>
        <w:rPr>
          <w:noProof/>
        </w:rPr>
        <w:t>rates from cancer, by sex and ethnicity, 1996–2011</w:t>
      </w:r>
      <w:r>
        <w:rPr>
          <w:noProof/>
        </w:rPr>
        <w:tab/>
      </w:r>
      <w:r>
        <w:rPr>
          <w:noProof/>
        </w:rPr>
        <w:fldChar w:fldCharType="begin"/>
      </w:r>
      <w:r>
        <w:rPr>
          <w:noProof/>
        </w:rPr>
        <w:instrText xml:space="preserve"> PAGEREF _Toc403120586 \h </w:instrText>
      </w:r>
      <w:r>
        <w:rPr>
          <w:noProof/>
        </w:rPr>
      </w:r>
      <w:r>
        <w:rPr>
          <w:noProof/>
        </w:rPr>
        <w:fldChar w:fldCharType="separate"/>
      </w:r>
      <w:r w:rsidR="006B5CE5">
        <w:rPr>
          <w:noProof/>
        </w:rPr>
        <w:t>22</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13</w:t>
      </w:r>
      <w:r>
        <w:rPr>
          <w:bCs/>
          <w:noProof/>
        </w:rPr>
        <w:t>:</w:t>
      </w:r>
      <w:r>
        <w:rPr>
          <w:bCs/>
          <w:noProof/>
        </w:rPr>
        <w:tab/>
      </w:r>
      <w:r>
        <w:rPr>
          <w:noProof/>
        </w:rPr>
        <w:t>Age-standardised mortality rates from cancer, by DHB region, total population, 2011</w:t>
      </w:r>
      <w:r>
        <w:rPr>
          <w:noProof/>
        </w:rPr>
        <w:tab/>
      </w:r>
      <w:r>
        <w:rPr>
          <w:noProof/>
        </w:rPr>
        <w:fldChar w:fldCharType="begin"/>
      </w:r>
      <w:r>
        <w:rPr>
          <w:noProof/>
        </w:rPr>
        <w:instrText xml:space="preserve"> PAGEREF _Toc403120587 \h </w:instrText>
      </w:r>
      <w:r>
        <w:rPr>
          <w:noProof/>
        </w:rPr>
      </w:r>
      <w:r>
        <w:rPr>
          <w:noProof/>
        </w:rPr>
        <w:fldChar w:fldCharType="separate"/>
      </w:r>
      <w:r w:rsidR="006B5CE5">
        <w:rPr>
          <w:noProof/>
        </w:rPr>
        <w:t>23</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14</w:t>
      </w:r>
      <w:r>
        <w:rPr>
          <w:bCs/>
          <w:noProof/>
        </w:rPr>
        <w:t>:</w:t>
      </w:r>
      <w:r>
        <w:rPr>
          <w:bCs/>
          <w:noProof/>
        </w:rPr>
        <w:tab/>
      </w:r>
      <w:r>
        <w:rPr>
          <w:noProof/>
        </w:rPr>
        <w:t>Numbers and age-standardised mortality rates from lung cancer, by sex,</w:t>
      </w:r>
      <w:r w:rsidR="0015525C">
        <w:rPr>
          <w:noProof/>
        </w:rPr>
        <w:br/>
      </w:r>
      <w:r>
        <w:rPr>
          <w:noProof/>
        </w:rPr>
        <w:t>1950–2011</w:t>
      </w:r>
      <w:r>
        <w:rPr>
          <w:noProof/>
        </w:rPr>
        <w:tab/>
      </w:r>
      <w:r>
        <w:rPr>
          <w:noProof/>
        </w:rPr>
        <w:fldChar w:fldCharType="begin"/>
      </w:r>
      <w:r>
        <w:rPr>
          <w:noProof/>
        </w:rPr>
        <w:instrText xml:space="preserve"> PAGEREF _Toc403120588 \h </w:instrText>
      </w:r>
      <w:r>
        <w:rPr>
          <w:noProof/>
        </w:rPr>
      </w:r>
      <w:r>
        <w:rPr>
          <w:noProof/>
        </w:rPr>
        <w:fldChar w:fldCharType="separate"/>
      </w:r>
      <w:r w:rsidR="006B5CE5">
        <w:rPr>
          <w:noProof/>
        </w:rPr>
        <w:t>26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15:</w:t>
      </w:r>
      <w:r>
        <w:rPr>
          <w:noProof/>
        </w:rPr>
        <w:tab/>
        <w:t>Age-standardised mortality rates from lung cancer, by sex and ethnicity,</w:t>
      </w:r>
      <w:r w:rsidR="0015525C">
        <w:rPr>
          <w:noProof/>
        </w:rPr>
        <w:br/>
      </w:r>
      <w:r>
        <w:rPr>
          <w:noProof/>
        </w:rPr>
        <w:t>1996–2011</w:t>
      </w:r>
      <w:r>
        <w:rPr>
          <w:noProof/>
        </w:rPr>
        <w:tab/>
      </w:r>
      <w:r>
        <w:rPr>
          <w:noProof/>
        </w:rPr>
        <w:fldChar w:fldCharType="begin"/>
      </w:r>
      <w:r>
        <w:rPr>
          <w:noProof/>
        </w:rPr>
        <w:instrText xml:space="preserve"> PAGEREF _Toc403120589 \h </w:instrText>
      </w:r>
      <w:r>
        <w:rPr>
          <w:noProof/>
        </w:rPr>
      </w:r>
      <w:r>
        <w:rPr>
          <w:noProof/>
        </w:rPr>
        <w:fldChar w:fldCharType="separate"/>
      </w:r>
      <w:r w:rsidR="006B5CE5">
        <w:rPr>
          <w:noProof/>
        </w:rPr>
        <w:t>27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lastRenderedPageBreak/>
        <w:t>Figure 16:</w:t>
      </w:r>
      <w:r>
        <w:rPr>
          <w:noProof/>
        </w:rPr>
        <w:tab/>
        <w:t>Numbers and age-standardised mortality rates from breast cancer in females, 1950–2011</w:t>
      </w:r>
      <w:r>
        <w:rPr>
          <w:noProof/>
        </w:rPr>
        <w:tab/>
      </w:r>
      <w:r>
        <w:rPr>
          <w:noProof/>
        </w:rPr>
        <w:fldChar w:fldCharType="begin"/>
      </w:r>
      <w:r>
        <w:rPr>
          <w:noProof/>
        </w:rPr>
        <w:instrText xml:space="preserve"> PAGEREF _Toc403120590 \h </w:instrText>
      </w:r>
      <w:r>
        <w:rPr>
          <w:noProof/>
        </w:rPr>
      </w:r>
      <w:r>
        <w:rPr>
          <w:noProof/>
        </w:rPr>
        <w:fldChar w:fldCharType="separate"/>
      </w:r>
      <w:r w:rsidR="006B5CE5">
        <w:rPr>
          <w:noProof/>
        </w:rPr>
        <w:t>30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17:</w:t>
      </w:r>
      <w:r>
        <w:rPr>
          <w:noProof/>
        </w:rPr>
        <w:tab/>
        <w:t>Age-standardised mortality rates from breast cancer in females, by ethnicity, 1996–2011</w:t>
      </w:r>
      <w:r>
        <w:rPr>
          <w:noProof/>
        </w:rPr>
        <w:tab/>
      </w:r>
      <w:r>
        <w:rPr>
          <w:noProof/>
        </w:rPr>
        <w:fldChar w:fldCharType="begin"/>
      </w:r>
      <w:r>
        <w:rPr>
          <w:noProof/>
        </w:rPr>
        <w:instrText xml:space="preserve"> PAGEREF _Toc403120591 \h </w:instrText>
      </w:r>
      <w:r>
        <w:rPr>
          <w:noProof/>
        </w:rPr>
      </w:r>
      <w:r>
        <w:rPr>
          <w:noProof/>
        </w:rPr>
        <w:fldChar w:fldCharType="separate"/>
      </w:r>
      <w:r w:rsidR="006B5CE5">
        <w:rPr>
          <w:noProof/>
        </w:rPr>
        <w:t>31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18:</w:t>
      </w:r>
      <w:r>
        <w:rPr>
          <w:noProof/>
        </w:rPr>
        <w:tab/>
        <w:t>Numbers and age-standardised mortality rates from prostate cancer,</w:t>
      </w:r>
      <w:r w:rsidR="0015525C">
        <w:rPr>
          <w:noProof/>
        </w:rPr>
        <w:br/>
      </w:r>
      <w:r>
        <w:rPr>
          <w:noProof/>
        </w:rPr>
        <w:t>1950–2011</w:t>
      </w:r>
      <w:r>
        <w:rPr>
          <w:noProof/>
        </w:rPr>
        <w:tab/>
      </w:r>
      <w:r>
        <w:rPr>
          <w:noProof/>
        </w:rPr>
        <w:fldChar w:fldCharType="begin"/>
      </w:r>
      <w:r>
        <w:rPr>
          <w:noProof/>
        </w:rPr>
        <w:instrText xml:space="preserve"> PAGEREF _Toc403120592 \h </w:instrText>
      </w:r>
      <w:r>
        <w:rPr>
          <w:noProof/>
        </w:rPr>
      </w:r>
      <w:r>
        <w:rPr>
          <w:noProof/>
        </w:rPr>
        <w:fldChar w:fldCharType="separate"/>
      </w:r>
      <w:r w:rsidR="006B5CE5">
        <w:rPr>
          <w:noProof/>
        </w:rPr>
        <w:t>34</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19:</w:t>
      </w:r>
      <w:r>
        <w:rPr>
          <w:noProof/>
        </w:rPr>
        <w:tab/>
        <w:t>Age-standardised mortality rates from prostate cancer, by ethnicity, 1996–2011</w:t>
      </w:r>
      <w:r>
        <w:rPr>
          <w:noProof/>
        </w:rPr>
        <w:tab/>
      </w:r>
      <w:r>
        <w:rPr>
          <w:noProof/>
        </w:rPr>
        <w:fldChar w:fldCharType="begin"/>
      </w:r>
      <w:r>
        <w:rPr>
          <w:noProof/>
        </w:rPr>
        <w:instrText xml:space="preserve"> PAGEREF _Toc403120593 \h </w:instrText>
      </w:r>
      <w:r>
        <w:rPr>
          <w:noProof/>
        </w:rPr>
      </w:r>
      <w:r>
        <w:rPr>
          <w:noProof/>
        </w:rPr>
        <w:fldChar w:fldCharType="separate"/>
      </w:r>
      <w:r w:rsidR="006B5CE5">
        <w:rPr>
          <w:noProof/>
        </w:rPr>
        <w:t>35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20:</w:t>
      </w:r>
      <w:r>
        <w:rPr>
          <w:noProof/>
        </w:rPr>
        <w:tab/>
        <w:t>Numbers and age-standardised mortality rates from malignant melanoma of the skin, by sex, 1950–2011</w:t>
      </w:r>
      <w:r>
        <w:rPr>
          <w:noProof/>
        </w:rPr>
        <w:tab/>
      </w:r>
      <w:r>
        <w:rPr>
          <w:noProof/>
        </w:rPr>
        <w:fldChar w:fldCharType="begin"/>
      </w:r>
      <w:r>
        <w:rPr>
          <w:noProof/>
        </w:rPr>
        <w:instrText xml:space="preserve"> PAGEREF _Toc403120594 \h </w:instrText>
      </w:r>
      <w:r>
        <w:rPr>
          <w:noProof/>
        </w:rPr>
      </w:r>
      <w:r>
        <w:rPr>
          <w:noProof/>
        </w:rPr>
        <w:fldChar w:fldCharType="separate"/>
      </w:r>
      <w:r w:rsidR="006B5CE5">
        <w:rPr>
          <w:noProof/>
        </w:rPr>
        <w:t>38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21:</w:t>
      </w:r>
      <w:r>
        <w:rPr>
          <w:noProof/>
        </w:rPr>
        <w:tab/>
        <w:t>Numbers and age-standardised mortality rates from cervical cancer,</w:t>
      </w:r>
      <w:r w:rsidR="0015525C">
        <w:rPr>
          <w:noProof/>
        </w:rPr>
        <w:br/>
      </w:r>
      <w:r>
        <w:rPr>
          <w:noProof/>
        </w:rPr>
        <w:t>1950–2011</w:t>
      </w:r>
      <w:r>
        <w:rPr>
          <w:noProof/>
        </w:rPr>
        <w:tab/>
      </w:r>
      <w:r>
        <w:rPr>
          <w:noProof/>
        </w:rPr>
        <w:fldChar w:fldCharType="begin"/>
      </w:r>
      <w:r>
        <w:rPr>
          <w:noProof/>
        </w:rPr>
        <w:instrText xml:space="preserve"> PAGEREF _Toc403120595 \h </w:instrText>
      </w:r>
      <w:r>
        <w:rPr>
          <w:noProof/>
        </w:rPr>
      </w:r>
      <w:r>
        <w:rPr>
          <w:noProof/>
        </w:rPr>
        <w:fldChar w:fldCharType="separate"/>
      </w:r>
      <w:r w:rsidR="006B5CE5">
        <w:rPr>
          <w:noProof/>
        </w:rPr>
        <w:t>40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22:</w:t>
      </w:r>
      <w:r>
        <w:rPr>
          <w:noProof/>
        </w:rPr>
        <w:tab/>
        <w:t>Age-standardised mortality rates from cervical cancer, by ethnicity, 1996–2011</w:t>
      </w:r>
      <w:r>
        <w:rPr>
          <w:noProof/>
        </w:rPr>
        <w:tab/>
      </w:r>
      <w:r>
        <w:rPr>
          <w:noProof/>
        </w:rPr>
        <w:fldChar w:fldCharType="begin"/>
      </w:r>
      <w:r>
        <w:rPr>
          <w:noProof/>
        </w:rPr>
        <w:instrText xml:space="preserve"> PAGEREF _Toc403120596 \h </w:instrText>
      </w:r>
      <w:r>
        <w:rPr>
          <w:noProof/>
        </w:rPr>
      </w:r>
      <w:r>
        <w:rPr>
          <w:noProof/>
        </w:rPr>
        <w:fldChar w:fldCharType="separate"/>
      </w:r>
      <w:r w:rsidR="006B5CE5">
        <w:rPr>
          <w:noProof/>
        </w:rPr>
        <w:t>41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23:</w:t>
      </w:r>
      <w:r>
        <w:rPr>
          <w:noProof/>
        </w:rPr>
        <w:tab/>
        <w:t>Numbers and age-standardised mortality rates from ischaemic heart disease, by sex, 1950–2011</w:t>
      </w:r>
      <w:r>
        <w:rPr>
          <w:noProof/>
        </w:rPr>
        <w:tab/>
      </w:r>
      <w:r>
        <w:rPr>
          <w:noProof/>
        </w:rPr>
        <w:fldChar w:fldCharType="begin"/>
      </w:r>
      <w:r>
        <w:rPr>
          <w:noProof/>
        </w:rPr>
        <w:instrText xml:space="preserve"> PAGEREF _Toc403120597 \h </w:instrText>
      </w:r>
      <w:r>
        <w:rPr>
          <w:noProof/>
        </w:rPr>
      </w:r>
      <w:r>
        <w:rPr>
          <w:noProof/>
        </w:rPr>
        <w:fldChar w:fldCharType="separate"/>
      </w:r>
      <w:r w:rsidR="006B5CE5">
        <w:rPr>
          <w:noProof/>
        </w:rPr>
        <w:t>44</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24:</w:t>
      </w:r>
      <w:r>
        <w:rPr>
          <w:noProof/>
        </w:rPr>
        <w:tab/>
        <w:t>Age-standardised mortality rates from ischaemic heart disease, by sex and ethnicity, 1996–2011</w:t>
      </w:r>
      <w:r>
        <w:rPr>
          <w:noProof/>
        </w:rPr>
        <w:tab/>
      </w:r>
      <w:r>
        <w:rPr>
          <w:noProof/>
        </w:rPr>
        <w:fldChar w:fldCharType="begin"/>
      </w:r>
      <w:r>
        <w:rPr>
          <w:noProof/>
        </w:rPr>
        <w:instrText xml:space="preserve"> PAGEREF _Toc403120598 \h </w:instrText>
      </w:r>
      <w:r>
        <w:rPr>
          <w:noProof/>
        </w:rPr>
      </w:r>
      <w:r>
        <w:rPr>
          <w:noProof/>
        </w:rPr>
        <w:fldChar w:fldCharType="separate"/>
      </w:r>
      <w:r w:rsidR="006B5CE5">
        <w:rPr>
          <w:noProof/>
        </w:rPr>
        <w:t>45</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25:</w:t>
      </w:r>
      <w:r>
        <w:rPr>
          <w:noProof/>
        </w:rPr>
        <w:tab/>
        <w:t>Age-standardised mortality rates from acute myocardial infarction (ICD I21) and chronic ischaemic heart disease (ICD I25), by sex and ethnicity, 2011</w:t>
      </w:r>
      <w:r>
        <w:rPr>
          <w:noProof/>
        </w:rPr>
        <w:tab/>
      </w:r>
      <w:r>
        <w:rPr>
          <w:noProof/>
        </w:rPr>
        <w:fldChar w:fldCharType="begin"/>
      </w:r>
      <w:r>
        <w:rPr>
          <w:noProof/>
        </w:rPr>
        <w:instrText xml:space="preserve"> PAGEREF _Toc403120599 \h </w:instrText>
      </w:r>
      <w:r>
        <w:rPr>
          <w:noProof/>
        </w:rPr>
      </w:r>
      <w:r>
        <w:rPr>
          <w:noProof/>
        </w:rPr>
        <w:fldChar w:fldCharType="separate"/>
      </w:r>
      <w:r w:rsidR="006B5CE5">
        <w:rPr>
          <w:noProof/>
        </w:rPr>
        <w:t>46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26</w:t>
      </w:r>
      <w:r>
        <w:rPr>
          <w:bCs/>
          <w:noProof/>
        </w:rPr>
        <w:t>:</w:t>
      </w:r>
      <w:r>
        <w:rPr>
          <w:bCs/>
          <w:noProof/>
        </w:rPr>
        <w:tab/>
      </w:r>
      <w:r w:rsidRPr="00802422">
        <w:rPr>
          <w:bCs/>
          <w:noProof/>
        </w:rPr>
        <w:t xml:space="preserve">Age-standardised mortality rates for </w:t>
      </w:r>
      <w:r>
        <w:rPr>
          <w:noProof/>
        </w:rPr>
        <w:t>ischaemic heart disease, by DHB region, total population, 2011</w:t>
      </w:r>
      <w:r>
        <w:rPr>
          <w:noProof/>
        </w:rPr>
        <w:tab/>
      </w:r>
      <w:r>
        <w:rPr>
          <w:noProof/>
        </w:rPr>
        <w:fldChar w:fldCharType="begin"/>
      </w:r>
      <w:r>
        <w:rPr>
          <w:noProof/>
        </w:rPr>
        <w:instrText xml:space="preserve"> PAGEREF _Toc403120600 \h </w:instrText>
      </w:r>
      <w:r>
        <w:rPr>
          <w:noProof/>
        </w:rPr>
      </w:r>
      <w:r>
        <w:rPr>
          <w:noProof/>
        </w:rPr>
        <w:fldChar w:fldCharType="separate"/>
      </w:r>
      <w:r w:rsidR="006B5CE5">
        <w:rPr>
          <w:noProof/>
        </w:rPr>
        <w:t>47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27:</w:t>
      </w:r>
      <w:r>
        <w:rPr>
          <w:noProof/>
        </w:rPr>
        <w:tab/>
        <w:t>Numbers and age-standardised mortality rates for cerebrovascular disease, by sex, 1950–2011</w:t>
      </w:r>
      <w:r>
        <w:rPr>
          <w:noProof/>
        </w:rPr>
        <w:tab/>
      </w:r>
      <w:r>
        <w:rPr>
          <w:noProof/>
        </w:rPr>
        <w:fldChar w:fldCharType="begin"/>
      </w:r>
      <w:r>
        <w:rPr>
          <w:noProof/>
        </w:rPr>
        <w:instrText xml:space="preserve"> PAGEREF _Toc403120601 \h </w:instrText>
      </w:r>
      <w:r>
        <w:rPr>
          <w:noProof/>
        </w:rPr>
      </w:r>
      <w:r>
        <w:rPr>
          <w:noProof/>
        </w:rPr>
        <w:fldChar w:fldCharType="separate"/>
      </w:r>
      <w:r w:rsidR="006B5CE5">
        <w:rPr>
          <w:noProof/>
        </w:rPr>
        <w:t>50</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28:</w:t>
      </w:r>
      <w:r>
        <w:rPr>
          <w:noProof/>
        </w:rPr>
        <w:tab/>
        <w:t>Numbers and age-standardised mortality rates for cerebrovascular disease, by sex and ethnicity, 1996–2011</w:t>
      </w:r>
      <w:r>
        <w:rPr>
          <w:noProof/>
        </w:rPr>
        <w:tab/>
      </w:r>
      <w:r>
        <w:rPr>
          <w:noProof/>
        </w:rPr>
        <w:fldChar w:fldCharType="begin"/>
      </w:r>
      <w:r>
        <w:rPr>
          <w:noProof/>
        </w:rPr>
        <w:instrText xml:space="preserve"> PAGEREF _Toc403120602 \h </w:instrText>
      </w:r>
      <w:r>
        <w:rPr>
          <w:noProof/>
        </w:rPr>
      </w:r>
      <w:r>
        <w:rPr>
          <w:noProof/>
        </w:rPr>
        <w:fldChar w:fldCharType="separate"/>
      </w:r>
      <w:r w:rsidR="006B5CE5">
        <w:rPr>
          <w:noProof/>
        </w:rPr>
        <w:t>51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29:</w:t>
      </w:r>
      <w:r>
        <w:rPr>
          <w:noProof/>
        </w:rPr>
        <w:tab/>
        <w:t>Age-standardised mortality rates for cerebrovascular disease, by specific disease classification and sex, 2011</w:t>
      </w:r>
      <w:r>
        <w:rPr>
          <w:noProof/>
        </w:rPr>
        <w:tab/>
      </w:r>
      <w:r>
        <w:rPr>
          <w:noProof/>
        </w:rPr>
        <w:fldChar w:fldCharType="begin"/>
      </w:r>
      <w:r>
        <w:rPr>
          <w:noProof/>
        </w:rPr>
        <w:instrText xml:space="preserve"> PAGEREF _Toc403120603 \h </w:instrText>
      </w:r>
      <w:r>
        <w:rPr>
          <w:noProof/>
        </w:rPr>
      </w:r>
      <w:r>
        <w:rPr>
          <w:noProof/>
        </w:rPr>
        <w:fldChar w:fldCharType="separate"/>
      </w:r>
      <w:r w:rsidR="006B5CE5">
        <w:rPr>
          <w:noProof/>
        </w:rPr>
        <w:t>52</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30</w:t>
      </w:r>
      <w:r>
        <w:rPr>
          <w:bCs/>
          <w:noProof/>
        </w:rPr>
        <w:t>:</w:t>
      </w:r>
      <w:r>
        <w:rPr>
          <w:bCs/>
          <w:noProof/>
        </w:rPr>
        <w:tab/>
      </w:r>
      <w:r w:rsidRPr="00802422">
        <w:rPr>
          <w:bCs/>
          <w:noProof/>
        </w:rPr>
        <w:t xml:space="preserve">Age-standardised mortality rates for </w:t>
      </w:r>
      <w:r>
        <w:rPr>
          <w:noProof/>
        </w:rPr>
        <w:t>cerebrovascular disease, by DHB region, total population, 2011</w:t>
      </w:r>
      <w:r>
        <w:rPr>
          <w:noProof/>
        </w:rPr>
        <w:tab/>
      </w:r>
      <w:r>
        <w:rPr>
          <w:noProof/>
        </w:rPr>
        <w:fldChar w:fldCharType="begin"/>
      </w:r>
      <w:r>
        <w:rPr>
          <w:noProof/>
        </w:rPr>
        <w:instrText xml:space="preserve"> PAGEREF _Toc403120604 \h </w:instrText>
      </w:r>
      <w:r>
        <w:rPr>
          <w:noProof/>
        </w:rPr>
      </w:r>
      <w:r>
        <w:rPr>
          <w:noProof/>
        </w:rPr>
        <w:fldChar w:fldCharType="separate"/>
      </w:r>
      <w:r w:rsidR="006B5CE5">
        <w:rPr>
          <w:noProof/>
        </w:rPr>
        <w:t>53</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31:</w:t>
      </w:r>
      <w:r>
        <w:rPr>
          <w:noProof/>
        </w:rPr>
        <w:tab/>
        <w:t>Numbers and age-standardised mortality rates for diabetes mellitus, by sex, 1950–2011</w:t>
      </w:r>
      <w:r>
        <w:rPr>
          <w:noProof/>
        </w:rPr>
        <w:tab/>
      </w:r>
      <w:r>
        <w:rPr>
          <w:noProof/>
        </w:rPr>
        <w:fldChar w:fldCharType="begin"/>
      </w:r>
      <w:r>
        <w:rPr>
          <w:noProof/>
        </w:rPr>
        <w:instrText xml:space="preserve"> PAGEREF _Toc403120605 \h </w:instrText>
      </w:r>
      <w:r>
        <w:rPr>
          <w:noProof/>
        </w:rPr>
      </w:r>
      <w:r>
        <w:rPr>
          <w:noProof/>
        </w:rPr>
        <w:fldChar w:fldCharType="separate"/>
      </w:r>
      <w:r w:rsidR="006B5CE5">
        <w:rPr>
          <w:noProof/>
        </w:rPr>
        <w:t>56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32:</w:t>
      </w:r>
      <w:r>
        <w:rPr>
          <w:noProof/>
        </w:rPr>
        <w:tab/>
        <w:t>Age-standardised mortality rates for diabetes mellitus, by sex and ethnicity, 1996–2011</w:t>
      </w:r>
      <w:r>
        <w:rPr>
          <w:noProof/>
        </w:rPr>
        <w:tab/>
      </w:r>
      <w:r>
        <w:rPr>
          <w:noProof/>
        </w:rPr>
        <w:fldChar w:fldCharType="begin"/>
      </w:r>
      <w:r>
        <w:rPr>
          <w:noProof/>
        </w:rPr>
        <w:instrText xml:space="preserve"> PAGEREF _Toc403120606 \h </w:instrText>
      </w:r>
      <w:r>
        <w:rPr>
          <w:noProof/>
        </w:rPr>
      </w:r>
      <w:r>
        <w:rPr>
          <w:noProof/>
        </w:rPr>
        <w:fldChar w:fldCharType="separate"/>
      </w:r>
      <w:r w:rsidR="006B5CE5">
        <w:rPr>
          <w:noProof/>
        </w:rPr>
        <w:t>57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33:</w:t>
      </w:r>
      <w:r>
        <w:rPr>
          <w:noProof/>
        </w:rPr>
        <w:tab/>
        <w:t>Age-standardised mortality rates for diabetes mellitus, by diabetes type and sex, 2011</w:t>
      </w:r>
      <w:r>
        <w:rPr>
          <w:noProof/>
        </w:rPr>
        <w:tab/>
      </w:r>
      <w:r>
        <w:rPr>
          <w:noProof/>
        </w:rPr>
        <w:fldChar w:fldCharType="begin"/>
      </w:r>
      <w:r>
        <w:rPr>
          <w:noProof/>
        </w:rPr>
        <w:instrText xml:space="preserve"> PAGEREF _Toc403120607 \h </w:instrText>
      </w:r>
      <w:r>
        <w:rPr>
          <w:noProof/>
        </w:rPr>
      </w:r>
      <w:r>
        <w:rPr>
          <w:noProof/>
        </w:rPr>
        <w:fldChar w:fldCharType="separate"/>
      </w:r>
      <w:r w:rsidR="006B5CE5">
        <w:rPr>
          <w:noProof/>
        </w:rPr>
        <w:t>58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34:</w:t>
      </w:r>
      <w:r>
        <w:rPr>
          <w:noProof/>
        </w:rPr>
        <w:tab/>
        <w:t>Numbers and age-standardised mortality rates for motor vehicle accidents, by sex, 1950–2011</w:t>
      </w:r>
      <w:r>
        <w:rPr>
          <w:noProof/>
        </w:rPr>
        <w:tab/>
      </w:r>
      <w:r>
        <w:rPr>
          <w:noProof/>
        </w:rPr>
        <w:fldChar w:fldCharType="begin"/>
      </w:r>
      <w:r>
        <w:rPr>
          <w:noProof/>
        </w:rPr>
        <w:instrText xml:space="preserve"> PAGEREF _Toc403120608 \h </w:instrText>
      </w:r>
      <w:r>
        <w:rPr>
          <w:noProof/>
        </w:rPr>
      </w:r>
      <w:r>
        <w:rPr>
          <w:noProof/>
        </w:rPr>
        <w:fldChar w:fldCharType="separate"/>
      </w:r>
      <w:r w:rsidR="006B5CE5">
        <w:rPr>
          <w:noProof/>
        </w:rPr>
        <w:t>61</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35:</w:t>
      </w:r>
      <w:r>
        <w:rPr>
          <w:noProof/>
        </w:rPr>
        <w:tab/>
        <w:t>Age-standardised mortality rates for motor vehicle accidents, by sex and ethnicity, 1996–2011</w:t>
      </w:r>
      <w:r>
        <w:rPr>
          <w:noProof/>
        </w:rPr>
        <w:tab/>
      </w:r>
      <w:r>
        <w:rPr>
          <w:noProof/>
        </w:rPr>
        <w:fldChar w:fldCharType="begin"/>
      </w:r>
      <w:r>
        <w:rPr>
          <w:noProof/>
        </w:rPr>
        <w:instrText xml:space="preserve"> PAGEREF _Toc403120609 \h </w:instrText>
      </w:r>
      <w:r>
        <w:rPr>
          <w:noProof/>
        </w:rPr>
      </w:r>
      <w:r>
        <w:rPr>
          <w:noProof/>
        </w:rPr>
        <w:fldChar w:fldCharType="separate"/>
      </w:r>
      <w:r w:rsidR="006B5CE5">
        <w:rPr>
          <w:noProof/>
        </w:rPr>
        <w:t>62</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36:</w:t>
      </w:r>
      <w:r>
        <w:rPr>
          <w:noProof/>
        </w:rPr>
        <w:tab/>
        <w:t xml:space="preserve">Mortality and hospitalisation rates for motor vehicle accidents, and ratio of </w:t>
      </w:r>
      <w:r w:rsidR="006326C1">
        <w:rPr>
          <w:noProof/>
        </w:rPr>
        <w:t>hospitalisations to deaths, 1996</w:t>
      </w:r>
      <w:r>
        <w:rPr>
          <w:noProof/>
        </w:rPr>
        <w:t>–2011</w:t>
      </w:r>
      <w:r>
        <w:rPr>
          <w:noProof/>
        </w:rPr>
        <w:tab/>
      </w:r>
      <w:r>
        <w:rPr>
          <w:noProof/>
        </w:rPr>
        <w:fldChar w:fldCharType="begin"/>
      </w:r>
      <w:r>
        <w:rPr>
          <w:noProof/>
        </w:rPr>
        <w:instrText xml:space="preserve"> PAGEREF _Toc403120610 \h </w:instrText>
      </w:r>
      <w:r>
        <w:rPr>
          <w:noProof/>
        </w:rPr>
      </w:r>
      <w:r>
        <w:rPr>
          <w:noProof/>
        </w:rPr>
        <w:fldChar w:fldCharType="separate"/>
      </w:r>
      <w:r w:rsidR="006B5CE5">
        <w:rPr>
          <w:noProof/>
        </w:rPr>
        <w:t>63</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37:</w:t>
      </w:r>
      <w:r>
        <w:rPr>
          <w:noProof/>
        </w:rPr>
        <w:tab/>
        <w:t>Numbers and age-standardised mortality rates for suicide, by sex, 1950–2011</w:t>
      </w:r>
      <w:r>
        <w:rPr>
          <w:noProof/>
        </w:rPr>
        <w:tab/>
      </w:r>
      <w:r>
        <w:rPr>
          <w:noProof/>
        </w:rPr>
        <w:fldChar w:fldCharType="begin"/>
      </w:r>
      <w:r>
        <w:rPr>
          <w:noProof/>
        </w:rPr>
        <w:instrText xml:space="preserve"> PAGEREF _Toc403120611 \h </w:instrText>
      </w:r>
      <w:r>
        <w:rPr>
          <w:noProof/>
        </w:rPr>
      </w:r>
      <w:r>
        <w:rPr>
          <w:noProof/>
        </w:rPr>
        <w:fldChar w:fldCharType="separate"/>
      </w:r>
      <w:r w:rsidR="006B5CE5">
        <w:rPr>
          <w:noProof/>
        </w:rPr>
        <w:t>66</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38:</w:t>
      </w:r>
      <w:r>
        <w:rPr>
          <w:noProof/>
        </w:rPr>
        <w:tab/>
        <w:t>Age-standardised mortality rates for suicide, by sex and ethnicity, 1996–2011</w:t>
      </w:r>
      <w:r>
        <w:rPr>
          <w:noProof/>
        </w:rPr>
        <w:tab/>
      </w:r>
      <w:r>
        <w:rPr>
          <w:noProof/>
        </w:rPr>
        <w:fldChar w:fldCharType="begin"/>
      </w:r>
      <w:r>
        <w:rPr>
          <w:noProof/>
        </w:rPr>
        <w:instrText xml:space="preserve"> PAGEREF _Toc403120612 \h </w:instrText>
      </w:r>
      <w:r>
        <w:rPr>
          <w:noProof/>
        </w:rPr>
      </w:r>
      <w:r>
        <w:rPr>
          <w:noProof/>
        </w:rPr>
        <w:fldChar w:fldCharType="separate"/>
      </w:r>
      <w:r w:rsidR="006B5CE5">
        <w:rPr>
          <w:noProof/>
        </w:rPr>
        <w:t>67</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lastRenderedPageBreak/>
        <w:t>Figure 39:</w:t>
      </w:r>
      <w:r>
        <w:rPr>
          <w:noProof/>
        </w:rPr>
        <w:tab/>
        <w:t>Male mortality and hospitalisation rates for intentional self-harm, and ratio of hospitalisations to deaths, 1996–2011</w:t>
      </w:r>
      <w:r>
        <w:rPr>
          <w:noProof/>
        </w:rPr>
        <w:tab/>
      </w:r>
      <w:r>
        <w:rPr>
          <w:noProof/>
        </w:rPr>
        <w:fldChar w:fldCharType="begin"/>
      </w:r>
      <w:r>
        <w:rPr>
          <w:noProof/>
        </w:rPr>
        <w:instrText xml:space="preserve"> PAGEREF _Toc403120613 \h </w:instrText>
      </w:r>
      <w:r>
        <w:rPr>
          <w:noProof/>
        </w:rPr>
      </w:r>
      <w:r>
        <w:rPr>
          <w:noProof/>
        </w:rPr>
        <w:fldChar w:fldCharType="separate"/>
      </w:r>
      <w:r w:rsidR="006B5CE5">
        <w:rPr>
          <w:noProof/>
        </w:rPr>
        <w:t>68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40:</w:t>
      </w:r>
      <w:r>
        <w:rPr>
          <w:noProof/>
        </w:rPr>
        <w:tab/>
        <w:t>Female mortality and hospitalisation rates for intentional self-harm, and ratio of hospitalisations to deaths, 1996–2011</w:t>
      </w:r>
      <w:r>
        <w:rPr>
          <w:noProof/>
        </w:rPr>
        <w:tab/>
      </w:r>
      <w:r>
        <w:rPr>
          <w:noProof/>
        </w:rPr>
        <w:fldChar w:fldCharType="begin"/>
      </w:r>
      <w:r>
        <w:rPr>
          <w:noProof/>
        </w:rPr>
        <w:instrText xml:space="preserve"> PAGEREF _Toc403120614 \h </w:instrText>
      </w:r>
      <w:r>
        <w:rPr>
          <w:noProof/>
        </w:rPr>
      </w:r>
      <w:r>
        <w:rPr>
          <w:noProof/>
        </w:rPr>
        <w:fldChar w:fldCharType="separate"/>
      </w:r>
      <w:r w:rsidR="006B5CE5">
        <w:rPr>
          <w:noProof/>
        </w:rPr>
        <w:t>68</w:t>
      </w:r>
      <w:r>
        <w:rPr>
          <w:noProof/>
        </w:rPr>
        <w:fldChar w:fldCharType="end"/>
      </w:r>
    </w:p>
    <w:p w:rsidR="00D85F98" w:rsidRDefault="00D85F98">
      <w:pPr>
        <w:pStyle w:val="TOC3"/>
        <w:rPr>
          <w:rFonts w:asciiTheme="minorHAnsi" w:eastAsiaTheme="minorEastAsia" w:hAnsiTheme="minorHAnsi" w:cstheme="minorBidi"/>
          <w:noProof/>
          <w:szCs w:val="22"/>
          <w:lang w:eastAsia="en-NZ"/>
        </w:rPr>
      </w:pPr>
      <w:r>
        <w:rPr>
          <w:noProof/>
        </w:rPr>
        <w:t>Figure 41:</w:t>
      </w:r>
      <w:r>
        <w:rPr>
          <w:noProof/>
        </w:rPr>
        <w:tab/>
        <w:t>Māori 2011 population, non-Māori 2011 population and WHO World Standard Population, by age group</w:t>
      </w:r>
      <w:r>
        <w:rPr>
          <w:noProof/>
        </w:rPr>
        <w:tab/>
      </w:r>
      <w:r>
        <w:rPr>
          <w:noProof/>
        </w:rPr>
        <w:fldChar w:fldCharType="begin"/>
      </w:r>
      <w:r>
        <w:rPr>
          <w:noProof/>
        </w:rPr>
        <w:instrText xml:space="preserve"> PAGEREF _Toc403120615 \h </w:instrText>
      </w:r>
      <w:r>
        <w:rPr>
          <w:noProof/>
        </w:rPr>
      </w:r>
      <w:r>
        <w:rPr>
          <w:noProof/>
        </w:rPr>
        <w:fldChar w:fldCharType="separate"/>
      </w:r>
      <w:r w:rsidR="006B5CE5">
        <w:rPr>
          <w:noProof/>
        </w:rPr>
        <w:t>79</w:t>
      </w:r>
      <w:r>
        <w:rPr>
          <w:noProof/>
        </w:rPr>
        <w:fldChar w:fldCharType="end"/>
      </w:r>
    </w:p>
    <w:p w:rsidR="003A5FEA" w:rsidRPr="00885D52" w:rsidRDefault="003A5FEA" w:rsidP="003A5FEA">
      <w:r w:rsidRPr="00885D52">
        <w:fldChar w:fldCharType="end"/>
      </w:r>
    </w:p>
    <w:p w:rsidR="00C86248" w:rsidRPr="00885D52" w:rsidRDefault="00C86248" w:rsidP="00000384"/>
    <w:p w:rsidR="00C86248" w:rsidRPr="00885D52" w:rsidRDefault="00C86248">
      <w:pPr>
        <w:sectPr w:rsidR="00C86248" w:rsidRPr="00885D52" w:rsidSect="009D5125">
          <w:footerReference w:type="even" r:id="rId19"/>
          <w:pgSz w:w="11907" w:h="16840" w:code="9"/>
          <w:pgMar w:top="851" w:right="1134" w:bottom="1134" w:left="1134" w:header="284" w:footer="567" w:gutter="284"/>
          <w:pgNumType w:fmt="lowerRoman"/>
          <w:cols w:space="720"/>
        </w:sectPr>
      </w:pPr>
    </w:p>
    <w:p w:rsidR="008C2973" w:rsidRPr="00885D52" w:rsidRDefault="0086388B" w:rsidP="0086388B">
      <w:pPr>
        <w:pStyle w:val="Heading1"/>
      </w:pPr>
      <w:bookmarkStart w:id="4" w:name="_Toc403120509"/>
      <w:r w:rsidRPr="00885D52">
        <w:lastRenderedPageBreak/>
        <w:t>Introduction</w:t>
      </w:r>
      <w:bookmarkEnd w:id="4"/>
    </w:p>
    <w:p w:rsidR="00000384" w:rsidRPr="00885D52" w:rsidRDefault="00000384" w:rsidP="008D5D23">
      <w:r w:rsidRPr="00885D52">
        <w:rPr>
          <w:i/>
        </w:rPr>
        <w:t>Mortality and Demographic Data 2011</w:t>
      </w:r>
      <w:r w:rsidRPr="00885D52">
        <w:t xml:space="preserve"> presents data on the underlying causes of all deaths registered in New Zealand in the 2011 calendar year. The causes of death were coded to the International Statistical Classification of Diseases and Related Health Problems, Tenth Revision, Australian Modification, Sixth Edition (ICD-10-AM). In this publication, the abbreviation ICD is used to refer to the ICD-10-AM coding system (National Centre for Classification in Health 2008).</w:t>
      </w:r>
    </w:p>
    <w:p w:rsidR="00000384" w:rsidRPr="00885D52" w:rsidRDefault="00000384" w:rsidP="00122F74"/>
    <w:p w:rsidR="00000384" w:rsidRPr="00885D52" w:rsidRDefault="00000384" w:rsidP="00122F74">
      <w:r w:rsidRPr="00885D52">
        <w:t xml:space="preserve">Underlying cause of death, as defined by the World Health Organization (WHO), is </w:t>
      </w:r>
      <w:r w:rsidR="00885D52" w:rsidRPr="00885D52">
        <w:t>‘</w:t>
      </w:r>
      <w:r w:rsidRPr="00885D52">
        <w:t>(a) the disease or injury which initiated the train of morbid events leading directly to death, or (b) the circumstances of the accident or violence which produced the fatal injury</w:t>
      </w:r>
      <w:r w:rsidR="00885D52" w:rsidRPr="00885D52">
        <w:t>’</w:t>
      </w:r>
      <w:r w:rsidRPr="00885D52">
        <w:t xml:space="preserve"> (WHO 1979).</w:t>
      </w:r>
    </w:p>
    <w:p w:rsidR="00000384" w:rsidRPr="00885D52" w:rsidRDefault="00000384" w:rsidP="00122F74"/>
    <w:p w:rsidR="00000384" w:rsidRPr="00885D52" w:rsidRDefault="00000384" w:rsidP="00122F74">
      <w:r w:rsidRPr="00885D52">
        <w:t>The three main sources of information for mortality data are:</w:t>
      </w:r>
    </w:p>
    <w:p w:rsidR="00000384" w:rsidRPr="00885D52" w:rsidRDefault="00000384" w:rsidP="00122F74">
      <w:pPr>
        <w:pStyle w:val="Bullet"/>
      </w:pPr>
      <w:r w:rsidRPr="00885D52">
        <w:t>certificates of cause of death from doctors and coroners</w:t>
      </w:r>
    </w:p>
    <w:p w:rsidR="008D5D23" w:rsidRPr="00885D52" w:rsidRDefault="00000384" w:rsidP="00122F74">
      <w:pPr>
        <w:pStyle w:val="Bullet"/>
      </w:pPr>
      <w:r w:rsidRPr="00885D52">
        <w:t>post-mortem reports</w:t>
      </w:r>
    </w:p>
    <w:p w:rsidR="00000384" w:rsidRPr="00885D52" w:rsidRDefault="00000384" w:rsidP="00122F74">
      <w:pPr>
        <w:pStyle w:val="Bullet"/>
      </w:pPr>
      <w:r w:rsidRPr="00885D52">
        <w:t>death registration forms, which are usually completed by a funeral director.</w:t>
      </w:r>
    </w:p>
    <w:p w:rsidR="00000384" w:rsidRPr="00885D52" w:rsidRDefault="00000384" w:rsidP="00122F74"/>
    <w:p w:rsidR="008D5D23" w:rsidRPr="00885D52" w:rsidRDefault="00000384" w:rsidP="00122F74">
      <w:r w:rsidRPr="00885D52">
        <w:t>Figure 1 illustrates the stages of processing cause of death data in New Zealand.</w:t>
      </w:r>
    </w:p>
    <w:p w:rsidR="00000384" w:rsidRPr="00885D52" w:rsidRDefault="00000384" w:rsidP="00122F74"/>
    <w:p w:rsidR="00000384" w:rsidRPr="00885D52" w:rsidRDefault="00000384" w:rsidP="00122F74">
      <w:pPr>
        <w:pStyle w:val="Heading2"/>
      </w:pPr>
      <w:bookmarkStart w:id="5" w:name="_Toc167268810"/>
      <w:bookmarkStart w:id="6" w:name="_Toc236642185"/>
      <w:bookmarkStart w:id="7" w:name="_Toc262631064"/>
      <w:bookmarkStart w:id="8" w:name="_Toc316994457"/>
      <w:bookmarkStart w:id="9" w:name="_Toc352670614"/>
      <w:bookmarkStart w:id="10" w:name="_Toc400536170"/>
      <w:bookmarkStart w:id="11" w:name="_Toc403120510"/>
      <w:r w:rsidRPr="00885D52">
        <w:t>Late data</w:t>
      </w:r>
      <w:bookmarkEnd w:id="5"/>
      <w:bookmarkEnd w:id="6"/>
      <w:bookmarkEnd w:id="7"/>
      <w:bookmarkEnd w:id="8"/>
      <w:bookmarkEnd w:id="9"/>
      <w:bookmarkEnd w:id="10"/>
      <w:bookmarkEnd w:id="11"/>
    </w:p>
    <w:p w:rsidR="008D5D23" w:rsidRPr="00885D52" w:rsidRDefault="00000384" w:rsidP="00122F74">
      <w:r w:rsidRPr="00885D52">
        <w:t>Due to the extended length of time that some coronial inquiries take, the Ministry of Health, at the time of publication of this document, has been unable to assign specific ICD codes to a small number of deaths. These deaths are included in the statistics under the ICD codes R99 (</w:t>
      </w:r>
      <w:r w:rsidR="00885D52" w:rsidRPr="00885D52">
        <w:t>‘</w:t>
      </w:r>
      <w:r w:rsidRPr="00885D52">
        <w:t>other ill-defined and unspecified causes of mortality</w:t>
      </w:r>
      <w:r w:rsidR="00885D52" w:rsidRPr="00885D52">
        <w:t>’</w:t>
      </w:r>
      <w:r w:rsidRPr="00885D52">
        <w:t>) and X59 (</w:t>
      </w:r>
      <w:r w:rsidR="00885D52" w:rsidRPr="00885D52">
        <w:t>‘</w:t>
      </w:r>
      <w:r w:rsidRPr="00885D52">
        <w:t>exposure to unspecified factor</w:t>
      </w:r>
      <w:r w:rsidR="00885D52" w:rsidRPr="00885D52">
        <w:t>’</w:t>
      </w:r>
      <w:r w:rsidRPr="00885D52">
        <w:t>). Because the Ministry of Health Mortality Collection is a dynamic database, the records for these deaths will be updated with specific underlying cause of death codes once coroners</w:t>
      </w:r>
      <w:r w:rsidR="00885D52" w:rsidRPr="00885D52">
        <w:t>’</w:t>
      </w:r>
      <w:r w:rsidRPr="00885D52">
        <w:t xml:space="preserve"> findings are received. This means there may be small differences between later extracts of mortality data and data contained in this publication.</w:t>
      </w:r>
    </w:p>
    <w:p w:rsidR="00000384" w:rsidRPr="00885D52" w:rsidRDefault="00000384" w:rsidP="00122F74"/>
    <w:p w:rsidR="00000384" w:rsidRPr="00885D52" w:rsidRDefault="00000384" w:rsidP="00122F74">
      <w:r w:rsidRPr="00885D52">
        <w:t>The data for this publication was extracted on 21 May 2014. At that time, the deaths of three infants (aged under one year) were provisionally coded to underlying causes R99 and X59, and the deaths of eight infants, three children (aged 1–14 years), 12 youths (aged 15–24 years) and 58</w:t>
      </w:r>
      <w:r w:rsidR="00122F74" w:rsidRPr="00885D52">
        <w:t> </w:t>
      </w:r>
      <w:r w:rsidRPr="00885D52">
        <w:t>adults (aged 25 years and over) were provisionally coded to other causes. Coronial inquiries had not been completed for these deaths, and the Ministry of Health did not have sufficient information to code them.</w:t>
      </w:r>
    </w:p>
    <w:p w:rsidR="00000384" w:rsidRPr="00885D52" w:rsidRDefault="00000384" w:rsidP="00122F74"/>
    <w:p w:rsidR="00000384" w:rsidRPr="00885D52" w:rsidRDefault="00000384" w:rsidP="00122F74">
      <w:pPr>
        <w:pStyle w:val="Figure"/>
      </w:pPr>
      <w:bookmarkStart w:id="12" w:name="_Toc400536100"/>
      <w:bookmarkStart w:id="13" w:name="_Toc403120575"/>
      <w:r w:rsidRPr="00885D52">
        <w:lastRenderedPageBreak/>
        <w:t>Figure 1: Stages of processing cause of death data in New Zealand</w:t>
      </w:r>
      <w:bookmarkEnd w:id="12"/>
      <w:bookmarkEnd w:id="13"/>
    </w:p>
    <w:p w:rsidR="00000384" w:rsidRPr="00885D52" w:rsidRDefault="00000384" w:rsidP="00000384">
      <w:r w:rsidRPr="00885D52">
        <w:rPr>
          <w:noProof/>
          <w:lang w:eastAsia="en-NZ"/>
        </w:rPr>
        <w:drawing>
          <wp:inline distT="0" distB="0" distL="0" distR="0" wp14:anchorId="138ED848" wp14:editId="6A0C03A4">
            <wp:extent cx="5922335" cy="8295068"/>
            <wp:effectExtent l="0" t="0" r="2540" b="0"/>
            <wp:docPr id="30" name="Picture 30" descr="Figure 1: Stages of processing cause of death data in New Zealand" title="Figure 1: Stages of processing cause of death data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_Processing cause of death.emf"/>
                    <pic:cNvPicPr/>
                  </pic:nvPicPr>
                  <pic:blipFill>
                    <a:blip r:embed="rId20">
                      <a:extLst>
                        <a:ext uri="{28A0092B-C50C-407E-A947-70E740481C1C}">
                          <a14:useLocalDpi xmlns:a14="http://schemas.microsoft.com/office/drawing/2010/main" val="0"/>
                        </a:ext>
                      </a:extLst>
                    </a:blip>
                    <a:stretch>
                      <a:fillRect/>
                    </a:stretch>
                  </pic:blipFill>
                  <pic:spPr>
                    <a:xfrm>
                      <a:off x="0" y="0"/>
                      <a:ext cx="5922333" cy="8295065"/>
                    </a:xfrm>
                    <a:prstGeom prst="rect">
                      <a:avLst/>
                    </a:prstGeom>
                  </pic:spPr>
                </pic:pic>
              </a:graphicData>
            </a:graphic>
          </wp:inline>
        </w:drawing>
      </w:r>
      <w:bookmarkStart w:id="14" w:name="_Toc167268812"/>
      <w:bookmarkStart w:id="15" w:name="_Toc236642187"/>
      <w:bookmarkStart w:id="16" w:name="_Toc262631066"/>
      <w:bookmarkStart w:id="17" w:name="_Toc316994458"/>
      <w:bookmarkStart w:id="18" w:name="_Toc352670615"/>
    </w:p>
    <w:p w:rsidR="00122F74" w:rsidRPr="00885D52" w:rsidRDefault="00122F74" w:rsidP="00122F74"/>
    <w:p w:rsidR="00000384" w:rsidRPr="00885D52" w:rsidRDefault="00000384" w:rsidP="00265332">
      <w:pPr>
        <w:pStyle w:val="Heading2"/>
      </w:pPr>
      <w:bookmarkStart w:id="19" w:name="_Toc400536171"/>
      <w:bookmarkStart w:id="20" w:name="_Toc403120511"/>
      <w:r w:rsidRPr="00885D52">
        <w:lastRenderedPageBreak/>
        <w:t>Ethnicity data and analysis</w:t>
      </w:r>
      <w:bookmarkEnd w:id="14"/>
      <w:bookmarkEnd w:id="15"/>
      <w:bookmarkEnd w:id="16"/>
      <w:bookmarkEnd w:id="17"/>
      <w:bookmarkEnd w:id="18"/>
      <w:bookmarkEnd w:id="19"/>
      <w:bookmarkEnd w:id="20"/>
    </w:p>
    <w:p w:rsidR="00000384" w:rsidRPr="00885D52" w:rsidRDefault="00000384" w:rsidP="00265332">
      <w:r w:rsidRPr="00885D52">
        <w:t xml:space="preserve">Two ethnic groupings are used in the </w:t>
      </w:r>
      <w:r w:rsidRPr="00885D52">
        <w:rPr>
          <w:i/>
        </w:rPr>
        <w:t>Mortality and Demographic Data</w:t>
      </w:r>
      <w:r w:rsidRPr="00885D52">
        <w:t xml:space="preserve"> publication: Māori and non-Māori. The Māori population includes everyone who was identified as Māori, and the non</w:t>
      </w:r>
      <w:r w:rsidR="00265332" w:rsidRPr="00885D52">
        <w:noBreakHyphen/>
      </w:r>
      <w:r w:rsidRPr="00885D52">
        <w:t>Māori population includes everyone else.</w:t>
      </w:r>
    </w:p>
    <w:p w:rsidR="00000384" w:rsidRPr="00885D52" w:rsidRDefault="00000384" w:rsidP="00265332"/>
    <w:p w:rsidR="00000384" w:rsidRPr="00885D52" w:rsidRDefault="00000384" w:rsidP="00265332">
      <w:r w:rsidRPr="00885D52">
        <w:t xml:space="preserve">Because of changes in the Births, Deaths, Marriages and Relationships Registration Act 1995 that came into force in September 1995, Māori and non-Māori rates from 1996 onwards are not comparable with earlier data. For this reason, the ethnicity trend data in this publication covers a smaller range (ie, 1996 to 2011) than that of the total population data (see </w:t>
      </w:r>
      <w:r w:rsidR="00885D52" w:rsidRPr="00885D52">
        <w:t>‘</w:t>
      </w:r>
      <w:r w:rsidRPr="00885D52">
        <w:t>Ethnicity notes</w:t>
      </w:r>
      <w:r w:rsidR="00885D52" w:rsidRPr="00885D52">
        <w:t>’</w:t>
      </w:r>
      <w:r w:rsidRPr="00885D52">
        <w:t xml:space="preserve"> for a discussion of issues associated with ethnicity coding).</w:t>
      </w:r>
    </w:p>
    <w:p w:rsidR="00000384" w:rsidRPr="00885D52" w:rsidRDefault="00000384" w:rsidP="00265332"/>
    <w:p w:rsidR="00000384" w:rsidRPr="00885D52" w:rsidRDefault="00000384" w:rsidP="00265332">
      <w:pPr>
        <w:pStyle w:val="Heading2"/>
      </w:pPr>
      <w:bookmarkStart w:id="21" w:name="_Toc167268813"/>
      <w:bookmarkStart w:id="22" w:name="_Toc236642188"/>
      <w:bookmarkStart w:id="23" w:name="_Toc262631067"/>
      <w:bookmarkStart w:id="24" w:name="_Toc316994459"/>
      <w:bookmarkStart w:id="25" w:name="_Toc352670616"/>
      <w:bookmarkStart w:id="26" w:name="_Toc400536172"/>
      <w:bookmarkStart w:id="27" w:name="_Toc403120512"/>
      <w:r w:rsidRPr="00885D52">
        <w:t>Statistical notes</w:t>
      </w:r>
      <w:bookmarkEnd w:id="21"/>
      <w:bookmarkEnd w:id="22"/>
      <w:bookmarkEnd w:id="23"/>
      <w:bookmarkEnd w:id="24"/>
      <w:bookmarkEnd w:id="25"/>
      <w:bookmarkEnd w:id="26"/>
      <w:bookmarkEnd w:id="27"/>
    </w:p>
    <w:p w:rsidR="00000384" w:rsidRPr="00885D52" w:rsidRDefault="00000384" w:rsidP="00265332">
      <w:r w:rsidRPr="00885D52">
        <w:t>In this publication, numbers are generally presented to one decimal place. However, calculations are made from the full string (ie, all the numbers after the decimal place), thereby providing more precise reporting.</w:t>
      </w:r>
    </w:p>
    <w:p w:rsidR="00000384" w:rsidRPr="00885D52" w:rsidRDefault="00000384" w:rsidP="00265332"/>
    <w:p w:rsidR="00000384" w:rsidRPr="00885D52" w:rsidRDefault="00000384" w:rsidP="00265332">
      <w:pPr>
        <w:pStyle w:val="Heading3"/>
      </w:pPr>
      <w:bookmarkStart w:id="28" w:name="_Toc167268814"/>
      <w:bookmarkStart w:id="29" w:name="_Toc168214406"/>
      <w:bookmarkStart w:id="30" w:name="_Toc170107169"/>
      <w:bookmarkStart w:id="31" w:name="_Toc170115126"/>
      <w:bookmarkStart w:id="32" w:name="_Toc175458591"/>
      <w:bookmarkStart w:id="33" w:name="_Toc204141620"/>
      <w:bookmarkStart w:id="34" w:name="_Toc204491447"/>
      <w:bookmarkStart w:id="35" w:name="_Toc208819398"/>
      <w:bookmarkStart w:id="36" w:name="_Toc210192620"/>
      <w:bookmarkStart w:id="37" w:name="_Toc233537029"/>
      <w:bookmarkStart w:id="38" w:name="_Toc236642021"/>
      <w:bookmarkStart w:id="39" w:name="_Toc236642189"/>
      <w:bookmarkStart w:id="40" w:name="_Toc251243494"/>
      <w:bookmarkStart w:id="41" w:name="_Toc256147239"/>
      <w:bookmarkStart w:id="42" w:name="_Toc257035853"/>
      <w:bookmarkStart w:id="43" w:name="_Toc262631068"/>
      <w:bookmarkStart w:id="44" w:name="_Toc263941921"/>
      <w:bookmarkStart w:id="45" w:name="_Toc284314524"/>
      <w:r w:rsidRPr="00885D52">
        <w:t>Age-specific and age-standardised rates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000384" w:rsidRPr="00885D52" w:rsidRDefault="00000384" w:rsidP="00265332">
      <w:r w:rsidRPr="00885D52">
        <w:t>This publication uses age-specific and age-standardised rates.</w:t>
      </w:r>
    </w:p>
    <w:p w:rsidR="00000384" w:rsidRPr="00885D52" w:rsidRDefault="00000384" w:rsidP="00265332"/>
    <w:p w:rsidR="00000384" w:rsidRPr="00885D52" w:rsidRDefault="00000384" w:rsidP="00265332">
      <w:r w:rsidRPr="00885D52">
        <w:t>Age-specific mortality rates represent the number of deaths in relation to the population size of a particular age group. The number of deaths within an age group is divided by the population of that age group and then multiplied by 100,000.</w:t>
      </w:r>
    </w:p>
    <w:p w:rsidR="00000384" w:rsidRPr="00885D52" w:rsidRDefault="00000384" w:rsidP="00265332"/>
    <w:p w:rsidR="00000384" w:rsidRPr="00885D52" w:rsidRDefault="00000384" w:rsidP="00265332">
      <w:r w:rsidRPr="00885D52">
        <w:t xml:space="preserve">Age-standardised rates account for differences in population structure, and can be used to compare groups with different age structures (eg, males and females, or Māori and non-Māori) and data from different years. In the present publication, the population structure used is the WHO World Standard Population, and age-standardised rates are per 100,000 population (see </w:t>
      </w:r>
      <w:r w:rsidR="00885D52" w:rsidRPr="00885D52">
        <w:t>‘</w:t>
      </w:r>
      <w:r w:rsidRPr="00885D52">
        <w:t>Statistical notes</w:t>
      </w:r>
      <w:r w:rsidR="00885D52" w:rsidRPr="00885D52">
        <w:t>’</w:t>
      </w:r>
      <w:r w:rsidRPr="00885D52">
        <w:t>).</w:t>
      </w:r>
    </w:p>
    <w:p w:rsidR="00000384" w:rsidRPr="00885D52" w:rsidRDefault="00000384" w:rsidP="00265332"/>
    <w:p w:rsidR="00000384" w:rsidRPr="00885D52" w:rsidRDefault="00000384" w:rsidP="00265332">
      <w:pPr>
        <w:pStyle w:val="Heading3"/>
      </w:pPr>
      <w:bookmarkStart w:id="46" w:name="_Toc167268815"/>
      <w:bookmarkStart w:id="47" w:name="_Toc168214407"/>
      <w:bookmarkStart w:id="48" w:name="_Toc170107170"/>
      <w:bookmarkStart w:id="49" w:name="_Toc170115127"/>
      <w:bookmarkStart w:id="50" w:name="_Toc175458592"/>
      <w:bookmarkStart w:id="51" w:name="_Toc204141621"/>
      <w:bookmarkStart w:id="52" w:name="_Toc204491448"/>
      <w:bookmarkStart w:id="53" w:name="_Toc208819399"/>
      <w:bookmarkStart w:id="54" w:name="_Toc210192621"/>
      <w:bookmarkStart w:id="55" w:name="_Toc233537030"/>
      <w:bookmarkStart w:id="56" w:name="_Toc236642022"/>
      <w:bookmarkStart w:id="57" w:name="_Toc236642190"/>
      <w:bookmarkStart w:id="58" w:name="_Toc251243495"/>
      <w:bookmarkStart w:id="59" w:name="_Toc256147240"/>
      <w:bookmarkStart w:id="60" w:name="_Toc257035854"/>
      <w:bookmarkStart w:id="61" w:name="_Toc262631069"/>
      <w:bookmarkStart w:id="62" w:name="_Toc263941922"/>
      <w:bookmarkStart w:id="63" w:name="_Toc284314525"/>
      <w:r w:rsidRPr="00885D52">
        <w:t>Confidence intervals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000384" w:rsidRPr="00885D52" w:rsidRDefault="00F62145" w:rsidP="00265332">
      <w:r>
        <w:t>Where</w:t>
      </w:r>
      <w:r w:rsidR="00000384" w:rsidRPr="00885D52">
        <w:t xml:space="preserve"> appropriate, confidence intervals have been calculated </w:t>
      </w:r>
      <w:r>
        <w:t xml:space="preserve">at the 95 percent or 99 percent level </w:t>
      </w:r>
      <w:r w:rsidR="00000384" w:rsidRPr="00885D52">
        <w:t>to aid the interpretation of mortality incidence (Keyfitz 1966). A confidence interval is a range of values used to illustrate the uncertainty around a single value (such as an age-standardised rate). Confidence intervals are calcul</w:t>
      </w:r>
      <w:r>
        <w:t xml:space="preserve">ated with a stated probability; for example </w:t>
      </w:r>
      <w:r w:rsidR="00000384" w:rsidRPr="00885D52">
        <w:t>95 percent (which would indicate that there is a 95 percent chance that the true value lies</w:t>
      </w:r>
      <w:r>
        <w:t xml:space="preserve"> within the confidence interval</w:t>
      </w:r>
      <w:r w:rsidR="00000384" w:rsidRPr="00885D52">
        <w:t>).</w:t>
      </w:r>
    </w:p>
    <w:p w:rsidR="00000384" w:rsidRPr="00885D52" w:rsidRDefault="00000384" w:rsidP="00265332"/>
    <w:p w:rsidR="00000384" w:rsidRPr="00885D52" w:rsidRDefault="00000384" w:rsidP="00265332">
      <w:r w:rsidRPr="00885D52">
        <w:t>Note that Māori populations have lower numbers relative to the total population. This can result in greater variance (and thus larger confidence intervals) when calculating age-standardised rates. Any precise calculations made in the present publication (such as percentage differences between ethnic mortality rates) must be interpreted with this caveat in mind.</w:t>
      </w:r>
    </w:p>
    <w:p w:rsidR="00000384" w:rsidRPr="00885D52" w:rsidRDefault="00000384" w:rsidP="00265332"/>
    <w:p w:rsidR="00000384" w:rsidRPr="00885D52" w:rsidRDefault="00000384" w:rsidP="00265332">
      <w:pPr>
        <w:pStyle w:val="Heading2"/>
      </w:pPr>
      <w:bookmarkStart w:id="64" w:name="_Toc167268816"/>
      <w:bookmarkStart w:id="65" w:name="_Toc236642191"/>
      <w:bookmarkStart w:id="66" w:name="_Toc262631070"/>
      <w:bookmarkStart w:id="67" w:name="_Toc316994460"/>
      <w:bookmarkStart w:id="68" w:name="_Toc352670617"/>
      <w:bookmarkStart w:id="69" w:name="_Toc400536173"/>
      <w:bookmarkStart w:id="70" w:name="_Toc403120513"/>
      <w:r w:rsidRPr="00885D52">
        <w:lastRenderedPageBreak/>
        <w:t>Further mortality data</w:t>
      </w:r>
      <w:bookmarkEnd w:id="64"/>
      <w:bookmarkEnd w:id="65"/>
      <w:bookmarkEnd w:id="66"/>
      <w:bookmarkEnd w:id="67"/>
      <w:bookmarkEnd w:id="68"/>
      <w:bookmarkEnd w:id="69"/>
      <w:bookmarkEnd w:id="70"/>
    </w:p>
    <w:p w:rsidR="00000384" w:rsidRPr="00885D52" w:rsidRDefault="00000384" w:rsidP="00265332">
      <w:pPr>
        <w:keepNext/>
      </w:pPr>
      <w:r w:rsidRPr="00885D52">
        <w:t>Other Ministry of Health publications contain further mortality-related data. These include publications on fetal and infant deaths, suicide, and cancer incidence and mortality.</w:t>
      </w:r>
    </w:p>
    <w:p w:rsidR="00000384" w:rsidRPr="00885D52" w:rsidRDefault="00000384" w:rsidP="00265332">
      <w:pPr>
        <w:keepNext/>
      </w:pPr>
    </w:p>
    <w:p w:rsidR="00000384" w:rsidRPr="00885D52" w:rsidRDefault="00000384" w:rsidP="00265332">
      <w:r w:rsidRPr="00885D52">
        <w:t xml:space="preserve">More detailed information on numbers and rates of live births and on fetal, neonatal and post-neonatal deaths is published in the annual publication series </w:t>
      </w:r>
      <w:hyperlink r:id="rId21" w:history="1">
        <w:r w:rsidRPr="00885D52">
          <w:rPr>
            <w:rStyle w:val="Hyperlink"/>
            <w:i/>
          </w:rPr>
          <w:t>Fetal and Infant Deaths</w:t>
        </w:r>
      </w:hyperlink>
      <w:r w:rsidRPr="00885D52">
        <w:rPr>
          <w:i/>
        </w:rPr>
        <w:t xml:space="preserve"> </w:t>
      </w:r>
      <w:r w:rsidRPr="00885D52">
        <w:t>(www.health.govt.nz/nz-health-statistics/health-statistics-and-data-sets/fetal-and-infant-deaths-series).</w:t>
      </w:r>
    </w:p>
    <w:p w:rsidR="00000384" w:rsidRPr="00885D52" w:rsidRDefault="00000384" w:rsidP="00265332"/>
    <w:p w:rsidR="00000384" w:rsidRPr="00885D52" w:rsidRDefault="00000384" w:rsidP="00265332">
      <w:r w:rsidRPr="00885D52">
        <w:t xml:space="preserve">Information on hospitalisations and mortality from suicide can be found in </w:t>
      </w:r>
      <w:hyperlink r:id="rId22" w:history="1">
        <w:r w:rsidRPr="00885D52">
          <w:rPr>
            <w:rStyle w:val="Hyperlink"/>
            <w:i/>
          </w:rPr>
          <w:t>Suicide Facts: Deaths and intentional self-harm hospitalisations</w:t>
        </w:r>
      </w:hyperlink>
      <w:r w:rsidRPr="00885D52">
        <w:rPr>
          <w:i/>
        </w:rPr>
        <w:t xml:space="preserve"> </w:t>
      </w:r>
      <w:r w:rsidRPr="00885D52">
        <w:t>(www.health.govt.nz/nz-health-statistics/health-statistics-and-data-sets/suicide-facts-deaths-and-intentional-self-harm-hospitalisations-series).</w:t>
      </w:r>
    </w:p>
    <w:p w:rsidR="00000384" w:rsidRPr="00885D52" w:rsidRDefault="00000384" w:rsidP="00265332"/>
    <w:p w:rsidR="00000384" w:rsidRPr="00885D52" w:rsidRDefault="00000384" w:rsidP="00265332">
      <w:r w:rsidRPr="00885D52">
        <w:t xml:space="preserve">Information on cancer registrations and mortality can be found in </w:t>
      </w:r>
      <w:hyperlink r:id="rId23" w:history="1">
        <w:r w:rsidRPr="00885D52">
          <w:rPr>
            <w:rStyle w:val="Hyperlink"/>
            <w:i/>
          </w:rPr>
          <w:t>Cancer: New Registrations and Deaths</w:t>
        </w:r>
      </w:hyperlink>
      <w:r w:rsidRPr="00885D52">
        <w:rPr>
          <w:i/>
        </w:rPr>
        <w:t xml:space="preserve"> </w:t>
      </w:r>
      <w:r w:rsidRPr="00885D52">
        <w:t>(www.health.govt.nz/nz-health-statistics/health-statistics-and-data-sets/cancer-new-registrations-and-deaths-series).</w:t>
      </w:r>
    </w:p>
    <w:p w:rsidR="00000384" w:rsidRPr="00885D52" w:rsidRDefault="00000384" w:rsidP="00265332"/>
    <w:p w:rsidR="00000384" w:rsidRPr="00885D52" w:rsidRDefault="00000384" w:rsidP="00265332">
      <w:r w:rsidRPr="00885D52">
        <w:t xml:space="preserve">For a complete listing of other mortality-related data, see </w:t>
      </w:r>
      <w:r w:rsidR="00885D52" w:rsidRPr="00885D52">
        <w:t>‘</w:t>
      </w:r>
      <w:r w:rsidRPr="00885D52">
        <w:t>Further mortality-related information</w:t>
      </w:r>
      <w:r w:rsidR="00885D52" w:rsidRPr="00885D52">
        <w:t>’</w:t>
      </w:r>
      <w:r w:rsidRPr="00885D52">
        <w:t>.</w:t>
      </w:r>
    </w:p>
    <w:p w:rsidR="00265332" w:rsidRPr="00885D52" w:rsidRDefault="00265332" w:rsidP="00265332"/>
    <w:p w:rsidR="00000384" w:rsidRPr="00885D52" w:rsidRDefault="00000384" w:rsidP="00265332">
      <w:pPr>
        <w:pStyle w:val="Heading1"/>
      </w:pPr>
      <w:r w:rsidRPr="00885D52">
        <w:br w:type="page"/>
      </w:r>
      <w:bookmarkStart w:id="71" w:name="_Toc167268817"/>
      <w:bookmarkStart w:id="72" w:name="_Toc236642192"/>
      <w:bookmarkStart w:id="73" w:name="_Toc262631071"/>
      <w:bookmarkStart w:id="74" w:name="_Toc316994461"/>
      <w:bookmarkStart w:id="75" w:name="_Toc352670618"/>
      <w:bookmarkStart w:id="76" w:name="_Toc400536174"/>
      <w:bookmarkStart w:id="77" w:name="_Toc403120514"/>
      <w:r w:rsidRPr="00885D52">
        <w:lastRenderedPageBreak/>
        <w:t>Quick facts</w:t>
      </w:r>
      <w:bookmarkEnd w:id="71"/>
      <w:bookmarkEnd w:id="72"/>
      <w:bookmarkEnd w:id="73"/>
      <w:bookmarkEnd w:id="74"/>
      <w:bookmarkEnd w:id="75"/>
      <w:bookmarkEnd w:id="76"/>
      <w:bookmarkEnd w:id="77"/>
    </w:p>
    <w:p w:rsidR="00000384" w:rsidRPr="00885D52" w:rsidRDefault="00000384" w:rsidP="00265332">
      <w:pPr>
        <w:pStyle w:val="Heading2"/>
      </w:pPr>
      <w:bookmarkStart w:id="78" w:name="_Toc167268818"/>
      <w:bookmarkStart w:id="79" w:name="_Toc168214411"/>
      <w:bookmarkStart w:id="80" w:name="_Toc170107174"/>
      <w:bookmarkStart w:id="81" w:name="_Toc170115131"/>
      <w:bookmarkStart w:id="82" w:name="_Toc175458596"/>
      <w:bookmarkStart w:id="83" w:name="_Toc204141625"/>
      <w:bookmarkStart w:id="84" w:name="_Toc210192624"/>
      <w:bookmarkStart w:id="85" w:name="_Toc233537033"/>
      <w:bookmarkStart w:id="86" w:name="_Toc236642025"/>
      <w:bookmarkStart w:id="87" w:name="_Toc236642193"/>
      <w:bookmarkStart w:id="88" w:name="_Toc251243498"/>
      <w:bookmarkStart w:id="89" w:name="_Toc256147243"/>
      <w:bookmarkStart w:id="90" w:name="_Toc257035857"/>
      <w:bookmarkStart w:id="91" w:name="_Toc262631072"/>
      <w:bookmarkStart w:id="92" w:name="_Toc263941925"/>
      <w:bookmarkStart w:id="93" w:name="_Toc284314528"/>
      <w:bookmarkStart w:id="94" w:name="_Toc316994462"/>
      <w:bookmarkStart w:id="95" w:name="_Toc342404228"/>
      <w:bookmarkStart w:id="96" w:name="_Toc352670619"/>
      <w:bookmarkStart w:id="97" w:name="_Toc400536175"/>
      <w:bookmarkStart w:id="98" w:name="_Toc403120515"/>
      <w:bookmarkStart w:id="99" w:name="_Toc437748987"/>
      <w:bookmarkStart w:id="100" w:name="_Toc167268819"/>
      <w:bookmarkStart w:id="101" w:name="_Toc168214414"/>
      <w:bookmarkStart w:id="102" w:name="_Toc170107177"/>
      <w:bookmarkStart w:id="103" w:name="_Toc170115134"/>
      <w:bookmarkStart w:id="104" w:name="_Toc175458599"/>
      <w:bookmarkStart w:id="105" w:name="_Toc204141628"/>
      <w:bookmarkStart w:id="106" w:name="_Toc210192627"/>
      <w:bookmarkStart w:id="107" w:name="_Toc233537036"/>
      <w:bookmarkStart w:id="108" w:name="_Toc236642028"/>
      <w:bookmarkStart w:id="109" w:name="_Toc236642196"/>
      <w:bookmarkStart w:id="110" w:name="_Toc251243501"/>
      <w:bookmarkStart w:id="111" w:name="_Toc256147246"/>
      <w:bookmarkStart w:id="112" w:name="_Toc257035860"/>
      <w:bookmarkStart w:id="113" w:name="_Toc262631075"/>
      <w:r w:rsidRPr="00885D52">
        <w:t xml:space="preserve">Mortality </w:t>
      </w:r>
      <w:bookmarkEnd w:id="78"/>
      <w:bookmarkEnd w:id="79"/>
      <w:bookmarkEnd w:id="80"/>
      <w:bookmarkEnd w:id="81"/>
      <w:bookmarkEnd w:id="82"/>
      <w:bookmarkEnd w:id="83"/>
      <w:bookmarkEnd w:id="84"/>
      <w:bookmarkEnd w:id="85"/>
      <w:bookmarkEnd w:id="86"/>
      <w:bookmarkEnd w:id="87"/>
      <w:bookmarkEnd w:id="88"/>
      <w:bookmarkEnd w:id="89"/>
      <w:bookmarkEnd w:id="90"/>
      <w:r w:rsidRPr="00885D52">
        <w:t>2011 – numbers and rates</w:t>
      </w:r>
      <w:bookmarkEnd w:id="91"/>
      <w:bookmarkEnd w:id="92"/>
      <w:bookmarkEnd w:id="93"/>
      <w:bookmarkEnd w:id="94"/>
      <w:bookmarkEnd w:id="95"/>
      <w:bookmarkEnd w:id="96"/>
      <w:bookmarkEnd w:id="97"/>
      <w:bookmarkEnd w:id="98"/>
    </w:p>
    <w:p w:rsidR="00000384" w:rsidRPr="00885D52" w:rsidRDefault="00000384" w:rsidP="00265332">
      <w:pPr>
        <w:pStyle w:val="Heading3"/>
      </w:pPr>
      <w:r w:rsidRPr="00885D52">
        <w:t>Number of deaths</w:t>
      </w:r>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654"/>
        <w:gridCol w:w="1654"/>
        <w:gridCol w:w="1654"/>
      </w:tblGrid>
      <w:tr w:rsidR="00000384" w:rsidRPr="00885D52" w:rsidTr="00265332">
        <w:trPr>
          <w:cantSplit/>
        </w:trPr>
        <w:tc>
          <w:tcPr>
            <w:tcW w:w="2268" w:type="dxa"/>
            <w:vMerge w:val="restart"/>
            <w:tcBorders>
              <w:top w:val="single" w:sz="4" w:space="0" w:color="auto"/>
              <w:bottom w:val="single" w:sz="4" w:space="0" w:color="auto"/>
            </w:tcBorders>
            <w:shd w:val="clear" w:color="auto" w:fill="auto"/>
            <w:noWrap/>
          </w:tcPr>
          <w:p w:rsidR="00000384" w:rsidRPr="00885D52" w:rsidRDefault="00000384" w:rsidP="007E73A8">
            <w:pPr>
              <w:pStyle w:val="TableText"/>
            </w:pPr>
          </w:p>
        </w:tc>
        <w:tc>
          <w:tcPr>
            <w:tcW w:w="4962" w:type="dxa"/>
            <w:gridSpan w:val="3"/>
            <w:tcBorders>
              <w:top w:val="single" w:sz="4" w:space="0" w:color="auto"/>
              <w:bottom w:val="single" w:sz="4" w:space="0" w:color="auto"/>
            </w:tcBorders>
            <w:shd w:val="clear" w:color="auto" w:fill="auto"/>
            <w:noWrap/>
          </w:tcPr>
          <w:p w:rsidR="00000384" w:rsidRPr="00885D52" w:rsidRDefault="00000384" w:rsidP="007E73A8">
            <w:pPr>
              <w:pStyle w:val="TableText"/>
              <w:jc w:val="center"/>
              <w:rPr>
                <w:b/>
              </w:rPr>
            </w:pPr>
            <w:r w:rsidRPr="00885D52">
              <w:rPr>
                <w:b/>
              </w:rPr>
              <w:t>2011 mortality</w:t>
            </w:r>
          </w:p>
        </w:tc>
      </w:tr>
      <w:tr w:rsidR="00000384" w:rsidRPr="00885D52" w:rsidTr="00265332">
        <w:trPr>
          <w:cantSplit/>
        </w:trPr>
        <w:tc>
          <w:tcPr>
            <w:tcW w:w="2268" w:type="dxa"/>
            <w:vMerge/>
            <w:tcBorders>
              <w:top w:val="single" w:sz="4" w:space="0" w:color="auto"/>
              <w:bottom w:val="single" w:sz="4" w:space="0" w:color="auto"/>
            </w:tcBorders>
            <w:shd w:val="clear" w:color="auto" w:fill="auto"/>
            <w:noWrap/>
          </w:tcPr>
          <w:p w:rsidR="00000384" w:rsidRPr="00885D52" w:rsidRDefault="00000384" w:rsidP="007E73A8">
            <w:pPr>
              <w:pStyle w:val="TableText"/>
            </w:pPr>
          </w:p>
        </w:tc>
        <w:tc>
          <w:tcPr>
            <w:tcW w:w="1654" w:type="dxa"/>
            <w:tcBorders>
              <w:top w:val="single" w:sz="4" w:space="0" w:color="auto"/>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Total</w:t>
            </w:r>
          </w:p>
        </w:tc>
        <w:tc>
          <w:tcPr>
            <w:tcW w:w="1654" w:type="dxa"/>
            <w:tcBorders>
              <w:top w:val="single" w:sz="4" w:space="0" w:color="auto"/>
              <w:left w:val="single" w:sz="4" w:space="0" w:color="A6A6A6"/>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Male</w:t>
            </w:r>
          </w:p>
        </w:tc>
        <w:tc>
          <w:tcPr>
            <w:tcW w:w="1654" w:type="dxa"/>
            <w:tcBorders>
              <w:top w:val="single" w:sz="4" w:space="0" w:color="auto"/>
              <w:left w:val="single" w:sz="4" w:space="0" w:color="A6A6A6"/>
              <w:bottom w:val="single" w:sz="4" w:space="0" w:color="auto"/>
            </w:tcBorders>
            <w:shd w:val="clear" w:color="auto" w:fill="auto"/>
            <w:noWrap/>
          </w:tcPr>
          <w:p w:rsidR="00000384" w:rsidRPr="00885D52" w:rsidRDefault="00000384" w:rsidP="007E73A8">
            <w:pPr>
              <w:pStyle w:val="TableText"/>
              <w:jc w:val="center"/>
              <w:rPr>
                <w:b/>
              </w:rPr>
            </w:pPr>
            <w:r w:rsidRPr="00885D52">
              <w:rPr>
                <w:b/>
              </w:rPr>
              <w:t>Female</w:t>
            </w:r>
          </w:p>
        </w:tc>
      </w:tr>
      <w:tr w:rsidR="00000384" w:rsidRPr="00885D52" w:rsidTr="00265332">
        <w:trPr>
          <w:cantSplit/>
          <w:trHeight w:val="340"/>
        </w:trPr>
        <w:tc>
          <w:tcPr>
            <w:tcW w:w="2268" w:type="dxa"/>
            <w:tcBorders>
              <w:top w:val="single" w:sz="4" w:space="0" w:color="auto"/>
              <w:bottom w:val="nil"/>
            </w:tcBorders>
            <w:shd w:val="clear" w:color="auto" w:fill="F2F2F2"/>
            <w:noWrap/>
          </w:tcPr>
          <w:p w:rsidR="00000384" w:rsidRPr="00885D52" w:rsidRDefault="00000384" w:rsidP="007E73A8">
            <w:pPr>
              <w:pStyle w:val="TableText"/>
            </w:pPr>
            <w:r w:rsidRPr="00885D52">
              <w:t>Māori</w:t>
            </w:r>
          </w:p>
        </w:tc>
        <w:tc>
          <w:tcPr>
            <w:tcW w:w="1654" w:type="dxa"/>
            <w:tcBorders>
              <w:top w:val="single" w:sz="4" w:space="0" w:color="auto"/>
              <w:bottom w:val="nil"/>
              <w:right w:val="single" w:sz="4" w:space="0" w:color="A6A6A6"/>
            </w:tcBorders>
            <w:shd w:val="clear" w:color="auto" w:fill="F2F2F2"/>
            <w:noWrap/>
          </w:tcPr>
          <w:p w:rsidR="00000384" w:rsidRPr="00885D52" w:rsidRDefault="00000384" w:rsidP="00265332">
            <w:pPr>
              <w:pStyle w:val="TableText"/>
              <w:tabs>
                <w:tab w:val="decimal" w:pos="1077"/>
              </w:tabs>
            </w:pPr>
            <w:r w:rsidRPr="00885D52">
              <w:t>3027</w:t>
            </w:r>
          </w:p>
        </w:tc>
        <w:tc>
          <w:tcPr>
            <w:tcW w:w="1654" w:type="dxa"/>
            <w:tcBorders>
              <w:top w:val="single" w:sz="4" w:space="0" w:color="auto"/>
              <w:left w:val="single" w:sz="4" w:space="0" w:color="A6A6A6"/>
              <w:bottom w:val="nil"/>
              <w:right w:val="single" w:sz="4" w:space="0" w:color="A6A6A6"/>
            </w:tcBorders>
            <w:shd w:val="clear" w:color="auto" w:fill="F2F2F2"/>
            <w:noWrap/>
          </w:tcPr>
          <w:p w:rsidR="00000384" w:rsidRPr="00885D52" w:rsidRDefault="00000384" w:rsidP="00265332">
            <w:pPr>
              <w:pStyle w:val="TableText"/>
              <w:tabs>
                <w:tab w:val="decimal" w:pos="1077"/>
              </w:tabs>
            </w:pPr>
            <w:r w:rsidRPr="00885D52">
              <w:t>1568</w:t>
            </w:r>
          </w:p>
        </w:tc>
        <w:tc>
          <w:tcPr>
            <w:tcW w:w="1654" w:type="dxa"/>
            <w:tcBorders>
              <w:top w:val="single" w:sz="4" w:space="0" w:color="auto"/>
              <w:left w:val="single" w:sz="4" w:space="0" w:color="A6A6A6"/>
              <w:bottom w:val="nil"/>
            </w:tcBorders>
            <w:shd w:val="clear" w:color="auto" w:fill="F2F2F2"/>
            <w:noWrap/>
          </w:tcPr>
          <w:p w:rsidR="00000384" w:rsidRPr="00885D52" w:rsidRDefault="00000384" w:rsidP="00265332">
            <w:pPr>
              <w:pStyle w:val="TableText"/>
              <w:tabs>
                <w:tab w:val="decimal" w:pos="1077"/>
              </w:tabs>
            </w:pPr>
            <w:r w:rsidRPr="00885D52">
              <w:t>1459</w:t>
            </w:r>
          </w:p>
        </w:tc>
      </w:tr>
      <w:tr w:rsidR="00000384" w:rsidRPr="00885D52" w:rsidTr="00265332">
        <w:trPr>
          <w:cantSplit/>
        </w:trPr>
        <w:tc>
          <w:tcPr>
            <w:tcW w:w="2268" w:type="dxa"/>
            <w:tcBorders>
              <w:top w:val="nil"/>
              <w:bottom w:val="nil"/>
            </w:tcBorders>
            <w:shd w:val="clear" w:color="auto" w:fill="auto"/>
            <w:noWrap/>
            <w:vAlign w:val="bottom"/>
          </w:tcPr>
          <w:p w:rsidR="00000384" w:rsidRPr="00885D52" w:rsidRDefault="00000384" w:rsidP="007E73A8">
            <w:pPr>
              <w:pStyle w:val="TableText"/>
            </w:pPr>
            <w:r w:rsidRPr="00885D52">
              <w:t>Non-Māori</w:t>
            </w:r>
          </w:p>
        </w:tc>
        <w:tc>
          <w:tcPr>
            <w:tcW w:w="1654" w:type="dxa"/>
            <w:tcBorders>
              <w:top w:val="nil"/>
              <w:bottom w:val="nil"/>
              <w:right w:val="single" w:sz="4" w:space="0" w:color="A6A6A6"/>
            </w:tcBorders>
            <w:shd w:val="clear" w:color="auto" w:fill="auto"/>
            <w:noWrap/>
            <w:vAlign w:val="center"/>
          </w:tcPr>
          <w:p w:rsidR="00000384" w:rsidRPr="00885D52" w:rsidRDefault="00000384" w:rsidP="00265332">
            <w:pPr>
              <w:pStyle w:val="TableText"/>
              <w:tabs>
                <w:tab w:val="decimal" w:pos="1077"/>
              </w:tabs>
            </w:pPr>
            <w:r w:rsidRPr="00885D52">
              <w:t>27,262</w:t>
            </w:r>
          </w:p>
        </w:tc>
        <w:tc>
          <w:tcPr>
            <w:tcW w:w="1654" w:type="dxa"/>
            <w:tcBorders>
              <w:top w:val="nil"/>
              <w:left w:val="single" w:sz="4" w:space="0" w:color="A6A6A6"/>
              <w:bottom w:val="nil"/>
              <w:right w:val="single" w:sz="4" w:space="0" w:color="A6A6A6"/>
            </w:tcBorders>
            <w:shd w:val="clear" w:color="auto" w:fill="auto"/>
            <w:noWrap/>
            <w:vAlign w:val="center"/>
          </w:tcPr>
          <w:p w:rsidR="00000384" w:rsidRPr="00885D52" w:rsidRDefault="00000384" w:rsidP="00265332">
            <w:pPr>
              <w:pStyle w:val="TableText"/>
              <w:tabs>
                <w:tab w:val="decimal" w:pos="1077"/>
              </w:tabs>
            </w:pPr>
            <w:r w:rsidRPr="00885D52">
              <w:t>13,373</w:t>
            </w:r>
          </w:p>
        </w:tc>
        <w:tc>
          <w:tcPr>
            <w:tcW w:w="1654" w:type="dxa"/>
            <w:tcBorders>
              <w:top w:val="nil"/>
              <w:left w:val="single" w:sz="4" w:space="0" w:color="A6A6A6"/>
              <w:bottom w:val="nil"/>
            </w:tcBorders>
            <w:shd w:val="clear" w:color="auto" w:fill="auto"/>
            <w:noWrap/>
            <w:vAlign w:val="center"/>
          </w:tcPr>
          <w:p w:rsidR="00000384" w:rsidRPr="00885D52" w:rsidRDefault="00000384" w:rsidP="00265332">
            <w:pPr>
              <w:pStyle w:val="TableText"/>
              <w:tabs>
                <w:tab w:val="decimal" w:pos="1077"/>
              </w:tabs>
            </w:pPr>
            <w:r w:rsidRPr="00885D52">
              <w:t>13,889</w:t>
            </w:r>
          </w:p>
        </w:tc>
      </w:tr>
      <w:tr w:rsidR="00000384" w:rsidRPr="00885D52" w:rsidTr="00265332">
        <w:trPr>
          <w:cantSplit/>
        </w:trPr>
        <w:tc>
          <w:tcPr>
            <w:tcW w:w="2268" w:type="dxa"/>
            <w:tcBorders>
              <w:top w:val="nil"/>
              <w:bottom w:val="single" w:sz="4" w:space="0" w:color="auto"/>
            </w:tcBorders>
            <w:shd w:val="clear" w:color="auto" w:fill="F2F2F2"/>
            <w:noWrap/>
          </w:tcPr>
          <w:p w:rsidR="00000384" w:rsidRPr="00885D52" w:rsidRDefault="00000384" w:rsidP="007E73A8">
            <w:pPr>
              <w:pStyle w:val="TableText"/>
            </w:pPr>
            <w:r w:rsidRPr="00885D52">
              <w:t>Total</w:t>
            </w:r>
          </w:p>
        </w:tc>
        <w:tc>
          <w:tcPr>
            <w:tcW w:w="1654" w:type="dxa"/>
            <w:tcBorders>
              <w:top w:val="nil"/>
              <w:bottom w:val="single" w:sz="4" w:space="0" w:color="auto"/>
              <w:right w:val="single" w:sz="4" w:space="0" w:color="A6A6A6"/>
            </w:tcBorders>
            <w:shd w:val="clear" w:color="auto" w:fill="F2F2F2"/>
            <w:noWrap/>
          </w:tcPr>
          <w:p w:rsidR="00000384" w:rsidRPr="00885D52" w:rsidRDefault="00000384" w:rsidP="00265332">
            <w:pPr>
              <w:pStyle w:val="TableText"/>
              <w:tabs>
                <w:tab w:val="decimal" w:pos="1077"/>
              </w:tabs>
            </w:pPr>
            <w:r w:rsidRPr="00885D52">
              <w:t>30,289</w:t>
            </w:r>
          </w:p>
        </w:tc>
        <w:tc>
          <w:tcPr>
            <w:tcW w:w="1654" w:type="dxa"/>
            <w:tcBorders>
              <w:top w:val="nil"/>
              <w:left w:val="single" w:sz="4" w:space="0" w:color="A6A6A6"/>
              <w:bottom w:val="single" w:sz="4" w:space="0" w:color="auto"/>
              <w:right w:val="single" w:sz="4" w:space="0" w:color="A6A6A6"/>
            </w:tcBorders>
            <w:shd w:val="clear" w:color="auto" w:fill="F2F2F2"/>
            <w:noWrap/>
          </w:tcPr>
          <w:p w:rsidR="00000384" w:rsidRPr="00885D52" w:rsidRDefault="00000384" w:rsidP="00265332">
            <w:pPr>
              <w:pStyle w:val="TableText"/>
              <w:tabs>
                <w:tab w:val="decimal" w:pos="1077"/>
              </w:tabs>
            </w:pPr>
            <w:r w:rsidRPr="00885D52">
              <w:t>14,941</w:t>
            </w:r>
          </w:p>
        </w:tc>
        <w:tc>
          <w:tcPr>
            <w:tcW w:w="1654" w:type="dxa"/>
            <w:tcBorders>
              <w:top w:val="nil"/>
              <w:left w:val="single" w:sz="4" w:space="0" w:color="A6A6A6"/>
              <w:bottom w:val="single" w:sz="4" w:space="0" w:color="auto"/>
            </w:tcBorders>
            <w:shd w:val="clear" w:color="auto" w:fill="F2F2F2"/>
            <w:noWrap/>
          </w:tcPr>
          <w:p w:rsidR="00000384" w:rsidRPr="00885D52" w:rsidRDefault="00000384" w:rsidP="00265332">
            <w:pPr>
              <w:pStyle w:val="TableText"/>
              <w:tabs>
                <w:tab w:val="decimal" w:pos="1077"/>
              </w:tabs>
            </w:pPr>
            <w:r w:rsidRPr="00885D52">
              <w:t>15,348</w:t>
            </w:r>
          </w:p>
        </w:tc>
      </w:tr>
    </w:tbl>
    <w:p w:rsidR="00000384" w:rsidRPr="00885D52" w:rsidRDefault="00000384" w:rsidP="00265332">
      <w:bookmarkStart w:id="114" w:name="_Toc168214413"/>
      <w:bookmarkStart w:id="115" w:name="_Toc170107176"/>
      <w:bookmarkStart w:id="116" w:name="_Toc170115133"/>
      <w:bookmarkStart w:id="117" w:name="_Toc175458598"/>
      <w:bookmarkStart w:id="118" w:name="_Toc204141627"/>
      <w:bookmarkStart w:id="119" w:name="_Toc204491454"/>
      <w:bookmarkStart w:id="120" w:name="_Toc208819404"/>
      <w:bookmarkStart w:id="121" w:name="_Toc210192626"/>
      <w:bookmarkStart w:id="122" w:name="_Toc233537035"/>
      <w:bookmarkStart w:id="123" w:name="_Toc236642027"/>
      <w:bookmarkStart w:id="124" w:name="_Toc236642195"/>
      <w:bookmarkStart w:id="125" w:name="_Toc251243500"/>
      <w:bookmarkStart w:id="126" w:name="_Toc256147245"/>
      <w:bookmarkStart w:id="127" w:name="_Toc257035859"/>
      <w:bookmarkStart w:id="128" w:name="_Toc262631074"/>
    </w:p>
    <w:p w:rsidR="00000384" w:rsidRPr="00885D52" w:rsidRDefault="00000384" w:rsidP="00000384">
      <w:pPr>
        <w:pStyle w:val="Heading3"/>
      </w:pPr>
      <w:bookmarkStart w:id="129" w:name="_Toc263941927"/>
      <w:bookmarkStart w:id="130" w:name="_Toc284314530"/>
      <w:r w:rsidRPr="00885D52">
        <w:t>Age-standardised rates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1654"/>
        <w:gridCol w:w="1654"/>
        <w:gridCol w:w="1654"/>
      </w:tblGrid>
      <w:tr w:rsidR="00000384" w:rsidRPr="00885D52" w:rsidTr="00265332">
        <w:trPr>
          <w:cantSplit/>
        </w:trPr>
        <w:tc>
          <w:tcPr>
            <w:tcW w:w="2268" w:type="dxa"/>
            <w:vMerge w:val="restart"/>
            <w:tcBorders>
              <w:top w:val="single" w:sz="4" w:space="0" w:color="auto"/>
              <w:bottom w:val="single" w:sz="4" w:space="0" w:color="auto"/>
            </w:tcBorders>
            <w:shd w:val="clear" w:color="auto" w:fill="auto"/>
            <w:noWrap/>
          </w:tcPr>
          <w:p w:rsidR="00000384" w:rsidRPr="00885D52" w:rsidRDefault="00000384" w:rsidP="007E73A8">
            <w:pPr>
              <w:pStyle w:val="TableText"/>
            </w:pPr>
          </w:p>
        </w:tc>
        <w:tc>
          <w:tcPr>
            <w:tcW w:w="4962" w:type="dxa"/>
            <w:gridSpan w:val="3"/>
            <w:tcBorders>
              <w:top w:val="single" w:sz="4" w:space="0" w:color="auto"/>
              <w:bottom w:val="single" w:sz="4" w:space="0" w:color="auto"/>
            </w:tcBorders>
            <w:shd w:val="clear" w:color="auto" w:fill="auto"/>
            <w:noWrap/>
          </w:tcPr>
          <w:p w:rsidR="00000384" w:rsidRPr="00885D52" w:rsidRDefault="00000384" w:rsidP="007E73A8">
            <w:pPr>
              <w:pStyle w:val="TableText"/>
              <w:jc w:val="center"/>
              <w:rPr>
                <w:b/>
              </w:rPr>
            </w:pPr>
            <w:r w:rsidRPr="00885D52">
              <w:rPr>
                <w:b/>
              </w:rPr>
              <w:t>2011 mortality rates*</w:t>
            </w:r>
          </w:p>
        </w:tc>
      </w:tr>
      <w:tr w:rsidR="00000384" w:rsidRPr="00885D52" w:rsidTr="00265332">
        <w:trPr>
          <w:cantSplit/>
        </w:trPr>
        <w:tc>
          <w:tcPr>
            <w:tcW w:w="2268" w:type="dxa"/>
            <w:vMerge/>
            <w:tcBorders>
              <w:top w:val="single" w:sz="4" w:space="0" w:color="auto"/>
              <w:bottom w:val="single" w:sz="4" w:space="0" w:color="auto"/>
            </w:tcBorders>
            <w:shd w:val="clear" w:color="auto" w:fill="auto"/>
            <w:noWrap/>
          </w:tcPr>
          <w:p w:rsidR="00000384" w:rsidRPr="00885D52" w:rsidRDefault="00000384" w:rsidP="007E73A8">
            <w:pPr>
              <w:pStyle w:val="TableText"/>
            </w:pPr>
          </w:p>
        </w:tc>
        <w:tc>
          <w:tcPr>
            <w:tcW w:w="1654" w:type="dxa"/>
            <w:tcBorders>
              <w:top w:val="single" w:sz="4" w:space="0" w:color="auto"/>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Total</w:t>
            </w:r>
          </w:p>
        </w:tc>
        <w:tc>
          <w:tcPr>
            <w:tcW w:w="1654" w:type="dxa"/>
            <w:tcBorders>
              <w:top w:val="single" w:sz="4" w:space="0" w:color="auto"/>
              <w:left w:val="single" w:sz="4" w:space="0" w:color="A6A6A6"/>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Male</w:t>
            </w:r>
          </w:p>
        </w:tc>
        <w:tc>
          <w:tcPr>
            <w:tcW w:w="1654" w:type="dxa"/>
            <w:tcBorders>
              <w:top w:val="single" w:sz="4" w:space="0" w:color="auto"/>
              <w:left w:val="single" w:sz="4" w:space="0" w:color="A6A6A6"/>
              <w:bottom w:val="single" w:sz="4" w:space="0" w:color="auto"/>
            </w:tcBorders>
            <w:shd w:val="clear" w:color="auto" w:fill="auto"/>
            <w:noWrap/>
          </w:tcPr>
          <w:p w:rsidR="00000384" w:rsidRPr="00885D52" w:rsidRDefault="00000384" w:rsidP="007E73A8">
            <w:pPr>
              <w:pStyle w:val="TableText"/>
              <w:jc w:val="center"/>
              <w:rPr>
                <w:b/>
              </w:rPr>
            </w:pPr>
            <w:r w:rsidRPr="00885D52">
              <w:rPr>
                <w:b/>
              </w:rPr>
              <w:t>Female</w:t>
            </w:r>
          </w:p>
        </w:tc>
      </w:tr>
      <w:tr w:rsidR="00000384" w:rsidRPr="00885D52" w:rsidTr="00265332">
        <w:trPr>
          <w:cantSplit/>
        </w:trPr>
        <w:tc>
          <w:tcPr>
            <w:tcW w:w="2268" w:type="dxa"/>
            <w:tcBorders>
              <w:top w:val="single" w:sz="4" w:space="0" w:color="auto"/>
              <w:bottom w:val="nil"/>
            </w:tcBorders>
            <w:shd w:val="clear" w:color="auto" w:fill="F2F2F2"/>
            <w:noWrap/>
          </w:tcPr>
          <w:p w:rsidR="00000384" w:rsidRPr="00885D52" w:rsidRDefault="00000384" w:rsidP="007E73A8">
            <w:pPr>
              <w:pStyle w:val="TableText"/>
            </w:pPr>
            <w:r w:rsidRPr="00885D52">
              <w:t>Māori</w:t>
            </w:r>
          </w:p>
        </w:tc>
        <w:tc>
          <w:tcPr>
            <w:tcW w:w="1654" w:type="dxa"/>
            <w:tcBorders>
              <w:top w:val="single" w:sz="4" w:space="0" w:color="auto"/>
              <w:bottom w:val="nil"/>
              <w:right w:val="single" w:sz="4" w:space="0" w:color="A6A6A6"/>
            </w:tcBorders>
            <w:shd w:val="clear" w:color="auto" w:fill="F2F2F2"/>
            <w:noWrap/>
            <w:vAlign w:val="bottom"/>
          </w:tcPr>
          <w:p w:rsidR="00000384" w:rsidRPr="00885D52" w:rsidRDefault="00000384" w:rsidP="007E73A8">
            <w:pPr>
              <w:pStyle w:val="TableText"/>
              <w:jc w:val="center"/>
            </w:pPr>
            <w:r w:rsidRPr="00885D52">
              <w:t>663.2</w:t>
            </w:r>
          </w:p>
        </w:tc>
        <w:tc>
          <w:tcPr>
            <w:tcW w:w="1654" w:type="dxa"/>
            <w:tcBorders>
              <w:top w:val="single" w:sz="4" w:space="0" w:color="auto"/>
              <w:left w:val="single" w:sz="4" w:space="0" w:color="A6A6A6"/>
              <w:bottom w:val="nil"/>
              <w:right w:val="single" w:sz="4" w:space="0" w:color="A6A6A6"/>
            </w:tcBorders>
            <w:shd w:val="clear" w:color="auto" w:fill="F2F2F2"/>
            <w:noWrap/>
            <w:vAlign w:val="bottom"/>
          </w:tcPr>
          <w:p w:rsidR="00000384" w:rsidRPr="00885D52" w:rsidRDefault="00000384" w:rsidP="007E73A8">
            <w:pPr>
              <w:pStyle w:val="TableText"/>
              <w:jc w:val="center"/>
            </w:pPr>
            <w:r w:rsidRPr="00885D52">
              <w:t>718.9</w:t>
            </w:r>
          </w:p>
        </w:tc>
        <w:tc>
          <w:tcPr>
            <w:tcW w:w="1654" w:type="dxa"/>
            <w:tcBorders>
              <w:top w:val="single" w:sz="4" w:space="0" w:color="auto"/>
              <w:left w:val="single" w:sz="4" w:space="0" w:color="A6A6A6"/>
              <w:bottom w:val="nil"/>
            </w:tcBorders>
            <w:shd w:val="clear" w:color="auto" w:fill="F2F2F2"/>
            <w:noWrap/>
            <w:vAlign w:val="bottom"/>
          </w:tcPr>
          <w:p w:rsidR="00000384" w:rsidRPr="00885D52" w:rsidRDefault="00000384" w:rsidP="007E73A8">
            <w:pPr>
              <w:pStyle w:val="TableText"/>
              <w:jc w:val="center"/>
            </w:pPr>
            <w:r w:rsidRPr="00885D52">
              <w:t>609.0</w:t>
            </w:r>
          </w:p>
        </w:tc>
      </w:tr>
      <w:tr w:rsidR="00000384" w:rsidRPr="00885D52" w:rsidTr="00265332">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Non-Māori</w:t>
            </w:r>
          </w:p>
        </w:tc>
        <w:tc>
          <w:tcPr>
            <w:tcW w:w="1654" w:type="dxa"/>
            <w:tcBorders>
              <w:top w:val="nil"/>
              <w:bottom w:val="nil"/>
              <w:right w:val="single" w:sz="4" w:space="0" w:color="A6A6A6"/>
            </w:tcBorders>
            <w:shd w:val="clear" w:color="auto" w:fill="auto"/>
            <w:noWrap/>
            <w:vAlign w:val="bottom"/>
          </w:tcPr>
          <w:p w:rsidR="00000384" w:rsidRPr="00885D52" w:rsidRDefault="00000384" w:rsidP="007E73A8">
            <w:pPr>
              <w:pStyle w:val="TableText"/>
              <w:jc w:val="center"/>
            </w:pPr>
            <w:r w:rsidRPr="00885D52">
              <w:t>374.8</w:t>
            </w:r>
          </w:p>
        </w:tc>
        <w:tc>
          <w:tcPr>
            <w:tcW w:w="1654" w:type="dxa"/>
            <w:tcBorders>
              <w:top w:val="nil"/>
              <w:left w:val="single" w:sz="4" w:space="0" w:color="A6A6A6"/>
              <w:bottom w:val="nil"/>
              <w:right w:val="single" w:sz="4" w:space="0" w:color="A6A6A6"/>
            </w:tcBorders>
            <w:shd w:val="clear" w:color="auto" w:fill="auto"/>
            <w:noWrap/>
            <w:vAlign w:val="bottom"/>
          </w:tcPr>
          <w:p w:rsidR="00000384" w:rsidRPr="00885D52" w:rsidRDefault="00000384" w:rsidP="007E73A8">
            <w:pPr>
              <w:pStyle w:val="TableText"/>
              <w:jc w:val="center"/>
            </w:pPr>
            <w:r w:rsidRPr="00885D52">
              <w:t>437.1</w:t>
            </w:r>
          </w:p>
        </w:tc>
        <w:tc>
          <w:tcPr>
            <w:tcW w:w="1654" w:type="dxa"/>
            <w:tcBorders>
              <w:top w:val="nil"/>
              <w:left w:val="single" w:sz="4" w:space="0" w:color="A6A6A6"/>
              <w:bottom w:val="nil"/>
            </w:tcBorders>
            <w:shd w:val="clear" w:color="auto" w:fill="auto"/>
            <w:noWrap/>
            <w:vAlign w:val="bottom"/>
          </w:tcPr>
          <w:p w:rsidR="00000384" w:rsidRPr="00885D52" w:rsidRDefault="00000384" w:rsidP="007E73A8">
            <w:pPr>
              <w:pStyle w:val="TableText"/>
              <w:jc w:val="center"/>
            </w:pPr>
            <w:r w:rsidRPr="00885D52">
              <w:t>319.4</w:t>
            </w:r>
          </w:p>
        </w:tc>
      </w:tr>
      <w:tr w:rsidR="00000384" w:rsidRPr="00885D52" w:rsidTr="00265332">
        <w:trPr>
          <w:cantSplit/>
        </w:trPr>
        <w:tc>
          <w:tcPr>
            <w:tcW w:w="2268" w:type="dxa"/>
            <w:tcBorders>
              <w:top w:val="nil"/>
              <w:bottom w:val="single" w:sz="4" w:space="0" w:color="auto"/>
            </w:tcBorders>
            <w:shd w:val="clear" w:color="auto" w:fill="F2F2F2"/>
            <w:noWrap/>
          </w:tcPr>
          <w:p w:rsidR="00000384" w:rsidRPr="00885D52" w:rsidRDefault="00000384" w:rsidP="007E73A8">
            <w:pPr>
              <w:pStyle w:val="TableText"/>
            </w:pPr>
            <w:r w:rsidRPr="00885D52">
              <w:t>Total</w:t>
            </w:r>
          </w:p>
        </w:tc>
        <w:tc>
          <w:tcPr>
            <w:tcW w:w="1654" w:type="dxa"/>
            <w:tcBorders>
              <w:top w:val="nil"/>
              <w:bottom w:val="single" w:sz="4" w:space="0" w:color="auto"/>
              <w:right w:val="single" w:sz="4" w:space="0" w:color="A6A6A6"/>
            </w:tcBorders>
            <w:shd w:val="clear" w:color="auto" w:fill="F2F2F2"/>
            <w:noWrap/>
            <w:vAlign w:val="bottom"/>
          </w:tcPr>
          <w:p w:rsidR="00000384" w:rsidRPr="00885D52" w:rsidRDefault="00000384" w:rsidP="007E73A8">
            <w:pPr>
              <w:pStyle w:val="TableText"/>
              <w:jc w:val="center"/>
            </w:pPr>
            <w:r w:rsidRPr="00885D52">
              <w:t>400.4</w:t>
            </w:r>
          </w:p>
        </w:tc>
        <w:tc>
          <w:tcPr>
            <w:tcW w:w="1654" w:type="dxa"/>
            <w:tcBorders>
              <w:top w:val="nil"/>
              <w:left w:val="single" w:sz="4" w:space="0" w:color="A6A6A6"/>
              <w:bottom w:val="single" w:sz="4" w:space="0" w:color="auto"/>
              <w:right w:val="single" w:sz="4" w:space="0" w:color="A6A6A6"/>
            </w:tcBorders>
            <w:shd w:val="clear" w:color="auto" w:fill="F2F2F2"/>
            <w:noWrap/>
            <w:vAlign w:val="bottom"/>
          </w:tcPr>
          <w:p w:rsidR="00000384" w:rsidRPr="00885D52" w:rsidRDefault="00000384" w:rsidP="007E73A8">
            <w:pPr>
              <w:pStyle w:val="TableText"/>
              <w:jc w:val="center"/>
            </w:pPr>
            <w:r w:rsidRPr="00885D52">
              <w:t>464.4</w:t>
            </w:r>
          </w:p>
        </w:tc>
        <w:tc>
          <w:tcPr>
            <w:tcW w:w="1654" w:type="dxa"/>
            <w:tcBorders>
              <w:top w:val="nil"/>
              <w:left w:val="single" w:sz="4" w:space="0" w:color="A6A6A6"/>
              <w:bottom w:val="single" w:sz="4" w:space="0" w:color="auto"/>
            </w:tcBorders>
            <w:shd w:val="clear" w:color="auto" w:fill="F2F2F2"/>
            <w:noWrap/>
            <w:vAlign w:val="bottom"/>
          </w:tcPr>
          <w:p w:rsidR="00000384" w:rsidRPr="00885D52" w:rsidRDefault="00000384" w:rsidP="007E73A8">
            <w:pPr>
              <w:pStyle w:val="TableText"/>
              <w:jc w:val="center"/>
            </w:pPr>
            <w:r w:rsidRPr="00885D52">
              <w:t>343.2</w:t>
            </w:r>
          </w:p>
        </w:tc>
      </w:tr>
    </w:tbl>
    <w:p w:rsidR="00000384" w:rsidRPr="00885D52" w:rsidRDefault="00000384" w:rsidP="00083A26">
      <w:pPr>
        <w:pStyle w:val="Note"/>
        <w:ind w:right="2126"/>
      </w:pPr>
      <w:r w:rsidRPr="00885D52">
        <w:t>*</w:t>
      </w:r>
      <w:r w:rsidRPr="00885D52">
        <w:tab/>
        <w:t>Rates per 100,000 population, age-standardised to WHO World Standard Population.</w:t>
      </w:r>
    </w:p>
    <w:p w:rsidR="00000384" w:rsidRPr="00885D52" w:rsidRDefault="00000384" w:rsidP="00265332"/>
    <w:p w:rsidR="00000384" w:rsidRPr="00885D52" w:rsidRDefault="00000384" w:rsidP="00000384">
      <w:pPr>
        <w:pStyle w:val="Heading2"/>
      </w:pPr>
      <w:bookmarkStart w:id="131" w:name="_Toc263941928"/>
      <w:bookmarkStart w:id="132" w:name="_Toc284314531"/>
      <w:bookmarkStart w:id="133" w:name="_Toc316994463"/>
      <w:bookmarkStart w:id="134" w:name="_Toc342404229"/>
      <w:bookmarkStart w:id="135" w:name="_Toc352670620"/>
      <w:bookmarkStart w:id="136" w:name="_Toc400536176"/>
      <w:bookmarkStart w:id="137" w:name="_Toc40312051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885D52">
        <w:t>Selected causes of mortality 20</w:t>
      </w:r>
      <w:bookmarkEnd w:id="131"/>
      <w:bookmarkEnd w:id="132"/>
      <w:bookmarkEnd w:id="133"/>
      <w:r w:rsidRPr="00885D52">
        <w:t>1</w:t>
      </w:r>
      <w:bookmarkEnd w:id="134"/>
      <w:bookmarkEnd w:id="135"/>
      <w:r w:rsidRPr="00885D52">
        <w:t>1</w:t>
      </w:r>
      <w:bookmarkEnd w:id="136"/>
      <w:bookmarkEnd w:id="137"/>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851"/>
        <w:gridCol w:w="779"/>
        <w:gridCol w:w="780"/>
        <w:gridCol w:w="779"/>
        <w:gridCol w:w="780"/>
        <w:gridCol w:w="780"/>
        <w:gridCol w:w="779"/>
        <w:gridCol w:w="780"/>
        <w:gridCol w:w="780"/>
      </w:tblGrid>
      <w:tr w:rsidR="00000384" w:rsidRPr="00885D52" w:rsidTr="007E73A8">
        <w:trPr>
          <w:cantSplit/>
        </w:trPr>
        <w:tc>
          <w:tcPr>
            <w:tcW w:w="2268" w:type="dxa"/>
            <w:vMerge w:val="restart"/>
            <w:tcBorders>
              <w:top w:val="single" w:sz="4" w:space="0" w:color="auto"/>
              <w:bottom w:val="single" w:sz="4" w:space="0" w:color="auto"/>
            </w:tcBorders>
            <w:shd w:val="clear" w:color="auto" w:fill="auto"/>
            <w:noWrap/>
          </w:tcPr>
          <w:p w:rsidR="00000384" w:rsidRPr="00885D52" w:rsidRDefault="00000384" w:rsidP="007E73A8">
            <w:pPr>
              <w:pStyle w:val="TableText"/>
              <w:keepNext/>
              <w:rPr>
                <w:b/>
              </w:rPr>
            </w:pPr>
            <w:r w:rsidRPr="00885D52">
              <w:rPr>
                <w:b/>
              </w:rPr>
              <w:t>Condition</w:t>
            </w:r>
          </w:p>
        </w:tc>
        <w:tc>
          <w:tcPr>
            <w:tcW w:w="851" w:type="dxa"/>
            <w:vMerge w:val="restart"/>
            <w:tcBorders>
              <w:top w:val="single" w:sz="4" w:space="0" w:color="auto"/>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Total deaths</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Percentage of deaths by sex</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tcPr>
          <w:p w:rsidR="00000384" w:rsidRPr="00885D52" w:rsidRDefault="00000384" w:rsidP="007E73A8">
            <w:pPr>
              <w:pStyle w:val="TableText"/>
              <w:jc w:val="center"/>
              <w:rPr>
                <w:b/>
              </w:rPr>
            </w:pPr>
            <w:r w:rsidRPr="00885D52">
              <w:rPr>
                <w:b/>
              </w:rPr>
              <w:t>Māori rate*</w:t>
            </w:r>
          </w:p>
        </w:tc>
        <w:tc>
          <w:tcPr>
            <w:tcW w:w="1559" w:type="dxa"/>
            <w:gridSpan w:val="2"/>
            <w:tcBorders>
              <w:top w:val="single" w:sz="4" w:space="0" w:color="auto"/>
              <w:left w:val="single" w:sz="4" w:space="0" w:color="A6A6A6"/>
              <w:bottom w:val="single" w:sz="4" w:space="0" w:color="auto"/>
              <w:right w:val="single" w:sz="4" w:space="0" w:color="A6A6A6"/>
            </w:tcBorders>
            <w:shd w:val="clear" w:color="auto" w:fill="auto"/>
          </w:tcPr>
          <w:p w:rsidR="00000384" w:rsidRPr="00885D52" w:rsidRDefault="00000384" w:rsidP="007E73A8">
            <w:pPr>
              <w:pStyle w:val="TableText"/>
              <w:jc w:val="center"/>
              <w:rPr>
                <w:b/>
              </w:rPr>
            </w:pPr>
            <w:r w:rsidRPr="00885D52">
              <w:rPr>
                <w:b/>
              </w:rPr>
              <w:t>Non-Māori rate*</w:t>
            </w:r>
          </w:p>
        </w:tc>
        <w:tc>
          <w:tcPr>
            <w:tcW w:w="1560" w:type="dxa"/>
            <w:gridSpan w:val="2"/>
            <w:tcBorders>
              <w:top w:val="single" w:sz="4" w:space="0" w:color="auto"/>
              <w:left w:val="single" w:sz="4" w:space="0" w:color="A6A6A6"/>
              <w:bottom w:val="single" w:sz="4" w:space="0" w:color="auto"/>
            </w:tcBorders>
            <w:shd w:val="clear" w:color="auto" w:fill="auto"/>
          </w:tcPr>
          <w:p w:rsidR="00000384" w:rsidRPr="00885D52" w:rsidRDefault="00000384" w:rsidP="007E73A8">
            <w:pPr>
              <w:pStyle w:val="TableText"/>
              <w:jc w:val="center"/>
              <w:rPr>
                <w:b/>
              </w:rPr>
            </w:pPr>
            <w:r w:rsidRPr="00885D52">
              <w:rPr>
                <w:b/>
              </w:rPr>
              <w:t>Total rate*</w:t>
            </w:r>
          </w:p>
        </w:tc>
      </w:tr>
      <w:tr w:rsidR="00000384" w:rsidRPr="00885D52" w:rsidTr="007E73A8">
        <w:trPr>
          <w:cantSplit/>
        </w:trPr>
        <w:tc>
          <w:tcPr>
            <w:tcW w:w="2268" w:type="dxa"/>
            <w:vMerge/>
            <w:tcBorders>
              <w:top w:val="single" w:sz="4" w:space="0" w:color="auto"/>
              <w:bottom w:val="single" w:sz="4" w:space="0" w:color="auto"/>
            </w:tcBorders>
            <w:shd w:val="clear" w:color="auto" w:fill="auto"/>
          </w:tcPr>
          <w:p w:rsidR="00000384" w:rsidRPr="00885D52" w:rsidRDefault="00000384" w:rsidP="007E73A8">
            <w:pPr>
              <w:pStyle w:val="TableText"/>
              <w:keepNext/>
              <w:rPr>
                <w:b/>
              </w:rPr>
            </w:pPr>
          </w:p>
        </w:tc>
        <w:tc>
          <w:tcPr>
            <w:tcW w:w="851" w:type="dxa"/>
            <w:vMerge/>
            <w:tcBorders>
              <w:top w:val="single" w:sz="4" w:space="0" w:color="auto"/>
              <w:bottom w:val="single" w:sz="4" w:space="0" w:color="auto"/>
              <w:right w:val="single" w:sz="4" w:space="0" w:color="A6A6A6"/>
            </w:tcBorders>
            <w:shd w:val="clear" w:color="auto" w:fill="auto"/>
          </w:tcPr>
          <w:p w:rsidR="00000384" w:rsidRPr="00885D52" w:rsidRDefault="00000384" w:rsidP="007E73A8">
            <w:pPr>
              <w:pStyle w:val="TableText"/>
              <w:rPr>
                <w:b/>
              </w:rPr>
            </w:pPr>
          </w:p>
        </w:tc>
        <w:tc>
          <w:tcPr>
            <w:tcW w:w="779"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jc w:val="center"/>
              <w:rPr>
                <w:b/>
              </w:rPr>
            </w:pPr>
            <w:r w:rsidRPr="00885D52">
              <w:rPr>
                <w:b/>
              </w:rPr>
              <w:t>Male</w:t>
            </w:r>
          </w:p>
        </w:tc>
        <w:tc>
          <w:tcPr>
            <w:tcW w:w="780" w:type="dxa"/>
            <w:tcBorders>
              <w:top w:val="single" w:sz="4" w:space="0" w:color="auto"/>
              <w:left w:val="nil"/>
              <w:bottom w:val="single" w:sz="4" w:space="0" w:color="auto"/>
              <w:right w:val="single" w:sz="4" w:space="0" w:color="A6A6A6"/>
            </w:tcBorders>
            <w:shd w:val="clear" w:color="auto" w:fill="auto"/>
          </w:tcPr>
          <w:p w:rsidR="00000384" w:rsidRPr="00885D52" w:rsidRDefault="00000384" w:rsidP="007E73A8">
            <w:pPr>
              <w:pStyle w:val="TableText"/>
              <w:jc w:val="center"/>
              <w:rPr>
                <w:b/>
              </w:rPr>
            </w:pPr>
            <w:r w:rsidRPr="00885D52">
              <w:rPr>
                <w:b/>
              </w:rPr>
              <w:t>Female</w:t>
            </w:r>
          </w:p>
        </w:tc>
        <w:tc>
          <w:tcPr>
            <w:tcW w:w="779" w:type="dxa"/>
            <w:tcBorders>
              <w:top w:val="single" w:sz="4" w:space="0" w:color="auto"/>
              <w:left w:val="single" w:sz="4" w:space="0" w:color="A6A6A6"/>
              <w:bottom w:val="single" w:sz="4" w:space="0" w:color="auto"/>
              <w:right w:val="nil"/>
            </w:tcBorders>
            <w:shd w:val="clear" w:color="auto" w:fill="auto"/>
          </w:tcPr>
          <w:p w:rsidR="00000384" w:rsidRPr="00885D52" w:rsidRDefault="00000384" w:rsidP="007E73A8">
            <w:pPr>
              <w:pStyle w:val="TableText"/>
              <w:jc w:val="center"/>
              <w:rPr>
                <w:b/>
              </w:rPr>
            </w:pPr>
            <w:r w:rsidRPr="00885D52">
              <w:rPr>
                <w:b/>
              </w:rPr>
              <w:t>Male</w:t>
            </w:r>
          </w:p>
        </w:tc>
        <w:tc>
          <w:tcPr>
            <w:tcW w:w="780" w:type="dxa"/>
            <w:tcBorders>
              <w:top w:val="single" w:sz="4" w:space="0" w:color="auto"/>
              <w:left w:val="nil"/>
              <w:bottom w:val="single" w:sz="4" w:space="0" w:color="auto"/>
              <w:right w:val="single" w:sz="4" w:space="0" w:color="A6A6A6"/>
            </w:tcBorders>
            <w:shd w:val="clear" w:color="auto" w:fill="auto"/>
          </w:tcPr>
          <w:p w:rsidR="00000384" w:rsidRPr="00885D52" w:rsidRDefault="00000384" w:rsidP="007E73A8">
            <w:pPr>
              <w:pStyle w:val="TableText"/>
              <w:jc w:val="center"/>
              <w:rPr>
                <w:b/>
              </w:rPr>
            </w:pPr>
            <w:r w:rsidRPr="00885D52">
              <w:rPr>
                <w:b/>
              </w:rPr>
              <w:t>Female</w:t>
            </w:r>
          </w:p>
        </w:tc>
        <w:tc>
          <w:tcPr>
            <w:tcW w:w="780"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jc w:val="center"/>
              <w:rPr>
                <w:b/>
              </w:rPr>
            </w:pPr>
            <w:r w:rsidRPr="00885D52">
              <w:rPr>
                <w:b/>
              </w:rPr>
              <w:t>Male</w:t>
            </w:r>
          </w:p>
        </w:tc>
        <w:tc>
          <w:tcPr>
            <w:tcW w:w="779"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jc w:val="center"/>
              <w:rPr>
                <w:b/>
              </w:rPr>
            </w:pPr>
            <w:r w:rsidRPr="00885D52">
              <w:rPr>
                <w:b/>
              </w:rPr>
              <w:t>Female</w:t>
            </w:r>
          </w:p>
        </w:tc>
        <w:tc>
          <w:tcPr>
            <w:tcW w:w="780"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jc w:val="center"/>
              <w:rPr>
                <w:b/>
              </w:rPr>
            </w:pPr>
            <w:r w:rsidRPr="00885D52">
              <w:rPr>
                <w:b/>
              </w:rPr>
              <w:t>Male</w:t>
            </w:r>
          </w:p>
        </w:tc>
        <w:tc>
          <w:tcPr>
            <w:tcW w:w="780" w:type="dxa"/>
            <w:tcBorders>
              <w:top w:val="single" w:sz="4" w:space="0" w:color="auto"/>
              <w:left w:val="nil"/>
              <w:bottom w:val="single" w:sz="4" w:space="0" w:color="auto"/>
            </w:tcBorders>
            <w:shd w:val="clear" w:color="auto" w:fill="auto"/>
            <w:noWrap/>
          </w:tcPr>
          <w:p w:rsidR="00000384" w:rsidRPr="00885D52" w:rsidRDefault="00000384" w:rsidP="007E73A8">
            <w:pPr>
              <w:pStyle w:val="TableText"/>
              <w:jc w:val="center"/>
              <w:rPr>
                <w:b/>
              </w:rPr>
            </w:pPr>
            <w:r w:rsidRPr="00885D52">
              <w:rPr>
                <w:b/>
              </w:rPr>
              <w:t>Female</w:t>
            </w:r>
          </w:p>
        </w:tc>
      </w:tr>
      <w:tr w:rsidR="00000384" w:rsidRPr="00885D52" w:rsidTr="007E73A8">
        <w:trPr>
          <w:cantSplit/>
        </w:trPr>
        <w:tc>
          <w:tcPr>
            <w:tcW w:w="2268" w:type="dxa"/>
            <w:tcBorders>
              <w:top w:val="single" w:sz="4" w:space="0" w:color="auto"/>
              <w:bottom w:val="nil"/>
            </w:tcBorders>
            <w:shd w:val="clear" w:color="auto" w:fill="F2F2F2"/>
            <w:noWrap/>
          </w:tcPr>
          <w:p w:rsidR="00000384" w:rsidRPr="00885D52" w:rsidRDefault="00000384" w:rsidP="007E73A8">
            <w:pPr>
              <w:pStyle w:val="TableText"/>
            </w:pPr>
            <w:r w:rsidRPr="00885D52">
              <w:t>All cancer</w:t>
            </w:r>
          </w:p>
        </w:tc>
        <w:tc>
          <w:tcPr>
            <w:tcW w:w="851" w:type="dxa"/>
            <w:tcBorders>
              <w:top w:val="single" w:sz="4" w:space="0" w:color="auto"/>
              <w:bottom w:val="nil"/>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8891</w:t>
            </w:r>
          </w:p>
        </w:tc>
        <w:tc>
          <w:tcPr>
            <w:tcW w:w="779" w:type="dxa"/>
            <w:tcBorders>
              <w:top w:val="single" w:sz="4" w:space="0" w:color="auto"/>
              <w:left w:val="single" w:sz="4" w:space="0" w:color="A6A6A6"/>
              <w:bottom w:val="nil"/>
              <w:right w:val="nil"/>
            </w:tcBorders>
            <w:shd w:val="clear" w:color="auto" w:fill="F2F2F2"/>
            <w:noWrap/>
          </w:tcPr>
          <w:p w:rsidR="00000384" w:rsidRPr="00885D52" w:rsidRDefault="00000384" w:rsidP="007E73A8">
            <w:pPr>
              <w:pStyle w:val="TableText"/>
              <w:tabs>
                <w:tab w:val="decimal" w:pos="425"/>
              </w:tabs>
              <w:rPr>
                <w:rFonts w:cs="Arial"/>
                <w:szCs w:val="18"/>
              </w:rPr>
            </w:pPr>
            <w:r w:rsidRPr="00885D52">
              <w:rPr>
                <w:rFonts w:cs="Arial"/>
                <w:szCs w:val="18"/>
              </w:rPr>
              <w:t>52.3</w:t>
            </w:r>
          </w:p>
        </w:tc>
        <w:tc>
          <w:tcPr>
            <w:tcW w:w="780" w:type="dxa"/>
            <w:tcBorders>
              <w:top w:val="single" w:sz="4" w:space="0" w:color="auto"/>
              <w:left w:val="nil"/>
              <w:bottom w:val="nil"/>
              <w:right w:val="single" w:sz="4" w:space="0" w:color="A6A6A6"/>
            </w:tcBorders>
            <w:shd w:val="clear" w:color="auto" w:fill="F2F2F2"/>
          </w:tcPr>
          <w:p w:rsidR="00000384" w:rsidRPr="00885D52" w:rsidRDefault="00000384" w:rsidP="007E73A8">
            <w:pPr>
              <w:pStyle w:val="TableText"/>
              <w:tabs>
                <w:tab w:val="decimal" w:pos="425"/>
              </w:tabs>
              <w:rPr>
                <w:rFonts w:cs="Arial"/>
                <w:szCs w:val="18"/>
              </w:rPr>
            </w:pPr>
            <w:r w:rsidRPr="00885D52">
              <w:rPr>
                <w:rFonts w:cs="Arial"/>
                <w:szCs w:val="18"/>
              </w:rPr>
              <w:t>47.7</w:t>
            </w:r>
          </w:p>
        </w:tc>
        <w:tc>
          <w:tcPr>
            <w:tcW w:w="779" w:type="dxa"/>
            <w:tcBorders>
              <w:top w:val="single" w:sz="4" w:space="0" w:color="auto"/>
              <w:left w:val="single" w:sz="4" w:space="0" w:color="A6A6A6"/>
              <w:bottom w:val="nil"/>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206.4</w:t>
            </w:r>
          </w:p>
        </w:tc>
        <w:tc>
          <w:tcPr>
            <w:tcW w:w="780" w:type="dxa"/>
            <w:tcBorders>
              <w:top w:val="single" w:sz="4" w:space="0" w:color="auto"/>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204.0</w:t>
            </w:r>
          </w:p>
        </w:tc>
        <w:tc>
          <w:tcPr>
            <w:tcW w:w="780" w:type="dxa"/>
            <w:tcBorders>
              <w:top w:val="single" w:sz="4" w:space="0" w:color="auto"/>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137.7</w:t>
            </w:r>
          </w:p>
        </w:tc>
        <w:tc>
          <w:tcPr>
            <w:tcW w:w="779" w:type="dxa"/>
            <w:tcBorders>
              <w:top w:val="single" w:sz="4" w:space="0" w:color="auto"/>
              <w:left w:val="nil"/>
              <w:bottom w:val="nil"/>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104.2</w:t>
            </w:r>
          </w:p>
        </w:tc>
        <w:tc>
          <w:tcPr>
            <w:tcW w:w="780" w:type="dxa"/>
            <w:tcBorders>
              <w:top w:val="single" w:sz="4" w:space="0" w:color="auto"/>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143.3</w:t>
            </w:r>
          </w:p>
        </w:tc>
        <w:tc>
          <w:tcPr>
            <w:tcW w:w="780" w:type="dxa"/>
            <w:tcBorders>
              <w:top w:val="single" w:sz="4" w:space="0" w:color="auto"/>
              <w:left w:val="nil"/>
              <w:bottom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112.6</w:t>
            </w:r>
          </w:p>
        </w:tc>
      </w:tr>
      <w:tr w:rsidR="00000384" w:rsidRPr="00885D52" w:rsidTr="007E73A8">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Trachea, bronchus and lung cancer</w:t>
            </w:r>
          </w:p>
        </w:tc>
        <w:tc>
          <w:tcPr>
            <w:tcW w:w="851" w:type="dxa"/>
            <w:tcBorders>
              <w:top w:val="nil"/>
              <w:bottom w:val="nil"/>
              <w:right w:val="single" w:sz="4" w:space="0" w:color="A6A6A6"/>
            </w:tcBorders>
            <w:shd w:val="clear" w:color="auto" w:fill="auto"/>
            <w:noWrap/>
            <w:vAlign w:val="bottom"/>
          </w:tcPr>
          <w:p w:rsidR="00000384" w:rsidRPr="00885D52" w:rsidRDefault="00000384" w:rsidP="007E73A8">
            <w:pPr>
              <w:pStyle w:val="TableText"/>
              <w:tabs>
                <w:tab w:val="decimal" w:pos="567"/>
              </w:tabs>
              <w:rPr>
                <w:rFonts w:cs="Arial"/>
                <w:szCs w:val="18"/>
              </w:rPr>
            </w:pPr>
            <w:r w:rsidRPr="00885D52">
              <w:rPr>
                <w:rFonts w:cs="Arial"/>
                <w:szCs w:val="18"/>
              </w:rPr>
              <w:t>1682</w:t>
            </w:r>
          </w:p>
        </w:tc>
        <w:tc>
          <w:tcPr>
            <w:tcW w:w="779"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54.0</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46.0</w:t>
            </w:r>
          </w:p>
        </w:tc>
        <w:tc>
          <w:tcPr>
            <w:tcW w:w="779" w:type="dxa"/>
            <w:tcBorders>
              <w:top w:val="nil"/>
              <w:left w:val="single" w:sz="4" w:space="0" w:color="A6A6A6"/>
              <w:bottom w:val="nil"/>
              <w:right w:val="nil"/>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61.1</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71.7</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25.3</w:t>
            </w:r>
          </w:p>
        </w:tc>
        <w:tc>
          <w:tcPr>
            <w:tcW w:w="779"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17.1</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28.0</w:t>
            </w:r>
          </w:p>
        </w:tc>
        <w:tc>
          <w:tcPr>
            <w:tcW w:w="780" w:type="dxa"/>
            <w:tcBorders>
              <w:top w:val="nil"/>
              <w:left w:val="nil"/>
              <w:bottom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21.2</w:t>
            </w:r>
          </w:p>
        </w:tc>
      </w:tr>
      <w:tr w:rsidR="00000384" w:rsidRPr="00885D52" w:rsidTr="007E73A8">
        <w:trPr>
          <w:cantSplit/>
        </w:trPr>
        <w:tc>
          <w:tcPr>
            <w:tcW w:w="2268" w:type="dxa"/>
            <w:tcBorders>
              <w:top w:val="nil"/>
              <w:bottom w:val="nil"/>
              <w:right w:val="single" w:sz="4" w:space="0" w:color="auto"/>
            </w:tcBorders>
            <w:shd w:val="clear" w:color="auto" w:fill="F2F2F2"/>
            <w:noWrap/>
          </w:tcPr>
          <w:p w:rsidR="00000384" w:rsidRPr="00885D52" w:rsidRDefault="00000384" w:rsidP="007E73A8">
            <w:pPr>
              <w:pStyle w:val="TableText"/>
            </w:pPr>
            <w:r w:rsidRPr="00885D52">
              <w:t>Female breast cancer</w:t>
            </w:r>
          </w:p>
        </w:tc>
        <w:tc>
          <w:tcPr>
            <w:tcW w:w="851" w:type="dxa"/>
            <w:tcBorders>
              <w:top w:val="nil"/>
              <w:left w:val="single" w:sz="4" w:space="0" w:color="auto"/>
              <w:bottom w:val="nil"/>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636</w:t>
            </w:r>
          </w:p>
        </w:tc>
        <w:tc>
          <w:tcPr>
            <w:tcW w:w="779" w:type="dxa"/>
            <w:tcBorders>
              <w:top w:val="nil"/>
              <w:left w:val="single" w:sz="4" w:space="0" w:color="A6A6A6"/>
              <w:bottom w:val="nil"/>
              <w:right w:val="nil"/>
            </w:tcBorders>
            <w:shd w:val="clear" w:color="auto" w:fill="F2F2F2"/>
            <w:noWrap/>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right w:val="single" w:sz="4" w:space="0" w:color="A6A6A6"/>
            </w:tcBorders>
            <w:shd w:val="clear" w:color="auto" w:fill="F2F2F2"/>
          </w:tcPr>
          <w:p w:rsidR="00000384" w:rsidRPr="00885D52" w:rsidRDefault="00000384" w:rsidP="007E73A8">
            <w:pPr>
              <w:pStyle w:val="TableText"/>
              <w:tabs>
                <w:tab w:val="decimal" w:pos="425"/>
              </w:tabs>
              <w:rPr>
                <w:rFonts w:cs="Arial"/>
                <w:szCs w:val="18"/>
              </w:rPr>
            </w:pPr>
            <w:r w:rsidRPr="00885D52">
              <w:rPr>
                <w:rFonts w:cs="Arial"/>
                <w:szCs w:val="18"/>
              </w:rPr>
              <w:t>100.0</w:t>
            </w:r>
          </w:p>
        </w:tc>
        <w:tc>
          <w:tcPr>
            <w:tcW w:w="779" w:type="dxa"/>
            <w:tcBorders>
              <w:top w:val="nil"/>
              <w:left w:val="single" w:sz="4" w:space="0" w:color="A6A6A6"/>
              <w:bottom w:val="nil"/>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27.3</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79"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17.4</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18.3</w:t>
            </w:r>
          </w:p>
        </w:tc>
      </w:tr>
      <w:tr w:rsidR="00000384" w:rsidRPr="00885D52" w:rsidTr="007E73A8">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Prostate cancer</w:t>
            </w:r>
          </w:p>
        </w:tc>
        <w:tc>
          <w:tcPr>
            <w:tcW w:w="851" w:type="dxa"/>
            <w:tcBorders>
              <w:top w:val="nil"/>
              <w:bottom w:val="nil"/>
              <w:right w:val="single" w:sz="4" w:space="0" w:color="A6A6A6"/>
            </w:tcBorders>
            <w:shd w:val="clear" w:color="auto" w:fill="auto"/>
            <w:noWrap/>
            <w:vAlign w:val="bottom"/>
          </w:tcPr>
          <w:p w:rsidR="00000384" w:rsidRPr="00885D52" w:rsidRDefault="00000384" w:rsidP="007E73A8">
            <w:pPr>
              <w:pStyle w:val="TableText"/>
              <w:tabs>
                <w:tab w:val="decimal" w:pos="567"/>
              </w:tabs>
              <w:rPr>
                <w:rFonts w:cs="Arial"/>
                <w:szCs w:val="18"/>
              </w:rPr>
            </w:pPr>
            <w:r w:rsidRPr="00885D52">
              <w:rPr>
                <w:rFonts w:cs="Arial"/>
                <w:szCs w:val="18"/>
              </w:rPr>
              <w:t>585</w:t>
            </w:r>
          </w:p>
        </w:tc>
        <w:tc>
          <w:tcPr>
            <w:tcW w:w="779" w:type="dxa"/>
            <w:tcBorders>
              <w:top w:val="nil"/>
              <w:left w:val="single" w:sz="4" w:space="0" w:color="A6A6A6"/>
              <w:bottom w:val="nil"/>
              <w:right w:val="nil"/>
            </w:tcBorders>
            <w:shd w:val="clear" w:color="auto" w:fill="auto"/>
            <w:noWrap/>
          </w:tcPr>
          <w:p w:rsidR="00000384" w:rsidRPr="00885D52" w:rsidRDefault="00000384" w:rsidP="007E73A8">
            <w:pPr>
              <w:pStyle w:val="TableText"/>
              <w:tabs>
                <w:tab w:val="decimal" w:pos="425"/>
              </w:tabs>
              <w:rPr>
                <w:rFonts w:cs="Arial"/>
                <w:szCs w:val="18"/>
              </w:rPr>
            </w:pPr>
            <w:r w:rsidRPr="00885D52">
              <w:rPr>
                <w:rFonts w:cs="Arial"/>
                <w:szCs w:val="18"/>
              </w:rPr>
              <w:t>100.0</w:t>
            </w:r>
          </w:p>
        </w:tc>
        <w:tc>
          <w:tcPr>
            <w:tcW w:w="780" w:type="dxa"/>
            <w:tcBorders>
              <w:top w:val="nil"/>
              <w:left w:val="nil"/>
              <w:bottom w:val="nil"/>
              <w:right w:val="single" w:sz="4" w:space="0" w:color="A6A6A6"/>
            </w:tcBorders>
            <w:shd w:val="clear" w:color="auto" w:fill="auto"/>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79" w:type="dxa"/>
            <w:tcBorders>
              <w:top w:val="nil"/>
              <w:left w:val="single" w:sz="4" w:space="0" w:color="A6A6A6"/>
              <w:bottom w:val="nil"/>
              <w:right w:val="nil"/>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22.1</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16.2</w:t>
            </w:r>
          </w:p>
        </w:tc>
        <w:tc>
          <w:tcPr>
            <w:tcW w:w="779"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16.5</w:t>
            </w:r>
          </w:p>
        </w:tc>
        <w:tc>
          <w:tcPr>
            <w:tcW w:w="780" w:type="dxa"/>
            <w:tcBorders>
              <w:top w:val="nil"/>
              <w:left w:val="nil"/>
              <w:bottom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r>
      <w:tr w:rsidR="00000384" w:rsidRPr="00885D52" w:rsidTr="007E73A8">
        <w:trPr>
          <w:cantSplit/>
        </w:trPr>
        <w:tc>
          <w:tcPr>
            <w:tcW w:w="2268" w:type="dxa"/>
            <w:tcBorders>
              <w:top w:val="nil"/>
              <w:bottom w:val="nil"/>
              <w:right w:val="single" w:sz="4" w:space="0" w:color="auto"/>
            </w:tcBorders>
            <w:shd w:val="clear" w:color="auto" w:fill="F2F2F2"/>
            <w:noWrap/>
          </w:tcPr>
          <w:p w:rsidR="00000384" w:rsidRPr="00885D52" w:rsidRDefault="00000384" w:rsidP="007E73A8">
            <w:pPr>
              <w:pStyle w:val="TableText"/>
            </w:pPr>
            <w:r w:rsidRPr="00885D52">
              <w:t>Cervical cancer</w:t>
            </w:r>
          </w:p>
        </w:tc>
        <w:tc>
          <w:tcPr>
            <w:tcW w:w="851" w:type="dxa"/>
            <w:tcBorders>
              <w:top w:val="nil"/>
              <w:left w:val="single" w:sz="4" w:space="0" w:color="auto"/>
              <w:bottom w:val="nil"/>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53</w:t>
            </w:r>
          </w:p>
        </w:tc>
        <w:tc>
          <w:tcPr>
            <w:tcW w:w="779" w:type="dxa"/>
            <w:tcBorders>
              <w:top w:val="nil"/>
              <w:left w:val="single" w:sz="4" w:space="0" w:color="A6A6A6"/>
              <w:bottom w:val="nil"/>
              <w:right w:val="nil"/>
            </w:tcBorders>
            <w:shd w:val="clear" w:color="auto" w:fill="F2F2F2"/>
            <w:noWrap/>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right w:val="single" w:sz="4" w:space="0" w:color="A6A6A6"/>
            </w:tcBorders>
            <w:shd w:val="clear" w:color="auto" w:fill="F2F2F2"/>
          </w:tcPr>
          <w:p w:rsidR="00000384" w:rsidRPr="00885D52" w:rsidRDefault="00000384" w:rsidP="007E73A8">
            <w:pPr>
              <w:pStyle w:val="TableText"/>
              <w:tabs>
                <w:tab w:val="decimal" w:pos="425"/>
              </w:tabs>
              <w:rPr>
                <w:rFonts w:cs="Arial"/>
                <w:szCs w:val="18"/>
              </w:rPr>
            </w:pPr>
            <w:r w:rsidRPr="00885D52">
              <w:rPr>
                <w:rFonts w:cs="Arial"/>
                <w:szCs w:val="18"/>
              </w:rPr>
              <w:t>100.0</w:t>
            </w:r>
          </w:p>
        </w:tc>
        <w:tc>
          <w:tcPr>
            <w:tcW w:w="779" w:type="dxa"/>
            <w:tcBorders>
              <w:top w:val="nil"/>
              <w:left w:val="single" w:sz="4" w:space="0" w:color="A6A6A6"/>
              <w:bottom w:val="nil"/>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5.4</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79"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1.4</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w:t>
            </w:r>
          </w:p>
        </w:tc>
        <w:tc>
          <w:tcPr>
            <w:tcW w:w="780" w:type="dxa"/>
            <w:tcBorders>
              <w:top w:val="nil"/>
              <w:left w:val="nil"/>
              <w:bottom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1.7</w:t>
            </w:r>
          </w:p>
        </w:tc>
      </w:tr>
      <w:tr w:rsidR="00000384" w:rsidRPr="00885D52" w:rsidTr="007E73A8">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Melanoma of the skin</w:t>
            </w:r>
          </w:p>
        </w:tc>
        <w:tc>
          <w:tcPr>
            <w:tcW w:w="851" w:type="dxa"/>
            <w:tcBorders>
              <w:top w:val="nil"/>
              <w:bottom w:val="nil"/>
              <w:right w:val="single" w:sz="4" w:space="0" w:color="A6A6A6"/>
            </w:tcBorders>
            <w:shd w:val="clear" w:color="auto" w:fill="auto"/>
            <w:noWrap/>
            <w:vAlign w:val="bottom"/>
          </w:tcPr>
          <w:p w:rsidR="00000384" w:rsidRPr="00885D52" w:rsidRDefault="00000384" w:rsidP="007E73A8">
            <w:pPr>
              <w:pStyle w:val="TableText"/>
              <w:tabs>
                <w:tab w:val="decimal" w:pos="567"/>
              </w:tabs>
              <w:rPr>
                <w:rFonts w:cs="Arial"/>
                <w:szCs w:val="18"/>
              </w:rPr>
            </w:pPr>
            <w:r w:rsidRPr="00885D52">
              <w:rPr>
                <w:rFonts w:cs="Arial"/>
                <w:szCs w:val="18"/>
              </w:rPr>
              <w:t>359</w:t>
            </w:r>
          </w:p>
        </w:tc>
        <w:tc>
          <w:tcPr>
            <w:tcW w:w="779"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67.7</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32.3</w:t>
            </w:r>
          </w:p>
        </w:tc>
        <w:tc>
          <w:tcPr>
            <w:tcW w:w="779" w:type="dxa"/>
            <w:tcBorders>
              <w:top w:val="nil"/>
              <w:left w:val="single" w:sz="4" w:space="0" w:color="A6A6A6"/>
              <w:bottom w:val="nil"/>
              <w:right w:val="nil"/>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1.8</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0.3</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8.3</w:t>
            </w:r>
          </w:p>
        </w:tc>
        <w:tc>
          <w:tcPr>
            <w:tcW w:w="779"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3.4</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7.8</w:t>
            </w:r>
          </w:p>
        </w:tc>
        <w:tc>
          <w:tcPr>
            <w:tcW w:w="780" w:type="dxa"/>
            <w:tcBorders>
              <w:top w:val="nil"/>
              <w:left w:val="nil"/>
              <w:bottom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3.2</w:t>
            </w:r>
          </w:p>
        </w:tc>
      </w:tr>
      <w:tr w:rsidR="00000384" w:rsidRPr="00885D52" w:rsidTr="007E73A8">
        <w:trPr>
          <w:cantSplit/>
        </w:trPr>
        <w:tc>
          <w:tcPr>
            <w:tcW w:w="2268" w:type="dxa"/>
            <w:tcBorders>
              <w:top w:val="nil"/>
              <w:bottom w:val="nil"/>
              <w:right w:val="single" w:sz="4" w:space="0" w:color="auto"/>
            </w:tcBorders>
            <w:shd w:val="clear" w:color="auto" w:fill="F2F2F2"/>
            <w:noWrap/>
          </w:tcPr>
          <w:p w:rsidR="00000384" w:rsidRPr="00885D52" w:rsidRDefault="00000384" w:rsidP="007E73A8">
            <w:pPr>
              <w:pStyle w:val="TableText"/>
            </w:pPr>
            <w:r w:rsidRPr="00885D52">
              <w:t>Ischaemic heart disease</w:t>
            </w:r>
          </w:p>
        </w:tc>
        <w:tc>
          <w:tcPr>
            <w:tcW w:w="851" w:type="dxa"/>
            <w:tcBorders>
              <w:top w:val="nil"/>
              <w:left w:val="single" w:sz="4" w:space="0" w:color="auto"/>
              <w:bottom w:val="nil"/>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5534</w:t>
            </w:r>
          </w:p>
        </w:tc>
        <w:tc>
          <w:tcPr>
            <w:tcW w:w="779"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53.0</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47.0</w:t>
            </w:r>
          </w:p>
        </w:tc>
        <w:tc>
          <w:tcPr>
            <w:tcW w:w="779" w:type="dxa"/>
            <w:tcBorders>
              <w:top w:val="nil"/>
              <w:left w:val="single" w:sz="4" w:space="0" w:color="A6A6A6"/>
              <w:bottom w:val="nil"/>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134.5</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95.5</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81.4</w:t>
            </w:r>
          </w:p>
        </w:tc>
        <w:tc>
          <w:tcPr>
            <w:tcW w:w="779"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44.1</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85.9</w:t>
            </w:r>
          </w:p>
        </w:tc>
        <w:tc>
          <w:tcPr>
            <w:tcW w:w="780" w:type="dxa"/>
            <w:tcBorders>
              <w:top w:val="nil"/>
              <w:left w:val="nil"/>
              <w:bottom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47.3</w:t>
            </w:r>
          </w:p>
        </w:tc>
      </w:tr>
      <w:tr w:rsidR="00000384" w:rsidRPr="00885D52" w:rsidTr="007E73A8">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Cerebrovascular disease</w:t>
            </w:r>
          </w:p>
        </w:tc>
        <w:tc>
          <w:tcPr>
            <w:tcW w:w="851" w:type="dxa"/>
            <w:tcBorders>
              <w:top w:val="nil"/>
              <w:bottom w:val="nil"/>
              <w:right w:val="single" w:sz="4" w:space="0" w:color="A6A6A6"/>
            </w:tcBorders>
            <w:shd w:val="clear" w:color="auto" w:fill="auto"/>
            <w:noWrap/>
            <w:vAlign w:val="bottom"/>
          </w:tcPr>
          <w:p w:rsidR="00000384" w:rsidRPr="00885D52" w:rsidRDefault="00000384" w:rsidP="007E73A8">
            <w:pPr>
              <w:pStyle w:val="TableText"/>
              <w:tabs>
                <w:tab w:val="decimal" w:pos="567"/>
              </w:tabs>
              <w:rPr>
                <w:rFonts w:cs="Arial"/>
                <w:szCs w:val="18"/>
              </w:rPr>
            </w:pPr>
            <w:r w:rsidRPr="00885D52">
              <w:rPr>
                <w:rFonts w:cs="Arial"/>
                <w:szCs w:val="18"/>
              </w:rPr>
              <w:t>2665</w:t>
            </w:r>
          </w:p>
        </w:tc>
        <w:tc>
          <w:tcPr>
            <w:tcW w:w="779"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38.0</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62.0</w:t>
            </w:r>
          </w:p>
        </w:tc>
        <w:tc>
          <w:tcPr>
            <w:tcW w:w="779" w:type="dxa"/>
            <w:tcBorders>
              <w:top w:val="nil"/>
              <w:left w:val="single" w:sz="4" w:space="0" w:color="A6A6A6"/>
              <w:bottom w:val="nil"/>
              <w:right w:val="nil"/>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30.6</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38.5</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28.1</w:t>
            </w:r>
          </w:p>
        </w:tc>
        <w:tc>
          <w:tcPr>
            <w:tcW w:w="779"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29.4</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28.7</w:t>
            </w:r>
          </w:p>
        </w:tc>
        <w:tc>
          <w:tcPr>
            <w:tcW w:w="780" w:type="dxa"/>
            <w:tcBorders>
              <w:top w:val="nil"/>
              <w:left w:val="nil"/>
              <w:bottom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30.6</w:t>
            </w:r>
          </w:p>
        </w:tc>
      </w:tr>
      <w:tr w:rsidR="00000384" w:rsidRPr="00885D52" w:rsidTr="007E73A8">
        <w:trPr>
          <w:cantSplit/>
        </w:trPr>
        <w:tc>
          <w:tcPr>
            <w:tcW w:w="2268" w:type="dxa"/>
            <w:tcBorders>
              <w:top w:val="nil"/>
              <w:bottom w:val="nil"/>
              <w:right w:val="single" w:sz="4" w:space="0" w:color="auto"/>
            </w:tcBorders>
            <w:shd w:val="clear" w:color="auto" w:fill="F2F2F2"/>
            <w:noWrap/>
          </w:tcPr>
          <w:p w:rsidR="00000384" w:rsidRPr="00885D52" w:rsidRDefault="00000384" w:rsidP="007E73A8">
            <w:pPr>
              <w:pStyle w:val="TableText"/>
            </w:pPr>
            <w:r w:rsidRPr="00885D52">
              <w:t>Diabetes mellitus</w:t>
            </w:r>
          </w:p>
        </w:tc>
        <w:tc>
          <w:tcPr>
            <w:tcW w:w="851" w:type="dxa"/>
            <w:tcBorders>
              <w:top w:val="nil"/>
              <w:left w:val="single" w:sz="4" w:space="0" w:color="auto"/>
              <w:bottom w:val="nil"/>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835</w:t>
            </w:r>
          </w:p>
        </w:tc>
        <w:tc>
          <w:tcPr>
            <w:tcW w:w="779"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52.5</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47.5</w:t>
            </w:r>
          </w:p>
        </w:tc>
        <w:tc>
          <w:tcPr>
            <w:tcW w:w="779" w:type="dxa"/>
            <w:tcBorders>
              <w:top w:val="nil"/>
              <w:left w:val="single" w:sz="4" w:space="0" w:color="A6A6A6"/>
              <w:bottom w:val="nil"/>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55.5</w:t>
            </w:r>
          </w:p>
        </w:tc>
        <w:tc>
          <w:tcPr>
            <w:tcW w:w="780" w:type="dxa"/>
            <w:tcBorders>
              <w:top w:val="nil"/>
              <w:left w:val="nil"/>
              <w:bottom w:val="nil"/>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36.0</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10.5</w:t>
            </w:r>
          </w:p>
        </w:tc>
        <w:tc>
          <w:tcPr>
            <w:tcW w:w="779"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7.6</w:t>
            </w:r>
          </w:p>
        </w:tc>
        <w:tc>
          <w:tcPr>
            <w:tcW w:w="780"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13.7</w:t>
            </w:r>
          </w:p>
        </w:tc>
        <w:tc>
          <w:tcPr>
            <w:tcW w:w="780" w:type="dxa"/>
            <w:tcBorders>
              <w:top w:val="nil"/>
              <w:left w:val="nil"/>
              <w:bottom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9.4</w:t>
            </w:r>
          </w:p>
        </w:tc>
      </w:tr>
      <w:tr w:rsidR="00000384" w:rsidRPr="00885D52" w:rsidTr="007E73A8">
        <w:trPr>
          <w:cantSplit/>
        </w:trPr>
        <w:tc>
          <w:tcPr>
            <w:tcW w:w="2268" w:type="dxa"/>
            <w:tcBorders>
              <w:top w:val="nil"/>
              <w:bottom w:val="nil"/>
            </w:tcBorders>
            <w:shd w:val="clear" w:color="auto" w:fill="auto"/>
            <w:noWrap/>
          </w:tcPr>
          <w:p w:rsidR="00000384" w:rsidRPr="00885D52" w:rsidRDefault="00000384" w:rsidP="007E73A8">
            <w:pPr>
              <w:pStyle w:val="TableText"/>
            </w:pPr>
            <w:r w:rsidRPr="00885D52">
              <w:t>Motor vehicle accidents</w:t>
            </w:r>
          </w:p>
        </w:tc>
        <w:tc>
          <w:tcPr>
            <w:tcW w:w="851" w:type="dxa"/>
            <w:tcBorders>
              <w:top w:val="nil"/>
              <w:bottom w:val="nil"/>
              <w:right w:val="single" w:sz="4" w:space="0" w:color="A6A6A6"/>
            </w:tcBorders>
            <w:shd w:val="clear" w:color="auto" w:fill="auto"/>
            <w:noWrap/>
            <w:vAlign w:val="bottom"/>
          </w:tcPr>
          <w:p w:rsidR="00000384" w:rsidRPr="00885D52" w:rsidRDefault="00000384" w:rsidP="007E73A8">
            <w:pPr>
              <w:pStyle w:val="TableText"/>
              <w:tabs>
                <w:tab w:val="decimal" w:pos="567"/>
              </w:tabs>
              <w:rPr>
                <w:rFonts w:cs="Arial"/>
                <w:szCs w:val="18"/>
              </w:rPr>
            </w:pPr>
            <w:r w:rsidRPr="00885D52">
              <w:rPr>
                <w:rFonts w:cs="Arial"/>
                <w:szCs w:val="18"/>
              </w:rPr>
              <w:t>305</w:t>
            </w:r>
          </w:p>
        </w:tc>
        <w:tc>
          <w:tcPr>
            <w:tcW w:w="779"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72.5</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27.5</w:t>
            </w:r>
          </w:p>
        </w:tc>
        <w:tc>
          <w:tcPr>
            <w:tcW w:w="779" w:type="dxa"/>
            <w:tcBorders>
              <w:top w:val="nil"/>
              <w:left w:val="single" w:sz="4" w:space="0" w:color="A6A6A6"/>
              <w:bottom w:val="nil"/>
              <w:right w:val="nil"/>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16.2</w:t>
            </w:r>
          </w:p>
        </w:tc>
        <w:tc>
          <w:tcPr>
            <w:tcW w:w="780" w:type="dxa"/>
            <w:tcBorders>
              <w:top w:val="nil"/>
              <w:left w:val="nil"/>
              <w:bottom w:val="nil"/>
              <w:right w:val="single" w:sz="4" w:space="0" w:color="A6A6A6"/>
            </w:tcBorders>
            <w:shd w:val="clear" w:color="auto" w:fill="auto"/>
            <w:vAlign w:val="bottom"/>
          </w:tcPr>
          <w:p w:rsidR="00000384" w:rsidRPr="00885D52" w:rsidRDefault="00000384" w:rsidP="007E73A8">
            <w:pPr>
              <w:pStyle w:val="TableText"/>
              <w:tabs>
                <w:tab w:val="decimal" w:pos="425"/>
              </w:tabs>
              <w:rPr>
                <w:rFonts w:cs="Arial"/>
                <w:szCs w:val="18"/>
              </w:rPr>
            </w:pPr>
            <w:r w:rsidRPr="00885D52">
              <w:rPr>
                <w:rFonts w:cs="Arial"/>
                <w:szCs w:val="18"/>
              </w:rPr>
              <w:t>5.1</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8.5</w:t>
            </w:r>
          </w:p>
        </w:tc>
        <w:tc>
          <w:tcPr>
            <w:tcW w:w="779"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3.0</w:t>
            </w:r>
          </w:p>
        </w:tc>
        <w:tc>
          <w:tcPr>
            <w:tcW w:w="780"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9.8</w:t>
            </w:r>
          </w:p>
        </w:tc>
        <w:tc>
          <w:tcPr>
            <w:tcW w:w="780" w:type="dxa"/>
            <w:tcBorders>
              <w:top w:val="nil"/>
              <w:left w:val="nil"/>
              <w:bottom w:val="nil"/>
            </w:tcBorders>
            <w:shd w:val="clear" w:color="auto" w:fill="auto"/>
            <w:noWrap/>
            <w:vAlign w:val="bottom"/>
          </w:tcPr>
          <w:p w:rsidR="00000384" w:rsidRPr="00885D52" w:rsidRDefault="00000384" w:rsidP="007E73A8">
            <w:pPr>
              <w:pStyle w:val="TableText"/>
              <w:tabs>
                <w:tab w:val="decimal" w:pos="425"/>
              </w:tabs>
              <w:rPr>
                <w:rFonts w:cs="Arial"/>
                <w:szCs w:val="18"/>
              </w:rPr>
            </w:pPr>
            <w:r w:rsidRPr="00885D52">
              <w:rPr>
                <w:rFonts w:cs="Arial"/>
                <w:szCs w:val="18"/>
              </w:rPr>
              <w:t>3.3</w:t>
            </w:r>
          </w:p>
        </w:tc>
      </w:tr>
      <w:tr w:rsidR="00000384" w:rsidRPr="00885D52" w:rsidTr="007E73A8">
        <w:trPr>
          <w:cantSplit/>
        </w:trPr>
        <w:tc>
          <w:tcPr>
            <w:tcW w:w="2268" w:type="dxa"/>
            <w:tcBorders>
              <w:top w:val="nil"/>
              <w:bottom w:val="single" w:sz="4" w:space="0" w:color="auto"/>
            </w:tcBorders>
            <w:shd w:val="clear" w:color="auto" w:fill="F2F2F2"/>
            <w:noWrap/>
          </w:tcPr>
          <w:p w:rsidR="00000384" w:rsidRPr="00885D52" w:rsidRDefault="00000384" w:rsidP="007E73A8">
            <w:pPr>
              <w:pStyle w:val="TableText"/>
            </w:pPr>
            <w:r w:rsidRPr="00885D52">
              <w:t>Suicide</w:t>
            </w:r>
          </w:p>
        </w:tc>
        <w:tc>
          <w:tcPr>
            <w:tcW w:w="851" w:type="dxa"/>
            <w:tcBorders>
              <w:top w:val="nil"/>
              <w:bottom w:val="single" w:sz="4" w:space="0" w:color="auto"/>
              <w:right w:val="single" w:sz="4" w:space="0" w:color="A6A6A6"/>
            </w:tcBorders>
            <w:shd w:val="clear" w:color="auto" w:fill="F2F2F2"/>
            <w:noWrap/>
            <w:vAlign w:val="bottom"/>
          </w:tcPr>
          <w:p w:rsidR="00000384" w:rsidRPr="00885D52" w:rsidRDefault="00000384" w:rsidP="007E73A8">
            <w:pPr>
              <w:pStyle w:val="TableText"/>
              <w:tabs>
                <w:tab w:val="decimal" w:pos="567"/>
              </w:tabs>
              <w:rPr>
                <w:rFonts w:cs="Arial"/>
                <w:szCs w:val="18"/>
              </w:rPr>
            </w:pPr>
            <w:r w:rsidRPr="00885D52">
              <w:rPr>
                <w:rFonts w:cs="Arial"/>
                <w:szCs w:val="18"/>
              </w:rPr>
              <w:t>493</w:t>
            </w:r>
          </w:p>
        </w:tc>
        <w:tc>
          <w:tcPr>
            <w:tcW w:w="779" w:type="dxa"/>
            <w:tcBorders>
              <w:top w:val="nil"/>
              <w:left w:val="single" w:sz="4" w:space="0" w:color="A6A6A6"/>
              <w:bottom w:val="single" w:sz="4" w:space="0" w:color="auto"/>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76.5</w:t>
            </w:r>
          </w:p>
        </w:tc>
        <w:tc>
          <w:tcPr>
            <w:tcW w:w="780" w:type="dxa"/>
            <w:tcBorders>
              <w:top w:val="nil"/>
              <w:left w:val="nil"/>
              <w:bottom w:val="single" w:sz="4" w:space="0" w:color="auto"/>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23.5</w:t>
            </w:r>
          </w:p>
        </w:tc>
        <w:tc>
          <w:tcPr>
            <w:tcW w:w="779" w:type="dxa"/>
            <w:tcBorders>
              <w:top w:val="nil"/>
              <w:left w:val="single" w:sz="4" w:space="0" w:color="A6A6A6"/>
              <w:bottom w:val="single" w:sz="4" w:space="0" w:color="auto"/>
              <w:right w:val="nil"/>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26.3</w:t>
            </w:r>
          </w:p>
        </w:tc>
        <w:tc>
          <w:tcPr>
            <w:tcW w:w="780" w:type="dxa"/>
            <w:tcBorders>
              <w:top w:val="nil"/>
              <w:left w:val="nil"/>
              <w:bottom w:val="single" w:sz="4" w:space="0" w:color="auto"/>
              <w:right w:val="single" w:sz="4" w:space="0" w:color="A6A6A6"/>
            </w:tcBorders>
            <w:shd w:val="clear" w:color="auto" w:fill="F2F2F2"/>
            <w:vAlign w:val="bottom"/>
          </w:tcPr>
          <w:p w:rsidR="00000384" w:rsidRPr="00885D52" w:rsidRDefault="00000384" w:rsidP="007E73A8">
            <w:pPr>
              <w:pStyle w:val="TableText"/>
              <w:tabs>
                <w:tab w:val="decimal" w:pos="425"/>
              </w:tabs>
              <w:rPr>
                <w:rFonts w:cs="Arial"/>
                <w:szCs w:val="18"/>
              </w:rPr>
            </w:pPr>
            <w:r w:rsidRPr="00885D52">
              <w:rPr>
                <w:rFonts w:cs="Arial"/>
                <w:szCs w:val="18"/>
              </w:rPr>
              <w:t>9.5</w:t>
            </w:r>
          </w:p>
        </w:tc>
        <w:tc>
          <w:tcPr>
            <w:tcW w:w="780" w:type="dxa"/>
            <w:tcBorders>
              <w:top w:val="nil"/>
              <w:left w:val="single" w:sz="4" w:space="0" w:color="A6A6A6"/>
              <w:bottom w:val="single" w:sz="4" w:space="0" w:color="auto"/>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14.9</w:t>
            </w:r>
          </w:p>
        </w:tc>
        <w:tc>
          <w:tcPr>
            <w:tcW w:w="779" w:type="dxa"/>
            <w:tcBorders>
              <w:top w:val="nil"/>
              <w:left w:val="nil"/>
              <w:bottom w:val="single" w:sz="4" w:space="0" w:color="auto"/>
              <w:right w:val="single" w:sz="4" w:space="0" w:color="A6A6A6"/>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4.0</w:t>
            </w:r>
          </w:p>
        </w:tc>
        <w:tc>
          <w:tcPr>
            <w:tcW w:w="780" w:type="dxa"/>
            <w:tcBorders>
              <w:top w:val="nil"/>
              <w:left w:val="single" w:sz="4" w:space="0" w:color="A6A6A6"/>
              <w:bottom w:val="single" w:sz="4" w:space="0" w:color="auto"/>
              <w:right w:val="nil"/>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17.0</w:t>
            </w:r>
          </w:p>
        </w:tc>
        <w:tc>
          <w:tcPr>
            <w:tcW w:w="780" w:type="dxa"/>
            <w:tcBorders>
              <w:top w:val="nil"/>
              <w:left w:val="nil"/>
              <w:bottom w:val="single" w:sz="4" w:space="0" w:color="auto"/>
            </w:tcBorders>
            <w:shd w:val="clear" w:color="auto" w:fill="F2F2F2"/>
            <w:noWrap/>
            <w:vAlign w:val="bottom"/>
          </w:tcPr>
          <w:p w:rsidR="00000384" w:rsidRPr="00885D52" w:rsidRDefault="00000384" w:rsidP="007E73A8">
            <w:pPr>
              <w:pStyle w:val="TableText"/>
              <w:tabs>
                <w:tab w:val="decimal" w:pos="425"/>
              </w:tabs>
              <w:rPr>
                <w:rFonts w:cs="Arial"/>
                <w:szCs w:val="18"/>
              </w:rPr>
            </w:pPr>
            <w:r w:rsidRPr="00885D52">
              <w:rPr>
                <w:rFonts w:cs="Arial"/>
                <w:szCs w:val="18"/>
              </w:rPr>
              <w:t>5.1</w:t>
            </w:r>
          </w:p>
        </w:tc>
      </w:tr>
    </w:tbl>
    <w:p w:rsidR="00000384" w:rsidRPr="00885D52" w:rsidRDefault="00000384" w:rsidP="00265332">
      <w:pPr>
        <w:pStyle w:val="Note"/>
        <w:ind w:right="0"/>
      </w:pPr>
      <w:r w:rsidRPr="00885D52">
        <w:t>*</w:t>
      </w:r>
      <w:r w:rsidRPr="00885D52">
        <w:tab/>
        <w:t>Rates per 100,000 population, age-standardised to WHO World Standard Population.</w:t>
      </w:r>
    </w:p>
    <w:p w:rsidR="00000384" w:rsidRPr="00885D52" w:rsidRDefault="00000384" w:rsidP="00265332">
      <w:pPr>
        <w:pStyle w:val="Note"/>
        <w:ind w:right="0"/>
      </w:pPr>
      <w:r w:rsidRPr="00885D52">
        <w:t>...</w:t>
      </w:r>
      <w:r w:rsidRPr="00885D52">
        <w:tab/>
        <w:t>= Not applicable.</w:t>
      </w:r>
    </w:p>
    <w:p w:rsidR="00000384" w:rsidRPr="00885D52" w:rsidRDefault="00000384" w:rsidP="000E4FA8">
      <w:pPr>
        <w:pStyle w:val="Heading1"/>
      </w:pPr>
      <w:bookmarkStart w:id="138" w:name="_Toc167268820"/>
      <w:bookmarkStart w:id="139" w:name="_Toc236642197"/>
      <w:bookmarkStart w:id="140" w:name="_Toc262631076"/>
      <w:bookmarkStart w:id="141" w:name="_Toc316994464"/>
      <w:r w:rsidRPr="00885D52">
        <w:rPr>
          <w:color w:val="FF0000"/>
        </w:rPr>
        <w:br w:type="page"/>
      </w:r>
      <w:bookmarkStart w:id="142" w:name="_Toc352670621"/>
      <w:bookmarkStart w:id="143" w:name="_Toc400536177"/>
      <w:bookmarkStart w:id="144" w:name="_Toc403120517"/>
      <w:r w:rsidRPr="00885D52">
        <w:lastRenderedPageBreak/>
        <w:t>Major causes of mortality</w:t>
      </w:r>
      <w:bookmarkEnd w:id="138"/>
      <w:bookmarkEnd w:id="139"/>
      <w:bookmarkEnd w:id="140"/>
      <w:bookmarkEnd w:id="141"/>
      <w:bookmarkEnd w:id="142"/>
      <w:bookmarkEnd w:id="143"/>
      <w:bookmarkEnd w:id="144"/>
    </w:p>
    <w:p w:rsidR="00000384" w:rsidRPr="00885D52" w:rsidRDefault="00000384" w:rsidP="000E4FA8">
      <w:r w:rsidRPr="00885D52">
        <w:t>This section presents an overview of mortality statistics in 2011, describes trends in mortality over time and reviews selected major causes of mortality in 2011. Included in the 2011 figures are the 185 people who lost their lives in the Christchurch earthquake on 22 February 2011.</w:t>
      </w:r>
    </w:p>
    <w:p w:rsidR="00000384" w:rsidRPr="00885D52" w:rsidRDefault="00000384" w:rsidP="000E4FA8"/>
    <w:p w:rsidR="00000384" w:rsidRPr="00885D52" w:rsidRDefault="00000384" w:rsidP="000E4FA8">
      <w:pPr>
        <w:pStyle w:val="Heading2"/>
      </w:pPr>
      <w:bookmarkStart w:id="145" w:name="_Toc167268821"/>
      <w:bookmarkStart w:id="146" w:name="_Toc236642198"/>
      <w:bookmarkStart w:id="147" w:name="_Toc262631077"/>
      <w:bookmarkStart w:id="148" w:name="_Toc316994465"/>
      <w:bookmarkStart w:id="149" w:name="_Toc352670622"/>
      <w:bookmarkStart w:id="150" w:name="_Toc400536178"/>
      <w:bookmarkStart w:id="151" w:name="_Toc403120518"/>
      <w:r w:rsidRPr="00885D52">
        <w:t>Overview of mortality statistics</w:t>
      </w:r>
      <w:bookmarkEnd w:id="145"/>
      <w:bookmarkEnd w:id="146"/>
      <w:bookmarkEnd w:id="147"/>
      <w:bookmarkEnd w:id="148"/>
      <w:bookmarkEnd w:id="149"/>
      <w:bookmarkEnd w:id="150"/>
      <w:bookmarkEnd w:id="151"/>
    </w:p>
    <w:p w:rsidR="008D5D23" w:rsidRPr="00885D52" w:rsidRDefault="00000384" w:rsidP="000E4FA8">
      <w:r w:rsidRPr="00885D52">
        <w:t>There were 30,289 deaths registered in New Zealand in 2011. This represents a 13.5 percent increase in the number of deaths since 1980. An increase in the total number of deaths is not surprising bearing in mind that the total population of New Zealand increased at the same time. A more useful measure of mortality is the age-standardised death rate, allowing comparisons to be made over time and between differing groups.</w:t>
      </w:r>
      <w:r w:rsidRPr="00885D52">
        <w:rPr>
          <w:rStyle w:val="FootnoteReference"/>
        </w:rPr>
        <w:footnoteReference w:id="1"/>
      </w:r>
      <w:r w:rsidRPr="00885D52">
        <w:t xml:space="preserve"> Figure 2 shows the age-standardised rates for all causes of death from 1950 to 2011.</w:t>
      </w:r>
    </w:p>
    <w:p w:rsidR="00000384" w:rsidRPr="00885D52" w:rsidRDefault="00000384" w:rsidP="000E4FA8"/>
    <w:p w:rsidR="00000384" w:rsidRPr="00885D52" w:rsidRDefault="00000384" w:rsidP="000E4FA8">
      <w:pPr>
        <w:pStyle w:val="Figure"/>
      </w:pPr>
      <w:bookmarkStart w:id="152" w:name="_Toc400536101"/>
      <w:bookmarkStart w:id="153" w:name="_Toc403120576"/>
      <w:r w:rsidRPr="00885D52">
        <w:t>Figure 2: Numbers and age-standardised mortality rates by sex, 1950–2011</w:t>
      </w:r>
      <w:bookmarkEnd w:id="152"/>
      <w:bookmarkEnd w:id="153"/>
    </w:p>
    <w:p w:rsidR="00000384" w:rsidRPr="00885D52" w:rsidRDefault="007D0A80" w:rsidP="00565466">
      <w:r w:rsidRPr="00885D52">
        <w:rPr>
          <w:noProof/>
          <w:lang w:eastAsia="en-NZ"/>
        </w:rPr>
        <w:drawing>
          <wp:inline distT="0" distB="0" distL="0" distR="0" wp14:anchorId="69F4A156" wp14:editId="68DE5C9F">
            <wp:extent cx="5029200" cy="3064803"/>
            <wp:effectExtent l="0" t="0" r="0" b="2540"/>
            <wp:docPr id="50" name="Picture 50" title="Figure 2: Numbers and age-standardised mortality rates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34858" cy="3068251"/>
                    </a:xfrm>
                    <a:prstGeom prst="rect">
                      <a:avLst/>
                    </a:prstGeom>
                  </pic:spPr>
                </pic:pic>
              </a:graphicData>
            </a:graphic>
          </wp:inline>
        </w:drawing>
      </w:r>
    </w:p>
    <w:p w:rsidR="00000384" w:rsidRPr="00885D52" w:rsidRDefault="00000384" w:rsidP="007D0A80">
      <w:pPr>
        <w:pStyle w:val="Note"/>
      </w:pPr>
      <w:r w:rsidRPr="00885D52">
        <w:t>Note: Rates per 100,000 population, age-standardised to WHO World Standard Population.</w:t>
      </w:r>
    </w:p>
    <w:p w:rsidR="00000384" w:rsidRPr="00885D52" w:rsidRDefault="00000384" w:rsidP="000E4FA8"/>
    <w:p w:rsidR="00000384" w:rsidRPr="00885D52" w:rsidRDefault="00000384" w:rsidP="000E4FA8">
      <w:r w:rsidRPr="00885D52">
        <w:t>While the number of deaths increased over time, the mortality rate showed a strong downward trend when adjusted for age. In 2011 there were 400.4 deaths per 100,000 population.</w:t>
      </w:r>
    </w:p>
    <w:p w:rsidR="00000384" w:rsidRPr="00885D52" w:rsidRDefault="00000384" w:rsidP="000E4FA8"/>
    <w:p w:rsidR="00000384" w:rsidRPr="00885D52" w:rsidRDefault="00000384" w:rsidP="000E4FA8">
      <w:r w:rsidRPr="00885D52">
        <w:t xml:space="preserve">In 2011, females accounted for 407 more deaths than males (15,348 </w:t>
      </w:r>
      <w:r w:rsidR="00491B19">
        <w:t>compared with</w:t>
      </w:r>
      <w:r w:rsidRPr="00885D52">
        <w:t xml:space="preserve"> 14,941). However, the age-standardised rates show the opposite trend; the male rate was 1.4 times higher than the female rate (464.4 per 100,000 for males, as opposed to 343.2 per 100,000 for females). This disparity is due to the differing age distributions of male and female deaths. Male mortality occurred more frequently in the younger age groups and was weighted higher (see definition of age-standardised rates in </w:t>
      </w:r>
      <w:r w:rsidR="00885D52" w:rsidRPr="00885D52">
        <w:t>‘</w:t>
      </w:r>
      <w:hyperlink w:anchor="_Statistical_notes" w:history="1">
        <w:r w:rsidRPr="00885D52">
          <w:rPr>
            <w:rStyle w:val="Hyperlink"/>
          </w:rPr>
          <w:t>Statistical notes</w:t>
        </w:r>
      </w:hyperlink>
      <w:r w:rsidR="00885D52" w:rsidRPr="00885D52">
        <w:rPr>
          <w:rStyle w:val="Hyperlink"/>
        </w:rPr>
        <w:t>‘</w:t>
      </w:r>
      <w:r w:rsidRPr="00885D52">
        <w:t>).</w:t>
      </w:r>
    </w:p>
    <w:p w:rsidR="00000384" w:rsidRPr="00885D52" w:rsidRDefault="00000384" w:rsidP="000E4FA8"/>
    <w:p w:rsidR="00000384" w:rsidRPr="00885D52" w:rsidRDefault="00000384" w:rsidP="000E4FA8">
      <w:r w:rsidRPr="00885D52">
        <w:lastRenderedPageBreak/>
        <w:t>Māori accounted for one in every ten deaths in 2011 (1568 males and 1459 females). This equates to an age-standardised rate of 663.2 deaths per 100,000 Māori population, compared with 374.8 per 100,000 population for non-Māori.</w:t>
      </w:r>
    </w:p>
    <w:p w:rsidR="00000384" w:rsidRPr="00885D52" w:rsidRDefault="00000384" w:rsidP="000E4FA8"/>
    <w:p w:rsidR="00000384" w:rsidRPr="00885D52" w:rsidRDefault="00000384" w:rsidP="000E4FA8">
      <w:r w:rsidRPr="00885D52">
        <w:t>Table 1 shows age-specific and age-standardised rates for all causes of death in 2011.</w:t>
      </w:r>
    </w:p>
    <w:p w:rsidR="00000384" w:rsidRPr="00885D52" w:rsidRDefault="00000384" w:rsidP="000E4FA8"/>
    <w:p w:rsidR="00000384" w:rsidRPr="00885D52" w:rsidRDefault="00000384" w:rsidP="000E4FA8">
      <w:pPr>
        <w:pStyle w:val="Table"/>
      </w:pPr>
      <w:bookmarkStart w:id="154" w:name="_Ref167251352"/>
      <w:bookmarkStart w:id="155" w:name="_Toc167268849"/>
      <w:bookmarkStart w:id="156" w:name="_Toc236641641"/>
      <w:bookmarkStart w:id="157" w:name="_Toc262631225"/>
      <w:bookmarkStart w:id="158" w:name="_Toc316912718"/>
      <w:bookmarkStart w:id="159" w:name="_Toc352670650"/>
      <w:bookmarkStart w:id="160" w:name="_Toc400536141"/>
      <w:bookmarkStart w:id="161" w:name="_Toc403120546"/>
      <w:r w:rsidRPr="00885D52">
        <w:t>Table 1</w:t>
      </w:r>
      <w:bookmarkEnd w:id="154"/>
      <w:r w:rsidRPr="00885D52">
        <w:t>: Mortality rates by age group, sex and ethnicity, 20</w:t>
      </w:r>
      <w:bookmarkEnd w:id="155"/>
      <w:bookmarkEnd w:id="156"/>
      <w:bookmarkEnd w:id="157"/>
      <w:bookmarkEnd w:id="158"/>
      <w:r w:rsidRPr="00885D52">
        <w:t>1</w:t>
      </w:r>
      <w:bookmarkEnd w:id="159"/>
      <w:r w:rsidRPr="00885D52">
        <w:t>1</w:t>
      </w:r>
      <w:bookmarkEnd w:id="160"/>
      <w:bookmarkEnd w:id="161"/>
    </w:p>
    <w:tbl>
      <w:tblPr>
        <w:tblW w:w="9356"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830"/>
        <w:gridCol w:w="830"/>
        <w:gridCol w:w="830"/>
        <w:gridCol w:w="830"/>
        <w:gridCol w:w="830"/>
        <w:gridCol w:w="830"/>
        <w:gridCol w:w="831"/>
        <w:gridCol w:w="1418"/>
      </w:tblGrid>
      <w:tr w:rsidR="00000384" w:rsidRPr="00885D52" w:rsidTr="007E73A8">
        <w:trPr>
          <w:cantSplit/>
        </w:trPr>
        <w:tc>
          <w:tcPr>
            <w:tcW w:w="2127" w:type="dxa"/>
            <w:vMerge w:val="restart"/>
            <w:tcBorders>
              <w:top w:val="single" w:sz="4" w:space="0" w:color="auto"/>
              <w:bottom w:val="single" w:sz="4" w:space="0" w:color="auto"/>
            </w:tcBorders>
            <w:shd w:val="clear" w:color="auto" w:fill="auto"/>
            <w:noWrap/>
          </w:tcPr>
          <w:p w:rsidR="00000384" w:rsidRPr="00885D52" w:rsidRDefault="00000384" w:rsidP="000E4FA8">
            <w:pPr>
              <w:pStyle w:val="TableText"/>
            </w:pPr>
          </w:p>
        </w:tc>
        <w:tc>
          <w:tcPr>
            <w:tcW w:w="5811" w:type="dxa"/>
            <w:gridSpan w:val="7"/>
            <w:tcBorders>
              <w:top w:val="single" w:sz="4" w:space="0" w:color="auto"/>
              <w:bottom w:val="single" w:sz="4" w:space="0" w:color="auto"/>
              <w:right w:val="single" w:sz="4" w:space="0" w:color="A6A6A6"/>
            </w:tcBorders>
            <w:shd w:val="clear" w:color="auto" w:fill="auto"/>
            <w:noWrap/>
          </w:tcPr>
          <w:p w:rsidR="00000384" w:rsidRPr="00885D52" w:rsidRDefault="00000384" w:rsidP="000E4FA8">
            <w:pPr>
              <w:pStyle w:val="TableText"/>
              <w:jc w:val="center"/>
              <w:rPr>
                <w:b/>
              </w:rPr>
            </w:pPr>
            <w:r w:rsidRPr="00885D52">
              <w:rPr>
                <w:b/>
              </w:rPr>
              <w:t>Age-specific rate by age group</w:t>
            </w:r>
          </w:p>
        </w:tc>
        <w:tc>
          <w:tcPr>
            <w:tcW w:w="1418" w:type="dxa"/>
            <w:vMerge w:val="restart"/>
            <w:tcBorders>
              <w:top w:val="single" w:sz="4" w:space="0" w:color="auto"/>
              <w:left w:val="single" w:sz="4" w:space="0" w:color="A6A6A6"/>
              <w:bottom w:val="single" w:sz="4" w:space="0" w:color="auto"/>
              <w:right w:val="nil"/>
            </w:tcBorders>
            <w:shd w:val="clear" w:color="auto" w:fill="auto"/>
          </w:tcPr>
          <w:p w:rsidR="00000384" w:rsidRPr="00885D52" w:rsidRDefault="00000384" w:rsidP="000E4FA8">
            <w:pPr>
              <w:pStyle w:val="TableText"/>
              <w:jc w:val="center"/>
              <w:rPr>
                <w:b/>
              </w:rPr>
            </w:pPr>
            <w:r w:rsidRPr="00885D52">
              <w:rPr>
                <w:b/>
              </w:rPr>
              <w:t>Age-standardised rate</w:t>
            </w:r>
          </w:p>
        </w:tc>
      </w:tr>
      <w:tr w:rsidR="00000384" w:rsidRPr="00885D52" w:rsidTr="007E73A8">
        <w:trPr>
          <w:cantSplit/>
        </w:trPr>
        <w:tc>
          <w:tcPr>
            <w:tcW w:w="2127" w:type="dxa"/>
            <w:vMerge/>
            <w:tcBorders>
              <w:top w:val="single" w:sz="4" w:space="0" w:color="auto"/>
              <w:bottom w:val="single" w:sz="4" w:space="0" w:color="auto"/>
              <w:right w:val="single" w:sz="4" w:space="0" w:color="auto"/>
            </w:tcBorders>
            <w:shd w:val="clear" w:color="auto" w:fill="auto"/>
            <w:noWrap/>
          </w:tcPr>
          <w:p w:rsidR="00000384" w:rsidRPr="00885D52" w:rsidRDefault="00000384" w:rsidP="000E4FA8">
            <w:pPr>
              <w:pStyle w:val="TableText"/>
            </w:pPr>
          </w:p>
        </w:tc>
        <w:tc>
          <w:tcPr>
            <w:tcW w:w="830" w:type="dxa"/>
            <w:tcBorders>
              <w:top w:val="single" w:sz="4" w:space="0" w:color="auto"/>
              <w:left w:val="single" w:sz="4" w:space="0" w:color="auto"/>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&lt;1</w:t>
            </w:r>
          </w:p>
        </w:tc>
        <w:tc>
          <w:tcPr>
            <w:tcW w:w="830" w:type="dxa"/>
            <w:tcBorders>
              <w:top w:val="single" w:sz="4" w:space="0" w:color="auto"/>
              <w:left w:val="nil"/>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1–14</w:t>
            </w:r>
          </w:p>
        </w:tc>
        <w:tc>
          <w:tcPr>
            <w:tcW w:w="830" w:type="dxa"/>
            <w:tcBorders>
              <w:top w:val="single" w:sz="4" w:space="0" w:color="auto"/>
              <w:left w:val="nil"/>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15–24</w:t>
            </w:r>
          </w:p>
        </w:tc>
        <w:tc>
          <w:tcPr>
            <w:tcW w:w="830" w:type="dxa"/>
            <w:tcBorders>
              <w:top w:val="single" w:sz="4" w:space="0" w:color="auto"/>
              <w:left w:val="nil"/>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25–44</w:t>
            </w:r>
          </w:p>
        </w:tc>
        <w:tc>
          <w:tcPr>
            <w:tcW w:w="830" w:type="dxa"/>
            <w:tcBorders>
              <w:top w:val="single" w:sz="4" w:space="0" w:color="auto"/>
              <w:left w:val="nil"/>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45–64</w:t>
            </w:r>
          </w:p>
        </w:tc>
        <w:tc>
          <w:tcPr>
            <w:tcW w:w="830" w:type="dxa"/>
            <w:tcBorders>
              <w:top w:val="single" w:sz="4" w:space="0" w:color="auto"/>
              <w:left w:val="nil"/>
              <w:bottom w:val="single" w:sz="4" w:space="0" w:color="auto"/>
              <w:right w:val="nil"/>
            </w:tcBorders>
            <w:shd w:val="clear" w:color="auto" w:fill="auto"/>
            <w:noWrap/>
          </w:tcPr>
          <w:p w:rsidR="00000384" w:rsidRPr="00885D52" w:rsidRDefault="00000384" w:rsidP="000E4FA8">
            <w:pPr>
              <w:pStyle w:val="TableText"/>
              <w:jc w:val="center"/>
              <w:rPr>
                <w:b/>
              </w:rPr>
            </w:pPr>
            <w:r w:rsidRPr="00885D52">
              <w:rPr>
                <w:b/>
              </w:rPr>
              <w:t>65–74</w:t>
            </w:r>
          </w:p>
        </w:tc>
        <w:tc>
          <w:tcPr>
            <w:tcW w:w="831"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0E4FA8">
            <w:pPr>
              <w:pStyle w:val="TableText"/>
              <w:jc w:val="center"/>
              <w:rPr>
                <w:b/>
              </w:rPr>
            </w:pPr>
            <w:r w:rsidRPr="00885D52">
              <w:rPr>
                <w:b/>
              </w:rPr>
              <w:t>75+</w:t>
            </w:r>
          </w:p>
        </w:tc>
        <w:tc>
          <w:tcPr>
            <w:tcW w:w="1418" w:type="dxa"/>
            <w:vMerge/>
            <w:tcBorders>
              <w:top w:val="single" w:sz="4" w:space="0" w:color="auto"/>
              <w:left w:val="single" w:sz="4" w:space="0" w:color="A6A6A6"/>
              <w:bottom w:val="single" w:sz="4" w:space="0" w:color="auto"/>
              <w:right w:val="nil"/>
            </w:tcBorders>
            <w:shd w:val="clear" w:color="auto" w:fill="auto"/>
          </w:tcPr>
          <w:p w:rsidR="00000384" w:rsidRPr="00885D52" w:rsidRDefault="00000384" w:rsidP="000E4FA8">
            <w:pPr>
              <w:pStyle w:val="TableText"/>
            </w:pPr>
          </w:p>
        </w:tc>
      </w:tr>
      <w:tr w:rsidR="00000384" w:rsidRPr="00885D52" w:rsidTr="007E73A8">
        <w:trPr>
          <w:cantSplit/>
        </w:trPr>
        <w:tc>
          <w:tcPr>
            <w:tcW w:w="2127" w:type="dxa"/>
            <w:tcBorders>
              <w:top w:val="single" w:sz="4" w:space="0" w:color="auto"/>
              <w:bottom w:val="nil"/>
              <w:right w:val="single" w:sz="4" w:space="0" w:color="auto"/>
            </w:tcBorders>
            <w:shd w:val="clear" w:color="auto" w:fill="F2F2F2"/>
            <w:noWrap/>
          </w:tcPr>
          <w:p w:rsidR="00000384" w:rsidRPr="00885D52" w:rsidRDefault="00000384" w:rsidP="000E4FA8">
            <w:pPr>
              <w:pStyle w:val="TableText"/>
              <w:rPr>
                <w:b/>
              </w:rPr>
            </w:pPr>
            <w:r w:rsidRPr="00885D52">
              <w:rPr>
                <w:b/>
              </w:rPr>
              <w:t>Total population</w:t>
            </w:r>
          </w:p>
        </w:tc>
        <w:tc>
          <w:tcPr>
            <w:tcW w:w="830" w:type="dxa"/>
            <w:tcBorders>
              <w:top w:val="single" w:sz="4" w:space="0" w:color="auto"/>
              <w:left w:val="single" w:sz="4" w:space="0" w:color="auto"/>
              <w:bottom w:val="nil"/>
              <w:right w:val="nil"/>
            </w:tcBorders>
            <w:shd w:val="clear" w:color="auto" w:fill="F2F2F2"/>
            <w:noWrap/>
          </w:tcPr>
          <w:p w:rsidR="00000384" w:rsidRPr="00885D5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b/>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348"/>
              </w:tabs>
              <w:rPr>
                <w:b/>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444"/>
              </w:tabs>
              <w:rPr>
                <w:b/>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b/>
              </w:rPr>
            </w:pPr>
          </w:p>
        </w:tc>
        <w:tc>
          <w:tcPr>
            <w:tcW w:w="831" w:type="dxa"/>
            <w:tcBorders>
              <w:top w:val="single" w:sz="4" w:space="0" w:color="auto"/>
              <w:left w:val="nil"/>
              <w:bottom w:val="nil"/>
              <w:right w:val="single" w:sz="4" w:space="0" w:color="A6A6A6"/>
            </w:tcBorders>
            <w:shd w:val="clear" w:color="auto" w:fill="F2F2F2"/>
            <w:noWrap/>
          </w:tcPr>
          <w:p w:rsidR="00000384" w:rsidRPr="00885D52" w:rsidRDefault="00000384" w:rsidP="000E4FA8">
            <w:pPr>
              <w:pStyle w:val="TableText"/>
              <w:jc w:val="center"/>
              <w:rPr>
                <w:b/>
              </w:rPr>
            </w:pPr>
          </w:p>
        </w:tc>
        <w:tc>
          <w:tcPr>
            <w:tcW w:w="1418" w:type="dxa"/>
            <w:tcBorders>
              <w:top w:val="single" w:sz="4" w:space="0" w:color="auto"/>
              <w:left w:val="single" w:sz="4" w:space="0" w:color="A6A6A6"/>
              <w:bottom w:val="nil"/>
            </w:tcBorders>
            <w:shd w:val="clear" w:color="auto" w:fill="F2F2F2"/>
            <w:noWrap/>
          </w:tcPr>
          <w:p w:rsidR="00000384" w:rsidRPr="00885D52" w:rsidRDefault="00000384" w:rsidP="000E4FA8">
            <w:pPr>
              <w:pStyle w:val="TableText"/>
              <w:jc w:val="center"/>
              <w:rPr>
                <w:b/>
              </w:rPr>
            </w:pPr>
          </w:p>
        </w:tc>
      </w:tr>
      <w:tr w:rsidR="00000384" w:rsidRPr="00885D52" w:rsidTr="007E73A8">
        <w:trPr>
          <w:cantSplit/>
        </w:trPr>
        <w:tc>
          <w:tcPr>
            <w:tcW w:w="2127" w:type="dxa"/>
            <w:tcBorders>
              <w:top w:val="nil"/>
              <w:bottom w:val="nil"/>
              <w:right w:val="single" w:sz="4" w:space="0" w:color="auto"/>
            </w:tcBorders>
            <w:shd w:val="clear" w:color="auto" w:fill="auto"/>
            <w:noWrap/>
          </w:tcPr>
          <w:p w:rsidR="00000384" w:rsidRPr="00885D52" w:rsidRDefault="00000384" w:rsidP="000E4FA8">
            <w:pPr>
              <w:pStyle w:val="TableText"/>
            </w:pPr>
            <w:r w:rsidRPr="00885D52">
              <w:t>Total</w:t>
            </w:r>
          </w:p>
        </w:tc>
        <w:tc>
          <w:tcPr>
            <w:tcW w:w="830" w:type="dxa"/>
            <w:tcBorders>
              <w:top w:val="nil"/>
              <w:left w:val="single" w:sz="4" w:space="0" w:color="auto"/>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517.9</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13.9</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65.5</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96.3</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401.2</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1523.5</w:t>
            </w:r>
          </w:p>
        </w:tc>
        <w:tc>
          <w:tcPr>
            <w:tcW w:w="831" w:type="dxa"/>
            <w:tcBorders>
              <w:top w:val="nil"/>
              <w:left w:val="nil"/>
              <w:bottom w:val="nil"/>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7218.2</w:t>
            </w:r>
          </w:p>
        </w:tc>
        <w:tc>
          <w:tcPr>
            <w:tcW w:w="1418" w:type="dxa"/>
            <w:tcBorders>
              <w:top w:val="nil"/>
              <w:left w:val="single" w:sz="4" w:space="0" w:color="A6A6A6"/>
              <w:bottom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400.4</w:t>
            </w:r>
          </w:p>
        </w:tc>
      </w:tr>
      <w:tr w:rsidR="00000384" w:rsidRPr="00885D52" w:rsidTr="007E73A8">
        <w:trPr>
          <w:cantSplit/>
        </w:trPr>
        <w:tc>
          <w:tcPr>
            <w:tcW w:w="2127" w:type="dxa"/>
            <w:tcBorders>
              <w:top w:val="nil"/>
              <w:bottom w:val="nil"/>
              <w:right w:val="single" w:sz="4" w:space="0" w:color="auto"/>
            </w:tcBorders>
            <w:shd w:val="clear" w:color="auto" w:fill="F2F2F2"/>
            <w:noWrap/>
          </w:tcPr>
          <w:p w:rsidR="00000384" w:rsidRPr="00885D52" w:rsidRDefault="00000384" w:rsidP="000E4FA8">
            <w:pPr>
              <w:pStyle w:val="TableText"/>
            </w:pPr>
            <w:r w:rsidRPr="00885D52">
              <w:t>Male</w:t>
            </w:r>
          </w:p>
        </w:tc>
        <w:tc>
          <w:tcPr>
            <w:tcW w:w="830" w:type="dxa"/>
            <w:tcBorders>
              <w:top w:val="nil"/>
              <w:left w:val="single" w:sz="4" w:space="0" w:color="auto"/>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565.1</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17.1</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86.3</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117.0</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476.4</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1803.7</w:t>
            </w:r>
          </w:p>
        </w:tc>
        <w:tc>
          <w:tcPr>
            <w:tcW w:w="831" w:type="dxa"/>
            <w:tcBorders>
              <w:top w:val="nil"/>
              <w:left w:val="nil"/>
              <w:bottom w:val="nil"/>
              <w:right w:val="single" w:sz="4" w:space="0" w:color="A6A6A6"/>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7499.8</w:t>
            </w:r>
          </w:p>
        </w:tc>
        <w:tc>
          <w:tcPr>
            <w:tcW w:w="1418" w:type="dxa"/>
            <w:tcBorders>
              <w:top w:val="nil"/>
              <w:left w:val="single" w:sz="4" w:space="0" w:color="A6A6A6"/>
              <w:bottom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464.4</w:t>
            </w:r>
          </w:p>
        </w:tc>
      </w:tr>
      <w:tr w:rsidR="00000384" w:rsidRPr="00885D52" w:rsidTr="007E73A8">
        <w:trPr>
          <w:cantSplit/>
        </w:trPr>
        <w:tc>
          <w:tcPr>
            <w:tcW w:w="2127" w:type="dxa"/>
            <w:tcBorders>
              <w:top w:val="nil"/>
              <w:bottom w:val="single" w:sz="4" w:space="0" w:color="auto"/>
              <w:right w:val="single" w:sz="4" w:space="0" w:color="auto"/>
            </w:tcBorders>
            <w:shd w:val="clear" w:color="auto" w:fill="auto"/>
            <w:noWrap/>
          </w:tcPr>
          <w:p w:rsidR="00000384" w:rsidRPr="00885D52" w:rsidRDefault="00000384" w:rsidP="000E4FA8">
            <w:pPr>
              <w:pStyle w:val="TableText"/>
            </w:pPr>
            <w:r w:rsidRPr="00885D52">
              <w:t>Female</w:t>
            </w:r>
          </w:p>
        </w:tc>
        <w:tc>
          <w:tcPr>
            <w:tcW w:w="830" w:type="dxa"/>
            <w:tcBorders>
              <w:top w:val="nil"/>
              <w:left w:val="single" w:sz="4" w:space="0" w:color="auto"/>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468.2</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10.6</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43.3</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76.9</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329.7</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1260.8</w:t>
            </w:r>
          </w:p>
        </w:tc>
        <w:tc>
          <w:tcPr>
            <w:tcW w:w="831" w:type="dxa"/>
            <w:tcBorders>
              <w:top w:val="nil"/>
              <w:left w:val="nil"/>
              <w:bottom w:val="single" w:sz="4" w:space="0" w:color="auto"/>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7006.5</w:t>
            </w:r>
          </w:p>
        </w:tc>
        <w:tc>
          <w:tcPr>
            <w:tcW w:w="1418" w:type="dxa"/>
            <w:tcBorders>
              <w:top w:val="nil"/>
              <w:left w:val="single" w:sz="4" w:space="0" w:color="A6A6A6"/>
              <w:bottom w:val="single" w:sz="4" w:space="0" w:color="auto"/>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343.2</w:t>
            </w:r>
          </w:p>
        </w:tc>
      </w:tr>
      <w:tr w:rsidR="00000384" w:rsidRPr="00885D52" w:rsidTr="007E73A8">
        <w:trPr>
          <w:cantSplit/>
        </w:trPr>
        <w:tc>
          <w:tcPr>
            <w:tcW w:w="2127" w:type="dxa"/>
            <w:tcBorders>
              <w:top w:val="single" w:sz="4" w:space="0" w:color="auto"/>
              <w:bottom w:val="nil"/>
              <w:right w:val="single" w:sz="4" w:space="0" w:color="auto"/>
            </w:tcBorders>
            <w:shd w:val="clear" w:color="auto" w:fill="F2F2F2"/>
            <w:noWrap/>
          </w:tcPr>
          <w:p w:rsidR="00000384" w:rsidRPr="00885D52" w:rsidRDefault="00000384" w:rsidP="000E4FA8">
            <w:pPr>
              <w:pStyle w:val="TableText"/>
              <w:rPr>
                <w:b/>
              </w:rPr>
            </w:pPr>
            <w:r w:rsidRPr="00885D52">
              <w:rPr>
                <w:b/>
              </w:rPr>
              <w:t>Māori population</w:t>
            </w:r>
          </w:p>
        </w:tc>
        <w:tc>
          <w:tcPr>
            <w:tcW w:w="830" w:type="dxa"/>
            <w:tcBorders>
              <w:top w:val="single" w:sz="4" w:space="0" w:color="auto"/>
              <w:left w:val="single" w:sz="4" w:space="0" w:color="auto"/>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348"/>
              </w:tabs>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444"/>
              </w:tabs>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1" w:type="dxa"/>
            <w:tcBorders>
              <w:top w:val="single" w:sz="4" w:space="0" w:color="auto"/>
              <w:left w:val="nil"/>
              <w:bottom w:val="nil"/>
              <w:right w:val="single" w:sz="4" w:space="0" w:color="A6A6A6"/>
            </w:tcBorders>
            <w:shd w:val="clear" w:color="auto" w:fill="F2F2F2"/>
            <w:noWrap/>
          </w:tcPr>
          <w:p w:rsidR="00000384" w:rsidRPr="00885D52" w:rsidRDefault="00000384" w:rsidP="000E4FA8">
            <w:pPr>
              <w:pStyle w:val="TableText"/>
              <w:jc w:val="center"/>
              <w:rPr>
                <w:rFonts w:cs="Arial"/>
                <w:b/>
                <w:szCs w:val="18"/>
              </w:rPr>
            </w:pPr>
          </w:p>
        </w:tc>
        <w:tc>
          <w:tcPr>
            <w:tcW w:w="1418" w:type="dxa"/>
            <w:tcBorders>
              <w:top w:val="single" w:sz="4" w:space="0" w:color="auto"/>
              <w:left w:val="single" w:sz="4" w:space="0" w:color="A6A6A6"/>
              <w:bottom w:val="nil"/>
            </w:tcBorders>
            <w:shd w:val="clear" w:color="auto" w:fill="F2F2F2"/>
            <w:noWrap/>
          </w:tcPr>
          <w:p w:rsidR="00000384" w:rsidRPr="00885D52" w:rsidRDefault="00000384" w:rsidP="000E4FA8">
            <w:pPr>
              <w:pStyle w:val="TableText"/>
              <w:jc w:val="center"/>
              <w:rPr>
                <w:rFonts w:cs="Arial"/>
                <w:b/>
                <w:szCs w:val="18"/>
              </w:rPr>
            </w:pPr>
          </w:p>
        </w:tc>
      </w:tr>
      <w:tr w:rsidR="00000384" w:rsidRPr="00885D52" w:rsidTr="007E73A8">
        <w:trPr>
          <w:cantSplit/>
        </w:trPr>
        <w:tc>
          <w:tcPr>
            <w:tcW w:w="2127" w:type="dxa"/>
            <w:tcBorders>
              <w:top w:val="nil"/>
              <w:bottom w:val="nil"/>
              <w:right w:val="single" w:sz="4" w:space="0" w:color="auto"/>
            </w:tcBorders>
            <w:shd w:val="clear" w:color="auto" w:fill="auto"/>
            <w:noWrap/>
          </w:tcPr>
          <w:p w:rsidR="00000384" w:rsidRPr="00885D52" w:rsidRDefault="00000384" w:rsidP="000E4FA8">
            <w:pPr>
              <w:pStyle w:val="TableText"/>
            </w:pPr>
            <w:r w:rsidRPr="00885D52">
              <w:t>Total</w:t>
            </w:r>
          </w:p>
        </w:tc>
        <w:tc>
          <w:tcPr>
            <w:tcW w:w="830" w:type="dxa"/>
            <w:tcBorders>
              <w:top w:val="nil"/>
              <w:left w:val="single" w:sz="4" w:space="0" w:color="auto"/>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766.3</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16.5</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98.9</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164.2</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816.4</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3160.7</w:t>
            </w:r>
          </w:p>
        </w:tc>
        <w:tc>
          <w:tcPr>
            <w:tcW w:w="831" w:type="dxa"/>
            <w:tcBorders>
              <w:top w:val="nil"/>
              <w:left w:val="nil"/>
              <w:bottom w:val="nil"/>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7804.9</w:t>
            </w:r>
          </w:p>
        </w:tc>
        <w:tc>
          <w:tcPr>
            <w:tcW w:w="1418" w:type="dxa"/>
            <w:tcBorders>
              <w:top w:val="nil"/>
              <w:left w:val="single" w:sz="4" w:space="0" w:color="A6A6A6"/>
              <w:bottom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663.2</w:t>
            </w:r>
          </w:p>
        </w:tc>
      </w:tr>
      <w:tr w:rsidR="00000384" w:rsidRPr="00885D52" w:rsidTr="007E73A8">
        <w:trPr>
          <w:cantSplit/>
        </w:trPr>
        <w:tc>
          <w:tcPr>
            <w:tcW w:w="2127" w:type="dxa"/>
            <w:tcBorders>
              <w:top w:val="nil"/>
              <w:bottom w:val="nil"/>
              <w:right w:val="single" w:sz="4" w:space="0" w:color="auto"/>
            </w:tcBorders>
            <w:shd w:val="clear" w:color="auto" w:fill="F2F2F2"/>
            <w:noWrap/>
          </w:tcPr>
          <w:p w:rsidR="00000384" w:rsidRPr="00885D52" w:rsidRDefault="00000384" w:rsidP="000E4FA8">
            <w:pPr>
              <w:pStyle w:val="TableText"/>
            </w:pPr>
            <w:r w:rsidRPr="00885D52">
              <w:t>Male</w:t>
            </w:r>
          </w:p>
        </w:tc>
        <w:tc>
          <w:tcPr>
            <w:tcW w:w="830" w:type="dxa"/>
            <w:tcBorders>
              <w:top w:val="nil"/>
              <w:left w:val="single" w:sz="4" w:space="0" w:color="auto"/>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886.8</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21.1</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124.8</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208.8</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933.5</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3486.6</w:t>
            </w:r>
          </w:p>
        </w:tc>
        <w:tc>
          <w:tcPr>
            <w:tcW w:w="831" w:type="dxa"/>
            <w:tcBorders>
              <w:top w:val="nil"/>
              <w:left w:val="nil"/>
              <w:bottom w:val="nil"/>
              <w:right w:val="single" w:sz="4" w:space="0" w:color="A6A6A6"/>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7727.3</w:t>
            </w:r>
          </w:p>
        </w:tc>
        <w:tc>
          <w:tcPr>
            <w:tcW w:w="1418" w:type="dxa"/>
            <w:tcBorders>
              <w:top w:val="nil"/>
              <w:left w:val="single" w:sz="4" w:space="0" w:color="A6A6A6"/>
              <w:bottom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718.9</w:t>
            </w:r>
          </w:p>
        </w:tc>
      </w:tr>
      <w:tr w:rsidR="00000384" w:rsidRPr="00885D52" w:rsidTr="007E73A8">
        <w:trPr>
          <w:cantSplit/>
        </w:trPr>
        <w:tc>
          <w:tcPr>
            <w:tcW w:w="2127" w:type="dxa"/>
            <w:tcBorders>
              <w:top w:val="nil"/>
              <w:bottom w:val="single" w:sz="4" w:space="0" w:color="auto"/>
              <w:right w:val="single" w:sz="4" w:space="0" w:color="auto"/>
            </w:tcBorders>
            <w:shd w:val="clear" w:color="auto" w:fill="auto"/>
            <w:noWrap/>
          </w:tcPr>
          <w:p w:rsidR="00000384" w:rsidRPr="00885D52" w:rsidRDefault="00000384" w:rsidP="000E4FA8">
            <w:pPr>
              <w:pStyle w:val="TableText"/>
            </w:pPr>
            <w:r w:rsidRPr="00885D52">
              <w:t>Female</w:t>
            </w:r>
          </w:p>
        </w:tc>
        <w:tc>
          <w:tcPr>
            <w:tcW w:w="830" w:type="dxa"/>
            <w:tcBorders>
              <w:top w:val="nil"/>
              <w:left w:val="single" w:sz="4" w:space="0" w:color="auto"/>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637.8</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11.6</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72.3</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124.8</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711.4</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2869.3</w:t>
            </w:r>
          </w:p>
        </w:tc>
        <w:tc>
          <w:tcPr>
            <w:tcW w:w="831" w:type="dxa"/>
            <w:tcBorders>
              <w:top w:val="nil"/>
              <w:left w:val="nil"/>
              <w:bottom w:val="single" w:sz="4" w:space="0" w:color="auto"/>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7876.7</w:t>
            </w:r>
          </w:p>
        </w:tc>
        <w:tc>
          <w:tcPr>
            <w:tcW w:w="1418" w:type="dxa"/>
            <w:tcBorders>
              <w:top w:val="nil"/>
              <w:left w:val="single" w:sz="4" w:space="0" w:color="A6A6A6"/>
              <w:bottom w:val="single" w:sz="4" w:space="0" w:color="auto"/>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609.0</w:t>
            </w:r>
          </w:p>
        </w:tc>
      </w:tr>
      <w:tr w:rsidR="00000384" w:rsidRPr="00885D52" w:rsidTr="007E73A8">
        <w:trPr>
          <w:cantSplit/>
        </w:trPr>
        <w:tc>
          <w:tcPr>
            <w:tcW w:w="2127" w:type="dxa"/>
            <w:tcBorders>
              <w:top w:val="single" w:sz="4" w:space="0" w:color="auto"/>
              <w:bottom w:val="nil"/>
              <w:right w:val="single" w:sz="4" w:space="0" w:color="auto"/>
            </w:tcBorders>
            <w:shd w:val="clear" w:color="auto" w:fill="F2F2F2"/>
            <w:noWrap/>
          </w:tcPr>
          <w:p w:rsidR="00000384" w:rsidRPr="00885D52" w:rsidRDefault="00000384" w:rsidP="000E4FA8">
            <w:pPr>
              <w:pStyle w:val="TableText"/>
              <w:rPr>
                <w:b/>
                <w:iCs/>
              </w:rPr>
            </w:pPr>
            <w:r w:rsidRPr="00885D52">
              <w:rPr>
                <w:b/>
              </w:rPr>
              <w:t>Non-Māori population</w:t>
            </w:r>
          </w:p>
        </w:tc>
        <w:tc>
          <w:tcPr>
            <w:tcW w:w="830" w:type="dxa"/>
            <w:tcBorders>
              <w:top w:val="single" w:sz="4" w:space="0" w:color="auto"/>
              <w:left w:val="single" w:sz="4" w:space="0" w:color="auto"/>
              <w:bottom w:val="nil"/>
              <w:right w:val="nil"/>
            </w:tcBorders>
            <w:shd w:val="clear" w:color="auto" w:fill="F2F2F2"/>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348"/>
              </w:tabs>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tabs>
                <w:tab w:val="decimal" w:pos="444"/>
              </w:tabs>
              <w:rPr>
                <w:rFonts w:cs="Arial"/>
                <w:b/>
                <w:szCs w:val="18"/>
              </w:rPr>
            </w:pPr>
          </w:p>
        </w:tc>
        <w:tc>
          <w:tcPr>
            <w:tcW w:w="830" w:type="dxa"/>
            <w:tcBorders>
              <w:top w:val="single" w:sz="4" w:space="0" w:color="auto"/>
              <w:left w:val="nil"/>
              <w:bottom w:val="nil"/>
              <w:right w:val="nil"/>
            </w:tcBorders>
            <w:shd w:val="clear" w:color="auto" w:fill="F2F2F2"/>
            <w:noWrap/>
          </w:tcPr>
          <w:p w:rsidR="00000384" w:rsidRPr="00885D52" w:rsidRDefault="00000384" w:rsidP="000E4FA8">
            <w:pPr>
              <w:pStyle w:val="TableText"/>
              <w:jc w:val="center"/>
              <w:rPr>
                <w:rFonts w:cs="Arial"/>
                <w:b/>
                <w:szCs w:val="18"/>
              </w:rPr>
            </w:pPr>
          </w:p>
        </w:tc>
        <w:tc>
          <w:tcPr>
            <w:tcW w:w="831" w:type="dxa"/>
            <w:tcBorders>
              <w:top w:val="single" w:sz="4" w:space="0" w:color="auto"/>
              <w:left w:val="nil"/>
              <w:bottom w:val="nil"/>
              <w:right w:val="single" w:sz="4" w:space="0" w:color="A6A6A6"/>
            </w:tcBorders>
            <w:shd w:val="clear" w:color="auto" w:fill="F2F2F2"/>
            <w:noWrap/>
          </w:tcPr>
          <w:p w:rsidR="00000384" w:rsidRPr="00885D52" w:rsidRDefault="00000384" w:rsidP="000E4FA8">
            <w:pPr>
              <w:pStyle w:val="TableText"/>
              <w:jc w:val="center"/>
              <w:rPr>
                <w:rFonts w:cs="Arial"/>
                <w:b/>
                <w:szCs w:val="18"/>
              </w:rPr>
            </w:pPr>
          </w:p>
        </w:tc>
        <w:tc>
          <w:tcPr>
            <w:tcW w:w="1418" w:type="dxa"/>
            <w:tcBorders>
              <w:top w:val="single" w:sz="4" w:space="0" w:color="auto"/>
              <w:left w:val="single" w:sz="4" w:space="0" w:color="A6A6A6"/>
              <w:bottom w:val="nil"/>
            </w:tcBorders>
            <w:shd w:val="clear" w:color="auto" w:fill="F2F2F2"/>
            <w:noWrap/>
          </w:tcPr>
          <w:p w:rsidR="00000384" w:rsidRPr="00885D52" w:rsidRDefault="00000384" w:rsidP="000E4FA8">
            <w:pPr>
              <w:pStyle w:val="TableText"/>
              <w:jc w:val="center"/>
              <w:rPr>
                <w:rFonts w:cs="Arial"/>
                <w:b/>
                <w:szCs w:val="18"/>
              </w:rPr>
            </w:pPr>
          </w:p>
        </w:tc>
      </w:tr>
      <w:tr w:rsidR="00000384" w:rsidRPr="00885D52" w:rsidTr="007E73A8">
        <w:trPr>
          <w:cantSplit/>
        </w:trPr>
        <w:tc>
          <w:tcPr>
            <w:tcW w:w="2127" w:type="dxa"/>
            <w:tcBorders>
              <w:top w:val="nil"/>
              <w:bottom w:val="nil"/>
              <w:right w:val="single" w:sz="4" w:space="0" w:color="auto"/>
            </w:tcBorders>
            <w:shd w:val="clear" w:color="auto" w:fill="auto"/>
            <w:noWrap/>
          </w:tcPr>
          <w:p w:rsidR="00000384" w:rsidRPr="00885D52" w:rsidRDefault="00000384" w:rsidP="000E4FA8">
            <w:pPr>
              <w:pStyle w:val="TableText"/>
              <w:rPr>
                <w:iCs/>
              </w:rPr>
            </w:pPr>
            <w:r w:rsidRPr="00885D52">
              <w:rPr>
                <w:iCs/>
              </w:rPr>
              <w:t>Total</w:t>
            </w:r>
          </w:p>
        </w:tc>
        <w:tc>
          <w:tcPr>
            <w:tcW w:w="830" w:type="dxa"/>
            <w:tcBorders>
              <w:top w:val="nil"/>
              <w:left w:val="single" w:sz="4" w:space="0" w:color="auto"/>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416.0</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13.1</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57.3</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84.9</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352.6</w:t>
            </w:r>
          </w:p>
        </w:tc>
        <w:tc>
          <w:tcPr>
            <w:tcW w:w="830" w:type="dxa"/>
            <w:tcBorders>
              <w:top w:val="nil"/>
              <w:left w:val="nil"/>
              <w:bottom w:val="nil"/>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1403.9</w:t>
            </w:r>
          </w:p>
        </w:tc>
        <w:tc>
          <w:tcPr>
            <w:tcW w:w="831" w:type="dxa"/>
            <w:tcBorders>
              <w:top w:val="nil"/>
              <w:left w:val="nil"/>
              <w:bottom w:val="nil"/>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7194.3</w:t>
            </w:r>
          </w:p>
        </w:tc>
        <w:tc>
          <w:tcPr>
            <w:tcW w:w="1418" w:type="dxa"/>
            <w:tcBorders>
              <w:top w:val="nil"/>
              <w:left w:val="single" w:sz="4" w:space="0" w:color="A6A6A6"/>
              <w:bottom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374.8</w:t>
            </w:r>
          </w:p>
        </w:tc>
      </w:tr>
      <w:tr w:rsidR="00000384" w:rsidRPr="00885D52" w:rsidTr="007E73A8">
        <w:trPr>
          <w:cantSplit/>
        </w:trPr>
        <w:tc>
          <w:tcPr>
            <w:tcW w:w="2127" w:type="dxa"/>
            <w:tcBorders>
              <w:top w:val="nil"/>
              <w:bottom w:val="nil"/>
              <w:right w:val="single" w:sz="4" w:space="0" w:color="auto"/>
            </w:tcBorders>
            <w:shd w:val="clear" w:color="auto" w:fill="F2F2F2"/>
            <w:noWrap/>
          </w:tcPr>
          <w:p w:rsidR="00000384" w:rsidRPr="00885D52" w:rsidRDefault="00000384" w:rsidP="000E4FA8">
            <w:pPr>
              <w:pStyle w:val="TableText"/>
              <w:rPr>
                <w:iCs/>
              </w:rPr>
            </w:pPr>
            <w:r w:rsidRPr="00885D52">
              <w:rPr>
                <w:iCs/>
              </w:rPr>
              <w:t>Male</w:t>
            </w:r>
          </w:p>
        </w:tc>
        <w:tc>
          <w:tcPr>
            <w:tcW w:w="830" w:type="dxa"/>
            <w:tcBorders>
              <w:top w:val="nil"/>
              <w:left w:val="single" w:sz="4" w:space="0" w:color="auto"/>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432.3</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15.8</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77.1</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102.2</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424.7</w:t>
            </w:r>
          </w:p>
        </w:tc>
        <w:tc>
          <w:tcPr>
            <w:tcW w:w="830" w:type="dxa"/>
            <w:tcBorders>
              <w:top w:val="nil"/>
              <w:left w:val="nil"/>
              <w:bottom w:val="nil"/>
              <w:right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1684.5</w:t>
            </w:r>
          </w:p>
        </w:tc>
        <w:tc>
          <w:tcPr>
            <w:tcW w:w="831" w:type="dxa"/>
            <w:tcBorders>
              <w:top w:val="nil"/>
              <w:left w:val="nil"/>
              <w:bottom w:val="nil"/>
              <w:right w:val="single" w:sz="4" w:space="0" w:color="A6A6A6"/>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7490.4</w:t>
            </w:r>
          </w:p>
        </w:tc>
        <w:tc>
          <w:tcPr>
            <w:tcW w:w="1418" w:type="dxa"/>
            <w:tcBorders>
              <w:top w:val="nil"/>
              <w:left w:val="single" w:sz="4" w:space="0" w:color="A6A6A6"/>
              <w:bottom w:val="nil"/>
            </w:tcBorders>
            <w:shd w:val="clear" w:color="auto" w:fill="F2F2F2"/>
            <w:noWrap/>
            <w:vAlign w:val="bottom"/>
          </w:tcPr>
          <w:p w:rsidR="00000384" w:rsidRPr="00885D52" w:rsidRDefault="00000384" w:rsidP="000E4FA8">
            <w:pPr>
              <w:pStyle w:val="TableText"/>
              <w:jc w:val="center"/>
              <w:rPr>
                <w:rFonts w:cs="Arial"/>
                <w:szCs w:val="18"/>
              </w:rPr>
            </w:pPr>
            <w:r w:rsidRPr="00885D52">
              <w:rPr>
                <w:rFonts w:cs="Arial"/>
                <w:szCs w:val="18"/>
              </w:rPr>
              <w:t>437.1</w:t>
            </w:r>
          </w:p>
        </w:tc>
      </w:tr>
      <w:tr w:rsidR="00000384" w:rsidRPr="00885D52" w:rsidTr="007E73A8">
        <w:trPr>
          <w:cantSplit/>
        </w:trPr>
        <w:tc>
          <w:tcPr>
            <w:tcW w:w="2127" w:type="dxa"/>
            <w:tcBorders>
              <w:top w:val="nil"/>
              <w:bottom w:val="single" w:sz="4" w:space="0" w:color="auto"/>
              <w:right w:val="single" w:sz="4" w:space="0" w:color="auto"/>
            </w:tcBorders>
            <w:shd w:val="clear" w:color="auto" w:fill="auto"/>
            <w:noWrap/>
          </w:tcPr>
          <w:p w:rsidR="00000384" w:rsidRPr="00885D52" w:rsidRDefault="00000384" w:rsidP="000E4FA8">
            <w:pPr>
              <w:pStyle w:val="TableText"/>
              <w:rPr>
                <w:iCs/>
              </w:rPr>
            </w:pPr>
            <w:r w:rsidRPr="00885D52">
              <w:rPr>
                <w:iCs/>
              </w:rPr>
              <w:t>Female</w:t>
            </w:r>
          </w:p>
        </w:tc>
        <w:tc>
          <w:tcPr>
            <w:tcW w:w="830" w:type="dxa"/>
            <w:tcBorders>
              <w:top w:val="nil"/>
              <w:left w:val="single" w:sz="4" w:space="0" w:color="auto"/>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399.1</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10.2</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36.0</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68.6</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283.5</w:t>
            </w:r>
          </w:p>
        </w:tc>
        <w:tc>
          <w:tcPr>
            <w:tcW w:w="830" w:type="dxa"/>
            <w:tcBorders>
              <w:top w:val="nil"/>
              <w:left w:val="nil"/>
              <w:bottom w:val="single" w:sz="4" w:space="0" w:color="auto"/>
              <w:right w:val="nil"/>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1139.7</w:t>
            </w:r>
          </w:p>
        </w:tc>
        <w:tc>
          <w:tcPr>
            <w:tcW w:w="831" w:type="dxa"/>
            <w:tcBorders>
              <w:top w:val="nil"/>
              <w:left w:val="nil"/>
              <w:bottom w:val="single" w:sz="4" w:space="0" w:color="auto"/>
              <w:right w:val="single" w:sz="4" w:space="0" w:color="A6A6A6"/>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6971.4</w:t>
            </w:r>
          </w:p>
        </w:tc>
        <w:tc>
          <w:tcPr>
            <w:tcW w:w="1418" w:type="dxa"/>
            <w:tcBorders>
              <w:top w:val="nil"/>
              <w:left w:val="single" w:sz="4" w:space="0" w:color="A6A6A6"/>
              <w:bottom w:val="single" w:sz="4" w:space="0" w:color="auto"/>
            </w:tcBorders>
            <w:shd w:val="clear" w:color="auto" w:fill="auto"/>
            <w:noWrap/>
            <w:vAlign w:val="bottom"/>
          </w:tcPr>
          <w:p w:rsidR="00000384" w:rsidRPr="00885D52" w:rsidRDefault="00000384" w:rsidP="000E4FA8">
            <w:pPr>
              <w:pStyle w:val="TableText"/>
              <w:jc w:val="center"/>
              <w:rPr>
                <w:rFonts w:cs="Arial"/>
                <w:szCs w:val="18"/>
              </w:rPr>
            </w:pPr>
            <w:r w:rsidRPr="00885D52">
              <w:rPr>
                <w:rFonts w:cs="Arial"/>
                <w:szCs w:val="18"/>
              </w:rPr>
              <w:t>319.4</w:t>
            </w:r>
          </w:p>
        </w:tc>
      </w:tr>
    </w:tbl>
    <w:p w:rsidR="00000384" w:rsidRPr="00885D52" w:rsidRDefault="00000384" w:rsidP="000E4FA8">
      <w:pPr>
        <w:pStyle w:val="Note"/>
        <w:ind w:left="0" w:right="0" w:firstLine="0"/>
      </w:pPr>
      <w:r w:rsidRPr="00885D52">
        <w:t>Note 1: Age-specific rates are per 100,000 population in each age group.</w:t>
      </w:r>
    </w:p>
    <w:p w:rsidR="00000384" w:rsidRPr="00885D52" w:rsidRDefault="00000384" w:rsidP="000E4FA8">
      <w:pPr>
        <w:pStyle w:val="Note"/>
        <w:ind w:left="0" w:right="0" w:firstLine="0"/>
      </w:pPr>
      <w:r w:rsidRPr="00885D52">
        <w:t>Note 2: Age-standardised rates are per 100,000 population, age-standardised to WHO World Standard Population.</w:t>
      </w:r>
    </w:p>
    <w:p w:rsidR="00000384" w:rsidRPr="00885D52" w:rsidRDefault="00000384" w:rsidP="000E4FA8">
      <w:bookmarkStart w:id="162" w:name="_Ref135716667"/>
    </w:p>
    <w:p w:rsidR="008D5D23" w:rsidRPr="00885D52" w:rsidRDefault="00000384" w:rsidP="000E4FA8">
      <w:r w:rsidRPr="00885D52">
        <w:t>Table 2 shows numbers and age-standardised rates of death from 1980 to 2011.</w:t>
      </w:r>
    </w:p>
    <w:p w:rsidR="00000384" w:rsidRPr="00885D52" w:rsidRDefault="00000384" w:rsidP="000E4FA8"/>
    <w:p w:rsidR="00000384" w:rsidRPr="00885D52" w:rsidRDefault="00000384" w:rsidP="000E4FA8">
      <w:r w:rsidRPr="00885D52">
        <w:t>The age-standardised mortality rate per 100,000 population for both males and females declined steadily between 1980 and 2011. The age-standardised rate for males in 2011 was 54.2 percent lower than in 1980, and the female rate was 45.8 percent lower.</w:t>
      </w:r>
    </w:p>
    <w:p w:rsidR="000E4FA8" w:rsidRPr="00885D52" w:rsidRDefault="000E4FA8" w:rsidP="000E4FA8"/>
    <w:p w:rsidR="00000384" w:rsidRPr="00885D52" w:rsidRDefault="00000384" w:rsidP="000E4FA8">
      <w:pPr>
        <w:pStyle w:val="Table"/>
      </w:pPr>
      <w:bookmarkStart w:id="163" w:name="_Ref167681372"/>
      <w:bookmarkStart w:id="164" w:name="_Toc167268851"/>
      <w:bookmarkStart w:id="165" w:name="_Toc236641642"/>
      <w:bookmarkStart w:id="166" w:name="_Toc262631226"/>
      <w:bookmarkStart w:id="167" w:name="_Toc316912719"/>
      <w:bookmarkStart w:id="168" w:name="_Toc352670651"/>
      <w:bookmarkStart w:id="169" w:name="_Toc400536142"/>
      <w:bookmarkStart w:id="170" w:name="_Toc403120547"/>
      <w:r w:rsidRPr="00885D52">
        <w:lastRenderedPageBreak/>
        <w:t>Table 2</w:t>
      </w:r>
      <w:bookmarkEnd w:id="163"/>
      <w:r w:rsidRPr="00885D52">
        <w:t>: Numbers and age-standardised mortality rates by sex, 1980–20</w:t>
      </w:r>
      <w:bookmarkEnd w:id="164"/>
      <w:bookmarkEnd w:id="165"/>
      <w:bookmarkEnd w:id="166"/>
      <w:bookmarkEnd w:id="167"/>
      <w:r w:rsidRPr="00885D52">
        <w:t>1</w:t>
      </w:r>
      <w:bookmarkEnd w:id="168"/>
      <w:r w:rsidRPr="00885D52">
        <w:t>1</w:t>
      </w:r>
      <w:bookmarkEnd w:id="169"/>
      <w:bookmarkEnd w:id="170"/>
    </w:p>
    <w:tbl>
      <w:tblPr>
        <w:tblW w:w="7385"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5"/>
        <w:gridCol w:w="1055"/>
        <w:gridCol w:w="1055"/>
        <w:gridCol w:w="1055"/>
        <w:gridCol w:w="1055"/>
        <w:gridCol w:w="1055"/>
        <w:gridCol w:w="1055"/>
      </w:tblGrid>
      <w:tr w:rsidR="00000384" w:rsidRPr="00885D52" w:rsidTr="003E56B2">
        <w:trPr>
          <w:cantSplit/>
        </w:trPr>
        <w:tc>
          <w:tcPr>
            <w:tcW w:w="1055" w:type="dxa"/>
            <w:vMerge w:val="restart"/>
            <w:tcBorders>
              <w:top w:val="single" w:sz="4" w:space="0" w:color="auto"/>
              <w:bottom w:val="nil"/>
              <w:right w:val="single" w:sz="4" w:space="0" w:color="A6A6A6" w:themeColor="background1" w:themeShade="A6"/>
            </w:tcBorders>
            <w:shd w:val="clear" w:color="auto" w:fill="auto"/>
          </w:tcPr>
          <w:bookmarkEnd w:id="162"/>
          <w:p w:rsidR="00000384" w:rsidRPr="00885D52" w:rsidRDefault="00000384" w:rsidP="000E4FA8">
            <w:pPr>
              <w:pStyle w:val="TableText"/>
              <w:keepNext/>
              <w:jc w:val="center"/>
              <w:rPr>
                <w:b/>
              </w:rPr>
            </w:pPr>
            <w:r w:rsidRPr="00885D52">
              <w:rPr>
                <w:b/>
              </w:rPr>
              <w:t>Year</w:t>
            </w:r>
          </w:p>
        </w:tc>
        <w:tc>
          <w:tcPr>
            <w:tcW w:w="2110"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000384" w:rsidRPr="00885D52" w:rsidRDefault="00000384" w:rsidP="000E4FA8">
            <w:pPr>
              <w:pStyle w:val="TableText"/>
              <w:keepNext/>
              <w:jc w:val="center"/>
              <w:rPr>
                <w:b/>
              </w:rPr>
            </w:pPr>
            <w:r w:rsidRPr="00885D52">
              <w:rPr>
                <w:b/>
              </w:rPr>
              <w:t>Male</w:t>
            </w:r>
          </w:p>
        </w:tc>
        <w:tc>
          <w:tcPr>
            <w:tcW w:w="2110"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000384" w:rsidRPr="00885D52" w:rsidRDefault="00000384" w:rsidP="000E4FA8">
            <w:pPr>
              <w:pStyle w:val="TableText"/>
              <w:keepNext/>
              <w:jc w:val="center"/>
              <w:rPr>
                <w:b/>
              </w:rPr>
            </w:pPr>
            <w:r w:rsidRPr="00885D52">
              <w:rPr>
                <w:b/>
              </w:rPr>
              <w:t>Female</w:t>
            </w:r>
          </w:p>
        </w:tc>
        <w:tc>
          <w:tcPr>
            <w:tcW w:w="2110" w:type="dxa"/>
            <w:gridSpan w:val="2"/>
            <w:tcBorders>
              <w:top w:val="single" w:sz="4" w:space="0" w:color="auto"/>
              <w:left w:val="single" w:sz="4" w:space="0" w:color="A6A6A6" w:themeColor="background1" w:themeShade="A6"/>
              <w:bottom w:val="single" w:sz="4" w:space="0" w:color="auto"/>
            </w:tcBorders>
          </w:tcPr>
          <w:p w:rsidR="00000384" w:rsidRPr="00885D52" w:rsidRDefault="00000384" w:rsidP="000E4FA8">
            <w:pPr>
              <w:pStyle w:val="TableText"/>
              <w:keepNext/>
              <w:jc w:val="center"/>
              <w:rPr>
                <w:b/>
              </w:rPr>
            </w:pPr>
            <w:r w:rsidRPr="00885D52">
              <w:rPr>
                <w:b/>
              </w:rPr>
              <w:t>Total</w:t>
            </w:r>
          </w:p>
        </w:tc>
      </w:tr>
      <w:tr w:rsidR="00000384" w:rsidRPr="00885D52" w:rsidTr="003E56B2">
        <w:trPr>
          <w:cantSplit/>
        </w:trPr>
        <w:tc>
          <w:tcPr>
            <w:tcW w:w="1055" w:type="dxa"/>
            <w:vMerge/>
            <w:tcBorders>
              <w:top w:val="nil"/>
              <w:bottom w:val="single" w:sz="4" w:space="0" w:color="auto"/>
              <w:right w:val="single" w:sz="4" w:space="0" w:color="A6A6A6" w:themeColor="background1" w:themeShade="A6"/>
            </w:tcBorders>
            <w:shd w:val="clear" w:color="auto" w:fill="auto"/>
          </w:tcPr>
          <w:p w:rsidR="00000384" w:rsidRPr="00885D52" w:rsidRDefault="00000384" w:rsidP="000E4FA8">
            <w:pPr>
              <w:pStyle w:val="TableText"/>
              <w:keepNext/>
              <w:jc w:val="center"/>
              <w:rPr>
                <w:b/>
              </w:rPr>
            </w:pPr>
          </w:p>
        </w:tc>
        <w:tc>
          <w:tcPr>
            <w:tcW w:w="1055" w:type="dxa"/>
            <w:tcBorders>
              <w:top w:val="single" w:sz="4" w:space="0" w:color="auto"/>
              <w:left w:val="single" w:sz="4" w:space="0" w:color="A6A6A6" w:themeColor="background1" w:themeShade="A6"/>
              <w:bottom w:val="single" w:sz="4" w:space="0" w:color="auto"/>
              <w:right w:val="nil"/>
            </w:tcBorders>
            <w:shd w:val="clear" w:color="auto" w:fill="auto"/>
          </w:tcPr>
          <w:p w:rsidR="00000384" w:rsidRPr="00885D52" w:rsidRDefault="00000384" w:rsidP="000E4FA8">
            <w:pPr>
              <w:pStyle w:val="TableText"/>
              <w:keepNext/>
              <w:jc w:val="center"/>
              <w:rPr>
                <w:b/>
              </w:rPr>
            </w:pPr>
            <w:r w:rsidRPr="00885D52">
              <w:rPr>
                <w:b/>
              </w:rPr>
              <w:t>No.</w:t>
            </w:r>
          </w:p>
        </w:tc>
        <w:tc>
          <w:tcPr>
            <w:tcW w:w="1055" w:type="dxa"/>
            <w:tcBorders>
              <w:top w:val="single" w:sz="4" w:space="0" w:color="auto"/>
              <w:left w:val="nil"/>
              <w:bottom w:val="single" w:sz="4" w:space="0" w:color="auto"/>
              <w:right w:val="single" w:sz="4" w:space="0" w:color="A6A6A6" w:themeColor="background1" w:themeShade="A6"/>
            </w:tcBorders>
            <w:shd w:val="clear" w:color="auto" w:fill="auto"/>
          </w:tcPr>
          <w:p w:rsidR="00000384" w:rsidRPr="00885D52" w:rsidRDefault="00000384" w:rsidP="000E4FA8">
            <w:pPr>
              <w:pStyle w:val="TableText"/>
              <w:keepNext/>
              <w:jc w:val="center"/>
              <w:rPr>
                <w:b/>
              </w:rPr>
            </w:pPr>
            <w:r w:rsidRPr="00885D52">
              <w:rPr>
                <w:b/>
              </w:rPr>
              <w:t>Rate</w:t>
            </w:r>
          </w:p>
        </w:tc>
        <w:tc>
          <w:tcPr>
            <w:tcW w:w="1055" w:type="dxa"/>
            <w:tcBorders>
              <w:top w:val="single" w:sz="4" w:space="0" w:color="auto"/>
              <w:left w:val="single" w:sz="4" w:space="0" w:color="A6A6A6" w:themeColor="background1" w:themeShade="A6"/>
              <w:bottom w:val="single" w:sz="4" w:space="0" w:color="auto"/>
              <w:right w:val="nil"/>
            </w:tcBorders>
          </w:tcPr>
          <w:p w:rsidR="00000384" w:rsidRPr="00885D52" w:rsidRDefault="00000384" w:rsidP="000E4FA8">
            <w:pPr>
              <w:pStyle w:val="TableText"/>
              <w:keepNext/>
              <w:jc w:val="center"/>
              <w:rPr>
                <w:b/>
              </w:rPr>
            </w:pPr>
            <w:r w:rsidRPr="00885D52">
              <w:rPr>
                <w:b/>
              </w:rPr>
              <w:t>No.</w:t>
            </w:r>
          </w:p>
        </w:tc>
        <w:tc>
          <w:tcPr>
            <w:tcW w:w="1055" w:type="dxa"/>
            <w:tcBorders>
              <w:top w:val="single" w:sz="4" w:space="0" w:color="auto"/>
              <w:left w:val="nil"/>
              <w:bottom w:val="single" w:sz="4" w:space="0" w:color="auto"/>
              <w:right w:val="single" w:sz="4" w:space="0" w:color="A6A6A6" w:themeColor="background1" w:themeShade="A6"/>
            </w:tcBorders>
          </w:tcPr>
          <w:p w:rsidR="00000384" w:rsidRPr="00885D52" w:rsidRDefault="00000384" w:rsidP="000E4FA8">
            <w:pPr>
              <w:pStyle w:val="TableText"/>
              <w:keepNext/>
              <w:jc w:val="center"/>
              <w:rPr>
                <w:b/>
              </w:rPr>
            </w:pPr>
            <w:r w:rsidRPr="00885D52">
              <w:rPr>
                <w:b/>
              </w:rPr>
              <w:t>Rate</w:t>
            </w:r>
          </w:p>
        </w:tc>
        <w:tc>
          <w:tcPr>
            <w:tcW w:w="1055" w:type="dxa"/>
            <w:tcBorders>
              <w:top w:val="single" w:sz="4" w:space="0" w:color="auto"/>
              <w:left w:val="single" w:sz="4" w:space="0" w:color="A6A6A6" w:themeColor="background1" w:themeShade="A6"/>
              <w:bottom w:val="single" w:sz="4" w:space="0" w:color="auto"/>
              <w:right w:val="nil"/>
            </w:tcBorders>
            <w:shd w:val="clear" w:color="auto" w:fill="auto"/>
          </w:tcPr>
          <w:p w:rsidR="00000384" w:rsidRPr="00885D52" w:rsidRDefault="00000384" w:rsidP="000E4FA8">
            <w:pPr>
              <w:pStyle w:val="TableText"/>
              <w:keepNext/>
              <w:jc w:val="center"/>
              <w:rPr>
                <w:b/>
              </w:rPr>
            </w:pPr>
            <w:r w:rsidRPr="00885D52">
              <w:rPr>
                <w:b/>
              </w:rPr>
              <w:t>No.</w:t>
            </w:r>
          </w:p>
        </w:tc>
        <w:tc>
          <w:tcPr>
            <w:tcW w:w="1055" w:type="dxa"/>
            <w:tcBorders>
              <w:top w:val="single" w:sz="4" w:space="0" w:color="auto"/>
              <w:left w:val="nil"/>
              <w:bottom w:val="single" w:sz="4" w:space="0" w:color="auto"/>
            </w:tcBorders>
            <w:shd w:val="clear" w:color="auto" w:fill="auto"/>
          </w:tcPr>
          <w:p w:rsidR="00000384" w:rsidRPr="00885D52" w:rsidRDefault="00000384" w:rsidP="000E4FA8">
            <w:pPr>
              <w:pStyle w:val="TableText"/>
              <w:keepNext/>
              <w:jc w:val="center"/>
              <w:rPr>
                <w:b/>
              </w:rPr>
            </w:pPr>
            <w:r w:rsidRPr="00885D52">
              <w:rPr>
                <w:b/>
              </w:rPr>
              <w:t>Rate</w:t>
            </w:r>
          </w:p>
        </w:tc>
      </w:tr>
      <w:tr w:rsidR="00000384" w:rsidRPr="00885D52" w:rsidTr="003E56B2">
        <w:trPr>
          <w:cantSplit/>
        </w:trPr>
        <w:tc>
          <w:tcPr>
            <w:tcW w:w="1055" w:type="dxa"/>
            <w:tcBorders>
              <w:top w:val="single" w:sz="4" w:space="0" w:color="auto"/>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1980</w:t>
            </w:r>
          </w:p>
        </w:tc>
        <w:tc>
          <w:tcPr>
            <w:tcW w:w="1055"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0E4FA8">
            <w:pPr>
              <w:pStyle w:val="TableText"/>
              <w:keepNext/>
              <w:jc w:val="center"/>
            </w:pPr>
            <w:r w:rsidRPr="00885D52">
              <w:t>14,338</w:t>
            </w:r>
          </w:p>
        </w:tc>
        <w:tc>
          <w:tcPr>
            <w:tcW w:w="1055"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0E4FA8">
            <w:pPr>
              <w:pStyle w:val="TableText"/>
              <w:keepNext/>
              <w:tabs>
                <w:tab w:val="decimal" w:pos="527"/>
              </w:tabs>
            </w:pPr>
            <w:r w:rsidRPr="00885D52">
              <w:t>1013.6</w:t>
            </w:r>
          </w:p>
        </w:tc>
        <w:tc>
          <w:tcPr>
            <w:tcW w:w="1055"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12,350</w:t>
            </w:r>
          </w:p>
        </w:tc>
        <w:tc>
          <w:tcPr>
            <w:tcW w:w="1055"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633.1</w:t>
            </w:r>
          </w:p>
        </w:tc>
        <w:tc>
          <w:tcPr>
            <w:tcW w:w="1055"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0E4FA8">
            <w:pPr>
              <w:pStyle w:val="TableText"/>
              <w:keepNext/>
              <w:jc w:val="center"/>
            </w:pPr>
            <w:r w:rsidRPr="00885D52">
              <w:t>26,688</w:t>
            </w:r>
          </w:p>
        </w:tc>
        <w:tc>
          <w:tcPr>
            <w:tcW w:w="1055" w:type="dxa"/>
            <w:tcBorders>
              <w:top w:val="single" w:sz="4" w:space="0" w:color="auto"/>
              <w:left w:val="nil"/>
              <w:bottom w:val="nil"/>
            </w:tcBorders>
            <w:shd w:val="clear" w:color="auto" w:fill="F2F2F2"/>
          </w:tcPr>
          <w:p w:rsidR="00000384" w:rsidRPr="00885D52" w:rsidRDefault="00000384" w:rsidP="000E4FA8">
            <w:pPr>
              <w:pStyle w:val="TableText"/>
              <w:keepNext/>
              <w:jc w:val="center"/>
            </w:pPr>
            <w:r w:rsidRPr="00885D52">
              <w:t>795.1</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keepNext/>
              <w:jc w:val="center"/>
            </w:pPr>
            <w:r w:rsidRPr="00885D52">
              <w:t>1981</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13,672</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keepNext/>
              <w:tabs>
                <w:tab w:val="decimal" w:pos="527"/>
              </w:tabs>
            </w:pPr>
            <w:r w:rsidRPr="00885D52">
              <w:t>935.8</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keepNext/>
              <w:jc w:val="center"/>
            </w:pPr>
            <w:r w:rsidRPr="00885D52">
              <w:t>11,475</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keepNext/>
              <w:jc w:val="center"/>
            </w:pPr>
            <w:r w:rsidRPr="00885D52">
              <w:t>564.4</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25,147</w:t>
            </w:r>
          </w:p>
        </w:tc>
        <w:tc>
          <w:tcPr>
            <w:tcW w:w="1055" w:type="dxa"/>
            <w:tcBorders>
              <w:top w:val="nil"/>
              <w:left w:val="nil"/>
              <w:bottom w:val="nil"/>
            </w:tcBorders>
            <w:shd w:val="clear" w:color="auto" w:fill="auto"/>
          </w:tcPr>
          <w:p w:rsidR="00000384" w:rsidRPr="00885D52" w:rsidRDefault="00000384" w:rsidP="000E4FA8">
            <w:pPr>
              <w:pStyle w:val="TableText"/>
              <w:keepNext/>
              <w:jc w:val="center"/>
            </w:pPr>
            <w:r w:rsidRPr="00885D52">
              <w:t>726.2</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1982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13,834</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tabs>
                <w:tab w:val="decimal" w:pos="527"/>
              </w:tabs>
            </w:pPr>
            <w:r w:rsidRPr="00885D52">
              <w:t>927.2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11,713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564.8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25,547</w:t>
            </w:r>
          </w:p>
        </w:tc>
        <w:tc>
          <w:tcPr>
            <w:tcW w:w="1055" w:type="dxa"/>
            <w:tcBorders>
              <w:top w:val="nil"/>
              <w:left w:val="nil"/>
              <w:bottom w:val="nil"/>
            </w:tcBorders>
            <w:shd w:val="clear" w:color="auto" w:fill="F2F2F2"/>
          </w:tcPr>
          <w:p w:rsidR="00000384" w:rsidRPr="00885D52" w:rsidRDefault="00000384" w:rsidP="000E4FA8">
            <w:pPr>
              <w:pStyle w:val="TableText"/>
              <w:keepNext/>
              <w:jc w:val="center"/>
            </w:pPr>
            <w:r w:rsidRPr="00885D52">
              <w:t>721.4</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keepNext/>
              <w:jc w:val="center"/>
            </w:pPr>
            <w:r w:rsidRPr="00885D52">
              <w:t>1983</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13,986</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keepNext/>
              <w:tabs>
                <w:tab w:val="decimal" w:pos="527"/>
              </w:tabs>
            </w:pPr>
            <w:r w:rsidRPr="00885D52">
              <w:t>920.0</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keepNext/>
              <w:jc w:val="center"/>
            </w:pPr>
            <w:r w:rsidRPr="00885D52">
              <w:t>12,021</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keepNext/>
              <w:jc w:val="center"/>
            </w:pPr>
            <w:r w:rsidRPr="00885D52">
              <w:t>562.9</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26,007</w:t>
            </w:r>
          </w:p>
        </w:tc>
        <w:tc>
          <w:tcPr>
            <w:tcW w:w="1055" w:type="dxa"/>
            <w:tcBorders>
              <w:top w:val="nil"/>
              <w:left w:val="nil"/>
              <w:bottom w:val="nil"/>
            </w:tcBorders>
            <w:shd w:val="clear" w:color="auto" w:fill="auto"/>
          </w:tcPr>
          <w:p w:rsidR="00000384" w:rsidRPr="00885D52" w:rsidRDefault="00000384" w:rsidP="000E4FA8">
            <w:pPr>
              <w:pStyle w:val="TableText"/>
              <w:keepNext/>
              <w:jc w:val="center"/>
            </w:pPr>
            <w:r w:rsidRPr="00885D52">
              <w:t>717.2</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1984</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13,773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tabs>
                <w:tab w:val="decimal" w:pos="527"/>
              </w:tabs>
            </w:pPr>
            <w:r w:rsidRPr="00885D52">
              <w:t>888.6</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11,610</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531.4</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25,383</w:t>
            </w:r>
          </w:p>
        </w:tc>
        <w:tc>
          <w:tcPr>
            <w:tcW w:w="1055" w:type="dxa"/>
            <w:tcBorders>
              <w:top w:val="nil"/>
              <w:left w:val="nil"/>
              <w:bottom w:val="nil"/>
            </w:tcBorders>
            <w:shd w:val="clear" w:color="auto" w:fill="F2F2F2"/>
          </w:tcPr>
          <w:p w:rsidR="00000384" w:rsidRPr="00885D52" w:rsidRDefault="00000384" w:rsidP="000E4FA8">
            <w:pPr>
              <w:pStyle w:val="TableText"/>
              <w:keepNext/>
              <w:jc w:val="center"/>
            </w:pPr>
            <w:r w:rsidRPr="00885D52">
              <w:t>685.5</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keepNext/>
              <w:jc w:val="center"/>
            </w:pPr>
            <w:r w:rsidRPr="00885D52">
              <w:t>1985</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14,534</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keepNext/>
              <w:tabs>
                <w:tab w:val="decimal" w:pos="527"/>
              </w:tabs>
            </w:pPr>
            <w:r w:rsidRPr="00885D52">
              <w:t>922.4</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keepNext/>
              <w:jc w:val="center"/>
            </w:pPr>
            <w:r w:rsidRPr="00885D52">
              <w:t>12,950</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keepNext/>
              <w:jc w:val="center"/>
            </w:pPr>
            <w:r w:rsidRPr="00885D52">
              <w:t>575.1</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27,484</w:t>
            </w:r>
          </w:p>
        </w:tc>
        <w:tc>
          <w:tcPr>
            <w:tcW w:w="1055" w:type="dxa"/>
            <w:tcBorders>
              <w:top w:val="nil"/>
              <w:left w:val="nil"/>
              <w:bottom w:val="nil"/>
            </w:tcBorders>
            <w:shd w:val="clear" w:color="auto" w:fill="auto"/>
          </w:tcPr>
          <w:p w:rsidR="00000384" w:rsidRPr="00885D52" w:rsidRDefault="00000384" w:rsidP="000E4FA8">
            <w:pPr>
              <w:pStyle w:val="TableText"/>
              <w:keepNext/>
              <w:jc w:val="center"/>
            </w:pPr>
            <w:r w:rsidRPr="00885D52">
              <w:t>725.7</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1986</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14,533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tabs>
                <w:tab w:val="decimal" w:pos="527"/>
              </w:tabs>
            </w:pPr>
            <w:r w:rsidRPr="00885D52">
              <w:t>892.1</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12,519</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545.6</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27,052</w:t>
            </w:r>
          </w:p>
        </w:tc>
        <w:tc>
          <w:tcPr>
            <w:tcW w:w="1055" w:type="dxa"/>
            <w:tcBorders>
              <w:top w:val="nil"/>
              <w:left w:val="nil"/>
              <w:bottom w:val="nil"/>
            </w:tcBorders>
            <w:shd w:val="clear" w:color="auto" w:fill="F2F2F2"/>
          </w:tcPr>
          <w:p w:rsidR="00000384" w:rsidRPr="00885D52" w:rsidRDefault="00000384" w:rsidP="000E4FA8">
            <w:pPr>
              <w:pStyle w:val="TableText"/>
              <w:keepNext/>
              <w:jc w:val="center"/>
            </w:pPr>
            <w:r w:rsidRPr="00885D52">
              <w:t>698.1</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keepNext/>
              <w:jc w:val="center"/>
            </w:pPr>
            <w:r w:rsidRPr="00885D52">
              <w:t>1987</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14,472</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keepNext/>
              <w:tabs>
                <w:tab w:val="decimal" w:pos="527"/>
              </w:tabs>
            </w:pPr>
            <w:r w:rsidRPr="00885D52">
              <w:t>873.4</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keepNext/>
              <w:jc w:val="center"/>
            </w:pPr>
            <w:r w:rsidRPr="00885D52">
              <w:t>12,958</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keepNext/>
              <w:jc w:val="center"/>
            </w:pPr>
            <w:r w:rsidRPr="00885D52">
              <w:t>554.3</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27,430</w:t>
            </w:r>
          </w:p>
        </w:tc>
        <w:tc>
          <w:tcPr>
            <w:tcW w:w="1055" w:type="dxa"/>
            <w:tcBorders>
              <w:top w:val="nil"/>
              <w:left w:val="nil"/>
              <w:bottom w:val="nil"/>
            </w:tcBorders>
            <w:shd w:val="clear" w:color="auto" w:fill="auto"/>
          </w:tcPr>
          <w:p w:rsidR="00000384" w:rsidRPr="00885D52" w:rsidRDefault="00000384" w:rsidP="000E4FA8">
            <w:pPr>
              <w:pStyle w:val="TableText"/>
              <w:keepNext/>
              <w:jc w:val="center"/>
            </w:pPr>
            <w:r w:rsidRPr="00885D52">
              <w:t>694.5</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1988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14,567</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tabs>
                <w:tab w:val="decimal" w:pos="527"/>
              </w:tabs>
            </w:pPr>
            <w:r w:rsidRPr="00885D52">
              <w:t>865.8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12,840</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keepNext/>
              <w:jc w:val="center"/>
            </w:pPr>
            <w:r w:rsidRPr="00885D52">
              <w:t>535.7</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keepNext/>
              <w:jc w:val="center"/>
            </w:pPr>
            <w:r w:rsidRPr="00885D52">
              <w:t>27,407</w:t>
            </w:r>
          </w:p>
        </w:tc>
        <w:tc>
          <w:tcPr>
            <w:tcW w:w="1055" w:type="dxa"/>
            <w:tcBorders>
              <w:top w:val="nil"/>
              <w:left w:val="nil"/>
              <w:bottom w:val="nil"/>
            </w:tcBorders>
            <w:shd w:val="clear" w:color="auto" w:fill="F2F2F2"/>
          </w:tcPr>
          <w:p w:rsidR="00000384" w:rsidRPr="00885D52" w:rsidRDefault="00000384" w:rsidP="000E4FA8">
            <w:pPr>
              <w:pStyle w:val="TableText"/>
              <w:keepNext/>
              <w:jc w:val="center"/>
            </w:pPr>
            <w:r w:rsidRPr="00885D52">
              <w:t>681.7</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keepNext/>
              <w:jc w:val="center"/>
            </w:pPr>
            <w:r w:rsidRPr="00885D52">
              <w:t>1989</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14,332</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keepNext/>
              <w:tabs>
                <w:tab w:val="decimal" w:pos="527"/>
              </w:tabs>
            </w:pPr>
            <w:r w:rsidRPr="00885D52">
              <w:t>836.3</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keepNext/>
              <w:jc w:val="center"/>
            </w:pPr>
            <w:r w:rsidRPr="00885D52">
              <w:t>12,712</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keepNext/>
              <w:jc w:val="center"/>
            </w:pPr>
            <w:r w:rsidRPr="00885D52">
              <w:t>522.2</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keepNext/>
              <w:jc w:val="center"/>
            </w:pPr>
            <w:r w:rsidRPr="00885D52">
              <w:t>27,044</w:t>
            </w:r>
          </w:p>
        </w:tc>
        <w:tc>
          <w:tcPr>
            <w:tcW w:w="1055" w:type="dxa"/>
            <w:tcBorders>
              <w:top w:val="nil"/>
              <w:left w:val="nil"/>
              <w:bottom w:val="nil"/>
            </w:tcBorders>
            <w:shd w:val="clear" w:color="auto" w:fill="auto"/>
          </w:tcPr>
          <w:p w:rsidR="00000384" w:rsidRPr="00885D52" w:rsidRDefault="00000384" w:rsidP="000E4FA8">
            <w:pPr>
              <w:pStyle w:val="TableText"/>
              <w:keepNext/>
              <w:jc w:val="center"/>
            </w:pPr>
            <w:r w:rsidRPr="00885D52">
              <w:t>661.3</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7E73A8">
            <w:pPr>
              <w:pStyle w:val="TableText"/>
              <w:keepNext/>
              <w:jc w:val="center"/>
            </w:pPr>
            <w:r w:rsidRPr="00885D52">
              <w:t>1990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7E73A8">
            <w:pPr>
              <w:pStyle w:val="TableText"/>
              <w:keepNext/>
              <w:jc w:val="center"/>
            </w:pPr>
            <w:r w:rsidRPr="00885D52">
              <w:t>13,967</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7E73A8">
            <w:pPr>
              <w:pStyle w:val="TableText"/>
              <w:keepNext/>
              <w:tabs>
                <w:tab w:val="decimal" w:pos="527"/>
              </w:tabs>
            </w:pPr>
            <w:r w:rsidRPr="00885D52">
              <w:t>795.7</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7E73A8">
            <w:pPr>
              <w:pStyle w:val="TableText"/>
              <w:keepNext/>
              <w:jc w:val="center"/>
            </w:pPr>
            <w:r w:rsidRPr="00885D52">
              <w:t>12,557</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7E73A8">
            <w:pPr>
              <w:pStyle w:val="TableText"/>
              <w:keepNext/>
              <w:jc w:val="center"/>
            </w:pPr>
            <w:r w:rsidRPr="00885D52">
              <w:t>506.2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7E73A8">
            <w:pPr>
              <w:pStyle w:val="TableText"/>
              <w:keepNext/>
              <w:jc w:val="center"/>
            </w:pPr>
            <w:r w:rsidRPr="00885D52">
              <w:t>26,524</w:t>
            </w:r>
          </w:p>
        </w:tc>
        <w:tc>
          <w:tcPr>
            <w:tcW w:w="1055" w:type="dxa"/>
            <w:tcBorders>
              <w:top w:val="nil"/>
              <w:left w:val="nil"/>
              <w:bottom w:val="nil"/>
            </w:tcBorders>
            <w:shd w:val="clear" w:color="auto" w:fill="F2F2F2"/>
          </w:tcPr>
          <w:p w:rsidR="00000384" w:rsidRPr="00885D52" w:rsidRDefault="00000384" w:rsidP="007E73A8">
            <w:pPr>
              <w:pStyle w:val="TableText"/>
              <w:keepNext/>
              <w:jc w:val="center"/>
            </w:pPr>
            <w:r w:rsidRPr="00885D52">
              <w:t>633.9</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7E73A8">
            <w:pPr>
              <w:pStyle w:val="TableText"/>
              <w:keepNext/>
              <w:jc w:val="center"/>
            </w:pPr>
            <w:r w:rsidRPr="00885D52">
              <w:t>1991</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7E73A8">
            <w:pPr>
              <w:pStyle w:val="TableText"/>
              <w:keepNext/>
              <w:jc w:val="center"/>
            </w:pPr>
            <w:r w:rsidRPr="00885D52">
              <w:t>13,810</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7E73A8">
            <w:pPr>
              <w:pStyle w:val="TableText"/>
              <w:keepNext/>
              <w:tabs>
                <w:tab w:val="decimal" w:pos="527"/>
              </w:tabs>
            </w:pPr>
            <w:r w:rsidRPr="00885D52">
              <w:t>775.6</w:t>
            </w:r>
          </w:p>
        </w:tc>
        <w:tc>
          <w:tcPr>
            <w:tcW w:w="1055" w:type="dxa"/>
            <w:tcBorders>
              <w:top w:val="nil"/>
              <w:left w:val="single" w:sz="4" w:space="0" w:color="A6A6A6" w:themeColor="background1" w:themeShade="A6"/>
              <w:bottom w:val="nil"/>
              <w:right w:val="nil"/>
            </w:tcBorders>
          </w:tcPr>
          <w:p w:rsidR="00000384" w:rsidRPr="00885D52" w:rsidRDefault="00000384" w:rsidP="007E73A8">
            <w:pPr>
              <w:pStyle w:val="TableText"/>
              <w:keepNext/>
              <w:jc w:val="center"/>
            </w:pPr>
            <w:r w:rsidRPr="00885D52">
              <w:t>12,680</w:t>
            </w:r>
          </w:p>
        </w:tc>
        <w:tc>
          <w:tcPr>
            <w:tcW w:w="1055" w:type="dxa"/>
            <w:tcBorders>
              <w:top w:val="nil"/>
              <w:left w:val="nil"/>
              <w:bottom w:val="nil"/>
              <w:right w:val="single" w:sz="4" w:space="0" w:color="A6A6A6" w:themeColor="background1" w:themeShade="A6"/>
            </w:tcBorders>
          </w:tcPr>
          <w:p w:rsidR="00000384" w:rsidRPr="00885D52" w:rsidRDefault="00000384" w:rsidP="007E73A8">
            <w:pPr>
              <w:pStyle w:val="TableText"/>
              <w:keepNext/>
              <w:jc w:val="center"/>
            </w:pPr>
            <w:r w:rsidRPr="00885D52">
              <w:t>497.3</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7E73A8">
            <w:pPr>
              <w:pStyle w:val="TableText"/>
              <w:keepNext/>
              <w:jc w:val="center"/>
            </w:pPr>
            <w:r w:rsidRPr="00885D52">
              <w:t>26,490</w:t>
            </w:r>
          </w:p>
        </w:tc>
        <w:tc>
          <w:tcPr>
            <w:tcW w:w="1055" w:type="dxa"/>
            <w:tcBorders>
              <w:top w:val="nil"/>
              <w:left w:val="nil"/>
              <w:bottom w:val="nil"/>
            </w:tcBorders>
            <w:shd w:val="clear" w:color="auto" w:fill="auto"/>
          </w:tcPr>
          <w:p w:rsidR="00000384" w:rsidRPr="00885D52" w:rsidRDefault="00000384" w:rsidP="007E73A8">
            <w:pPr>
              <w:pStyle w:val="TableText"/>
              <w:keepNext/>
              <w:jc w:val="center"/>
            </w:pPr>
            <w:r w:rsidRPr="00885D52">
              <w:t>620.3</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1992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14,573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793.1</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12,679</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476.9</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27,252</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615.9</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1993</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14,178</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755.3</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13,031</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480.8</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27,209</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601.1</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1994</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14,169</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738.0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12,924</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463.1</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27,093</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583.1</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1995</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14,528</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742.3</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13,428</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471.4</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27,956</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589.6</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1996</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14,523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723.8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13,856</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471.3</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28,379</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581.8</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1997</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14,297</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680.1</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13,315</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433.9</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27,612</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542.9</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1998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13,661</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635.0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12,796</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408.0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26,457</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508.5</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1999</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14,348</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649.3</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13,876</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427.5</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28,224</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526.0</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2000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13,817</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609.2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12,906</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391.1</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26,723</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487.6</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2001</w:t>
            </w:r>
          </w:p>
        </w:tc>
        <w:tc>
          <w:tcPr>
            <w:tcW w:w="1055" w:type="dxa"/>
            <w:tcBorders>
              <w:top w:val="nil"/>
              <w:left w:val="single" w:sz="4" w:space="0" w:color="A6A6A6" w:themeColor="background1" w:themeShade="A6"/>
              <w:bottom w:val="nil"/>
              <w:right w:val="nil"/>
            </w:tcBorders>
            <w:shd w:val="clear" w:color="auto" w:fill="auto"/>
            <w:noWrap/>
          </w:tcPr>
          <w:p w:rsidR="00000384" w:rsidRPr="00885D52" w:rsidRDefault="00000384" w:rsidP="000E4FA8">
            <w:pPr>
              <w:pStyle w:val="TableText"/>
              <w:jc w:val="center"/>
            </w:pPr>
            <w:r w:rsidRPr="00885D52">
              <w:t>14,166</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606.7</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13,968</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402.4</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28,134</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493.0</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2002</w:t>
            </w:r>
          </w:p>
        </w:tc>
        <w:tc>
          <w:tcPr>
            <w:tcW w:w="1055" w:type="dxa"/>
            <w:tcBorders>
              <w:top w:val="nil"/>
              <w:left w:val="single" w:sz="4" w:space="0" w:color="A6A6A6" w:themeColor="background1" w:themeShade="A6"/>
              <w:bottom w:val="nil"/>
              <w:right w:val="nil"/>
            </w:tcBorders>
            <w:shd w:val="clear" w:color="auto" w:fill="F2F2F2"/>
            <w:noWrap/>
          </w:tcPr>
          <w:p w:rsidR="00000384" w:rsidRPr="00885D52" w:rsidRDefault="00000384" w:rsidP="000E4FA8">
            <w:pPr>
              <w:pStyle w:val="TableText"/>
              <w:jc w:val="center"/>
            </w:pPr>
            <w:r w:rsidRPr="00885D52">
              <w:t>14,195</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590.4</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14,164</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398.7</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28,360</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484.0</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2003</w:t>
            </w:r>
          </w:p>
        </w:tc>
        <w:tc>
          <w:tcPr>
            <w:tcW w:w="1055" w:type="dxa"/>
            <w:tcBorders>
              <w:top w:val="nil"/>
              <w:left w:val="single" w:sz="4" w:space="0" w:color="A6A6A6" w:themeColor="background1" w:themeShade="A6"/>
              <w:bottom w:val="nil"/>
              <w:right w:val="nil"/>
            </w:tcBorders>
            <w:shd w:val="clear" w:color="auto" w:fill="auto"/>
            <w:noWrap/>
          </w:tcPr>
          <w:p w:rsidR="00000384" w:rsidRPr="00885D52" w:rsidRDefault="00000384" w:rsidP="000E4FA8">
            <w:pPr>
              <w:pStyle w:val="TableText"/>
              <w:jc w:val="center"/>
            </w:pPr>
            <w:r w:rsidRPr="00885D52">
              <w:t>14,066</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568.6</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13,995</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385.8</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28,061</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467.7</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2004</w:t>
            </w:r>
          </w:p>
        </w:tc>
        <w:tc>
          <w:tcPr>
            <w:tcW w:w="1055" w:type="dxa"/>
            <w:tcBorders>
              <w:top w:val="nil"/>
              <w:left w:val="single" w:sz="4" w:space="0" w:color="A6A6A6" w:themeColor="background1" w:themeShade="A6"/>
              <w:bottom w:val="nil"/>
              <w:right w:val="nil"/>
            </w:tcBorders>
            <w:shd w:val="clear" w:color="auto" w:fill="F2F2F2"/>
            <w:noWrap/>
          </w:tcPr>
          <w:p w:rsidR="00000384" w:rsidRPr="00885D52" w:rsidRDefault="00000384" w:rsidP="000E4FA8">
            <w:pPr>
              <w:pStyle w:val="TableText"/>
              <w:jc w:val="center"/>
            </w:pPr>
            <w:r w:rsidRPr="00885D52">
              <w:t>14,201</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556.8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14,435</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388.8</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28,636</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464.3</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2005</w:t>
            </w:r>
          </w:p>
        </w:tc>
        <w:tc>
          <w:tcPr>
            <w:tcW w:w="1055" w:type="dxa"/>
            <w:tcBorders>
              <w:top w:val="nil"/>
              <w:left w:val="single" w:sz="4" w:space="0" w:color="A6A6A6" w:themeColor="background1" w:themeShade="A6"/>
              <w:bottom w:val="nil"/>
              <w:right w:val="nil"/>
            </w:tcBorders>
            <w:shd w:val="clear" w:color="auto" w:fill="auto"/>
            <w:noWrap/>
          </w:tcPr>
          <w:p w:rsidR="00000384" w:rsidRPr="00885D52" w:rsidRDefault="00000384" w:rsidP="000E4FA8">
            <w:pPr>
              <w:pStyle w:val="TableText"/>
              <w:jc w:val="center"/>
            </w:pPr>
            <w:r w:rsidRPr="00885D52">
              <w:t>13,494</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514.8</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13,647</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357.8</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27,141</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429.9</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2006</w:t>
            </w:r>
          </w:p>
        </w:tc>
        <w:tc>
          <w:tcPr>
            <w:tcW w:w="1055" w:type="dxa"/>
            <w:tcBorders>
              <w:top w:val="nil"/>
              <w:left w:val="single" w:sz="4" w:space="0" w:color="A6A6A6" w:themeColor="background1" w:themeShade="A6"/>
              <w:bottom w:val="nil"/>
              <w:right w:val="nil"/>
            </w:tcBorders>
            <w:shd w:val="clear" w:color="auto" w:fill="F2F2F2"/>
            <w:noWrap/>
          </w:tcPr>
          <w:p w:rsidR="00000384" w:rsidRPr="00885D52" w:rsidRDefault="00000384" w:rsidP="000E4FA8">
            <w:pPr>
              <w:pStyle w:val="TableText"/>
              <w:jc w:val="center"/>
            </w:pPr>
            <w:r w:rsidRPr="00885D52">
              <w:t>14,023</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518.0</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14,366</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364.9</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28,389</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434.9</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2007</w:t>
            </w:r>
          </w:p>
        </w:tc>
        <w:tc>
          <w:tcPr>
            <w:tcW w:w="1055" w:type="dxa"/>
            <w:tcBorders>
              <w:top w:val="nil"/>
              <w:left w:val="single" w:sz="4" w:space="0" w:color="A6A6A6" w:themeColor="background1" w:themeShade="A6"/>
              <w:bottom w:val="nil"/>
              <w:right w:val="nil"/>
            </w:tcBorders>
            <w:shd w:val="clear" w:color="auto" w:fill="auto"/>
            <w:noWrap/>
          </w:tcPr>
          <w:p w:rsidR="00000384" w:rsidRPr="00885D52" w:rsidRDefault="00000384" w:rsidP="000E4FA8">
            <w:pPr>
              <w:pStyle w:val="TableText"/>
              <w:jc w:val="center"/>
              <w:rPr>
                <w:rFonts w:cs="Arial"/>
              </w:rPr>
            </w:pPr>
            <w:r w:rsidRPr="00885D52">
              <w:t>14,333</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511.8</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14,268</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355.3</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28,601</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427.2</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2008</w:t>
            </w:r>
          </w:p>
        </w:tc>
        <w:tc>
          <w:tcPr>
            <w:tcW w:w="1055" w:type="dxa"/>
            <w:tcBorders>
              <w:top w:val="nil"/>
              <w:left w:val="single" w:sz="4" w:space="0" w:color="A6A6A6" w:themeColor="background1" w:themeShade="A6"/>
              <w:bottom w:val="nil"/>
              <w:right w:val="nil"/>
            </w:tcBorders>
            <w:shd w:val="clear" w:color="auto" w:fill="F2F2F2"/>
            <w:noWrap/>
          </w:tcPr>
          <w:p w:rsidR="00000384" w:rsidRPr="00885D52" w:rsidRDefault="00000384" w:rsidP="000E4FA8">
            <w:pPr>
              <w:pStyle w:val="TableText"/>
              <w:jc w:val="center"/>
              <w:rPr>
                <w:rFonts w:cs="Arial"/>
              </w:rPr>
            </w:pPr>
            <w:r w:rsidRPr="00885D52">
              <w:rPr>
                <w:rFonts w:cs="Arial"/>
              </w:rPr>
              <w:t>14,591</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503.7</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14,721</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356.9</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29,312</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424.8</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auto"/>
          </w:tcPr>
          <w:p w:rsidR="00000384" w:rsidRPr="00885D52" w:rsidRDefault="00000384" w:rsidP="000E4FA8">
            <w:pPr>
              <w:pStyle w:val="TableText"/>
              <w:jc w:val="center"/>
            </w:pPr>
            <w:r w:rsidRPr="00885D52">
              <w:t>2009</w:t>
            </w:r>
          </w:p>
        </w:tc>
        <w:tc>
          <w:tcPr>
            <w:tcW w:w="1055" w:type="dxa"/>
            <w:tcBorders>
              <w:top w:val="nil"/>
              <w:left w:val="single" w:sz="4" w:space="0" w:color="A6A6A6" w:themeColor="background1" w:themeShade="A6"/>
              <w:bottom w:val="nil"/>
              <w:right w:val="nil"/>
            </w:tcBorders>
            <w:shd w:val="clear" w:color="auto" w:fill="auto"/>
            <w:noWrap/>
          </w:tcPr>
          <w:p w:rsidR="00000384" w:rsidRPr="00885D52" w:rsidRDefault="00000384" w:rsidP="000E4FA8">
            <w:pPr>
              <w:pStyle w:val="TableText"/>
              <w:jc w:val="center"/>
            </w:pPr>
            <w:r w:rsidRPr="00885D52">
              <w:t>14,615</w:t>
            </w:r>
          </w:p>
        </w:tc>
        <w:tc>
          <w:tcPr>
            <w:tcW w:w="1055" w:type="dxa"/>
            <w:tcBorders>
              <w:top w:val="nil"/>
              <w:left w:val="nil"/>
              <w:bottom w:val="nil"/>
              <w:right w:val="single" w:sz="4" w:space="0" w:color="A6A6A6" w:themeColor="background1" w:themeShade="A6"/>
            </w:tcBorders>
            <w:shd w:val="clear" w:color="auto" w:fill="auto"/>
          </w:tcPr>
          <w:p w:rsidR="00000384" w:rsidRPr="00885D52" w:rsidRDefault="00000384" w:rsidP="000E4FA8">
            <w:pPr>
              <w:pStyle w:val="TableText"/>
              <w:tabs>
                <w:tab w:val="decimal" w:pos="527"/>
              </w:tabs>
            </w:pPr>
            <w:r w:rsidRPr="00885D52">
              <w:t>488.5</w:t>
            </w:r>
          </w:p>
        </w:tc>
        <w:tc>
          <w:tcPr>
            <w:tcW w:w="1055" w:type="dxa"/>
            <w:tcBorders>
              <w:top w:val="nil"/>
              <w:left w:val="single" w:sz="4" w:space="0" w:color="A6A6A6" w:themeColor="background1" w:themeShade="A6"/>
              <w:bottom w:val="nil"/>
              <w:right w:val="nil"/>
            </w:tcBorders>
          </w:tcPr>
          <w:p w:rsidR="00000384" w:rsidRPr="00885D52" w:rsidRDefault="00000384" w:rsidP="000E4FA8">
            <w:pPr>
              <w:pStyle w:val="TableText"/>
              <w:jc w:val="center"/>
            </w:pPr>
            <w:r w:rsidRPr="00885D52">
              <w:t>14,589</w:t>
            </w:r>
          </w:p>
        </w:tc>
        <w:tc>
          <w:tcPr>
            <w:tcW w:w="1055" w:type="dxa"/>
            <w:tcBorders>
              <w:top w:val="nil"/>
              <w:left w:val="nil"/>
              <w:bottom w:val="nil"/>
              <w:right w:val="single" w:sz="4" w:space="0" w:color="A6A6A6" w:themeColor="background1" w:themeShade="A6"/>
            </w:tcBorders>
          </w:tcPr>
          <w:p w:rsidR="00000384" w:rsidRPr="00885D52" w:rsidRDefault="00000384" w:rsidP="000E4FA8">
            <w:pPr>
              <w:pStyle w:val="TableText"/>
              <w:jc w:val="center"/>
            </w:pPr>
            <w:r w:rsidRPr="00885D52">
              <w:t>346.0</w:t>
            </w:r>
          </w:p>
        </w:tc>
        <w:tc>
          <w:tcPr>
            <w:tcW w:w="1055" w:type="dxa"/>
            <w:tcBorders>
              <w:top w:val="nil"/>
              <w:left w:val="single" w:sz="4" w:space="0" w:color="A6A6A6" w:themeColor="background1" w:themeShade="A6"/>
              <w:bottom w:val="nil"/>
              <w:right w:val="nil"/>
            </w:tcBorders>
            <w:shd w:val="clear" w:color="auto" w:fill="auto"/>
          </w:tcPr>
          <w:p w:rsidR="00000384" w:rsidRPr="00885D52" w:rsidRDefault="00000384" w:rsidP="000E4FA8">
            <w:pPr>
              <w:pStyle w:val="TableText"/>
              <w:jc w:val="center"/>
            </w:pPr>
            <w:r w:rsidRPr="00885D52">
              <w:t>29,204</w:t>
            </w:r>
          </w:p>
        </w:tc>
        <w:tc>
          <w:tcPr>
            <w:tcW w:w="1055" w:type="dxa"/>
            <w:tcBorders>
              <w:top w:val="nil"/>
              <w:left w:val="nil"/>
              <w:bottom w:val="nil"/>
            </w:tcBorders>
            <w:shd w:val="clear" w:color="auto" w:fill="auto"/>
          </w:tcPr>
          <w:p w:rsidR="00000384" w:rsidRPr="00885D52" w:rsidRDefault="00000384" w:rsidP="000E4FA8">
            <w:pPr>
              <w:pStyle w:val="TableText"/>
              <w:jc w:val="center"/>
            </w:pPr>
            <w:r w:rsidRPr="00885D52">
              <w:t>412.1</w:t>
            </w:r>
          </w:p>
        </w:tc>
      </w:tr>
      <w:tr w:rsidR="00000384" w:rsidRPr="00885D52" w:rsidTr="003E56B2">
        <w:trPr>
          <w:cantSplit/>
        </w:trPr>
        <w:tc>
          <w:tcPr>
            <w:tcW w:w="1055" w:type="dxa"/>
            <w:tcBorders>
              <w:top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2010</w:t>
            </w:r>
          </w:p>
        </w:tc>
        <w:tc>
          <w:tcPr>
            <w:tcW w:w="1055" w:type="dxa"/>
            <w:tcBorders>
              <w:top w:val="nil"/>
              <w:left w:val="single" w:sz="4" w:space="0" w:color="A6A6A6" w:themeColor="background1" w:themeShade="A6"/>
              <w:bottom w:val="nil"/>
              <w:right w:val="nil"/>
            </w:tcBorders>
            <w:shd w:val="clear" w:color="auto" w:fill="F2F2F2"/>
            <w:noWrap/>
          </w:tcPr>
          <w:p w:rsidR="00000384" w:rsidRPr="00885D52" w:rsidRDefault="00000384" w:rsidP="000E4FA8">
            <w:pPr>
              <w:pStyle w:val="TableText"/>
              <w:jc w:val="center"/>
            </w:pPr>
            <w:r w:rsidRPr="00885D52">
              <w:t>14,337</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tabs>
                <w:tab w:val="decimal" w:pos="527"/>
              </w:tabs>
            </w:pPr>
            <w:r w:rsidRPr="00885D52">
              <w:t>461.9</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14,304</w:t>
            </w:r>
          </w:p>
        </w:tc>
        <w:tc>
          <w:tcPr>
            <w:tcW w:w="1055" w:type="dxa"/>
            <w:tcBorders>
              <w:top w:val="nil"/>
              <w:left w:val="nil"/>
              <w:bottom w:val="nil"/>
              <w:right w:val="single" w:sz="4" w:space="0" w:color="A6A6A6" w:themeColor="background1" w:themeShade="A6"/>
            </w:tcBorders>
            <w:shd w:val="clear" w:color="auto" w:fill="F2F2F2"/>
          </w:tcPr>
          <w:p w:rsidR="00000384" w:rsidRPr="00885D52" w:rsidRDefault="00000384" w:rsidP="000E4FA8">
            <w:pPr>
              <w:pStyle w:val="TableText"/>
              <w:jc w:val="center"/>
            </w:pPr>
            <w:r w:rsidRPr="00885D52">
              <w:t>330.2</w:t>
            </w:r>
          </w:p>
        </w:tc>
        <w:tc>
          <w:tcPr>
            <w:tcW w:w="1055" w:type="dxa"/>
            <w:tcBorders>
              <w:top w:val="nil"/>
              <w:left w:val="single" w:sz="4" w:space="0" w:color="A6A6A6" w:themeColor="background1" w:themeShade="A6"/>
              <w:bottom w:val="nil"/>
              <w:right w:val="nil"/>
            </w:tcBorders>
            <w:shd w:val="clear" w:color="auto" w:fill="F2F2F2"/>
          </w:tcPr>
          <w:p w:rsidR="00000384" w:rsidRPr="00885D52" w:rsidRDefault="00000384" w:rsidP="000E4FA8">
            <w:pPr>
              <w:pStyle w:val="TableText"/>
              <w:jc w:val="center"/>
            </w:pPr>
            <w:r w:rsidRPr="00885D52">
              <w:t>28,641</w:t>
            </w:r>
          </w:p>
        </w:tc>
        <w:tc>
          <w:tcPr>
            <w:tcW w:w="1055" w:type="dxa"/>
            <w:tcBorders>
              <w:top w:val="nil"/>
              <w:left w:val="nil"/>
              <w:bottom w:val="nil"/>
            </w:tcBorders>
            <w:shd w:val="clear" w:color="auto" w:fill="F2F2F2"/>
          </w:tcPr>
          <w:p w:rsidR="00000384" w:rsidRPr="00885D52" w:rsidRDefault="00000384" w:rsidP="000E4FA8">
            <w:pPr>
              <w:pStyle w:val="TableText"/>
              <w:jc w:val="center"/>
            </w:pPr>
            <w:r w:rsidRPr="00885D52">
              <w:t>391.6</w:t>
            </w:r>
          </w:p>
        </w:tc>
      </w:tr>
      <w:tr w:rsidR="00000384" w:rsidRPr="00885D52" w:rsidTr="003E56B2">
        <w:trPr>
          <w:cantSplit/>
        </w:trPr>
        <w:tc>
          <w:tcPr>
            <w:tcW w:w="1055" w:type="dxa"/>
            <w:tcBorders>
              <w:top w:val="nil"/>
              <w:bottom w:val="single" w:sz="4" w:space="0" w:color="auto"/>
              <w:right w:val="single" w:sz="4" w:space="0" w:color="A6A6A6" w:themeColor="background1" w:themeShade="A6"/>
            </w:tcBorders>
            <w:shd w:val="clear" w:color="auto" w:fill="FFFFFF" w:themeFill="background1"/>
          </w:tcPr>
          <w:p w:rsidR="00000384" w:rsidRPr="00885D52" w:rsidRDefault="00000384" w:rsidP="000E4FA8">
            <w:pPr>
              <w:pStyle w:val="TableText"/>
              <w:jc w:val="center"/>
            </w:pPr>
            <w:r w:rsidRPr="00885D52">
              <w:t>2011</w:t>
            </w:r>
          </w:p>
        </w:tc>
        <w:tc>
          <w:tcPr>
            <w:tcW w:w="1055" w:type="dxa"/>
            <w:tcBorders>
              <w:top w:val="nil"/>
              <w:left w:val="single" w:sz="4" w:space="0" w:color="A6A6A6" w:themeColor="background1" w:themeShade="A6"/>
              <w:bottom w:val="single" w:sz="4" w:space="0" w:color="auto"/>
              <w:right w:val="nil"/>
            </w:tcBorders>
            <w:shd w:val="clear" w:color="auto" w:fill="FFFFFF" w:themeFill="background1"/>
            <w:noWrap/>
            <w:vAlign w:val="bottom"/>
          </w:tcPr>
          <w:p w:rsidR="00000384" w:rsidRPr="00885D52" w:rsidRDefault="00000384" w:rsidP="000E4FA8">
            <w:pPr>
              <w:pStyle w:val="TableText"/>
              <w:jc w:val="center"/>
            </w:pPr>
            <w:r w:rsidRPr="00885D52">
              <w:t>14,941</w:t>
            </w:r>
          </w:p>
        </w:tc>
        <w:tc>
          <w:tcPr>
            <w:tcW w:w="1055" w:type="dxa"/>
            <w:tcBorders>
              <w:top w:val="nil"/>
              <w:left w:val="nil"/>
              <w:bottom w:val="single" w:sz="4" w:space="0" w:color="auto"/>
              <w:right w:val="single" w:sz="4" w:space="0" w:color="A6A6A6" w:themeColor="background1" w:themeShade="A6"/>
            </w:tcBorders>
            <w:shd w:val="clear" w:color="auto" w:fill="FFFFFF" w:themeFill="background1"/>
            <w:vAlign w:val="bottom"/>
          </w:tcPr>
          <w:p w:rsidR="00000384" w:rsidRPr="00885D52" w:rsidRDefault="00000384" w:rsidP="000E4FA8">
            <w:pPr>
              <w:pStyle w:val="TableText"/>
              <w:jc w:val="center"/>
            </w:pPr>
            <w:r w:rsidRPr="00885D52">
              <w:t>464.4</w:t>
            </w:r>
          </w:p>
        </w:tc>
        <w:tc>
          <w:tcPr>
            <w:tcW w:w="1055" w:type="dxa"/>
            <w:tcBorders>
              <w:top w:val="nil"/>
              <w:left w:val="single" w:sz="4" w:space="0" w:color="A6A6A6" w:themeColor="background1" w:themeShade="A6"/>
              <w:bottom w:val="single" w:sz="4" w:space="0" w:color="auto"/>
              <w:right w:val="nil"/>
            </w:tcBorders>
            <w:shd w:val="clear" w:color="auto" w:fill="FFFFFF" w:themeFill="background1"/>
            <w:vAlign w:val="bottom"/>
          </w:tcPr>
          <w:p w:rsidR="00000384" w:rsidRPr="00885D52" w:rsidRDefault="00000384" w:rsidP="000E4FA8">
            <w:pPr>
              <w:pStyle w:val="TableText"/>
              <w:jc w:val="center"/>
            </w:pPr>
            <w:r w:rsidRPr="00885D52">
              <w:t>15,348</w:t>
            </w:r>
          </w:p>
        </w:tc>
        <w:tc>
          <w:tcPr>
            <w:tcW w:w="1055" w:type="dxa"/>
            <w:tcBorders>
              <w:top w:val="nil"/>
              <w:left w:val="nil"/>
              <w:bottom w:val="single" w:sz="4" w:space="0" w:color="auto"/>
              <w:right w:val="single" w:sz="4" w:space="0" w:color="A6A6A6" w:themeColor="background1" w:themeShade="A6"/>
            </w:tcBorders>
            <w:shd w:val="clear" w:color="auto" w:fill="FFFFFF" w:themeFill="background1"/>
            <w:vAlign w:val="bottom"/>
          </w:tcPr>
          <w:p w:rsidR="00000384" w:rsidRPr="00885D52" w:rsidRDefault="00000384" w:rsidP="000E4FA8">
            <w:pPr>
              <w:pStyle w:val="TableText"/>
              <w:jc w:val="center"/>
            </w:pPr>
            <w:r w:rsidRPr="00885D52">
              <w:t>343.2</w:t>
            </w:r>
          </w:p>
        </w:tc>
        <w:tc>
          <w:tcPr>
            <w:tcW w:w="1055" w:type="dxa"/>
            <w:tcBorders>
              <w:top w:val="nil"/>
              <w:left w:val="single" w:sz="4" w:space="0" w:color="A6A6A6" w:themeColor="background1" w:themeShade="A6"/>
              <w:bottom w:val="single" w:sz="4" w:space="0" w:color="auto"/>
              <w:right w:val="nil"/>
            </w:tcBorders>
            <w:shd w:val="clear" w:color="auto" w:fill="FFFFFF" w:themeFill="background1"/>
          </w:tcPr>
          <w:p w:rsidR="00000384" w:rsidRPr="00885D52" w:rsidRDefault="00000384" w:rsidP="000E4FA8">
            <w:pPr>
              <w:pStyle w:val="TableText"/>
              <w:jc w:val="center"/>
            </w:pPr>
            <w:r w:rsidRPr="00885D52">
              <w:t>30,289</w:t>
            </w:r>
          </w:p>
        </w:tc>
        <w:tc>
          <w:tcPr>
            <w:tcW w:w="1055" w:type="dxa"/>
            <w:tcBorders>
              <w:top w:val="nil"/>
              <w:left w:val="nil"/>
              <w:bottom w:val="single" w:sz="4" w:space="0" w:color="auto"/>
            </w:tcBorders>
            <w:shd w:val="clear" w:color="auto" w:fill="FFFFFF" w:themeFill="background1"/>
          </w:tcPr>
          <w:p w:rsidR="00000384" w:rsidRPr="00885D52" w:rsidRDefault="00000384" w:rsidP="000E4FA8">
            <w:pPr>
              <w:pStyle w:val="TableText"/>
              <w:jc w:val="center"/>
            </w:pPr>
            <w:r w:rsidRPr="00885D52">
              <w:t>400.4</w:t>
            </w:r>
          </w:p>
        </w:tc>
      </w:tr>
    </w:tbl>
    <w:p w:rsidR="00000384" w:rsidRPr="00885D52" w:rsidRDefault="00000384" w:rsidP="007E73A8">
      <w:pPr>
        <w:pStyle w:val="Note"/>
        <w:ind w:right="1985"/>
      </w:pPr>
      <w:r w:rsidRPr="00885D52">
        <w:t>Note: Rates per 100,000 population, age-standardised to WHO World Standard Population.</w:t>
      </w:r>
    </w:p>
    <w:p w:rsidR="00000384" w:rsidRPr="00885D52" w:rsidRDefault="00000384" w:rsidP="00000384"/>
    <w:p w:rsidR="00000384" w:rsidRPr="00885D52" w:rsidRDefault="00000384" w:rsidP="008A16FC">
      <w:r w:rsidRPr="00885D52">
        <w:t>Figure 3 shows age-standardised mortality rates by sex and ethnicity from 1996 to 2011.</w:t>
      </w:r>
    </w:p>
    <w:p w:rsidR="00000384" w:rsidRPr="00885D52" w:rsidRDefault="00000384" w:rsidP="008A16FC"/>
    <w:p w:rsidR="00000384" w:rsidRPr="00885D52" w:rsidRDefault="00000384" w:rsidP="000E4FA8">
      <w:pPr>
        <w:pStyle w:val="Figure"/>
      </w:pPr>
      <w:bookmarkStart w:id="171" w:name="_Toc352670675"/>
      <w:bookmarkStart w:id="172" w:name="_Toc400536102"/>
      <w:bookmarkStart w:id="173" w:name="_Toc403120577"/>
      <w:r w:rsidRPr="00885D52">
        <w:lastRenderedPageBreak/>
        <w:t>Figure 3: Age-standardised mortality rates by sex and ethnicity, 1996–201</w:t>
      </w:r>
      <w:bookmarkEnd w:id="171"/>
      <w:r w:rsidRPr="00885D52">
        <w:t>1</w:t>
      </w:r>
      <w:bookmarkEnd w:id="172"/>
      <w:bookmarkEnd w:id="173"/>
    </w:p>
    <w:p w:rsidR="00000384" w:rsidRPr="00885D52" w:rsidRDefault="000C0EDE" w:rsidP="007E73A8">
      <w:r w:rsidRPr="00885D52">
        <w:rPr>
          <w:noProof/>
          <w:lang w:eastAsia="en-NZ"/>
        </w:rPr>
        <w:drawing>
          <wp:inline distT="0" distB="0" distL="0" distR="0" wp14:anchorId="35942DAF" wp14:editId="10A957F6">
            <wp:extent cx="5045825" cy="3078168"/>
            <wp:effectExtent l="0" t="0" r="2540" b="8255"/>
            <wp:docPr id="49" name="Picture 49" title="Figure 3: Age-standardised mortality rates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5218" cy="3077798"/>
                    </a:xfrm>
                    <a:prstGeom prst="rect">
                      <a:avLst/>
                    </a:prstGeom>
                  </pic:spPr>
                </pic:pic>
              </a:graphicData>
            </a:graphic>
          </wp:inline>
        </w:drawing>
      </w:r>
    </w:p>
    <w:p w:rsidR="00000384" w:rsidRPr="00885D52" w:rsidRDefault="00000384" w:rsidP="00000384">
      <w:pPr>
        <w:pStyle w:val="Note"/>
      </w:pPr>
      <w:r w:rsidRPr="00885D52">
        <w:t>Note 1: Rates per 100,000 population, age-standardised to WHO World Standard Population.</w:t>
      </w:r>
    </w:p>
    <w:p w:rsidR="00000384" w:rsidRPr="00885D52" w:rsidRDefault="00000384" w:rsidP="00000384">
      <w:pPr>
        <w:pStyle w:val="Note"/>
      </w:pPr>
      <w:r w:rsidRPr="00885D52">
        <w:t>Note 2: Some rates differ from those previously published due to updates in the calculations.</w:t>
      </w:r>
    </w:p>
    <w:p w:rsidR="00000384" w:rsidRPr="00885D52" w:rsidRDefault="00000384" w:rsidP="007E73A8"/>
    <w:p w:rsidR="00000384" w:rsidRPr="00885D52" w:rsidRDefault="00000384" w:rsidP="007E73A8">
      <w:r w:rsidRPr="00885D52">
        <w:t>Over the period shown above, Māori males consistently had the highest mortality rate. In 2011, the mortality rate for Māori males was 1.6 times the non-Māori male rate (718.9 and 437.1 per 100,000 population respectively).</w:t>
      </w:r>
    </w:p>
    <w:p w:rsidR="00000384" w:rsidRPr="00885D52" w:rsidRDefault="00000384" w:rsidP="007E73A8"/>
    <w:p w:rsidR="00000384" w:rsidRPr="00885D52" w:rsidRDefault="00000384" w:rsidP="007E73A8">
      <w:r w:rsidRPr="00885D52">
        <w:t>Between 1996 and 2011, age-standardised mortality rates for Māori males decreased by 40.2 percent, while mortality rates for non-Māori males decreased by 36.2 percent.</w:t>
      </w:r>
    </w:p>
    <w:p w:rsidR="00000384" w:rsidRPr="00885D52" w:rsidRDefault="00000384" w:rsidP="007E73A8"/>
    <w:p w:rsidR="00000384" w:rsidRPr="00885D52" w:rsidRDefault="00000384" w:rsidP="007E73A8">
      <w:r w:rsidRPr="00885D52">
        <w:t>In 2011, Māori females had an age-standardised mortality rate almost twice the rate for non-Māori females (609.0 and 319.4 per 100,000 population respectively).</w:t>
      </w:r>
    </w:p>
    <w:p w:rsidR="00000384" w:rsidRPr="00885D52" w:rsidRDefault="00000384" w:rsidP="007E73A8"/>
    <w:p w:rsidR="00000384" w:rsidRPr="00885D52" w:rsidRDefault="00000384" w:rsidP="007E73A8">
      <w:r w:rsidRPr="00885D52">
        <w:t>The age-standardised mortality rate for Māori females decreased by 29.5 percent between 1996 and 2011; the mortality rate for non-Māori females decreased by 27.6 percent over the same period.</w:t>
      </w:r>
    </w:p>
    <w:p w:rsidR="00000384" w:rsidRPr="00885D52" w:rsidRDefault="00000384" w:rsidP="007E73A8"/>
    <w:p w:rsidR="008D5D23" w:rsidRPr="00885D52" w:rsidRDefault="00000384" w:rsidP="007E73A8">
      <w:r w:rsidRPr="00885D52">
        <w:t>Figure 4 shows age-standardised mortality rates from 1980 to 2011 for the five major causes of mortality: cancer, ischaemic heart disease, cerebrovascular disease, chronic lower respiratory disease and other forms of heart disease.</w:t>
      </w:r>
    </w:p>
    <w:p w:rsidR="00000384" w:rsidRPr="00885D52" w:rsidRDefault="00000384" w:rsidP="007E73A8"/>
    <w:p w:rsidR="008D5D23" w:rsidRPr="00885D52" w:rsidRDefault="00000384" w:rsidP="007E73A8">
      <w:r w:rsidRPr="00885D52">
        <w:t>In 2011, these five major causes accounted for 66.5 percent of all deaths. Cancer accounted for 29.4 percent of deaths, ischaemic heart disease accounted for 18.3 percent, and the remaining three of these five causes together accounted for 18.9 percent.</w:t>
      </w:r>
    </w:p>
    <w:p w:rsidR="00000384" w:rsidRPr="00885D52" w:rsidRDefault="00000384" w:rsidP="007E73A8"/>
    <w:p w:rsidR="00000384" w:rsidRPr="00885D52" w:rsidRDefault="00000384" w:rsidP="008A16FC">
      <w:r w:rsidRPr="00885D52">
        <w:t>Between 1980 and 2011, mortality rates for all five major causes decreased. Specifically:</w:t>
      </w:r>
    </w:p>
    <w:p w:rsidR="00000384" w:rsidRPr="00885D52" w:rsidRDefault="00000384" w:rsidP="008A16FC">
      <w:pPr>
        <w:pStyle w:val="Bullet"/>
      </w:pPr>
      <w:r w:rsidRPr="00885D52">
        <w:t>ischaemic heart disease and cerebrovascular disease rates decreased by more than two-thirds (69.9 percent and 67.5 percent respectively)</w:t>
      </w:r>
    </w:p>
    <w:p w:rsidR="008D5D23" w:rsidRPr="00885D52" w:rsidRDefault="00000384" w:rsidP="008A16FC">
      <w:pPr>
        <w:pStyle w:val="Bullet"/>
      </w:pPr>
      <w:r w:rsidRPr="00885D52">
        <w:t>death rates for other forms of heart disease and chronic lower respiratory diseases halved (decreasing by 53.1 percent and 50.8 percent respectively)</w:t>
      </w:r>
    </w:p>
    <w:p w:rsidR="00000384" w:rsidRPr="00885D52" w:rsidRDefault="00000384" w:rsidP="007E73A8">
      <w:pPr>
        <w:pStyle w:val="Bullet"/>
      </w:pPr>
      <w:r w:rsidRPr="00885D52">
        <w:t>the mortality rate for cancer decreased by 22.4 percent.</w:t>
      </w:r>
    </w:p>
    <w:p w:rsidR="00000384" w:rsidRPr="00885D52" w:rsidRDefault="00000384" w:rsidP="007E73A8"/>
    <w:p w:rsidR="00000384" w:rsidRPr="00885D52" w:rsidRDefault="00000384" w:rsidP="007E73A8">
      <w:pPr>
        <w:pStyle w:val="Figure"/>
      </w:pPr>
      <w:bookmarkStart w:id="174" w:name="_Toc400536103"/>
      <w:bookmarkStart w:id="175" w:name="_Toc403120578"/>
      <w:r w:rsidRPr="00885D52">
        <w:lastRenderedPageBreak/>
        <w:t>Figure 4: Age-standardised mortality rates for the five major causes of mortality,</w:t>
      </w:r>
      <w:r w:rsidR="007E73A8" w:rsidRPr="00885D52">
        <w:br/>
      </w:r>
      <w:r w:rsidRPr="00885D52">
        <w:t>1980–2011</w:t>
      </w:r>
      <w:bookmarkEnd w:id="174"/>
      <w:bookmarkEnd w:id="175"/>
    </w:p>
    <w:p w:rsidR="00000384" w:rsidRPr="00885D52" w:rsidRDefault="007D0A80" w:rsidP="00FA092A">
      <w:r w:rsidRPr="00885D52">
        <w:rPr>
          <w:noProof/>
          <w:lang w:eastAsia="en-NZ"/>
        </w:rPr>
        <w:drawing>
          <wp:inline distT="0" distB="0" distL="0" distR="0" wp14:anchorId="4BA0337C" wp14:editId="5BE401F3">
            <wp:extent cx="5029200" cy="3068027"/>
            <wp:effectExtent l="0" t="0" r="0" b="0"/>
            <wp:docPr id="51" name="Picture 51" title="Figure 4: Age-standardised mortality rates for the five major causes of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8594" cy="3067657"/>
                    </a:xfrm>
                    <a:prstGeom prst="rect">
                      <a:avLst/>
                    </a:prstGeom>
                  </pic:spPr>
                </pic:pic>
              </a:graphicData>
            </a:graphic>
          </wp:inline>
        </w:drawing>
      </w:r>
    </w:p>
    <w:p w:rsidR="00000384" w:rsidRPr="00885D52" w:rsidRDefault="00000384" w:rsidP="00FA092A">
      <w:pPr>
        <w:pStyle w:val="Note"/>
      </w:pPr>
      <w:r w:rsidRPr="00885D52">
        <w:t>Note: Rates per 100,000 population, age-standardised to WHO World Standard Population.</w:t>
      </w:r>
    </w:p>
    <w:p w:rsidR="00000384" w:rsidRPr="00885D52" w:rsidRDefault="00000384" w:rsidP="00FA092A"/>
    <w:p w:rsidR="00000384" w:rsidRPr="00885D52" w:rsidRDefault="00000384" w:rsidP="00FA092A">
      <w:r w:rsidRPr="00885D52">
        <w:t>Figure 5 shows the age-specific mortality rates for Māori and non-Māori, by age group, for 2011.</w:t>
      </w:r>
    </w:p>
    <w:p w:rsidR="00000384" w:rsidRPr="00885D52" w:rsidRDefault="00000384" w:rsidP="00FA092A"/>
    <w:p w:rsidR="008D5D23" w:rsidRPr="00885D52" w:rsidRDefault="00000384" w:rsidP="00FA092A">
      <w:r w:rsidRPr="00885D52">
        <w:t>Māori had higher age-specific mortality rates than non-Māori for all age groups under 85 years of age, with the exception of the 5–9 years age group. Across all age groups, the death rate for the Māori population was 0.7 to 2.6 times that of the non-Māori population. This ethnic disparity was greatest in the group of people between the ages of 45 to 69 years, where the Māori rate was around 2.5 times that of the non-Māori rate.</w:t>
      </w:r>
    </w:p>
    <w:p w:rsidR="00FA092A" w:rsidRPr="00885D52" w:rsidRDefault="00FA092A" w:rsidP="00FA092A"/>
    <w:p w:rsidR="00000384" w:rsidRPr="00885D52" w:rsidRDefault="00000384" w:rsidP="00FA092A">
      <w:pPr>
        <w:pStyle w:val="Figure"/>
      </w:pPr>
      <w:bookmarkStart w:id="176" w:name="_Toc352670676"/>
      <w:bookmarkStart w:id="177" w:name="_Toc400536104"/>
      <w:bookmarkStart w:id="178" w:name="_Toc403120579"/>
      <w:r w:rsidRPr="00885D52">
        <w:t>Figure 5: Age at death, rates by ethnicity, 201</w:t>
      </w:r>
      <w:bookmarkEnd w:id="176"/>
      <w:r w:rsidRPr="00885D52">
        <w:t>1</w:t>
      </w:r>
      <w:bookmarkEnd w:id="177"/>
      <w:bookmarkEnd w:id="178"/>
    </w:p>
    <w:p w:rsidR="00000384" w:rsidRPr="00885D52" w:rsidRDefault="000C0EDE" w:rsidP="000C0EDE">
      <w:r w:rsidRPr="00885D52">
        <w:rPr>
          <w:noProof/>
          <w:lang w:eastAsia="en-NZ"/>
        </w:rPr>
        <w:drawing>
          <wp:inline distT="0" distB="0" distL="0" distR="0" wp14:anchorId="552BA250" wp14:editId="05FECB81">
            <wp:extent cx="5029200" cy="3287453"/>
            <wp:effectExtent l="0" t="0" r="0" b="8255"/>
            <wp:docPr id="47" name="Picture 47" title="Figure 5: Age at death, rates by ethnicit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675"/>
                    <a:stretch/>
                  </pic:blipFill>
                  <pic:spPr bwMode="auto">
                    <a:xfrm>
                      <a:off x="0" y="0"/>
                      <a:ext cx="5028595" cy="3287058"/>
                    </a:xfrm>
                    <a:prstGeom prst="rect">
                      <a:avLst/>
                    </a:prstGeom>
                    <a:ln>
                      <a:noFill/>
                    </a:ln>
                    <a:extLst>
                      <a:ext uri="{53640926-AAD7-44D8-BBD7-CCE9431645EC}">
                        <a14:shadowObscured xmlns:a14="http://schemas.microsoft.com/office/drawing/2010/main"/>
                      </a:ext>
                    </a:extLst>
                  </pic:spPr>
                </pic:pic>
              </a:graphicData>
            </a:graphic>
          </wp:inline>
        </w:drawing>
      </w:r>
    </w:p>
    <w:p w:rsidR="00000384" w:rsidRPr="00885D52" w:rsidRDefault="00000384" w:rsidP="000C0EDE">
      <w:pPr>
        <w:pStyle w:val="Note"/>
      </w:pPr>
      <w:r w:rsidRPr="00885D52">
        <w:t>Note: Rates per 100,000 population in each age group.</w:t>
      </w:r>
    </w:p>
    <w:p w:rsidR="00000384" w:rsidRPr="00885D52" w:rsidRDefault="00000384" w:rsidP="000C0EDE"/>
    <w:p w:rsidR="00000384" w:rsidRPr="00885D52" w:rsidRDefault="00000384" w:rsidP="000C0EDE">
      <w:r w:rsidRPr="00885D52">
        <w:lastRenderedPageBreak/>
        <w:t xml:space="preserve">Figure 6 shows amenable mortality rates for Māori and non-Māori by sex from 2000 to 2011. Amenable mortality refers to potentially preventable deaths that might have been prevented if health services had been delivered more effectively or if patients had accessed services earlier (either in primary care or in hospital). Amenable mortality includes deaths from some types of infection and cancer; maternal, perinatal and infant conditions/complications; injuries; and a range of chronic disorders (see </w:t>
      </w:r>
      <w:r w:rsidR="00885D52" w:rsidRPr="00885D52">
        <w:t>‘</w:t>
      </w:r>
      <w:r w:rsidRPr="00885D52">
        <w:t>Mortality notes</w:t>
      </w:r>
      <w:r w:rsidR="00885D52" w:rsidRPr="00885D52">
        <w:t>’</w:t>
      </w:r>
      <w:r w:rsidRPr="00885D52">
        <w:t xml:space="preserve"> for further information).</w:t>
      </w:r>
    </w:p>
    <w:p w:rsidR="00000384" w:rsidRPr="00885D52" w:rsidRDefault="00000384" w:rsidP="000C0EDE"/>
    <w:p w:rsidR="008D5D23" w:rsidRPr="00885D52" w:rsidRDefault="00000384" w:rsidP="000C0EDE">
      <w:r w:rsidRPr="00885D52">
        <w:t>From 2000 to 2011 New Zealand</w:t>
      </w:r>
      <w:r w:rsidR="00885D52" w:rsidRPr="00885D52">
        <w:t>’</w:t>
      </w:r>
      <w:r w:rsidRPr="00885D52">
        <w:t>s amenable mortality rate decreased across all groups. Over this time, the rate for Māori was between 2.5 to three times the rate for non-Māori. For both ethnic groups the amenable mortality rate was higher for males than for females.</w:t>
      </w:r>
    </w:p>
    <w:p w:rsidR="00000384" w:rsidRPr="00885D52" w:rsidRDefault="00000384" w:rsidP="000C0EDE"/>
    <w:p w:rsidR="00000384" w:rsidRPr="00885D52" w:rsidRDefault="00000384" w:rsidP="000C0EDE">
      <w:pPr>
        <w:pStyle w:val="Figure"/>
      </w:pPr>
      <w:bookmarkStart w:id="179" w:name="_Toc395262606"/>
      <w:bookmarkStart w:id="180" w:name="_Toc400536105"/>
      <w:bookmarkStart w:id="181" w:name="_Toc403120580"/>
      <w:r w:rsidRPr="00885D52">
        <w:t>Figure 6: Amenable mortality rates per 100,000 people aged 0–74 years, by sex and ethnicity, 2000–2011</w:t>
      </w:r>
      <w:bookmarkEnd w:id="179"/>
      <w:bookmarkEnd w:id="180"/>
      <w:bookmarkEnd w:id="181"/>
    </w:p>
    <w:p w:rsidR="00000384" w:rsidRPr="00885D52" w:rsidRDefault="00253F01" w:rsidP="00253F01">
      <w:r w:rsidRPr="00885D52">
        <w:rPr>
          <w:noProof/>
          <w:lang w:eastAsia="en-NZ"/>
        </w:rPr>
        <w:drawing>
          <wp:inline distT="0" distB="0" distL="0" distR="0" wp14:anchorId="1AD1D1AF" wp14:editId="7E65D46D">
            <wp:extent cx="5037512" cy="3073097"/>
            <wp:effectExtent l="0" t="0" r="0" b="0"/>
            <wp:docPr id="52" name="Picture 52" title="Figure 6: Amenable mortality rates per 100,000 people aged 0–74 years, by sex and ethnicity, 200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36906" cy="3072727"/>
                    </a:xfrm>
                    <a:prstGeom prst="rect">
                      <a:avLst/>
                    </a:prstGeom>
                  </pic:spPr>
                </pic:pic>
              </a:graphicData>
            </a:graphic>
          </wp:inline>
        </w:drawing>
      </w:r>
    </w:p>
    <w:p w:rsidR="00000384" w:rsidRPr="00885D52" w:rsidRDefault="00000384" w:rsidP="00253F01">
      <w:pPr>
        <w:pStyle w:val="Note"/>
        <w:ind w:left="0" w:firstLine="0"/>
      </w:pPr>
      <w:r w:rsidRPr="00885D52">
        <w:t>Note: Rates per 100,000 population, age-standardised to WHO World Standard Population aged</w:t>
      </w:r>
      <w:r w:rsidR="00253F01" w:rsidRPr="00885D52">
        <w:br/>
      </w:r>
      <w:r w:rsidRPr="00885D52">
        <w:t>0–74 years.</w:t>
      </w:r>
    </w:p>
    <w:p w:rsidR="00000384" w:rsidRPr="00885D52" w:rsidRDefault="00000384" w:rsidP="00253F01"/>
    <w:p w:rsidR="00000384" w:rsidRPr="00885D52" w:rsidRDefault="00000384" w:rsidP="00253F01">
      <w:pPr>
        <w:pStyle w:val="Heading2"/>
      </w:pPr>
      <w:bookmarkStart w:id="182" w:name="_Toc352670623"/>
      <w:bookmarkStart w:id="183" w:name="_Toc400536179"/>
      <w:bookmarkStart w:id="184" w:name="_Toc403120519"/>
      <w:r w:rsidRPr="00885D52">
        <w:lastRenderedPageBreak/>
        <w:t>Selected causes of mortality</w:t>
      </w:r>
      <w:bookmarkEnd w:id="182"/>
      <w:bookmarkEnd w:id="183"/>
      <w:bookmarkEnd w:id="184"/>
    </w:p>
    <w:p w:rsidR="00000384" w:rsidRPr="00885D52" w:rsidRDefault="00000384" w:rsidP="00253F01">
      <w:pPr>
        <w:keepNext/>
      </w:pPr>
      <w:r w:rsidRPr="00885D52">
        <w:t>Table 3 shows age-standardised mortality rates for selected causes of death for Māori, non-Māori and the total population in 2011.</w:t>
      </w:r>
    </w:p>
    <w:p w:rsidR="00000384" w:rsidRPr="00885D52" w:rsidRDefault="00000384" w:rsidP="00253F01">
      <w:pPr>
        <w:keepNext/>
      </w:pPr>
    </w:p>
    <w:p w:rsidR="00000384" w:rsidRPr="00885D52" w:rsidRDefault="00000384" w:rsidP="00000384">
      <w:pPr>
        <w:pStyle w:val="Table"/>
      </w:pPr>
      <w:bookmarkStart w:id="185" w:name="_Ref132187956"/>
      <w:bookmarkStart w:id="186" w:name="_Toc135750822"/>
      <w:bookmarkStart w:id="187" w:name="_Toc167268852"/>
      <w:bookmarkStart w:id="188" w:name="_Toc236641643"/>
      <w:bookmarkStart w:id="189" w:name="_Toc262631227"/>
      <w:bookmarkStart w:id="190" w:name="_Toc316912720"/>
      <w:bookmarkStart w:id="191" w:name="_Toc352670652"/>
      <w:bookmarkStart w:id="192" w:name="_Toc400536143"/>
      <w:bookmarkStart w:id="193" w:name="_Toc403120548"/>
      <w:r w:rsidRPr="00885D52">
        <w:t>Table 3</w:t>
      </w:r>
      <w:bookmarkEnd w:id="185"/>
      <w:r w:rsidRPr="00885D52">
        <w:t xml:space="preserve">: Age-standardised mortality rates for selected causes, by sex and ethnicity, </w:t>
      </w:r>
      <w:bookmarkEnd w:id="186"/>
      <w:r w:rsidRPr="00885D52">
        <w:t>20</w:t>
      </w:r>
      <w:bookmarkEnd w:id="187"/>
      <w:bookmarkEnd w:id="188"/>
      <w:bookmarkEnd w:id="189"/>
      <w:bookmarkEnd w:id="190"/>
      <w:r w:rsidRPr="00885D52">
        <w:t>1</w:t>
      </w:r>
      <w:bookmarkEnd w:id="191"/>
      <w:r w:rsidRPr="00885D52">
        <w:t>1</w:t>
      </w:r>
      <w:bookmarkEnd w:id="192"/>
      <w:bookmarkEnd w:id="193"/>
    </w:p>
    <w:tbl>
      <w:tblPr>
        <w:tblW w:w="0" w:type="auto"/>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2409"/>
        <w:gridCol w:w="638"/>
        <w:gridCol w:w="638"/>
        <w:gridCol w:w="708"/>
        <w:gridCol w:w="638"/>
        <w:gridCol w:w="639"/>
        <w:gridCol w:w="708"/>
        <w:gridCol w:w="638"/>
        <w:gridCol w:w="638"/>
        <w:gridCol w:w="709"/>
      </w:tblGrid>
      <w:tr w:rsidR="00000384" w:rsidRPr="00885D52" w:rsidTr="007E73A8">
        <w:trPr>
          <w:cantSplit/>
        </w:trPr>
        <w:tc>
          <w:tcPr>
            <w:tcW w:w="993" w:type="dxa"/>
            <w:vMerge w:val="restart"/>
            <w:tcBorders>
              <w:top w:val="single" w:sz="4" w:space="0" w:color="auto"/>
              <w:bottom w:val="single" w:sz="4" w:space="0" w:color="auto"/>
              <w:right w:val="nil"/>
            </w:tcBorders>
            <w:shd w:val="clear" w:color="auto" w:fill="auto"/>
            <w:noWrap/>
          </w:tcPr>
          <w:p w:rsidR="00000384" w:rsidRPr="00885D52" w:rsidRDefault="00000384" w:rsidP="007E73A8">
            <w:pPr>
              <w:pStyle w:val="TableText"/>
              <w:keepNext/>
              <w:rPr>
                <w:b/>
                <w:sz w:val="16"/>
                <w:szCs w:val="16"/>
              </w:rPr>
            </w:pPr>
            <w:r w:rsidRPr="00885D52">
              <w:rPr>
                <w:b/>
                <w:sz w:val="16"/>
                <w:szCs w:val="16"/>
              </w:rPr>
              <w:t>ICD code</w:t>
            </w:r>
          </w:p>
        </w:tc>
        <w:tc>
          <w:tcPr>
            <w:tcW w:w="2409" w:type="dxa"/>
            <w:vMerge w:val="restart"/>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rPr>
                <w:b/>
                <w:sz w:val="16"/>
                <w:szCs w:val="16"/>
              </w:rPr>
            </w:pPr>
            <w:r w:rsidRPr="00885D52">
              <w:rPr>
                <w:b/>
                <w:sz w:val="16"/>
                <w:szCs w:val="16"/>
              </w:rPr>
              <w:t>Cause of death</w:t>
            </w:r>
          </w:p>
        </w:tc>
        <w:tc>
          <w:tcPr>
            <w:tcW w:w="1984" w:type="dxa"/>
            <w:gridSpan w:val="3"/>
            <w:tcBorders>
              <w:top w:val="single" w:sz="4" w:space="0" w:color="auto"/>
              <w:left w:val="single" w:sz="4" w:space="0" w:color="A6A6A6"/>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Total population</w:t>
            </w:r>
          </w:p>
        </w:tc>
        <w:tc>
          <w:tcPr>
            <w:tcW w:w="1985" w:type="dxa"/>
            <w:gridSpan w:val="3"/>
            <w:tcBorders>
              <w:top w:val="single" w:sz="4" w:space="0" w:color="auto"/>
              <w:left w:val="single" w:sz="4" w:space="0" w:color="A6A6A6"/>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M</w:t>
            </w:r>
            <w:r w:rsidRPr="00885D52">
              <w:rPr>
                <w:rFonts w:cs="Arial"/>
                <w:b/>
                <w:sz w:val="16"/>
                <w:szCs w:val="16"/>
              </w:rPr>
              <w:t>ā</w:t>
            </w:r>
            <w:r w:rsidRPr="00885D52">
              <w:rPr>
                <w:b/>
                <w:sz w:val="16"/>
                <w:szCs w:val="16"/>
              </w:rPr>
              <w:t>ori population</w:t>
            </w:r>
          </w:p>
        </w:tc>
        <w:tc>
          <w:tcPr>
            <w:tcW w:w="1985"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Non-M</w:t>
            </w:r>
            <w:r w:rsidRPr="00885D52">
              <w:rPr>
                <w:rFonts w:cs="Arial"/>
                <w:b/>
                <w:sz w:val="16"/>
                <w:szCs w:val="16"/>
              </w:rPr>
              <w:t>ā</w:t>
            </w:r>
            <w:r w:rsidRPr="00885D52">
              <w:rPr>
                <w:b/>
                <w:sz w:val="16"/>
                <w:szCs w:val="16"/>
              </w:rPr>
              <w:t>ori population</w:t>
            </w:r>
          </w:p>
        </w:tc>
      </w:tr>
      <w:tr w:rsidR="00000384" w:rsidRPr="00885D52" w:rsidTr="007E73A8">
        <w:trPr>
          <w:cantSplit/>
        </w:trPr>
        <w:tc>
          <w:tcPr>
            <w:tcW w:w="993" w:type="dxa"/>
            <w:vMerge/>
            <w:tcBorders>
              <w:top w:val="single" w:sz="4" w:space="0" w:color="auto"/>
              <w:bottom w:val="single" w:sz="4" w:space="0" w:color="auto"/>
              <w:right w:val="nil"/>
            </w:tcBorders>
            <w:shd w:val="clear" w:color="auto" w:fill="auto"/>
            <w:noWrap/>
          </w:tcPr>
          <w:p w:rsidR="00000384" w:rsidRPr="00885D52" w:rsidRDefault="00000384" w:rsidP="007E73A8">
            <w:pPr>
              <w:pStyle w:val="TableText"/>
              <w:keepNext/>
              <w:rPr>
                <w:b/>
                <w:sz w:val="16"/>
                <w:szCs w:val="16"/>
              </w:rPr>
            </w:pPr>
          </w:p>
        </w:tc>
        <w:tc>
          <w:tcPr>
            <w:tcW w:w="2409" w:type="dxa"/>
            <w:vMerge/>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rPr>
                <w:b/>
                <w:sz w:val="16"/>
                <w:szCs w:val="16"/>
              </w:rPr>
            </w:pPr>
          </w:p>
        </w:tc>
        <w:tc>
          <w:tcPr>
            <w:tcW w:w="638"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Total</w:t>
            </w:r>
          </w:p>
        </w:tc>
        <w:tc>
          <w:tcPr>
            <w:tcW w:w="638"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Male</w:t>
            </w:r>
          </w:p>
        </w:tc>
        <w:tc>
          <w:tcPr>
            <w:tcW w:w="708"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Female</w:t>
            </w:r>
          </w:p>
        </w:tc>
        <w:tc>
          <w:tcPr>
            <w:tcW w:w="638"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Total</w:t>
            </w:r>
          </w:p>
        </w:tc>
        <w:tc>
          <w:tcPr>
            <w:tcW w:w="639"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Male</w:t>
            </w:r>
          </w:p>
        </w:tc>
        <w:tc>
          <w:tcPr>
            <w:tcW w:w="708"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Female</w:t>
            </w:r>
          </w:p>
        </w:tc>
        <w:tc>
          <w:tcPr>
            <w:tcW w:w="638"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Total</w:t>
            </w:r>
          </w:p>
        </w:tc>
        <w:tc>
          <w:tcPr>
            <w:tcW w:w="638"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Male</w:t>
            </w:r>
          </w:p>
        </w:tc>
        <w:tc>
          <w:tcPr>
            <w:tcW w:w="709" w:type="dxa"/>
            <w:tcBorders>
              <w:top w:val="single" w:sz="4" w:space="0" w:color="auto"/>
              <w:left w:val="nil"/>
              <w:bottom w:val="single" w:sz="4" w:space="0" w:color="auto"/>
            </w:tcBorders>
            <w:shd w:val="clear" w:color="auto" w:fill="auto"/>
            <w:noWrap/>
          </w:tcPr>
          <w:p w:rsidR="00000384" w:rsidRPr="00885D52" w:rsidRDefault="00000384" w:rsidP="007E73A8">
            <w:pPr>
              <w:pStyle w:val="TableText"/>
              <w:keepNext/>
              <w:jc w:val="center"/>
              <w:rPr>
                <w:b/>
                <w:sz w:val="16"/>
                <w:szCs w:val="16"/>
              </w:rPr>
            </w:pPr>
            <w:r w:rsidRPr="00885D52">
              <w:rPr>
                <w:b/>
                <w:sz w:val="16"/>
                <w:szCs w:val="16"/>
              </w:rPr>
              <w:t>Female</w:t>
            </w:r>
          </w:p>
        </w:tc>
      </w:tr>
      <w:tr w:rsidR="00000384" w:rsidRPr="00885D52" w:rsidTr="007E73A8">
        <w:trPr>
          <w:cantSplit/>
        </w:trPr>
        <w:tc>
          <w:tcPr>
            <w:tcW w:w="993" w:type="dxa"/>
            <w:tcBorders>
              <w:top w:val="single" w:sz="4" w:space="0" w:color="auto"/>
              <w:bottom w:val="nil"/>
              <w:right w:val="nil"/>
            </w:tcBorders>
            <w:shd w:val="clear" w:color="auto" w:fill="F2F2F2"/>
            <w:noWrap/>
          </w:tcPr>
          <w:p w:rsidR="00000384" w:rsidRPr="00885D52" w:rsidRDefault="00000384" w:rsidP="007E73A8">
            <w:pPr>
              <w:pStyle w:val="TableText"/>
              <w:keepNext/>
              <w:rPr>
                <w:sz w:val="16"/>
                <w:szCs w:val="16"/>
              </w:rPr>
            </w:pPr>
            <w:r w:rsidRPr="00885D52">
              <w:rPr>
                <w:sz w:val="16"/>
                <w:szCs w:val="16"/>
              </w:rPr>
              <w:t>C00–C96, D45–D47</w:t>
            </w:r>
          </w:p>
        </w:tc>
        <w:tc>
          <w:tcPr>
            <w:tcW w:w="2409" w:type="dxa"/>
            <w:tcBorders>
              <w:top w:val="single" w:sz="4" w:space="0" w:color="auto"/>
              <w:left w:val="nil"/>
              <w:bottom w:val="nil"/>
              <w:right w:val="single" w:sz="4" w:space="0" w:color="A6A6A6"/>
            </w:tcBorders>
            <w:shd w:val="clear" w:color="auto" w:fill="F2F2F2"/>
            <w:noWrap/>
          </w:tcPr>
          <w:p w:rsidR="00000384" w:rsidRPr="00885D52" w:rsidRDefault="00000384" w:rsidP="007E73A8">
            <w:pPr>
              <w:pStyle w:val="TableText"/>
              <w:keepNext/>
              <w:rPr>
                <w:sz w:val="16"/>
                <w:szCs w:val="16"/>
              </w:rPr>
            </w:pPr>
            <w:r w:rsidRPr="00885D52">
              <w:rPr>
                <w:sz w:val="16"/>
                <w:szCs w:val="16"/>
              </w:rPr>
              <w:t>Total cancer</w:t>
            </w:r>
          </w:p>
        </w:tc>
        <w:tc>
          <w:tcPr>
            <w:tcW w:w="638" w:type="dxa"/>
            <w:tcBorders>
              <w:top w:val="single" w:sz="4" w:space="0" w:color="auto"/>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125.9</w:t>
            </w:r>
          </w:p>
        </w:tc>
        <w:tc>
          <w:tcPr>
            <w:tcW w:w="638" w:type="dxa"/>
            <w:tcBorders>
              <w:top w:val="single" w:sz="4" w:space="0" w:color="auto"/>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143.3</w:t>
            </w:r>
          </w:p>
        </w:tc>
        <w:tc>
          <w:tcPr>
            <w:tcW w:w="708" w:type="dxa"/>
            <w:tcBorders>
              <w:top w:val="single" w:sz="4" w:space="0" w:color="auto"/>
              <w:left w:val="nil"/>
              <w:bottom w:val="nil"/>
              <w:right w:val="single" w:sz="4" w:space="0" w:color="A6A6A6"/>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112.6</w:t>
            </w:r>
          </w:p>
        </w:tc>
        <w:tc>
          <w:tcPr>
            <w:tcW w:w="638" w:type="dxa"/>
            <w:tcBorders>
              <w:top w:val="single" w:sz="4" w:space="0" w:color="auto"/>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204.6</w:t>
            </w:r>
          </w:p>
        </w:tc>
        <w:tc>
          <w:tcPr>
            <w:tcW w:w="639" w:type="dxa"/>
            <w:tcBorders>
              <w:top w:val="single" w:sz="4" w:space="0" w:color="auto"/>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206.4</w:t>
            </w:r>
          </w:p>
        </w:tc>
        <w:tc>
          <w:tcPr>
            <w:tcW w:w="708" w:type="dxa"/>
            <w:tcBorders>
              <w:top w:val="single" w:sz="4" w:space="0" w:color="auto"/>
              <w:left w:val="nil"/>
              <w:bottom w:val="nil"/>
              <w:right w:val="single" w:sz="4" w:space="0" w:color="A6A6A6"/>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204.0</w:t>
            </w:r>
          </w:p>
        </w:tc>
        <w:tc>
          <w:tcPr>
            <w:tcW w:w="638" w:type="dxa"/>
            <w:tcBorders>
              <w:top w:val="single" w:sz="4" w:space="0" w:color="auto"/>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118.9</w:t>
            </w:r>
          </w:p>
        </w:tc>
        <w:tc>
          <w:tcPr>
            <w:tcW w:w="638" w:type="dxa"/>
            <w:tcBorders>
              <w:top w:val="single" w:sz="4" w:space="0" w:color="auto"/>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137.7</w:t>
            </w:r>
          </w:p>
        </w:tc>
        <w:tc>
          <w:tcPr>
            <w:tcW w:w="709" w:type="dxa"/>
            <w:tcBorders>
              <w:top w:val="single" w:sz="4" w:space="0" w:color="auto"/>
              <w:left w:val="nil"/>
              <w:bottom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104.2</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C33–C34</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Lung cancer*</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24.2</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28.0</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21.2</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66.8</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61.1</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71.7</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20.8</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25.3</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17.1</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C50</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Breast cancer</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9.7</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0.2</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18.3</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14.7</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0.0</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27.3</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9.3</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0.2</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17.4</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C61</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Prostate cancer</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16.5</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22.1</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16.2</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C43</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Malignant melanoma of the skin</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5.3</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7.8</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3.2</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0.9</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1.8</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0.3</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5.7</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8.3</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3.4</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C53</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Cervical cancer</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1.7</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5.4</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1.4</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keepNext/>
              <w:rPr>
                <w:sz w:val="16"/>
                <w:szCs w:val="16"/>
              </w:rPr>
            </w:pPr>
            <w:r w:rsidRPr="00885D52">
              <w:rPr>
                <w:sz w:val="16"/>
                <w:szCs w:val="16"/>
              </w:rPr>
              <w:t>I20–I25</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keepNext/>
              <w:rPr>
                <w:sz w:val="16"/>
                <w:szCs w:val="16"/>
              </w:rPr>
            </w:pPr>
            <w:r w:rsidRPr="00885D52">
              <w:rPr>
                <w:sz w:val="16"/>
                <w:szCs w:val="16"/>
              </w:rPr>
              <w:t>Ischaemic heart disease</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65.4</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85.9</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47.3</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114.7</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134.5</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95.5</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61.5</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81.4</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44.1</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I60–I69</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Cerebrovascular disease</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30.2</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28.7</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30.6</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35.1</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30.6</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38.5</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29.2</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28.1</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29.4</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keepNext/>
              <w:rPr>
                <w:sz w:val="16"/>
                <w:szCs w:val="16"/>
              </w:rPr>
            </w:pPr>
            <w:r w:rsidRPr="00885D52">
              <w:rPr>
                <w:sz w:val="16"/>
                <w:szCs w:val="16"/>
              </w:rPr>
              <w:t>J40–J47</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keepNext/>
              <w:rPr>
                <w:sz w:val="16"/>
                <w:szCs w:val="16"/>
              </w:rPr>
            </w:pPr>
            <w:r w:rsidRPr="00885D52">
              <w:rPr>
                <w:sz w:val="16"/>
                <w:szCs w:val="16"/>
              </w:rPr>
              <w:t>Chronic lower respiratory diseases</w:t>
            </w:r>
          </w:p>
        </w:tc>
        <w:tc>
          <w:tcPr>
            <w:tcW w:w="638" w:type="dxa"/>
            <w:tcBorders>
              <w:top w:val="nil"/>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22.1</w:t>
            </w:r>
          </w:p>
        </w:tc>
        <w:tc>
          <w:tcPr>
            <w:tcW w:w="638" w:type="dxa"/>
            <w:tcBorders>
              <w:top w:val="nil"/>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25.5</w:t>
            </w:r>
          </w:p>
        </w:tc>
        <w:tc>
          <w:tcPr>
            <w:tcW w:w="708" w:type="dxa"/>
            <w:tcBorders>
              <w:top w:val="nil"/>
              <w:left w:val="nil"/>
              <w:bottom w:val="nil"/>
              <w:right w:val="single" w:sz="4" w:space="0" w:color="A6A6A6"/>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19.9</w:t>
            </w:r>
          </w:p>
        </w:tc>
        <w:tc>
          <w:tcPr>
            <w:tcW w:w="638" w:type="dxa"/>
            <w:tcBorders>
              <w:top w:val="nil"/>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54.2</w:t>
            </w:r>
          </w:p>
        </w:tc>
        <w:tc>
          <w:tcPr>
            <w:tcW w:w="639" w:type="dxa"/>
            <w:tcBorders>
              <w:top w:val="nil"/>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49.7</w:t>
            </w:r>
          </w:p>
        </w:tc>
        <w:tc>
          <w:tcPr>
            <w:tcW w:w="708" w:type="dxa"/>
            <w:tcBorders>
              <w:top w:val="nil"/>
              <w:left w:val="nil"/>
              <w:bottom w:val="nil"/>
              <w:right w:val="single" w:sz="4" w:space="0" w:color="A6A6A6"/>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57.9</w:t>
            </w:r>
          </w:p>
        </w:tc>
        <w:tc>
          <w:tcPr>
            <w:tcW w:w="638" w:type="dxa"/>
            <w:tcBorders>
              <w:top w:val="nil"/>
              <w:left w:val="single" w:sz="4" w:space="0" w:color="A6A6A6"/>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19.7</w:t>
            </w:r>
          </w:p>
        </w:tc>
        <w:tc>
          <w:tcPr>
            <w:tcW w:w="638" w:type="dxa"/>
            <w:tcBorders>
              <w:top w:val="nil"/>
              <w:left w:val="nil"/>
              <w:bottom w:val="nil"/>
              <w:right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23.6</w:t>
            </w:r>
          </w:p>
        </w:tc>
        <w:tc>
          <w:tcPr>
            <w:tcW w:w="709" w:type="dxa"/>
            <w:tcBorders>
              <w:top w:val="nil"/>
              <w:left w:val="nil"/>
              <w:bottom w:val="nil"/>
            </w:tcBorders>
            <w:shd w:val="clear" w:color="auto" w:fill="F2F2F2"/>
            <w:noWrap/>
          </w:tcPr>
          <w:p w:rsidR="00000384" w:rsidRPr="00885D52" w:rsidRDefault="00000384" w:rsidP="007E73A8">
            <w:pPr>
              <w:pStyle w:val="TableText"/>
              <w:keepNext/>
              <w:tabs>
                <w:tab w:val="decimal" w:pos="368"/>
              </w:tabs>
              <w:rPr>
                <w:sz w:val="16"/>
                <w:szCs w:val="16"/>
              </w:rPr>
            </w:pPr>
            <w:r w:rsidRPr="00885D52">
              <w:rPr>
                <w:sz w:val="16"/>
                <w:szCs w:val="16"/>
              </w:rPr>
              <w:t>17.1</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keepNext/>
              <w:rPr>
                <w:sz w:val="16"/>
                <w:szCs w:val="16"/>
              </w:rPr>
            </w:pPr>
            <w:r w:rsidRPr="00885D52">
              <w:rPr>
                <w:sz w:val="16"/>
                <w:szCs w:val="16"/>
              </w:rPr>
              <w:t>J40–J44</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keepNext/>
              <w:rPr>
                <w:sz w:val="16"/>
                <w:szCs w:val="16"/>
              </w:rPr>
            </w:pPr>
            <w:r w:rsidRPr="00885D52">
              <w:rPr>
                <w:sz w:val="16"/>
                <w:szCs w:val="16"/>
              </w:rPr>
              <w:t>COPD‡</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19.8</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23.6</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17.4</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45.5</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41.4</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49.0</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18.0</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22.3</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15.1</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rPr>
                <w:sz w:val="16"/>
                <w:szCs w:val="16"/>
              </w:rPr>
            </w:pPr>
            <w:r w:rsidRPr="00885D52">
              <w:rPr>
                <w:sz w:val="16"/>
                <w:szCs w:val="16"/>
              </w:rPr>
              <w:t>I30–I52</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Other forms of heart disease§</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15.0</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16.8</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13.3</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27.0</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24.5</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27.6</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14.0</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15.6</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12.4</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rPr>
                <w:sz w:val="16"/>
                <w:szCs w:val="16"/>
              </w:rPr>
            </w:pPr>
            <w:r w:rsidRPr="00885D52">
              <w:rPr>
                <w:sz w:val="16"/>
                <w:szCs w:val="16"/>
              </w:rPr>
              <w:t>E10–E14</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rPr>
                <w:sz w:val="16"/>
                <w:szCs w:val="16"/>
              </w:rPr>
            </w:pPr>
            <w:r w:rsidRPr="00885D52">
              <w:rPr>
                <w:sz w:val="16"/>
                <w:szCs w:val="16"/>
              </w:rPr>
              <w:t>Diabetes mellitus</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11.5</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13.7</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9.4</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45.3</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55.5</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36.0</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9.0</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10.5</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7.6</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rPr>
                <w:sz w:val="16"/>
                <w:szCs w:val="16"/>
              </w:rPr>
            </w:pPr>
            <w:r w:rsidRPr="00885D52">
              <w:rPr>
                <w:sz w:val="16"/>
                <w:szCs w:val="16"/>
              </w:rPr>
              <w:t>V00–V99</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Transport accidents</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7.4</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11.6</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3.5</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11.5</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18.4</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5.1</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6.7</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10.2</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3.2</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rPr>
                <w:sz w:val="16"/>
                <w:szCs w:val="16"/>
              </w:rPr>
            </w:pPr>
            <w:r w:rsidRPr="00885D52">
              <w:rPr>
                <w:sz w:val="16"/>
                <w:szCs w:val="16"/>
              </w:rPr>
              <w:t>V02–V89≠</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rPr>
                <w:sz w:val="16"/>
                <w:szCs w:val="16"/>
              </w:rPr>
            </w:pPr>
            <w:r w:rsidRPr="00885D52">
              <w:rPr>
                <w:sz w:val="16"/>
                <w:szCs w:val="16"/>
              </w:rPr>
              <w:t>Motor vehicle accidents</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6.5</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9.8</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3.3</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10.5</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16.2</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5.1</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5.7</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8.5</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3.0</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rPr>
                <w:sz w:val="16"/>
                <w:szCs w:val="16"/>
              </w:rPr>
            </w:pPr>
            <w:r w:rsidRPr="00885D52">
              <w:rPr>
                <w:sz w:val="16"/>
                <w:szCs w:val="16"/>
              </w:rPr>
              <w:t>X60–X84</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Suicide</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10.9</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17.0</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5.1</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17.5</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26.3</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9.5</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9.4</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14.9</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4.0</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rPr>
                <w:sz w:val="16"/>
                <w:szCs w:val="16"/>
              </w:rPr>
            </w:pPr>
            <w:r w:rsidRPr="00885D52">
              <w:rPr>
                <w:sz w:val="16"/>
                <w:szCs w:val="16"/>
              </w:rPr>
              <w:t>F00–F09</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rPr>
                <w:sz w:val="16"/>
                <w:szCs w:val="16"/>
              </w:rPr>
            </w:pPr>
            <w:r w:rsidRPr="00885D52">
              <w:rPr>
                <w:sz w:val="16"/>
                <w:szCs w:val="16"/>
              </w:rPr>
              <w:t>Organic, including symptomatic, mental disorders~</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10.8</w:t>
            </w:r>
          </w:p>
        </w:tc>
        <w:tc>
          <w:tcPr>
            <w:tcW w:w="638"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9.2</w:t>
            </w:r>
          </w:p>
        </w:tc>
        <w:tc>
          <w:tcPr>
            <w:tcW w:w="708" w:type="dxa"/>
            <w:tcBorders>
              <w:top w:val="nil"/>
              <w:left w:val="nil"/>
              <w:bottom w:val="nil"/>
              <w:right w:val="single" w:sz="4" w:space="0" w:color="A6A6A6"/>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11.6</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12.0</w:t>
            </w:r>
          </w:p>
        </w:tc>
        <w:tc>
          <w:tcPr>
            <w:tcW w:w="639"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12.5</w:t>
            </w:r>
          </w:p>
        </w:tc>
        <w:tc>
          <w:tcPr>
            <w:tcW w:w="708" w:type="dxa"/>
            <w:tcBorders>
              <w:top w:val="nil"/>
              <w:left w:val="nil"/>
              <w:bottom w:val="nil"/>
              <w:right w:val="single" w:sz="4" w:space="0" w:color="A6A6A6"/>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11.5</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10.8</w:t>
            </w:r>
          </w:p>
        </w:tc>
        <w:tc>
          <w:tcPr>
            <w:tcW w:w="638"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9.1</w:t>
            </w:r>
          </w:p>
        </w:tc>
        <w:tc>
          <w:tcPr>
            <w:tcW w:w="709" w:type="dxa"/>
            <w:tcBorders>
              <w:top w:val="nil"/>
              <w:left w:val="nil"/>
              <w:bottom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11.6</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rPr>
                <w:sz w:val="16"/>
                <w:szCs w:val="16"/>
              </w:rPr>
            </w:pPr>
            <w:r w:rsidRPr="00885D52">
              <w:rPr>
                <w:sz w:val="16"/>
                <w:szCs w:val="16"/>
              </w:rPr>
              <w:t>J09–J18</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Pneumonia and influenza</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6.5</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6.6</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6.3</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4.4</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4.7</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4.2</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6.3</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6.4</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6.2</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rPr>
                <w:sz w:val="16"/>
                <w:szCs w:val="16"/>
              </w:rPr>
            </w:pPr>
            <w:r w:rsidRPr="00885D52">
              <w:rPr>
                <w:sz w:val="16"/>
                <w:szCs w:val="16"/>
              </w:rPr>
              <w:t>Q00–Q99</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rPr>
                <w:sz w:val="16"/>
                <w:szCs w:val="16"/>
              </w:rPr>
            </w:pPr>
            <w:r w:rsidRPr="00885D52">
              <w:rPr>
                <w:sz w:val="16"/>
                <w:szCs w:val="16"/>
              </w:rPr>
              <w:t>Congenital anomalies</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4.2</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4.5</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3.9</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5.6</w:t>
            </w:r>
          </w:p>
        </w:tc>
        <w:tc>
          <w:tcPr>
            <w:tcW w:w="639"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5.7</w:t>
            </w:r>
          </w:p>
        </w:tc>
        <w:tc>
          <w:tcPr>
            <w:tcW w:w="708" w:type="dxa"/>
            <w:tcBorders>
              <w:top w:val="nil"/>
              <w:left w:val="nil"/>
              <w:bottom w:val="nil"/>
              <w:right w:val="single" w:sz="4" w:space="0" w:color="A6A6A6"/>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5.2</w:t>
            </w:r>
          </w:p>
        </w:tc>
        <w:tc>
          <w:tcPr>
            <w:tcW w:w="638" w:type="dxa"/>
            <w:tcBorders>
              <w:top w:val="nil"/>
              <w:left w:val="single" w:sz="4" w:space="0" w:color="A6A6A6"/>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3.8</w:t>
            </w:r>
          </w:p>
        </w:tc>
        <w:tc>
          <w:tcPr>
            <w:tcW w:w="638" w:type="dxa"/>
            <w:tcBorders>
              <w:top w:val="nil"/>
              <w:left w:val="nil"/>
              <w:bottom w:val="nil"/>
              <w:right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3.8</w:t>
            </w:r>
          </w:p>
        </w:tc>
        <w:tc>
          <w:tcPr>
            <w:tcW w:w="709" w:type="dxa"/>
            <w:tcBorders>
              <w:top w:val="nil"/>
              <w:left w:val="nil"/>
              <w:bottom w:val="nil"/>
            </w:tcBorders>
            <w:shd w:val="clear" w:color="auto" w:fill="auto"/>
            <w:noWrap/>
            <w:vAlign w:val="bottom"/>
          </w:tcPr>
          <w:p w:rsidR="00000384" w:rsidRPr="00885D52" w:rsidRDefault="00000384" w:rsidP="007E73A8">
            <w:pPr>
              <w:pStyle w:val="TableText"/>
              <w:keepNext/>
              <w:tabs>
                <w:tab w:val="decimal" w:pos="368"/>
              </w:tabs>
              <w:rPr>
                <w:sz w:val="16"/>
                <w:szCs w:val="16"/>
              </w:rPr>
            </w:pPr>
            <w:r w:rsidRPr="00885D52">
              <w:rPr>
                <w:sz w:val="16"/>
                <w:szCs w:val="16"/>
              </w:rPr>
              <w:t>3.8</w:t>
            </w:r>
          </w:p>
        </w:tc>
      </w:tr>
      <w:tr w:rsidR="00000384" w:rsidRPr="00885D52" w:rsidTr="007E73A8">
        <w:trPr>
          <w:cantSplit/>
        </w:trPr>
        <w:tc>
          <w:tcPr>
            <w:tcW w:w="993" w:type="dxa"/>
            <w:tcBorders>
              <w:top w:val="nil"/>
              <w:bottom w:val="nil"/>
              <w:right w:val="nil"/>
            </w:tcBorders>
            <w:shd w:val="clear" w:color="auto" w:fill="F2F2F2"/>
            <w:noWrap/>
          </w:tcPr>
          <w:p w:rsidR="00000384" w:rsidRPr="00885D52" w:rsidRDefault="00000384" w:rsidP="007E73A8">
            <w:pPr>
              <w:pStyle w:val="TableText"/>
              <w:rPr>
                <w:sz w:val="16"/>
                <w:szCs w:val="16"/>
              </w:rPr>
            </w:pPr>
            <w:r w:rsidRPr="00885D52">
              <w:rPr>
                <w:sz w:val="16"/>
                <w:szCs w:val="16"/>
              </w:rPr>
              <w:t>I10–I15</w:t>
            </w:r>
          </w:p>
        </w:tc>
        <w:tc>
          <w:tcPr>
            <w:tcW w:w="2409" w:type="dxa"/>
            <w:tcBorders>
              <w:top w:val="nil"/>
              <w:left w:val="nil"/>
              <w:bottom w:val="nil"/>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Hypertensive disease</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4.3</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4.4</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4.0</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10.0</w:t>
            </w:r>
          </w:p>
        </w:tc>
        <w:tc>
          <w:tcPr>
            <w:tcW w:w="639"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8.6</w:t>
            </w:r>
          </w:p>
        </w:tc>
        <w:tc>
          <w:tcPr>
            <w:tcW w:w="708" w:type="dxa"/>
            <w:tcBorders>
              <w:top w:val="nil"/>
              <w:left w:val="nil"/>
              <w:bottom w:val="nil"/>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10.5</w:t>
            </w:r>
          </w:p>
        </w:tc>
        <w:tc>
          <w:tcPr>
            <w:tcW w:w="638" w:type="dxa"/>
            <w:tcBorders>
              <w:top w:val="nil"/>
              <w:left w:val="single" w:sz="4" w:space="0" w:color="A6A6A6"/>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3.9</w:t>
            </w:r>
          </w:p>
        </w:tc>
        <w:tc>
          <w:tcPr>
            <w:tcW w:w="638" w:type="dxa"/>
            <w:tcBorders>
              <w:top w:val="nil"/>
              <w:left w:val="nil"/>
              <w:bottom w:val="nil"/>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4.0</w:t>
            </w:r>
          </w:p>
        </w:tc>
        <w:tc>
          <w:tcPr>
            <w:tcW w:w="709" w:type="dxa"/>
            <w:tcBorders>
              <w:top w:val="nil"/>
              <w:left w:val="nil"/>
              <w:bottom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3.6</w:t>
            </w:r>
          </w:p>
        </w:tc>
      </w:tr>
      <w:tr w:rsidR="00000384" w:rsidRPr="00885D52" w:rsidTr="007E73A8">
        <w:trPr>
          <w:cantSplit/>
        </w:trPr>
        <w:tc>
          <w:tcPr>
            <w:tcW w:w="993" w:type="dxa"/>
            <w:tcBorders>
              <w:top w:val="nil"/>
              <w:bottom w:val="nil"/>
              <w:right w:val="nil"/>
            </w:tcBorders>
            <w:shd w:val="clear" w:color="auto" w:fill="auto"/>
            <w:noWrap/>
          </w:tcPr>
          <w:p w:rsidR="00000384" w:rsidRPr="00885D52" w:rsidRDefault="00000384" w:rsidP="007E73A8">
            <w:pPr>
              <w:pStyle w:val="TableText"/>
              <w:rPr>
                <w:sz w:val="16"/>
                <w:szCs w:val="16"/>
              </w:rPr>
            </w:pPr>
            <w:r w:rsidRPr="00885D52">
              <w:rPr>
                <w:sz w:val="16"/>
                <w:szCs w:val="16"/>
              </w:rPr>
              <w:t>I05–I09</w:t>
            </w:r>
          </w:p>
        </w:tc>
        <w:tc>
          <w:tcPr>
            <w:tcW w:w="2409" w:type="dxa"/>
            <w:tcBorders>
              <w:top w:val="nil"/>
              <w:left w:val="nil"/>
              <w:bottom w:val="nil"/>
              <w:right w:val="single" w:sz="4" w:space="0" w:color="A6A6A6"/>
            </w:tcBorders>
            <w:shd w:val="clear" w:color="auto" w:fill="auto"/>
            <w:noWrap/>
          </w:tcPr>
          <w:p w:rsidR="00000384" w:rsidRPr="00885D52" w:rsidRDefault="00000384" w:rsidP="007E73A8">
            <w:pPr>
              <w:pStyle w:val="TableText"/>
              <w:rPr>
                <w:sz w:val="16"/>
                <w:szCs w:val="16"/>
              </w:rPr>
            </w:pPr>
            <w:r w:rsidRPr="00885D52">
              <w:rPr>
                <w:sz w:val="16"/>
                <w:szCs w:val="16"/>
              </w:rPr>
              <w:t>Chronic rheumatic heart disease</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1.4</w:t>
            </w:r>
          </w:p>
        </w:tc>
        <w:tc>
          <w:tcPr>
            <w:tcW w:w="638"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1.0</w:t>
            </w:r>
          </w:p>
        </w:tc>
        <w:tc>
          <w:tcPr>
            <w:tcW w:w="708" w:type="dxa"/>
            <w:tcBorders>
              <w:top w:val="nil"/>
              <w:left w:val="nil"/>
              <w:bottom w:val="nil"/>
              <w:right w:val="single" w:sz="4" w:space="0" w:color="A6A6A6"/>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1.8</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6.8</w:t>
            </w:r>
          </w:p>
        </w:tc>
        <w:tc>
          <w:tcPr>
            <w:tcW w:w="639"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5.4</w:t>
            </w:r>
          </w:p>
        </w:tc>
        <w:tc>
          <w:tcPr>
            <w:tcW w:w="708" w:type="dxa"/>
            <w:tcBorders>
              <w:top w:val="nil"/>
              <w:left w:val="nil"/>
              <w:bottom w:val="nil"/>
              <w:right w:val="single" w:sz="4" w:space="0" w:color="A6A6A6"/>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8.0</w:t>
            </w:r>
          </w:p>
        </w:tc>
        <w:tc>
          <w:tcPr>
            <w:tcW w:w="638" w:type="dxa"/>
            <w:tcBorders>
              <w:top w:val="nil"/>
              <w:left w:val="single" w:sz="4" w:space="0" w:color="A6A6A6"/>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0.9</w:t>
            </w:r>
          </w:p>
        </w:tc>
        <w:tc>
          <w:tcPr>
            <w:tcW w:w="638" w:type="dxa"/>
            <w:tcBorders>
              <w:top w:val="nil"/>
              <w:left w:val="nil"/>
              <w:bottom w:val="nil"/>
              <w:right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0.6</w:t>
            </w:r>
          </w:p>
        </w:tc>
        <w:tc>
          <w:tcPr>
            <w:tcW w:w="709" w:type="dxa"/>
            <w:tcBorders>
              <w:top w:val="nil"/>
              <w:left w:val="nil"/>
              <w:bottom w:val="nil"/>
            </w:tcBorders>
            <w:shd w:val="clear" w:color="auto" w:fill="auto"/>
            <w:noWrap/>
          </w:tcPr>
          <w:p w:rsidR="00000384" w:rsidRPr="00885D52" w:rsidRDefault="00000384" w:rsidP="007E73A8">
            <w:pPr>
              <w:pStyle w:val="TableText"/>
              <w:keepNext/>
              <w:tabs>
                <w:tab w:val="decimal" w:pos="368"/>
              </w:tabs>
              <w:rPr>
                <w:sz w:val="16"/>
                <w:szCs w:val="16"/>
              </w:rPr>
            </w:pPr>
            <w:r w:rsidRPr="00885D52">
              <w:rPr>
                <w:sz w:val="16"/>
                <w:szCs w:val="16"/>
              </w:rPr>
              <w:t>1.1</w:t>
            </w:r>
          </w:p>
        </w:tc>
      </w:tr>
      <w:tr w:rsidR="00000384" w:rsidRPr="00885D52" w:rsidTr="007E73A8">
        <w:trPr>
          <w:cantSplit/>
        </w:trPr>
        <w:tc>
          <w:tcPr>
            <w:tcW w:w="993" w:type="dxa"/>
            <w:tcBorders>
              <w:top w:val="nil"/>
              <w:bottom w:val="single" w:sz="4" w:space="0" w:color="A6A6A6"/>
              <w:right w:val="nil"/>
            </w:tcBorders>
            <w:shd w:val="clear" w:color="auto" w:fill="F2F2F2"/>
            <w:noWrap/>
          </w:tcPr>
          <w:p w:rsidR="00000384" w:rsidRPr="00885D52" w:rsidRDefault="00000384" w:rsidP="007E73A8">
            <w:pPr>
              <w:pStyle w:val="TableText"/>
              <w:rPr>
                <w:sz w:val="16"/>
                <w:szCs w:val="16"/>
              </w:rPr>
            </w:pPr>
            <w:r w:rsidRPr="00885D52">
              <w:rPr>
                <w:sz w:val="16"/>
                <w:szCs w:val="16"/>
              </w:rPr>
              <w:t>X85–Y09</w:t>
            </w:r>
          </w:p>
        </w:tc>
        <w:tc>
          <w:tcPr>
            <w:tcW w:w="2409" w:type="dxa"/>
            <w:tcBorders>
              <w:top w:val="nil"/>
              <w:left w:val="nil"/>
              <w:bottom w:val="single" w:sz="4" w:space="0" w:color="A6A6A6"/>
              <w:right w:val="single" w:sz="4" w:space="0" w:color="A6A6A6"/>
            </w:tcBorders>
            <w:shd w:val="clear" w:color="auto" w:fill="F2F2F2"/>
            <w:noWrap/>
          </w:tcPr>
          <w:p w:rsidR="00000384" w:rsidRPr="00885D52" w:rsidRDefault="00000384" w:rsidP="007E73A8">
            <w:pPr>
              <w:pStyle w:val="TableText"/>
              <w:rPr>
                <w:sz w:val="16"/>
                <w:szCs w:val="16"/>
              </w:rPr>
            </w:pPr>
            <w:r w:rsidRPr="00885D52">
              <w:rPr>
                <w:sz w:val="16"/>
                <w:szCs w:val="16"/>
              </w:rPr>
              <w:t>Assault</w:t>
            </w:r>
          </w:p>
        </w:tc>
        <w:tc>
          <w:tcPr>
            <w:tcW w:w="638" w:type="dxa"/>
            <w:tcBorders>
              <w:top w:val="nil"/>
              <w:left w:val="single" w:sz="4" w:space="0" w:color="A6A6A6"/>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1.2</w:t>
            </w:r>
          </w:p>
        </w:tc>
        <w:tc>
          <w:tcPr>
            <w:tcW w:w="638" w:type="dxa"/>
            <w:tcBorders>
              <w:top w:val="nil"/>
              <w:left w:val="nil"/>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1.6</w:t>
            </w:r>
          </w:p>
        </w:tc>
        <w:tc>
          <w:tcPr>
            <w:tcW w:w="708" w:type="dxa"/>
            <w:tcBorders>
              <w:top w:val="nil"/>
              <w:left w:val="nil"/>
              <w:bottom w:val="single" w:sz="4" w:space="0" w:color="A6A6A6"/>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0.8</w:t>
            </w:r>
          </w:p>
        </w:tc>
        <w:tc>
          <w:tcPr>
            <w:tcW w:w="638" w:type="dxa"/>
            <w:tcBorders>
              <w:top w:val="nil"/>
              <w:left w:val="single" w:sz="4" w:space="0" w:color="A6A6A6"/>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1.8</w:t>
            </w:r>
          </w:p>
        </w:tc>
        <w:tc>
          <w:tcPr>
            <w:tcW w:w="639" w:type="dxa"/>
            <w:tcBorders>
              <w:top w:val="nil"/>
              <w:left w:val="nil"/>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2.5</w:t>
            </w:r>
          </w:p>
        </w:tc>
        <w:tc>
          <w:tcPr>
            <w:tcW w:w="708" w:type="dxa"/>
            <w:tcBorders>
              <w:top w:val="nil"/>
              <w:left w:val="nil"/>
              <w:bottom w:val="single" w:sz="4" w:space="0" w:color="A6A6A6"/>
              <w:right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1.3</w:t>
            </w:r>
          </w:p>
        </w:tc>
        <w:tc>
          <w:tcPr>
            <w:tcW w:w="638" w:type="dxa"/>
            <w:tcBorders>
              <w:top w:val="nil"/>
              <w:left w:val="single" w:sz="4" w:space="0" w:color="A6A6A6"/>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1.1</w:t>
            </w:r>
          </w:p>
        </w:tc>
        <w:tc>
          <w:tcPr>
            <w:tcW w:w="638" w:type="dxa"/>
            <w:tcBorders>
              <w:top w:val="nil"/>
              <w:left w:val="nil"/>
              <w:bottom w:val="single" w:sz="4" w:space="0" w:color="A6A6A6"/>
              <w:right w:val="nil"/>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1.5</w:t>
            </w:r>
          </w:p>
        </w:tc>
        <w:tc>
          <w:tcPr>
            <w:tcW w:w="709" w:type="dxa"/>
            <w:tcBorders>
              <w:top w:val="nil"/>
              <w:left w:val="nil"/>
              <w:bottom w:val="single" w:sz="4" w:space="0" w:color="A6A6A6"/>
            </w:tcBorders>
            <w:shd w:val="clear" w:color="auto" w:fill="F2F2F2"/>
            <w:noWrap/>
            <w:vAlign w:val="bottom"/>
          </w:tcPr>
          <w:p w:rsidR="00000384" w:rsidRPr="00885D52" w:rsidRDefault="00000384" w:rsidP="007E73A8">
            <w:pPr>
              <w:pStyle w:val="TableText"/>
              <w:keepNext/>
              <w:tabs>
                <w:tab w:val="decimal" w:pos="368"/>
              </w:tabs>
              <w:rPr>
                <w:sz w:val="16"/>
                <w:szCs w:val="16"/>
              </w:rPr>
            </w:pPr>
            <w:r w:rsidRPr="00885D52">
              <w:rPr>
                <w:sz w:val="16"/>
                <w:szCs w:val="16"/>
              </w:rPr>
              <w:t>0.7</w:t>
            </w:r>
          </w:p>
        </w:tc>
      </w:tr>
      <w:tr w:rsidR="00000384" w:rsidRPr="00885D52" w:rsidTr="007E73A8">
        <w:trPr>
          <w:cantSplit/>
        </w:trPr>
        <w:tc>
          <w:tcPr>
            <w:tcW w:w="993" w:type="dxa"/>
            <w:tcBorders>
              <w:top w:val="single" w:sz="4" w:space="0" w:color="A6A6A6"/>
              <w:bottom w:val="single" w:sz="4" w:space="0" w:color="auto"/>
              <w:right w:val="nil"/>
            </w:tcBorders>
            <w:shd w:val="clear" w:color="auto" w:fill="auto"/>
            <w:noWrap/>
          </w:tcPr>
          <w:p w:rsidR="00000384" w:rsidRPr="00885D52" w:rsidRDefault="00000384" w:rsidP="007E73A8">
            <w:pPr>
              <w:pStyle w:val="TableText"/>
              <w:rPr>
                <w:b/>
                <w:sz w:val="16"/>
                <w:szCs w:val="16"/>
              </w:rPr>
            </w:pPr>
          </w:p>
        </w:tc>
        <w:tc>
          <w:tcPr>
            <w:tcW w:w="2409" w:type="dxa"/>
            <w:tcBorders>
              <w:top w:val="single" w:sz="4" w:space="0" w:color="A6A6A6"/>
              <w:left w:val="nil"/>
              <w:bottom w:val="single" w:sz="4" w:space="0" w:color="auto"/>
              <w:right w:val="single" w:sz="4" w:space="0" w:color="A6A6A6"/>
            </w:tcBorders>
            <w:shd w:val="clear" w:color="auto" w:fill="auto"/>
            <w:noWrap/>
          </w:tcPr>
          <w:p w:rsidR="00000384" w:rsidRPr="00885D52" w:rsidRDefault="00000384" w:rsidP="007E73A8">
            <w:pPr>
              <w:pStyle w:val="TableText"/>
              <w:rPr>
                <w:b/>
                <w:bCs/>
                <w:sz w:val="16"/>
                <w:szCs w:val="16"/>
              </w:rPr>
            </w:pPr>
            <w:r w:rsidRPr="00885D52">
              <w:rPr>
                <w:b/>
                <w:bCs/>
                <w:sz w:val="16"/>
                <w:szCs w:val="16"/>
              </w:rPr>
              <w:t>All causes of death</w:t>
            </w:r>
          </w:p>
        </w:tc>
        <w:tc>
          <w:tcPr>
            <w:tcW w:w="638" w:type="dxa"/>
            <w:tcBorders>
              <w:top w:val="single" w:sz="4" w:space="0" w:color="A6A6A6"/>
              <w:left w:val="single" w:sz="4" w:space="0" w:color="A6A6A6"/>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400.4</w:t>
            </w:r>
          </w:p>
        </w:tc>
        <w:tc>
          <w:tcPr>
            <w:tcW w:w="638" w:type="dxa"/>
            <w:tcBorders>
              <w:top w:val="single" w:sz="4" w:space="0" w:color="A6A6A6"/>
              <w:left w:val="nil"/>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464.4</w:t>
            </w:r>
          </w:p>
        </w:tc>
        <w:tc>
          <w:tcPr>
            <w:tcW w:w="708" w:type="dxa"/>
            <w:tcBorders>
              <w:top w:val="single" w:sz="4" w:space="0" w:color="A6A6A6"/>
              <w:left w:val="nil"/>
              <w:bottom w:val="single" w:sz="4" w:space="0" w:color="auto"/>
              <w:right w:val="single" w:sz="4" w:space="0" w:color="A6A6A6"/>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343.2</w:t>
            </w:r>
          </w:p>
        </w:tc>
        <w:tc>
          <w:tcPr>
            <w:tcW w:w="638" w:type="dxa"/>
            <w:tcBorders>
              <w:top w:val="single" w:sz="4" w:space="0" w:color="A6A6A6"/>
              <w:left w:val="single" w:sz="4" w:space="0" w:color="A6A6A6"/>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663.2</w:t>
            </w:r>
          </w:p>
        </w:tc>
        <w:tc>
          <w:tcPr>
            <w:tcW w:w="639" w:type="dxa"/>
            <w:tcBorders>
              <w:top w:val="single" w:sz="4" w:space="0" w:color="A6A6A6"/>
              <w:left w:val="nil"/>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718.9</w:t>
            </w:r>
          </w:p>
        </w:tc>
        <w:tc>
          <w:tcPr>
            <w:tcW w:w="708" w:type="dxa"/>
            <w:tcBorders>
              <w:top w:val="single" w:sz="4" w:space="0" w:color="A6A6A6"/>
              <w:left w:val="nil"/>
              <w:bottom w:val="single" w:sz="4" w:space="0" w:color="auto"/>
              <w:right w:val="single" w:sz="4" w:space="0" w:color="A6A6A6"/>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609.0</w:t>
            </w:r>
          </w:p>
        </w:tc>
        <w:tc>
          <w:tcPr>
            <w:tcW w:w="638" w:type="dxa"/>
            <w:tcBorders>
              <w:top w:val="single" w:sz="4" w:space="0" w:color="A6A6A6"/>
              <w:left w:val="single" w:sz="4" w:space="0" w:color="A6A6A6"/>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374.8</w:t>
            </w:r>
          </w:p>
        </w:tc>
        <w:tc>
          <w:tcPr>
            <w:tcW w:w="638" w:type="dxa"/>
            <w:tcBorders>
              <w:top w:val="single" w:sz="4" w:space="0" w:color="A6A6A6"/>
              <w:left w:val="nil"/>
              <w:bottom w:val="single" w:sz="4" w:space="0" w:color="auto"/>
              <w:right w:val="nil"/>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437.1</w:t>
            </w:r>
          </w:p>
        </w:tc>
        <w:tc>
          <w:tcPr>
            <w:tcW w:w="709" w:type="dxa"/>
            <w:tcBorders>
              <w:top w:val="single" w:sz="4" w:space="0" w:color="A6A6A6"/>
              <w:left w:val="nil"/>
              <w:bottom w:val="single" w:sz="4" w:space="0" w:color="auto"/>
            </w:tcBorders>
            <w:shd w:val="clear" w:color="auto" w:fill="auto"/>
            <w:noWrap/>
            <w:vAlign w:val="bottom"/>
          </w:tcPr>
          <w:p w:rsidR="00000384" w:rsidRPr="00885D52" w:rsidRDefault="00000384" w:rsidP="007E73A8">
            <w:pPr>
              <w:pStyle w:val="TableText"/>
              <w:keepNext/>
              <w:tabs>
                <w:tab w:val="decimal" w:pos="368"/>
              </w:tabs>
              <w:rPr>
                <w:b/>
                <w:sz w:val="16"/>
                <w:szCs w:val="16"/>
              </w:rPr>
            </w:pPr>
            <w:r w:rsidRPr="00885D52">
              <w:rPr>
                <w:b/>
                <w:sz w:val="16"/>
                <w:szCs w:val="16"/>
              </w:rPr>
              <w:t>319.4</w:t>
            </w:r>
          </w:p>
        </w:tc>
      </w:tr>
    </w:tbl>
    <w:p w:rsidR="00000384" w:rsidRPr="00885D52" w:rsidRDefault="00000384" w:rsidP="00253F01">
      <w:pPr>
        <w:pStyle w:val="Note"/>
        <w:spacing w:before="40"/>
        <w:ind w:right="0"/>
        <w:rPr>
          <w:sz w:val="16"/>
        </w:rPr>
      </w:pPr>
      <w:r w:rsidRPr="00885D52">
        <w:rPr>
          <w:sz w:val="16"/>
        </w:rPr>
        <w:t>Note: Rates per 100,000 population, age-standardised to WHO World Standard Population.</w:t>
      </w:r>
    </w:p>
    <w:p w:rsidR="00000384" w:rsidRPr="00885D52" w:rsidRDefault="00000384" w:rsidP="00253F01">
      <w:pPr>
        <w:pStyle w:val="Note"/>
        <w:spacing w:before="40"/>
        <w:ind w:right="0"/>
        <w:rPr>
          <w:sz w:val="16"/>
        </w:rPr>
      </w:pPr>
      <w:r w:rsidRPr="00885D52">
        <w:rPr>
          <w:sz w:val="16"/>
        </w:rPr>
        <w:t>*</w:t>
      </w:r>
      <w:r w:rsidRPr="00885D52">
        <w:rPr>
          <w:sz w:val="16"/>
        </w:rPr>
        <w:tab/>
        <w:t>Includes cancer of the trachea, bronchus and lung.</w:t>
      </w:r>
    </w:p>
    <w:p w:rsidR="00000384" w:rsidRPr="00885D52" w:rsidRDefault="00000384" w:rsidP="00253F01">
      <w:pPr>
        <w:pStyle w:val="Note"/>
        <w:spacing w:before="40"/>
        <w:ind w:right="0"/>
        <w:rPr>
          <w:sz w:val="16"/>
        </w:rPr>
      </w:pPr>
      <w:r w:rsidRPr="00885D52">
        <w:rPr>
          <w:sz w:val="16"/>
        </w:rPr>
        <w:t>‡</w:t>
      </w:r>
      <w:r w:rsidRPr="00885D52">
        <w:rPr>
          <w:sz w:val="16"/>
        </w:rPr>
        <w:tab/>
        <w:t>Chronic obstructive pulmonary disease.</w:t>
      </w:r>
    </w:p>
    <w:p w:rsidR="00000384" w:rsidRPr="00885D52" w:rsidRDefault="00000384" w:rsidP="00253F01">
      <w:pPr>
        <w:pStyle w:val="Note"/>
        <w:spacing w:before="40"/>
        <w:ind w:right="0"/>
        <w:rPr>
          <w:sz w:val="16"/>
        </w:rPr>
      </w:pPr>
      <w:r w:rsidRPr="00885D52">
        <w:rPr>
          <w:sz w:val="16"/>
        </w:rPr>
        <w:t>§</w:t>
      </w:r>
      <w:r w:rsidRPr="00885D52">
        <w:rPr>
          <w:sz w:val="16"/>
        </w:rPr>
        <w:tab/>
        <w:t>Includes pericardial diseases, valve disorders, myocarditis, cardiomyopathy, conduction disorders, cardiac arrest and heart failure, but excludes chronic rheumatic heart disease.</w:t>
      </w:r>
    </w:p>
    <w:p w:rsidR="00000384" w:rsidRPr="00885D52" w:rsidRDefault="00000384" w:rsidP="00253F01">
      <w:pPr>
        <w:pStyle w:val="Note"/>
        <w:spacing w:before="40"/>
        <w:ind w:right="0"/>
        <w:rPr>
          <w:sz w:val="16"/>
        </w:rPr>
      </w:pPr>
      <w:r w:rsidRPr="00885D52">
        <w:rPr>
          <w:sz w:val="16"/>
        </w:rPr>
        <w:t>≠</w:t>
      </w:r>
      <w:r w:rsidRPr="00885D52">
        <w:rPr>
          <w:sz w:val="16"/>
        </w:rPr>
        <w:tab/>
        <w:t>Selected codes from V02–V89 range.</w:t>
      </w:r>
    </w:p>
    <w:p w:rsidR="00000384" w:rsidRPr="00885D52" w:rsidRDefault="00000384" w:rsidP="00253F01">
      <w:pPr>
        <w:pStyle w:val="Note"/>
        <w:spacing w:before="40"/>
        <w:ind w:right="0"/>
        <w:rPr>
          <w:sz w:val="16"/>
        </w:rPr>
      </w:pPr>
      <w:r w:rsidRPr="00885D52">
        <w:rPr>
          <w:sz w:val="16"/>
        </w:rPr>
        <w:t>~</w:t>
      </w:r>
      <w:r w:rsidRPr="00885D52">
        <w:rPr>
          <w:sz w:val="16"/>
        </w:rPr>
        <w:tab/>
        <w:t>Includes dementia, amnesic syndrome, delirium and other mental disorders due to brain damage and dysfunction and to physical disease.</w:t>
      </w:r>
    </w:p>
    <w:p w:rsidR="00000384" w:rsidRPr="00885D52" w:rsidRDefault="00000384" w:rsidP="00253F01">
      <w:pPr>
        <w:pStyle w:val="Note"/>
        <w:spacing w:before="40"/>
        <w:ind w:right="0"/>
        <w:rPr>
          <w:sz w:val="16"/>
        </w:rPr>
      </w:pPr>
      <w:r w:rsidRPr="00885D52">
        <w:rPr>
          <w:sz w:val="16"/>
        </w:rPr>
        <w:t>...</w:t>
      </w:r>
      <w:r w:rsidRPr="00885D52">
        <w:rPr>
          <w:sz w:val="16"/>
        </w:rPr>
        <w:tab/>
        <w:t>= Not applicable.</w:t>
      </w:r>
    </w:p>
    <w:p w:rsidR="00000384" w:rsidRPr="00885D52" w:rsidRDefault="00000384" w:rsidP="00253F01"/>
    <w:p w:rsidR="00000384" w:rsidRPr="00885D52" w:rsidRDefault="00000384" w:rsidP="00253F01">
      <w:r w:rsidRPr="00885D52">
        <w:t>The highest age-standardised mortality rates in the total population in 2011 were from:</w:t>
      </w:r>
    </w:p>
    <w:p w:rsidR="00000384" w:rsidRPr="00885D52" w:rsidRDefault="00000384" w:rsidP="00253F01">
      <w:pPr>
        <w:pStyle w:val="Bullet"/>
      </w:pPr>
      <w:r w:rsidRPr="00885D52">
        <w:t>cancer</w:t>
      </w:r>
    </w:p>
    <w:p w:rsidR="00000384" w:rsidRPr="00885D52" w:rsidRDefault="00000384" w:rsidP="00253F01">
      <w:pPr>
        <w:pStyle w:val="Bullet"/>
      </w:pPr>
      <w:r w:rsidRPr="00885D52">
        <w:t>ischaemic heart disease</w:t>
      </w:r>
    </w:p>
    <w:p w:rsidR="00000384" w:rsidRPr="00885D52" w:rsidRDefault="00000384" w:rsidP="00253F01">
      <w:pPr>
        <w:pStyle w:val="Bullet"/>
      </w:pPr>
      <w:r w:rsidRPr="00885D52">
        <w:t>cerebrovascular disease.</w:t>
      </w:r>
    </w:p>
    <w:p w:rsidR="00000384" w:rsidRPr="00885D52" w:rsidRDefault="00000384" w:rsidP="00253F01"/>
    <w:p w:rsidR="00000384" w:rsidRPr="00885D52" w:rsidRDefault="00000384" w:rsidP="00253F01">
      <w:pPr>
        <w:keepNext/>
      </w:pPr>
      <w:r w:rsidRPr="00885D52">
        <w:lastRenderedPageBreak/>
        <w:t>The highest age-standardised mortality rates in the Māori population in 2011 were from:</w:t>
      </w:r>
    </w:p>
    <w:p w:rsidR="00000384" w:rsidRPr="00885D52" w:rsidRDefault="00000384" w:rsidP="00253F01">
      <w:pPr>
        <w:pStyle w:val="Bullet"/>
        <w:keepNext/>
      </w:pPr>
      <w:r w:rsidRPr="00885D52">
        <w:t>cancer</w:t>
      </w:r>
    </w:p>
    <w:p w:rsidR="00000384" w:rsidRPr="00885D52" w:rsidRDefault="00000384" w:rsidP="00253F01">
      <w:pPr>
        <w:pStyle w:val="Bullet"/>
      </w:pPr>
      <w:r w:rsidRPr="00885D52">
        <w:t>ischaemic heart disease</w:t>
      </w:r>
    </w:p>
    <w:p w:rsidR="00000384" w:rsidRPr="00885D52" w:rsidRDefault="00000384" w:rsidP="00253F01">
      <w:pPr>
        <w:pStyle w:val="Bullet"/>
      </w:pPr>
      <w:r w:rsidRPr="00885D52">
        <w:t>chronic lower respiratory diseases.</w:t>
      </w:r>
    </w:p>
    <w:p w:rsidR="00000384" w:rsidRPr="00885D52" w:rsidRDefault="00000384" w:rsidP="00253F01"/>
    <w:p w:rsidR="00000384" w:rsidRPr="00885D52" w:rsidRDefault="00000384" w:rsidP="00253F01">
      <w:r w:rsidRPr="00885D52">
        <w:t>Lung cancer was the leading cause of cancer death by age-standardised rate for both Māori and non-Māori in 2011.</w:t>
      </w:r>
    </w:p>
    <w:p w:rsidR="00000384" w:rsidRPr="00885D52" w:rsidRDefault="00000384" w:rsidP="00253F01"/>
    <w:p w:rsidR="00000384" w:rsidRPr="00885D52" w:rsidRDefault="00000384" w:rsidP="00253F01">
      <w:pPr>
        <w:pStyle w:val="Heading3"/>
      </w:pPr>
      <w:bookmarkStart w:id="194" w:name="_Toc167268823"/>
      <w:bookmarkStart w:id="195" w:name="_Toc168214418"/>
      <w:bookmarkStart w:id="196" w:name="_Toc170107181"/>
      <w:bookmarkStart w:id="197" w:name="_Toc170115138"/>
      <w:bookmarkStart w:id="198" w:name="_Toc175458603"/>
      <w:bookmarkStart w:id="199" w:name="_Toc204141632"/>
      <w:bookmarkStart w:id="200" w:name="_Toc204491459"/>
      <w:bookmarkStart w:id="201" w:name="_Toc208819409"/>
      <w:bookmarkStart w:id="202" w:name="_Toc210192631"/>
      <w:bookmarkStart w:id="203" w:name="_Toc233537040"/>
      <w:bookmarkStart w:id="204" w:name="_Toc236642032"/>
      <w:bookmarkStart w:id="205" w:name="_Toc236642200"/>
      <w:bookmarkStart w:id="206" w:name="_Toc251243505"/>
      <w:bookmarkStart w:id="207" w:name="_Toc256147250"/>
      <w:bookmarkStart w:id="208" w:name="_Toc257035864"/>
      <w:bookmarkStart w:id="209" w:name="_Toc262631079"/>
      <w:bookmarkStart w:id="210" w:name="_Toc263941932"/>
      <w:bookmarkStart w:id="211" w:name="_Toc284314535"/>
      <w:r w:rsidRPr="00885D52">
        <w:t>Sex-based differences in mortality</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000384" w:rsidRPr="00885D52" w:rsidRDefault="00000384" w:rsidP="00253F01">
      <w:r w:rsidRPr="00885D52">
        <w:t>Table 3 shows that mortality rates for males were generally higher than for females. For example, in 2011 males had:</w:t>
      </w:r>
    </w:p>
    <w:p w:rsidR="00000384" w:rsidRPr="00885D52" w:rsidRDefault="00000384" w:rsidP="00253F01">
      <w:pPr>
        <w:pStyle w:val="Bullet"/>
      </w:pPr>
      <w:r w:rsidRPr="00885D52">
        <w:t>an age-standardised mortality rate for all causes that was 1.4 times the rate for females</w:t>
      </w:r>
    </w:p>
    <w:p w:rsidR="00000384" w:rsidRPr="00885D52" w:rsidRDefault="00000384" w:rsidP="00253F01">
      <w:pPr>
        <w:pStyle w:val="Bullet"/>
      </w:pPr>
      <w:r w:rsidRPr="00885D52">
        <w:t>more than three times the age-standardised mortality rate for females from suicide and transport accidents</w:t>
      </w:r>
    </w:p>
    <w:p w:rsidR="008D5D23" w:rsidRPr="00885D52" w:rsidRDefault="00000384" w:rsidP="00253F01">
      <w:pPr>
        <w:pStyle w:val="Bullet"/>
      </w:pPr>
      <w:r w:rsidRPr="00885D52">
        <w:t>almost 2.5 times the age-standardised mortality rate for females from melanoma</w:t>
      </w:r>
    </w:p>
    <w:p w:rsidR="008D5D23" w:rsidRPr="00885D52" w:rsidRDefault="00000384" w:rsidP="00253F01">
      <w:pPr>
        <w:pStyle w:val="Bullet"/>
      </w:pPr>
      <w:r w:rsidRPr="00885D52">
        <w:t>twice the age-standardised mortality rate for females from assault</w:t>
      </w:r>
    </w:p>
    <w:p w:rsidR="00000384" w:rsidRPr="00885D52" w:rsidRDefault="00000384" w:rsidP="00253F01">
      <w:pPr>
        <w:pStyle w:val="Bullet"/>
      </w:pPr>
      <w:r w:rsidRPr="00885D52">
        <w:t>nearly twice the age-standardised mortality rate for females from ischaemic heart disease</w:t>
      </w:r>
    </w:p>
    <w:p w:rsidR="00000384" w:rsidRPr="00885D52" w:rsidRDefault="00000384" w:rsidP="00253F01">
      <w:pPr>
        <w:pStyle w:val="Bullet"/>
      </w:pPr>
      <w:r w:rsidRPr="00885D52">
        <w:t>1.5 times the age-standardised mortality rate for females from diabetes.</w:t>
      </w:r>
    </w:p>
    <w:p w:rsidR="00000384" w:rsidRPr="00885D52" w:rsidRDefault="00000384" w:rsidP="00253F01"/>
    <w:p w:rsidR="00000384" w:rsidRPr="00885D52" w:rsidRDefault="00000384" w:rsidP="00253F01">
      <w:pPr>
        <w:pStyle w:val="Heading3"/>
      </w:pPr>
      <w:bookmarkStart w:id="212" w:name="_Toc167268824"/>
      <w:bookmarkStart w:id="213" w:name="_Toc168214419"/>
      <w:bookmarkStart w:id="214" w:name="_Toc170107182"/>
      <w:bookmarkStart w:id="215" w:name="_Toc170115139"/>
      <w:bookmarkStart w:id="216" w:name="_Toc175458604"/>
      <w:bookmarkStart w:id="217" w:name="_Toc204141633"/>
      <w:bookmarkStart w:id="218" w:name="_Toc204491460"/>
      <w:bookmarkStart w:id="219" w:name="_Toc208819410"/>
      <w:bookmarkStart w:id="220" w:name="_Toc210192632"/>
      <w:bookmarkStart w:id="221" w:name="_Toc233537041"/>
      <w:bookmarkStart w:id="222" w:name="_Toc236642033"/>
      <w:bookmarkStart w:id="223" w:name="_Toc236642201"/>
      <w:bookmarkStart w:id="224" w:name="_Toc251243506"/>
      <w:bookmarkStart w:id="225" w:name="_Toc256147251"/>
      <w:bookmarkStart w:id="226" w:name="_Toc257035865"/>
      <w:bookmarkStart w:id="227" w:name="_Toc262631080"/>
      <w:bookmarkStart w:id="228" w:name="_Toc263941933"/>
      <w:bookmarkStart w:id="229" w:name="_Toc284314536"/>
      <w:r w:rsidRPr="00885D52">
        <w:t>Ethnicity-based differences in mortality</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000384" w:rsidRPr="00885D52" w:rsidRDefault="00000384" w:rsidP="00253F01">
      <w:r w:rsidRPr="00885D52">
        <w:t>In 2011, Māori had a total mortality rate that was 1.8 times the rate for non-Māori (the age-standardised rates were 663.2 and 374.8 respectively).</w:t>
      </w:r>
    </w:p>
    <w:p w:rsidR="00000384" w:rsidRPr="00885D52" w:rsidRDefault="00000384" w:rsidP="00253F01"/>
    <w:p w:rsidR="00000384" w:rsidRPr="00885D52" w:rsidRDefault="00000384" w:rsidP="00253F01">
      <w:r w:rsidRPr="00885D52">
        <w:t>Māori had a higher age-standardised mortality rate than non-Māori for most of the causes shown in Table 3, except for melanoma and pneumonia and influenza.</w:t>
      </w:r>
    </w:p>
    <w:p w:rsidR="00000384" w:rsidRPr="00885D52" w:rsidRDefault="00000384" w:rsidP="00253F01"/>
    <w:p w:rsidR="00000384" w:rsidRPr="00885D52" w:rsidRDefault="00000384" w:rsidP="00253F01">
      <w:r w:rsidRPr="00885D52">
        <w:t>In 2011, the two largest differences between age-standardised mortality rates for Māori and non-Māori were for:</w:t>
      </w:r>
    </w:p>
    <w:p w:rsidR="00000384" w:rsidRPr="00885D52" w:rsidRDefault="00000384" w:rsidP="00253F01">
      <w:pPr>
        <w:pStyle w:val="Bullet"/>
      </w:pPr>
      <w:r w:rsidRPr="00885D52">
        <w:t>chronic rheumatic heart disease, where the rate for Māori was more than 7.5 times that of non-Māori (the age-standardised rates were 6.8 and 0.9 respectively)</w:t>
      </w:r>
    </w:p>
    <w:p w:rsidR="00000384" w:rsidRPr="00885D52" w:rsidRDefault="00000384" w:rsidP="00253F01">
      <w:pPr>
        <w:pStyle w:val="Bullet"/>
      </w:pPr>
      <w:r w:rsidRPr="00885D52">
        <w:t>diabetes mellitus, where the rate for Māori was more than five times that of non-Māori (the age-standardised rates were 45.3 and 9.0 respectively).</w:t>
      </w:r>
    </w:p>
    <w:p w:rsidR="00253F01" w:rsidRPr="00885D52" w:rsidRDefault="00253F01" w:rsidP="00253F01"/>
    <w:p w:rsidR="008D5D23" w:rsidRPr="00885D52" w:rsidRDefault="00000384" w:rsidP="00253F01">
      <w:r w:rsidRPr="00885D52">
        <w:t>In addition, Māori had mortality rates for lung cancer and cervical cancer that were more than three times the equivalent non-Māori rates, and rates for chronic lower respiratory diseases (including chronic obstructive pulmonary disease) and hypertensive disease that were at least twice the equivalent non-Māori rates.</w:t>
      </w:r>
    </w:p>
    <w:p w:rsidR="00253F01" w:rsidRPr="00885D52" w:rsidRDefault="00253F01" w:rsidP="00253F01"/>
    <w:p w:rsidR="00000384" w:rsidRPr="00885D52" w:rsidRDefault="00000384" w:rsidP="00253F01">
      <w:r w:rsidRPr="00885D52">
        <w:t>Note that the percentages and rates discussed here present a snapshot from 2011. Mortality rates for Māori tend to vary more widely than those for non-Māori, due to the lower number of deaths they are based on. Thus it is useful, whenever possible, to examine the pattern of their incidence over several years. This helps to determine whether the mortality figures for a particular year and condition are a statistical spike or representative of the general trend.</w:t>
      </w:r>
    </w:p>
    <w:p w:rsidR="00000384" w:rsidRPr="00885D52" w:rsidRDefault="00000384" w:rsidP="00253F01"/>
    <w:p w:rsidR="00000384" w:rsidRPr="00885D52" w:rsidRDefault="00000384" w:rsidP="00253F01">
      <w:r w:rsidRPr="00885D52">
        <w:t xml:space="preserve">Selected causes of death, broken down by sex and ethnicity, are discussed further in </w:t>
      </w:r>
      <w:r w:rsidR="00885D52" w:rsidRPr="00885D52">
        <w:t>‘</w:t>
      </w:r>
      <w:r w:rsidRPr="00885D52">
        <w:t>Selected trends</w:t>
      </w:r>
      <w:r w:rsidR="00885D52" w:rsidRPr="00885D52">
        <w:t>’</w:t>
      </w:r>
      <w:r w:rsidRPr="00885D52">
        <w:t>.</w:t>
      </w:r>
    </w:p>
    <w:p w:rsidR="00000384" w:rsidRPr="00885D52" w:rsidRDefault="00000384" w:rsidP="00253F01"/>
    <w:p w:rsidR="00000384" w:rsidRPr="00885D52" w:rsidRDefault="00000384" w:rsidP="00253F01">
      <w:pPr>
        <w:pStyle w:val="Heading2"/>
      </w:pPr>
      <w:bookmarkStart w:id="230" w:name="_Toc236642202"/>
      <w:bookmarkStart w:id="231" w:name="_Toc262631081"/>
      <w:bookmarkStart w:id="232" w:name="_Toc316994467"/>
      <w:bookmarkStart w:id="233" w:name="_Toc352670624"/>
      <w:bookmarkStart w:id="234" w:name="_Toc400536180"/>
      <w:bookmarkStart w:id="235" w:name="_Toc403120520"/>
      <w:bookmarkStart w:id="236" w:name="_Toc167268825"/>
      <w:r w:rsidRPr="00885D52">
        <w:lastRenderedPageBreak/>
        <w:t xml:space="preserve">Mortality by </w:t>
      </w:r>
      <w:bookmarkEnd w:id="230"/>
      <w:bookmarkEnd w:id="231"/>
      <w:bookmarkEnd w:id="232"/>
      <w:r w:rsidRPr="00885D52">
        <w:t>region</w:t>
      </w:r>
      <w:bookmarkEnd w:id="233"/>
      <w:bookmarkEnd w:id="234"/>
      <w:bookmarkEnd w:id="235"/>
    </w:p>
    <w:p w:rsidR="00000384" w:rsidRPr="00885D52" w:rsidRDefault="00000384" w:rsidP="00253F01">
      <w:r w:rsidRPr="00885D52">
        <w:t xml:space="preserve">This section presents mortality data by district health board (DHB) region of residence by age-standardised rate. Note that the populations used in this section are different to the populations used in the remainder of the publication. This means that some results in this section differ very slightly from those given in other sections (see </w:t>
      </w:r>
      <w:r w:rsidR="00885D52" w:rsidRPr="00885D52">
        <w:t>‘</w:t>
      </w:r>
      <w:r w:rsidRPr="00885D52">
        <w:t>Population notes</w:t>
      </w:r>
      <w:r w:rsidR="00885D52" w:rsidRPr="00885D52">
        <w:t>’</w:t>
      </w:r>
      <w:r w:rsidRPr="00885D52">
        <w:t>).</w:t>
      </w:r>
    </w:p>
    <w:p w:rsidR="00000384" w:rsidRPr="00885D52" w:rsidRDefault="00000384" w:rsidP="00253F01"/>
    <w:p w:rsidR="00000384" w:rsidRPr="00885D52" w:rsidRDefault="00000384" w:rsidP="00253F01">
      <w:pPr>
        <w:pStyle w:val="Heading3"/>
      </w:pPr>
      <w:bookmarkStart w:id="237" w:name="_Toc208819413"/>
      <w:bookmarkStart w:id="238" w:name="_Toc210192635"/>
      <w:bookmarkStart w:id="239" w:name="_Toc233537044"/>
      <w:bookmarkStart w:id="240" w:name="_Toc236642036"/>
      <w:bookmarkStart w:id="241" w:name="_Toc236642204"/>
      <w:bookmarkStart w:id="242" w:name="_Toc251243509"/>
      <w:bookmarkStart w:id="243" w:name="_Toc256147254"/>
      <w:bookmarkStart w:id="244" w:name="_Toc257035868"/>
      <w:bookmarkStart w:id="245" w:name="_Toc262631083"/>
      <w:bookmarkStart w:id="246" w:name="_Toc263941936"/>
      <w:bookmarkStart w:id="247" w:name="_Toc284314539"/>
      <w:bookmarkStart w:id="248" w:name="_Ref204660917"/>
      <w:bookmarkStart w:id="249" w:name="_Toc236641289"/>
      <w:bookmarkStart w:id="250" w:name="_Toc262631266"/>
      <w:bookmarkStart w:id="251" w:name="_Toc320697517"/>
      <w:r w:rsidRPr="00885D52">
        <w:t>Total population</w:t>
      </w:r>
      <w:bookmarkEnd w:id="237"/>
      <w:bookmarkEnd w:id="238"/>
      <w:bookmarkEnd w:id="239"/>
      <w:bookmarkEnd w:id="240"/>
      <w:bookmarkEnd w:id="241"/>
      <w:bookmarkEnd w:id="242"/>
      <w:bookmarkEnd w:id="243"/>
      <w:bookmarkEnd w:id="244"/>
      <w:bookmarkEnd w:id="245"/>
      <w:bookmarkEnd w:id="246"/>
      <w:bookmarkEnd w:id="247"/>
    </w:p>
    <w:p w:rsidR="00000384" w:rsidRPr="00885D52" w:rsidRDefault="00000384" w:rsidP="00253F01">
      <w:r w:rsidRPr="00885D52">
        <w:t>Figure 7 shows a map of total age-standardised mortality rates by DHB region of residence. The different shades shown on the map distinguish between DHB regions that have significantly higher or lower rates of mortality relative to the national rate.</w:t>
      </w:r>
    </w:p>
    <w:p w:rsidR="00000384" w:rsidRPr="00885D52" w:rsidRDefault="00000384" w:rsidP="00253F01"/>
    <w:p w:rsidR="00000384" w:rsidRPr="00885D52" w:rsidRDefault="00000384" w:rsidP="00253F01">
      <w:r w:rsidRPr="00885D52">
        <w:t xml:space="preserve">Three DHB regions had mortality rates that were significantly lower than the national rate: Waitemata, Nelson Marlborough and Capital &amp; Coast. Five had mortality rates that were significantly higher than the national rate: West Coast, Tairawhiti, Lakes, Whanganui and Northland. The remaining DHB regions had rates with 99 percent confidence limits that overlapped with the New Zealand mortality rate (see </w:t>
      </w:r>
      <w:r w:rsidR="00885D52" w:rsidRPr="00885D52">
        <w:t>‘</w:t>
      </w:r>
      <w:r w:rsidRPr="00885D52">
        <w:t>Explanatory notes</w:t>
      </w:r>
      <w:r w:rsidR="00885D52" w:rsidRPr="00885D52">
        <w:t>’</w:t>
      </w:r>
      <w:r w:rsidRPr="00885D52">
        <w:t>), meaning they were not significantly different from the national rate.</w:t>
      </w:r>
    </w:p>
    <w:p w:rsidR="00000384" w:rsidRPr="00885D52" w:rsidRDefault="00000384" w:rsidP="00253F01"/>
    <w:bookmarkEnd w:id="248"/>
    <w:bookmarkEnd w:id="249"/>
    <w:bookmarkEnd w:id="250"/>
    <w:bookmarkEnd w:id="251"/>
    <w:p w:rsidR="00000384" w:rsidRPr="00885D52" w:rsidRDefault="00000384" w:rsidP="00253F01">
      <w:r w:rsidRPr="00885D52">
        <w:t>Some factors that influence regional mortality rates that have not been adjusted for in the data presented here include:</w:t>
      </w:r>
    </w:p>
    <w:p w:rsidR="00000384" w:rsidRPr="00885D52" w:rsidRDefault="00000384" w:rsidP="00253F01">
      <w:pPr>
        <w:pStyle w:val="Bullet"/>
      </w:pPr>
      <w:r w:rsidRPr="00885D52">
        <w:t>demographic factors (such as sex, ethnicity, deprivation and socioeconomic status)</w:t>
      </w:r>
    </w:p>
    <w:p w:rsidR="00000384" w:rsidRPr="00885D52" w:rsidRDefault="00000384" w:rsidP="00253F01">
      <w:pPr>
        <w:pStyle w:val="Bullet"/>
      </w:pPr>
      <w:r w:rsidRPr="00885D52">
        <w:t>geographic factors (such as the average distance travelled to access health services)</w:t>
      </w:r>
    </w:p>
    <w:p w:rsidR="00000384" w:rsidRPr="00885D52" w:rsidRDefault="00000384" w:rsidP="00253F01">
      <w:pPr>
        <w:pStyle w:val="Bullet"/>
      </w:pPr>
      <w:r w:rsidRPr="00885D52">
        <w:t>population risk factors (such as smoking rates, obesity rates, diabetes rates, mix of occupations and occupational mortality rates, and population health literacy).</w:t>
      </w:r>
    </w:p>
    <w:p w:rsidR="00000384" w:rsidRPr="00885D52" w:rsidRDefault="00000384" w:rsidP="00253F01"/>
    <w:p w:rsidR="00000384" w:rsidRPr="00885D52" w:rsidRDefault="00000384" w:rsidP="00253F01">
      <w:r w:rsidRPr="00885D52">
        <w:t>For example, different regions have different proportions of Māori in their populations, and Māori exhibit higher rates of mortality. Similarly, smoking and obesity rates are known to be higher among people living in more deprived areas (Ministry of Health 2012), and some DHBs have a relatively higher proportion of such areas. This data cannot be used to assess the quality of care being provided by DHBs to their populations.</w:t>
      </w:r>
    </w:p>
    <w:p w:rsidR="00000384" w:rsidRPr="00885D52" w:rsidRDefault="00000384" w:rsidP="00253F01"/>
    <w:p w:rsidR="00000384" w:rsidRPr="00885D52" w:rsidRDefault="00000384" w:rsidP="00253F01">
      <w:pPr>
        <w:pStyle w:val="Figure"/>
      </w:pPr>
      <w:bookmarkStart w:id="252" w:name="_Toc400536106"/>
      <w:bookmarkStart w:id="253" w:name="_Toc403120581"/>
      <w:r w:rsidRPr="00885D52">
        <w:lastRenderedPageBreak/>
        <w:t>Figure 7: Comparison of DHB region mortality rates with national rate, 2011</w:t>
      </w:r>
      <w:bookmarkEnd w:id="252"/>
      <w:bookmarkEnd w:id="253"/>
    </w:p>
    <w:p w:rsidR="00000384" w:rsidRPr="00885D52" w:rsidRDefault="00FC1C27" w:rsidP="00000384">
      <w:r>
        <w:rPr>
          <w:noProof/>
          <w:lang w:eastAsia="en-NZ"/>
        </w:rPr>
        <w:drawing>
          <wp:inline distT="0" distB="0" distL="0" distR="0" wp14:anchorId="23936019" wp14:editId="67DA545B">
            <wp:extent cx="5029200" cy="7466257"/>
            <wp:effectExtent l="0" t="0" r="0" b="0"/>
            <wp:docPr id="5" name="Picture 5" descr="Figure 7: Comparison of DHB region mortality rates with national rate, 2011" title="Figure 7: Comparison of DHB region mortality rates with national rat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 ASR by DHB Total Pop 2011 - diverging colours.emf"/>
                    <pic:cNvPicPr/>
                  </pic:nvPicPr>
                  <pic:blipFill rotWithShape="1">
                    <a:blip r:embed="rId29" cstate="print">
                      <a:extLst>
                        <a:ext uri="{28A0092B-C50C-407E-A947-70E740481C1C}">
                          <a14:useLocalDpi xmlns:a14="http://schemas.microsoft.com/office/drawing/2010/main" val="0"/>
                        </a:ext>
                      </a:extLst>
                    </a:blip>
                    <a:srcRect r="4740"/>
                    <a:stretch/>
                  </pic:blipFill>
                  <pic:spPr bwMode="auto">
                    <a:xfrm>
                      <a:off x="0" y="0"/>
                      <a:ext cx="5029200" cy="7466257"/>
                    </a:xfrm>
                    <a:prstGeom prst="rect">
                      <a:avLst/>
                    </a:prstGeom>
                    <a:ln>
                      <a:noFill/>
                    </a:ln>
                    <a:extLst>
                      <a:ext uri="{53640926-AAD7-44D8-BBD7-CCE9431645EC}">
                        <a14:shadowObscured xmlns:a14="http://schemas.microsoft.com/office/drawing/2010/main"/>
                      </a:ext>
                    </a:extLst>
                  </pic:spPr>
                </pic:pic>
              </a:graphicData>
            </a:graphic>
          </wp:inline>
        </w:drawing>
      </w:r>
    </w:p>
    <w:p w:rsidR="00000384" w:rsidRPr="00885D52" w:rsidRDefault="00000384" w:rsidP="00000384">
      <w:pPr>
        <w:pStyle w:val="Note"/>
        <w:ind w:left="0" w:firstLine="0"/>
      </w:pPr>
      <w:r w:rsidRPr="00885D52">
        <w:t>Note: Rates per 100,000 population, age-standardised to WHO World Standard Population; 99% confidence intervals.</w:t>
      </w:r>
    </w:p>
    <w:p w:rsidR="00253F01" w:rsidRPr="00885D52" w:rsidRDefault="00253F01" w:rsidP="00253F01"/>
    <w:p w:rsidR="008D5D23" w:rsidRPr="00885D52" w:rsidRDefault="00000384" w:rsidP="00DE5261">
      <w:pPr>
        <w:keepNext/>
      </w:pPr>
      <w:r w:rsidRPr="00885D52">
        <w:lastRenderedPageBreak/>
        <w:t>Figure 8 shows the same information as the above map, along with the age-standardised rate and the 99 percent confidence intervals for each DHB region.</w:t>
      </w:r>
    </w:p>
    <w:p w:rsidR="00253F01" w:rsidRPr="00885D52" w:rsidRDefault="00253F01" w:rsidP="00DE5261">
      <w:pPr>
        <w:keepNext/>
      </w:pPr>
    </w:p>
    <w:p w:rsidR="00000384" w:rsidRPr="00885D52" w:rsidRDefault="00000384" w:rsidP="00253F01">
      <w:pPr>
        <w:pStyle w:val="Figure"/>
      </w:pPr>
      <w:bookmarkStart w:id="254" w:name="_Toc352670677"/>
      <w:bookmarkStart w:id="255" w:name="_Toc400536107"/>
      <w:bookmarkStart w:id="256" w:name="_Toc403120582"/>
      <w:bookmarkStart w:id="257" w:name="OLE_LINK5"/>
      <w:r w:rsidRPr="00885D52">
        <w:t>Figure 8: Age-standardised mortality rates, by DHB region, total population, 2011</w:t>
      </w:r>
      <w:bookmarkEnd w:id="254"/>
      <w:bookmarkEnd w:id="255"/>
      <w:bookmarkEnd w:id="256"/>
    </w:p>
    <w:p w:rsidR="008D5D23" w:rsidRPr="00885D52" w:rsidRDefault="00EA5296" w:rsidP="00EA5296">
      <w:r w:rsidRPr="00885D52">
        <w:rPr>
          <w:noProof/>
          <w:lang w:eastAsia="en-NZ"/>
        </w:rPr>
        <w:drawing>
          <wp:inline distT="0" distB="0" distL="0" distR="0" wp14:anchorId="3DE30685" wp14:editId="497DDF87">
            <wp:extent cx="5246190" cy="3200400"/>
            <wp:effectExtent l="0" t="0" r="0" b="0"/>
            <wp:docPr id="3" name="Picture 3" title="Figure 8: Age-standardised mortality rates, by DHB region, total population, 2011, with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45559" cy="3200015"/>
                    </a:xfrm>
                    <a:prstGeom prst="rect">
                      <a:avLst/>
                    </a:prstGeom>
                  </pic:spPr>
                </pic:pic>
              </a:graphicData>
            </a:graphic>
          </wp:inline>
        </w:drawing>
      </w:r>
    </w:p>
    <w:bookmarkEnd w:id="257"/>
    <w:p w:rsidR="008D5D23" w:rsidRPr="00885D52" w:rsidRDefault="00000384" w:rsidP="00000384">
      <w:pPr>
        <w:pStyle w:val="Note"/>
        <w:ind w:left="0" w:firstLine="0"/>
      </w:pPr>
      <w:r w:rsidRPr="00885D52">
        <w:t>Note 1: Rates per 100,000 population, age-standardised to WHO World Standard Population; 99% confidence intervals.</w:t>
      </w:r>
    </w:p>
    <w:p w:rsidR="00000384" w:rsidRPr="00885D52" w:rsidRDefault="00000384" w:rsidP="00000384">
      <w:pPr>
        <w:pStyle w:val="Note"/>
        <w:ind w:left="0" w:firstLine="0"/>
      </w:pPr>
      <w:r w:rsidRPr="00885D52">
        <w:t>Note 2: This figure shows confidence intervals for DHB regions. Confidence intervals for the national rate are not shown but are included in the analysis.</w:t>
      </w:r>
    </w:p>
    <w:p w:rsidR="00EA5296" w:rsidRPr="00885D52" w:rsidRDefault="00EA5296" w:rsidP="00EA5296"/>
    <w:p w:rsidR="00000384" w:rsidRPr="00885D52" w:rsidRDefault="00000384" w:rsidP="00EA5296">
      <w:pPr>
        <w:pStyle w:val="Heading3"/>
      </w:pPr>
      <w:bookmarkStart w:id="258" w:name="_Toc208819414"/>
      <w:bookmarkStart w:id="259" w:name="_Toc210192636"/>
      <w:bookmarkStart w:id="260" w:name="_Toc233537045"/>
      <w:bookmarkStart w:id="261" w:name="_Toc236642037"/>
      <w:bookmarkStart w:id="262" w:name="_Toc236642205"/>
      <w:bookmarkStart w:id="263" w:name="_Toc251243510"/>
      <w:bookmarkStart w:id="264" w:name="_Toc256147255"/>
      <w:bookmarkStart w:id="265" w:name="_Toc257035869"/>
      <w:bookmarkStart w:id="266" w:name="_Toc262631084"/>
      <w:bookmarkStart w:id="267" w:name="_Toc263941937"/>
      <w:bookmarkStart w:id="268" w:name="_Toc284314540"/>
      <w:r w:rsidRPr="00885D52">
        <w:t>Māori population</w:t>
      </w:r>
      <w:bookmarkEnd w:id="258"/>
      <w:bookmarkEnd w:id="259"/>
      <w:bookmarkEnd w:id="260"/>
      <w:bookmarkEnd w:id="261"/>
      <w:bookmarkEnd w:id="262"/>
      <w:bookmarkEnd w:id="263"/>
      <w:bookmarkEnd w:id="264"/>
      <w:bookmarkEnd w:id="265"/>
      <w:bookmarkEnd w:id="266"/>
      <w:bookmarkEnd w:id="267"/>
      <w:bookmarkEnd w:id="268"/>
    </w:p>
    <w:p w:rsidR="00000384" w:rsidRPr="00885D52" w:rsidRDefault="00000384" w:rsidP="008A16FC">
      <w:pPr>
        <w:keepNext/>
      </w:pPr>
      <w:bookmarkStart w:id="269" w:name="_Ref204662357"/>
      <w:bookmarkStart w:id="270" w:name="_Toc236641292"/>
      <w:bookmarkStart w:id="271" w:name="_Toc262631269"/>
      <w:bookmarkStart w:id="272" w:name="_Toc320697520"/>
      <w:r w:rsidRPr="00885D52">
        <w:t xml:space="preserve">Figure 9 shows age-standardised mortality rates by DHB region of residence for Māori </w:t>
      </w:r>
      <w:r w:rsidR="00491B19">
        <w:t>compared with</w:t>
      </w:r>
      <w:r w:rsidRPr="00885D52">
        <w:t xml:space="preserve"> the rate for all Māori in 2011.</w:t>
      </w:r>
    </w:p>
    <w:p w:rsidR="00000384" w:rsidRPr="00885D52" w:rsidRDefault="00000384" w:rsidP="008A16FC">
      <w:pPr>
        <w:keepNext/>
      </w:pPr>
    </w:p>
    <w:p w:rsidR="00000384" w:rsidRPr="00885D52" w:rsidRDefault="00000384" w:rsidP="008A16FC">
      <w:pPr>
        <w:keepNext/>
      </w:pPr>
      <w:r w:rsidRPr="00885D52">
        <w:t xml:space="preserve">Overall, three DHBs had an age-standardised mortality rate for Māori that was significantly higher than the national rate, and five had a significantly lower rate. The highest Māori age-standardised rates of death were for Lakes (953.4 per 100,000 population; 215 deaths) and </w:t>
      </w:r>
      <w:r w:rsidRPr="00885D52">
        <w:lastRenderedPageBreak/>
        <w:t xml:space="preserve">Counties Manukau (900.2; n=349) DHBs. </w:t>
      </w:r>
      <w:r w:rsidRPr="00885D52">
        <w:rPr>
          <w:rFonts w:cs="Arial"/>
          <w:szCs w:val="24"/>
        </w:rPr>
        <w:t>The lowest was for South Canterbury</w:t>
      </w:r>
      <w:r w:rsidRPr="00885D52">
        <w:t xml:space="preserve"> DHB (220.1; n=8).</w:t>
      </w:r>
    </w:p>
    <w:p w:rsidR="00000384" w:rsidRPr="00885D52" w:rsidRDefault="00000384" w:rsidP="008A16FC">
      <w:pPr>
        <w:keepNext/>
      </w:pPr>
    </w:p>
    <w:p w:rsidR="00000384" w:rsidRPr="00885D52" w:rsidRDefault="00000384" w:rsidP="008A16FC">
      <w:pPr>
        <w:keepNext/>
      </w:pPr>
      <w:r w:rsidRPr="00885D52">
        <w:t>The rates for some DHBs have very wide confidence intervals, due to low mortality numbers (eg, South Canterbury (n=8) and West Coast (n=11)). Rates for these DHBs should be interpreted with caution.</w:t>
      </w:r>
    </w:p>
    <w:p w:rsidR="00000384" w:rsidRPr="00885D52" w:rsidRDefault="00000384" w:rsidP="008A16FC">
      <w:pPr>
        <w:keepNext/>
      </w:pPr>
    </w:p>
    <w:p w:rsidR="00000384" w:rsidRPr="00885D52" w:rsidRDefault="00000384" w:rsidP="00EA5296">
      <w:pPr>
        <w:pStyle w:val="Figure"/>
      </w:pPr>
      <w:bookmarkStart w:id="273" w:name="_Toc400536108"/>
      <w:bookmarkStart w:id="274" w:name="_Toc403120583"/>
      <w:bookmarkEnd w:id="269"/>
      <w:bookmarkEnd w:id="270"/>
      <w:bookmarkEnd w:id="271"/>
      <w:bookmarkEnd w:id="272"/>
      <w:r w:rsidRPr="00885D52">
        <w:t>Figure 9: Age-standardised mortality rates, by DHB region, M</w:t>
      </w:r>
      <w:r w:rsidRPr="00885D52">
        <w:rPr>
          <w:rFonts w:cs="Arial"/>
        </w:rPr>
        <w:t>ā</w:t>
      </w:r>
      <w:r w:rsidRPr="00885D52">
        <w:t>ori population, 2011</w:t>
      </w:r>
      <w:bookmarkEnd w:id="273"/>
      <w:bookmarkEnd w:id="274"/>
    </w:p>
    <w:p w:rsidR="008D5D23" w:rsidRPr="00885D52" w:rsidRDefault="00EA5296" w:rsidP="00EA5296">
      <w:r w:rsidRPr="00885D52">
        <w:rPr>
          <w:noProof/>
          <w:lang w:eastAsia="en-NZ"/>
        </w:rPr>
        <w:drawing>
          <wp:inline distT="0" distB="0" distL="0" distR="0" wp14:anchorId="7CF51542" wp14:editId="613D6F4C">
            <wp:extent cx="5286894" cy="3225232"/>
            <wp:effectExtent l="0" t="0" r="9525" b="0"/>
            <wp:docPr id="4" name="Picture 4" title="Figure 9: Age-standardised mortality rates, by DHB region, Māori populatio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0487" cy="3227424"/>
                    </a:xfrm>
                    <a:prstGeom prst="rect">
                      <a:avLst/>
                    </a:prstGeom>
                  </pic:spPr>
                </pic:pic>
              </a:graphicData>
            </a:graphic>
          </wp:inline>
        </w:drawing>
      </w:r>
    </w:p>
    <w:p w:rsidR="008D5D23" w:rsidRPr="00885D52" w:rsidRDefault="00000384" w:rsidP="00000384">
      <w:pPr>
        <w:pStyle w:val="Note"/>
        <w:ind w:left="0" w:firstLine="0"/>
      </w:pPr>
      <w:r w:rsidRPr="00885D52">
        <w:t>Note 1: Rates per 100,000 population, age-standardised to WHO World Standard Population; 99% confidence intervals.</w:t>
      </w:r>
    </w:p>
    <w:p w:rsidR="00000384" w:rsidRPr="00885D52" w:rsidRDefault="00000384" w:rsidP="00000384">
      <w:pPr>
        <w:pStyle w:val="Note"/>
        <w:ind w:left="0" w:firstLine="0"/>
      </w:pPr>
      <w:r w:rsidRPr="00885D52">
        <w:t>Note 2: This figure shows confidence intervals for DHB regions. Confidence intervals for the national rate are not shown but are included in the analysis.</w:t>
      </w:r>
    </w:p>
    <w:p w:rsidR="00000384" w:rsidRPr="00885D52" w:rsidRDefault="00000384" w:rsidP="00EA5296"/>
    <w:p w:rsidR="00000384" w:rsidRPr="00885D52" w:rsidRDefault="00000384" w:rsidP="00EA5296">
      <w:pPr>
        <w:pStyle w:val="Heading3"/>
      </w:pPr>
      <w:r w:rsidRPr="00885D52">
        <w:t>Non-Māori population</w:t>
      </w:r>
    </w:p>
    <w:p w:rsidR="008D5D23" w:rsidRPr="00885D52" w:rsidRDefault="00000384" w:rsidP="008A16FC">
      <w:pPr>
        <w:keepNext/>
      </w:pPr>
      <w:r w:rsidRPr="00885D52">
        <w:t xml:space="preserve">Figure 10 shows non-Māori age-standardised mortality rates by DHB region </w:t>
      </w:r>
      <w:r w:rsidR="00491B19">
        <w:t>compared with</w:t>
      </w:r>
      <w:r w:rsidRPr="00885D52">
        <w:t xml:space="preserve"> the rate for all non-Māori in 2011.</w:t>
      </w:r>
    </w:p>
    <w:p w:rsidR="00000384" w:rsidRPr="00885D52" w:rsidRDefault="00000384" w:rsidP="008A16FC">
      <w:pPr>
        <w:keepNext/>
      </w:pPr>
    </w:p>
    <w:p w:rsidR="00000384" w:rsidRPr="00885D52" w:rsidRDefault="00000384" w:rsidP="008A16FC">
      <w:pPr>
        <w:keepNext/>
      </w:pPr>
      <w:r w:rsidRPr="00885D52">
        <w:t>Five DHB regions had a mortality rate for non-Māori that was significantly different from the national rate; two were higher and three were lower.</w:t>
      </w:r>
    </w:p>
    <w:p w:rsidR="00000384" w:rsidRPr="00885D52" w:rsidRDefault="00000384" w:rsidP="008A16FC">
      <w:pPr>
        <w:keepNext/>
      </w:pPr>
    </w:p>
    <w:p w:rsidR="00000384" w:rsidRPr="00885D52" w:rsidRDefault="00000384" w:rsidP="008A16FC">
      <w:pPr>
        <w:keepNext/>
      </w:pPr>
      <w:r w:rsidRPr="00885D52">
        <w:t xml:space="preserve">The DHB regions with the highest age-standardised mortality rate for the non-Māori population were West Coast (532.4; n=283) and Tairawhiti (432.8; n=239). The DHB region with the </w:t>
      </w:r>
      <w:r w:rsidRPr="00885D52">
        <w:lastRenderedPageBreak/>
        <w:t>lowest age-standardised mortality rate for the non-Māori population was Waitemata (306.1; n=2653).</w:t>
      </w:r>
    </w:p>
    <w:p w:rsidR="00000384" w:rsidRPr="00885D52" w:rsidRDefault="00000384" w:rsidP="008A16FC">
      <w:pPr>
        <w:keepNext/>
      </w:pPr>
    </w:p>
    <w:p w:rsidR="00000384" w:rsidRPr="00885D52" w:rsidRDefault="00000384" w:rsidP="00EA5296">
      <w:pPr>
        <w:pStyle w:val="Figure"/>
      </w:pPr>
      <w:bookmarkStart w:id="275" w:name="_Toc352670678"/>
      <w:bookmarkStart w:id="276" w:name="_Toc400536109"/>
      <w:bookmarkStart w:id="277" w:name="_Toc403120584"/>
      <w:r w:rsidRPr="00885D52">
        <w:t>Figure 10: Age-standardised mortality rates, by DHB region, non-M</w:t>
      </w:r>
      <w:r w:rsidRPr="00885D52">
        <w:rPr>
          <w:rFonts w:cs="Arial"/>
        </w:rPr>
        <w:t>ā</w:t>
      </w:r>
      <w:r w:rsidRPr="00885D52">
        <w:t>ori population, 201</w:t>
      </w:r>
      <w:bookmarkEnd w:id="275"/>
      <w:r w:rsidRPr="00885D52">
        <w:t>1</w:t>
      </w:r>
      <w:bookmarkEnd w:id="276"/>
      <w:bookmarkEnd w:id="277"/>
    </w:p>
    <w:p w:rsidR="00000384" w:rsidRPr="00885D52" w:rsidRDefault="00EA5296" w:rsidP="00EA5296">
      <w:r w:rsidRPr="00885D52">
        <w:rPr>
          <w:noProof/>
          <w:lang w:eastAsia="en-NZ"/>
        </w:rPr>
        <w:drawing>
          <wp:inline distT="0" distB="0" distL="0" distR="0" wp14:anchorId="0CE3AD39" wp14:editId="15792BCA">
            <wp:extent cx="5218936" cy="3183774"/>
            <wp:effectExtent l="0" t="0" r="1270" b="0"/>
            <wp:docPr id="6" name="Picture 6" title="Figure 10: Age-standardised mortality rates, by DHB region, non-Māori populatio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9382" cy="3184046"/>
                    </a:xfrm>
                    <a:prstGeom prst="rect">
                      <a:avLst/>
                    </a:prstGeom>
                  </pic:spPr>
                </pic:pic>
              </a:graphicData>
            </a:graphic>
          </wp:inline>
        </w:drawing>
      </w:r>
    </w:p>
    <w:p w:rsidR="008D5D23" w:rsidRPr="00885D52" w:rsidRDefault="00000384" w:rsidP="00000384">
      <w:pPr>
        <w:pStyle w:val="Note"/>
        <w:ind w:left="0" w:firstLine="0"/>
      </w:pPr>
      <w:r w:rsidRPr="00885D52">
        <w:t>Note 1: Rates per 100,000 population, age-standardised to WHO World Standard Population; 99% confidence intervals.</w:t>
      </w:r>
    </w:p>
    <w:p w:rsidR="00000384" w:rsidRPr="00885D52" w:rsidRDefault="00000384" w:rsidP="00000384">
      <w:pPr>
        <w:pStyle w:val="Note"/>
        <w:ind w:left="0" w:firstLine="0"/>
      </w:pPr>
      <w:r w:rsidRPr="00885D52">
        <w:t>Note 2: This figure shows confidence intervals for DHB regions. Confidence intervals for the national rate are not shown but are included in the analysis.</w:t>
      </w:r>
    </w:p>
    <w:p w:rsidR="00000384" w:rsidRPr="00885D52" w:rsidRDefault="00000384" w:rsidP="00EA5296"/>
    <w:p w:rsidR="00000384" w:rsidRPr="00885D52" w:rsidRDefault="00000384" w:rsidP="005C5C09">
      <w:pPr>
        <w:pStyle w:val="Heading1"/>
      </w:pPr>
      <w:bookmarkStart w:id="278" w:name="_Toc167268826"/>
      <w:bookmarkStart w:id="279" w:name="_Toc236642206"/>
      <w:bookmarkStart w:id="280" w:name="_Toc262631085"/>
      <w:bookmarkStart w:id="281" w:name="_Toc316994468"/>
      <w:bookmarkEnd w:id="236"/>
      <w:r w:rsidRPr="00885D52">
        <w:rPr>
          <w:color w:val="FF0000"/>
        </w:rPr>
        <w:br w:type="page"/>
      </w:r>
      <w:bookmarkStart w:id="282" w:name="_Toc352670625"/>
      <w:bookmarkStart w:id="283" w:name="_Toc400536181"/>
      <w:bookmarkStart w:id="284" w:name="_Toc403120521"/>
      <w:r w:rsidRPr="00885D52">
        <w:lastRenderedPageBreak/>
        <w:t>Selected trends</w:t>
      </w:r>
      <w:bookmarkEnd w:id="278"/>
      <w:bookmarkEnd w:id="279"/>
      <w:bookmarkEnd w:id="280"/>
      <w:bookmarkEnd w:id="281"/>
      <w:bookmarkEnd w:id="282"/>
      <w:bookmarkEnd w:id="283"/>
      <w:bookmarkEnd w:id="284"/>
    </w:p>
    <w:p w:rsidR="00000384" w:rsidRPr="00885D52" w:rsidRDefault="00000384" w:rsidP="005C5C09">
      <w:r w:rsidRPr="00885D52">
        <w:t>This section examines mortality statistics for several conditions in greater depth. These analyses, while addressing the most salient conditions, are not intended to be a definitive account of the mortality and health issues facing the New Zealand population.</w:t>
      </w:r>
    </w:p>
    <w:p w:rsidR="00000384" w:rsidRPr="00885D52" w:rsidRDefault="00000384" w:rsidP="005C5C09"/>
    <w:p w:rsidR="00000384" w:rsidRPr="00885D52" w:rsidRDefault="00000384" w:rsidP="005C5C09">
      <w:r w:rsidRPr="00885D52">
        <w:t>Conditions covered in this section are:</w:t>
      </w:r>
    </w:p>
    <w:p w:rsidR="00000384" w:rsidRPr="00885D52" w:rsidRDefault="00000384" w:rsidP="005C5C09">
      <w:pPr>
        <w:pStyle w:val="Bullet"/>
      </w:pPr>
      <w:r w:rsidRPr="00885D52">
        <w:t>cancer (malignant neoplasm)</w:t>
      </w:r>
    </w:p>
    <w:p w:rsidR="00000384" w:rsidRPr="00885D52" w:rsidRDefault="00000384" w:rsidP="005C5C09">
      <w:pPr>
        <w:pStyle w:val="Bullet"/>
      </w:pPr>
      <w:r w:rsidRPr="00885D52">
        <w:t>lung cancer (malignant neoplasm of the trachea, bronchus and lung)</w:t>
      </w:r>
    </w:p>
    <w:p w:rsidR="00000384" w:rsidRPr="00885D52" w:rsidRDefault="00000384" w:rsidP="005C5C09">
      <w:pPr>
        <w:pStyle w:val="Bullet"/>
      </w:pPr>
      <w:r w:rsidRPr="00885D52">
        <w:t>female breast cancer (malignant neoplasm of the female breast)</w:t>
      </w:r>
    </w:p>
    <w:p w:rsidR="00000384" w:rsidRPr="00885D52" w:rsidRDefault="00000384" w:rsidP="005C5C09">
      <w:pPr>
        <w:pStyle w:val="Bullet"/>
      </w:pPr>
      <w:r w:rsidRPr="00885D52">
        <w:t>prostate cancer (malignant neoplasm of the prostate)</w:t>
      </w:r>
    </w:p>
    <w:p w:rsidR="00000384" w:rsidRPr="00885D52" w:rsidRDefault="00000384" w:rsidP="005C5C09">
      <w:pPr>
        <w:pStyle w:val="Bullet"/>
      </w:pPr>
      <w:r w:rsidRPr="00885D52">
        <w:t>melanoma of the skin (malignant melanoma of the skin)</w:t>
      </w:r>
    </w:p>
    <w:p w:rsidR="00000384" w:rsidRPr="00885D52" w:rsidRDefault="00000384" w:rsidP="005C5C09">
      <w:pPr>
        <w:pStyle w:val="Bullet"/>
      </w:pPr>
      <w:r w:rsidRPr="00885D52">
        <w:t>cervical cancer (malignant neoplasm of the cervix uteri)</w:t>
      </w:r>
    </w:p>
    <w:p w:rsidR="00000384" w:rsidRPr="00885D52" w:rsidRDefault="00000384" w:rsidP="005C5C09">
      <w:pPr>
        <w:pStyle w:val="Bullet"/>
      </w:pPr>
      <w:r w:rsidRPr="00885D52">
        <w:t>ischaemic heart diseases (angina pectoris, myocardial infarction and other forms of acute and chronic ischaemic heart disease)</w:t>
      </w:r>
    </w:p>
    <w:p w:rsidR="00000384" w:rsidRPr="00885D52" w:rsidRDefault="00000384" w:rsidP="005C5C09">
      <w:pPr>
        <w:pStyle w:val="Bullet"/>
      </w:pPr>
      <w:r w:rsidRPr="00885D52">
        <w:t>cerebrovascular diseases (cerebral haemorrhage (subarachnoid, intracerebral and other non-traumatic), cerebral infarction, occlusion and stenosis of precerebral and cerebral arteries and other cerebrovascular diseases)</w:t>
      </w:r>
    </w:p>
    <w:p w:rsidR="00000384" w:rsidRPr="00885D52" w:rsidRDefault="00000384" w:rsidP="005C5C09">
      <w:pPr>
        <w:pStyle w:val="Bullet"/>
      </w:pPr>
      <w:r w:rsidRPr="00885D52">
        <w:t>diabetes mellitus, Type 1 (insulin dependent) and Type 2 (adult onset diabetes)</w:t>
      </w:r>
    </w:p>
    <w:p w:rsidR="00000384" w:rsidRPr="00885D52" w:rsidRDefault="00000384" w:rsidP="005C5C09">
      <w:pPr>
        <w:pStyle w:val="Bullet"/>
      </w:pPr>
      <w:r w:rsidRPr="00885D52">
        <w:t>motor vehicle accidents (accidents associated with motorised transport)</w:t>
      </w:r>
    </w:p>
    <w:p w:rsidR="00000384" w:rsidRPr="00885D52" w:rsidRDefault="00000384" w:rsidP="005C5C09">
      <w:pPr>
        <w:pStyle w:val="Bullet"/>
      </w:pPr>
      <w:r w:rsidRPr="00885D52">
        <w:t>suicide (intentional self-harm).</w:t>
      </w:r>
    </w:p>
    <w:p w:rsidR="00000384" w:rsidRPr="00885D52" w:rsidRDefault="00000384" w:rsidP="005C5C09"/>
    <w:p w:rsidR="00000384" w:rsidRPr="00885D52" w:rsidRDefault="00000384" w:rsidP="005C5C09">
      <w:pPr>
        <w:pStyle w:val="Heading2"/>
      </w:pPr>
      <w:bookmarkStart w:id="285" w:name="_Toc167268827"/>
      <w:bookmarkStart w:id="286" w:name="_Toc236642207"/>
      <w:bookmarkStart w:id="287" w:name="_Toc262631086"/>
      <w:bookmarkStart w:id="288" w:name="_Toc316994469"/>
      <w:bookmarkStart w:id="289" w:name="_Toc352670626"/>
      <w:bookmarkStart w:id="290" w:name="_Toc400536182"/>
      <w:bookmarkStart w:id="291" w:name="_Toc403120522"/>
      <w:r w:rsidRPr="00885D52">
        <w:t>Cancer (C00–C96, D45–D47)</w:t>
      </w:r>
      <w:bookmarkEnd w:id="285"/>
      <w:bookmarkEnd w:id="286"/>
      <w:bookmarkEnd w:id="287"/>
      <w:bookmarkEnd w:id="288"/>
      <w:bookmarkEnd w:id="289"/>
      <w:bookmarkEnd w:id="290"/>
      <w:bookmarkEnd w:id="291"/>
    </w:p>
    <w:p w:rsidR="00000384" w:rsidRPr="00885D52" w:rsidRDefault="00000384" w:rsidP="005C5C09">
      <w:r w:rsidRPr="00885D52">
        <w:t>Cancer, or malignant neoplasm, is a general term that covers a large number of diseases. This section is concerned with the total mortality impact of malignant neoplasms (a neoplasm is an abnormal growth of tissue, which may prove to be benign or malignant). Collectively, malignant neoplasms are a major cause of mortality in the New Zealand population.</w:t>
      </w:r>
    </w:p>
    <w:p w:rsidR="00000384" w:rsidRPr="00885D52" w:rsidRDefault="00000384" w:rsidP="005C5C09"/>
    <w:p w:rsidR="00000384" w:rsidRPr="00885D52" w:rsidRDefault="00000384" w:rsidP="005C5C09">
      <w:r w:rsidRPr="00885D52">
        <w:t xml:space="preserve">In the third edition of the International Classification of Diseases for Oncology (ICD-O), the range of neoplasms considered to be malignant was expanded. Specifically, polycythaemia vera, myelodysplastic syndromes and chronic myeloproliferative disorders are considered to be malignant in the third edition of ICD-O, whereas in the second edition these diseases were considered to be of uncertain behaviour. The ICD-10 codes for these additional malignancies are in the range D45–D47. This change took effect from 2003. </w:t>
      </w:r>
      <w:r w:rsidRPr="00885D52">
        <w:rPr>
          <w:i/>
        </w:rPr>
        <w:t>Mortality and Demographic Data 2004</w:t>
      </w:r>
      <w:r w:rsidRPr="00885D52">
        <w:t xml:space="preserve"> was the first publication in this series to include the D45–D47 range in cancer analyses.</w:t>
      </w:r>
    </w:p>
    <w:p w:rsidR="00000384" w:rsidRPr="00885D52" w:rsidRDefault="00000384" w:rsidP="005C5C09"/>
    <w:p w:rsidR="00000384" w:rsidRPr="00885D52" w:rsidRDefault="00000384" w:rsidP="005C5C09">
      <w:r w:rsidRPr="00885D52">
        <w:t>There were 8891 deaths from cancer in 2011 (4650 males and 4241 females). Cancer was the leading cause of death for both males and females in 2011.</w:t>
      </w:r>
    </w:p>
    <w:p w:rsidR="00000384" w:rsidRPr="00885D52" w:rsidRDefault="00000384" w:rsidP="005C5C09"/>
    <w:p w:rsidR="00000384" w:rsidRPr="00885D52" w:rsidRDefault="00000384" w:rsidP="005C5C09">
      <w:r w:rsidRPr="00885D52">
        <w:t xml:space="preserve">Table 4 shows the number and age-standardised mortality </w:t>
      </w:r>
      <w:r w:rsidR="00176808">
        <w:t>rate of cancer from 1980 to 2011. The</w:t>
      </w:r>
      <w:r w:rsidRPr="00885D52">
        <w:t xml:space="preserve"> rate for males in 2011 was 27.8 percent lower than the equivalent rate in 1980, and the female rate was 18.8 percent lower. Males had a consistently higher age-standardised mortality rate for cancer than females over this time; in 2011 the mortality rate for males was 27.3 percent higher than the rate for females.</w:t>
      </w:r>
    </w:p>
    <w:p w:rsidR="00000384" w:rsidRPr="00885D52" w:rsidRDefault="00000384" w:rsidP="005C5C09"/>
    <w:p w:rsidR="00000384" w:rsidRPr="00885D52" w:rsidRDefault="00000384" w:rsidP="005C5C09">
      <w:pPr>
        <w:pStyle w:val="Table"/>
      </w:pPr>
      <w:bookmarkStart w:id="292" w:name="_Ref132173001"/>
      <w:bookmarkStart w:id="293" w:name="_Toc167268853"/>
      <w:bookmarkStart w:id="294" w:name="_Toc236641644"/>
      <w:bookmarkStart w:id="295" w:name="_Toc262631228"/>
      <w:bookmarkStart w:id="296" w:name="_Toc316912721"/>
      <w:bookmarkStart w:id="297" w:name="_Toc352670653"/>
      <w:bookmarkStart w:id="298" w:name="_Toc400536144"/>
      <w:bookmarkStart w:id="299" w:name="_Toc403120549"/>
      <w:r w:rsidRPr="00885D52">
        <w:lastRenderedPageBreak/>
        <w:t>Table 4</w:t>
      </w:r>
      <w:bookmarkEnd w:id="292"/>
      <w:r w:rsidRPr="00885D52">
        <w:t>: Numbers and age-standardised mortality rates from cancer, by sex, 1980–20</w:t>
      </w:r>
      <w:bookmarkEnd w:id="293"/>
      <w:bookmarkEnd w:id="294"/>
      <w:bookmarkEnd w:id="295"/>
      <w:bookmarkEnd w:id="296"/>
      <w:r w:rsidRPr="00885D52">
        <w:t>1</w:t>
      </w:r>
      <w:bookmarkEnd w:id="297"/>
      <w:r w:rsidRPr="00885D52">
        <w:t>1</w:t>
      </w:r>
      <w:bookmarkEnd w:id="298"/>
      <w:bookmarkEnd w:id="299"/>
    </w:p>
    <w:tbl>
      <w:tblPr>
        <w:tblW w:w="7938"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134"/>
        <w:gridCol w:w="1134"/>
        <w:gridCol w:w="1134"/>
        <w:gridCol w:w="1134"/>
        <w:gridCol w:w="1134"/>
        <w:gridCol w:w="1134"/>
      </w:tblGrid>
      <w:tr w:rsidR="00000384" w:rsidRPr="00885D52" w:rsidTr="00E74AD1">
        <w:trPr>
          <w:cantSplit/>
        </w:trPr>
        <w:tc>
          <w:tcPr>
            <w:tcW w:w="1134" w:type="dxa"/>
            <w:vMerge w:val="restart"/>
            <w:tcBorders>
              <w:top w:val="single" w:sz="4" w:space="0" w:color="auto"/>
              <w:bottom w:val="single" w:sz="4" w:space="0" w:color="auto"/>
              <w:right w:val="single" w:sz="4" w:space="0" w:color="A6A6A6"/>
            </w:tcBorders>
            <w:shd w:val="clear" w:color="auto" w:fill="auto"/>
          </w:tcPr>
          <w:p w:rsidR="00000384" w:rsidRPr="00885D52" w:rsidRDefault="00000384" w:rsidP="005C5C09">
            <w:pPr>
              <w:pStyle w:val="TableText"/>
              <w:jc w:val="center"/>
              <w:rPr>
                <w:b/>
              </w:rPr>
            </w:pPr>
            <w:r w:rsidRPr="00885D52">
              <w:rPr>
                <w:b/>
              </w:rPr>
              <w:t>Year</w:t>
            </w:r>
          </w:p>
        </w:tc>
        <w:tc>
          <w:tcPr>
            <w:tcW w:w="2268" w:type="dxa"/>
            <w:gridSpan w:val="2"/>
            <w:tcBorders>
              <w:top w:val="single" w:sz="4" w:space="0" w:color="auto"/>
              <w:left w:val="single" w:sz="4" w:space="0" w:color="A6A6A6"/>
              <w:bottom w:val="single" w:sz="4" w:space="0" w:color="auto"/>
              <w:right w:val="single" w:sz="4" w:space="0" w:color="A6A6A6"/>
            </w:tcBorders>
            <w:shd w:val="clear" w:color="auto" w:fill="auto"/>
          </w:tcPr>
          <w:p w:rsidR="00000384" w:rsidRPr="00885D52" w:rsidRDefault="00000384" w:rsidP="005C5C09">
            <w:pPr>
              <w:pStyle w:val="TableText"/>
              <w:jc w:val="center"/>
              <w:rPr>
                <w:b/>
              </w:rPr>
            </w:pPr>
            <w:r w:rsidRPr="00885D52">
              <w:rPr>
                <w:b/>
              </w:rPr>
              <w:t>Male</w:t>
            </w:r>
          </w:p>
        </w:tc>
        <w:tc>
          <w:tcPr>
            <w:tcW w:w="2268" w:type="dxa"/>
            <w:gridSpan w:val="2"/>
            <w:tcBorders>
              <w:top w:val="single" w:sz="4" w:space="0" w:color="auto"/>
              <w:left w:val="single" w:sz="4" w:space="0" w:color="A6A6A6"/>
              <w:bottom w:val="single" w:sz="4" w:space="0" w:color="auto"/>
              <w:right w:val="single" w:sz="4" w:space="0" w:color="A6A6A6"/>
            </w:tcBorders>
            <w:shd w:val="clear" w:color="auto" w:fill="auto"/>
          </w:tcPr>
          <w:p w:rsidR="00000384" w:rsidRPr="00885D52" w:rsidRDefault="00000384" w:rsidP="005C5C09">
            <w:pPr>
              <w:pStyle w:val="TableText"/>
              <w:jc w:val="center"/>
              <w:rPr>
                <w:b/>
              </w:rPr>
            </w:pPr>
            <w:r w:rsidRPr="00885D52">
              <w:rPr>
                <w:b/>
              </w:rPr>
              <w:t>Female</w:t>
            </w:r>
          </w:p>
        </w:tc>
        <w:tc>
          <w:tcPr>
            <w:tcW w:w="2268" w:type="dxa"/>
            <w:gridSpan w:val="2"/>
            <w:tcBorders>
              <w:top w:val="single" w:sz="4" w:space="0" w:color="auto"/>
              <w:left w:val="single" w:sz="4" w:space="0" w:color="A6A6A6"/>
              <w:bottom w:val="single" w:sz="4" w:space="0" w:color="auto"/>
            </w:tcBorders>
          </w:tcPr>
          <w:p w:rsidR="00000384" w:rsidRPr="00885D52" w:rsidRDefault="00000384" w:rsidP="005C5C09">
            <w:pPr>
              <w:pStyle w:val="TableText"/>
              <w:jc w:val="center"/>
              <w:rPr>
                <w:b/>
              </w:rPr>
            </w:pPr>
            <w:r w:rsidRPr="00885D52">
              <w:rPr>
                <w:b/>
              </w:rPr>
              <w:t>Total</w:t>
            </w:r>
          </w:p>
        </w:tc>
      </w:tr>
      <w:tr w:rsidR="00000384" w:rsidRPr="00885D52" w:rsidTr="00E74AD1">
        <w:trPr>
          <w:cantSplit/>
        </w:trPr>
        <w:tc>
          <w:tcPr>
            <w:tcW w:w="1134" w:type="dxa"/>
            <w:vMerge/>
            <w:tcBorders>
              <w:top w:val="single" w:sz="4" w:space="0" w:color="auto"/>
              <w:bottom w:val="single" w:sz="4" w:space="0" w:color="auto"/>
              <w:right w:val="single" w:sz="4" w:space="0" w:color="A6A6A6"/>
            </w:tcBorders>
            <w:shd w:val="clear" w:color="auto" w:fill="auto"/>
          </w:tcPr>
          <w:p w:rsidR="00000384" w:rsidRPr="00885D52" w:rsidRDefault="00000384" w:rsidP="005C5C09">
            <w:pPr>
              <w:pStyle w:val="TableText"/>
              <w:jc w:val="center"/>
              <w:rPr>
                <w:b/>
              </w:rPr>
            </w:pPr>
          </w:p>
        </w:tc>
        <w:tc>
          <w:tcPr>
            <w:tcW w:w="1134" w:type="dxa"/>
            <w:tcBorders>
              <w:top w:val="single" w:sz="4" w:space="0" w:color="auto"/>
              <w:left w:val="single" w:sz="4" w:space="0" w:color="A6A6A6"/>
              <w:bottom w:val="single" w:sz="4" w:space="0" w:color="auto"/>
              <w:right w:val="nil"/>
            </w:tcBorders>
            <w:shd w:val="clear" w:color="auto" w:fill="auto"/>
          </w:tcPr>
          <w:p w:rsidR="00000384" w:rsidRPr="00885D52" w:rsidRDefault="00000384" w:rsidP="005C5C09">
            <w:pPr>
              <w:pStyle w:val="TableText"/>
              <w:jc w:val="center"/>
              <w:rPr>
                <w:b/>
              </w:rPr>
            </w:pPr>
            <w:r w:rsidRPr="00885D52">
              <w:rPr>
                <w:b/>
              </w:rPr>
              <w:t>No.</w:t>
            </w:r>
          </w:p>
        </w:tc>
        <w:tc>
          <w:tcPr>
            <w:tcW w:w="1134" w:type="dxa"/>
            <w:tcBorders>
              <w:top w:val="single" w:sz="4" w:space="0" w:color="auto"/>
              <w:left w:val="nil"/>
              <w:bottom w:val="single" w:sz="4" w:space="0" w:color="auto"/>
              <w:right w:val="single" w:sz="4" w:space="0" w:color="A6A6A6"/>
            </w:tcBorders>
            <w:shd w:val="clear" w:color="auto" w:fill="auto"/>
          </w:tcPr>
          <w:p w:rsidR="00000384" w:rsidRPr="00885D52" w:rsidRDefault="00000384" w:rsidP="005C5C09">
            <w:pPr>
              <w:pStyle w:val="TableText"/>
              <w:jc w:val="center"/>
              <w:rPr>
                <w:b/>
              </w:rPr>
            </w:pPr>
            <w:r w:rsidRPr="00885D52">
              <w:rPr>
                <w:b/>
              </w:rPr>
              <w:t>Rate</w:t>
            </w:r>
          </w:p>
        </w:tc>
        <w:tc>
          <w:tcPr>
            <w:tcW w:w="1134" w:type="dxa"/>
            <w:tcBorders>
              <w:top w:val="single" w:sz="4" w:space="0" w:color="auto"/>
              <w:left w:val="single" w:sz="4" w:space="0" w:color="A6A6A6"/>
              <w:bottom w:val="single" w:sz="4" w:space="0" w:color="auto"/>
              <w:right w:val="nil"/>
            </w:tcBorders>
          </w:tcPr>
          <w:p w:rsidR="00000384" w:rsidRPr="00885D52" w:rsidRDefault="00000384" w:rsidP="005C5C09">
            <w:pPr>
              <w:pStyle w:val="TableText"/>
              <w:jc w:val="center"/>
              <w:rPr>
                <w:b/>
              </w:rPr>
            </w:pPr>
            <w:r w:rsidRPr="00885D52">
              <w:rPr>
                <w:b/>
              </w:rPr>
              <w:t>No.</w:t>
            </w:r>
          </w:p>
        </w:tc>
        <w:tc>
          <w:tcPr>
            <w:tcW w:w="1134" w:type="dxa"/>
            <w:tcBorders>
              <w:top w:val="single" w:sz="4" w:space="0" w:color="auto"/>
              <w:left w:val="nil"/>
              <w:bottom w:val="single" w:sz="4" w:space="0" w:color="auto"/>
              <w:right w:val="nil"/>
            </w:tcBorders>
          </w:tcPr>
          <w:p w:rsidR="00000384" w:rsidRPr="00885D52" w:rsidRDefault="00000384" w:rsidP="005C5C09">
            <w:pPr>
              <w:pStyle w:val="TableText"/>
              <w:jc w:val="center"/>
              <w:rPr>
                <w:b/>
              </w:rPr>
            </w:pPr>
            <w:r w:rsidRPr="00885D52">
              <w:rPr>
                <w:b/>
              </w:rPr>
              <w:t>Rate</w:t>
            </w:r>
          </w:p>
        </w:tc>
        <w:tc>
          <w:tcPr>
            <w:tcW w:w="1134" w:type="dxa"/>
            <w:tcBorders>
              <w:top w:val="single" w:sz="4" w:space="0" w:color="auto"/>
              <w:left w:val="single" w:sz="4" w:space="0" w:color="A6A6A6"/>
              <w:bottom w:val="single" w:sz="4" w:space="0" w:color="auto"/>
              <w:right w:val="nil"/>
            </w:tcBorders>
            <w:shd w:val="clear" w:color="auto" w:fill="auto"/>
          </w:tcPr>
          <w:p w:rsidR="00000384" w:rsidRPr="00885D52" w:rsidRDefault="00000384" w:rsidP="005C5C09">
            <w:pPr>
              <w:pStyle w:val="TableText"/>
              <w:jc w:val="center"/>
              <w:rPr>
                <w:b/>
              </w:rPr>
            </w:pPr>
            <w:r w:rsidRPr="00885D52">
              <w:rPr>
                <w:b/>
              </w:rPr>
              <w:t>No.</w:t>
            </w:r>
          </w:p>
        </w:tc>
        <w:tc>
          <w:tcPr>
            <w:tcW w:w="1134" w:type="dxa"/>
            <w:tcBorders>
              <w:top w:val="single" w:sz="4" w:space="0" w:color="auto"/>
              <w:left w:val="nil"/>
              <w:bottom w:val="single" w:sz="4" w:space="0" w:color="auto"/>
            </w:tcBorders>
            <w:shd w:val="clear" w:color="auto" w:fill="auto"/>
          </w:tcPr>
          <w:p w:rsidR="00000384" w:rsidRPr="00885D52" w:rsidRDefault="00000384" w:rsidP="005C5C09">
            <w:pPr>
              <w:pStyle w:val="TableText"/>
              <w:jc w:val="center"/>
              <w:rPr>
                <w:b/>
              </w:rPr>
            </w:pPr>
            <w:r w:rsidRPr="00885D52">
              <w:rPr>
                <w:b/>
              </w:rPr>
              <w:t>Rate</w:t>
            </w:r>
          </w:p>
        </w:tc>
      </w:tr>
      <w:tr w:rsidR="00000384" w:rsidRPr="00885D52" w:rsidTr="00E74AD1">
        <w:trPr>
          <w:cantSplit/>
        </w:trPr>
        <w:tc>
          <w:tcPr>
            <w:tcW w:w="1134" w:type="dxa"/>
            <w:tcBorders>
              <w:top w:val="single" w:sz="4" w:space="0" w:color="auto"/>
              <w:bottom w:val="nil"/>
              <w:right w:val="single" w:sz="4" w:space="0" w:color="A6A6A6"/>
            </w:tcBorders>
            <w:shd w:val="clear" w:color="auto" w:fill="F2F2F2"/>
          </w:tcPr>
          <w:p w:rsidR="00000384" w:rsidRPr="00885D52" w:rsidRDefault="00000384" w:rsidP="005C5C09">
            <w:pPr>
              <w:pStyle w:val="TableText"/>
              <w:jc w:val="center"/>
            </w:pPr>
            <w:r w:rsidRPr="00885D52">
              <w:t>1980</w:t>
            </w:r>
          </w:p>
        </w:tc>
        <w:tc>
          <w:tcPr>
            <w:tcW w:w="1134" w:type="dxa"/>
            <w:tcBorders>
              <w:top w:val="single" w:sz="4" w:space="0" w:color="auto"/>
              <w:left w:val="single" w:sz="4" w:space="0" w:color="A6A6A6"/>
              <w:bottom w:val="nil"/>
              <w:right w:val="nil"/>
            </w:tcBorders>
            <w:shd w:val="clear" w:color="auto" w:fill="F2F2F2"/>
          </w:tcPr>
          <w:p w:rsidR="00000384" w:rsidRPr="00885D52" w:rsidRDefault="00000384" w:rsidP="005C5C09">
            <w:pPr>
              <w:pStyle w:val="TableText"/>
              <w:jc w:val="center"/>
            </w:pPr>
            <w:r w:rsidRPr="00885D52">
              <w:t>2952</w:t>
            </w:r>
          </w:p>
        </w:tc>
        <w:tc>
          <w:tcPr>
            <w:tcW w:w="1134" w:type="dxa"/>
            <w:tcBorders>
              <w:top w:val="single" w:sz="4" w:space="0" w:color="auto"/>
              <w:left w:val="nil"/>
              <w:bottom w:val="nil"/>
              <w:right w:val="single" w:sz="4" w:space="0" w:color="A6A6A6"/>
            </w:tcBorders>
            <w:shd w:val="clear" w:color="auto" w:fill="F2F2F2"/>
          </w:tcPr>
          <w:p w:rsidR="00000384" w:rsidRPr="00885D52" w:rsidRDefault="00000384" w:rsidP="005C5C09">
            <w:pPr>
              <w:pStyle w:val="TableText"/>
              <w:jc w:val="center"/>
            </w:pPr>
            <w:r w:rsidRPr="00885D52">
              <w:t>198.4</w:t>
            </w:r>
          </w:p>
        </w:tc>
        <w:tc>
          <w:tcPr>
            <w:tcW w:w="1134" w:type="dxa"/>
            <w:tcBorders>
              <w:top w:val="single" w:sz="4" w:space="0" w:color="auto"/>
              <w:left w:val="single" w:sz="4" w:space="0" w:color="A6A6A6"/>
              <w:bottom w:val="nil"/>
              <w:right w:val="nil"/>
            </w:tcBorders>
            <w:shd w:val="clear" w:color="auto" w:fill="F2F2F2"/>
          </w:tcPr>
          <w:p w:rsidR="00000384" w:rsidRPr="00885D52" w:rsidRDefault="00000384" w:rsidP="005C5C09">
            <w:pPr>
              <w:pStyle w:val="TableText"/>
              <w:jc w:val="center"/>
            </w:pPr>
            <w:r w:rsidRPr="00885D52">
              <w:t>2513</w:t>
            </w:r>
          </w:p>
        </w:tc>
        <w:tc>
          <w:tcPr>
            <w:tcW w:w="1134" w:type="dxa"/>
            <w:tcBorders>
              <w:top w:val="single" w:sz="4" w:space="0" w:color="auto"/>
              <w:left w:val="nil"/>
              <w:bottom w:val="nil"/>
              <w:right w:val="nil"/>
            </w:tcBorders>
            <w:shd w:val="clear" w:color="auto" w:fill="F2F2F2"/>
          </w:tcPr>
          <w:p w:rsidR="00000384" w:rsidRPr="00885D52" w:rsidRDefault="00000384" w:rsidP="005C5C09">
            <w:pPr>
              <w:pStyle w:val="TableText"/>
              <w:jc w:val="center"/>
            </w:pPr>
            <w:r w:rsidRPr="00885D52">
              <w:t>138.5</w:t>
            </w:r>
          </w:p>
        </w:tc>
        <w:tc>
          <w:tcPr>
            <w:tcW w:w="1134" w:type="dxa"/>
            <w:tcBorders>
              <w:top w:val="single" w:sz="4" w:space="0" w:color="auto"/>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5465</w:t>
            </w:r>
          </w:p>
        </w:tc>
        <w:tc>
          <w:tcPr>
            <w:tcW w:w="1134" w:type="dxa"/>
            <w:tcBorders>
              <w:top w:val="single" w:sz="4" w:space="0" w:color="auto"/>
              <w:left w:val="nil"/>
              <w:bottom w:val="nil"/>
            </w:tcBorders>
            <w:shd w:val="clear" w:color="auto" w:fill="F2F2F2"/>
            <w:vAlign w:val="bottom"/>
          </w:tcPr>
          <w:p w:rsidR="00000384" w:rsidRPr="00885D52" w:rsidRDefault="00000384" w:rsidP="005C5C09">
            <w:pPr>
              <w:pStyle w:val="TableText"/>
              <w:jc w:val="center"/>
            </w:pPr>
            <w:r w:rsidRPr="00885D52">
              <w:t>162.3</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1981</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3061</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202.6</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2527</w:t>
            </w:r>
          </w:p>
        </w:tc>
        <w:tc>
          <w:tcPr>
            <w:tcW w:w="1134" w:type="dxa"/>
            <w:tcBorders>
              <w:top w:val="nil"/>
              <w:left w:val="nil"/>
              <w:bottom w:val="nil"/>
              <w:right w:val="nil"/>
            </w:tcBorders>
          </w:tcPr>
          <w:p w:rsidR="00000384" w:rsidRPr="00885D52" w:rsidRDefault="00000384" w:rsidP="005C5C09">
            <w:pPr>
              <w:pStyle w:val="TableText"/>
              <w:jc w:val="center"/>
            </w:pPr>
            <w:r w:rsidRPr="00885D52">
              <w:t>134.6</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5588</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162.2</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1982</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3076</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199.3</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2647</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138.7</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5723</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162.6</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1983</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3166</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200.4</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2771</w:t>
            </w:r>
          </w:p>
        </w:tc>
        <w:tc>
          <w:tcPr>
            <w:tcW w:w="1134" w:type="dxa"/>
            <w:tcBorders>
              <w:top w:val="nil"/>
              <w:left w:val="nil"/>
              <w:bottom w:val="nil"/>
              <w:right w:val="nil"/>
            </w:tcBorders>
          </w:tcPr>
          <w:p w:rsidR="00000384" w:rsidRPr="00885D52" w:rsidRDefault="00000384" w:rsidP="005C5C09">
            <w:pPr>
              <w:pStyle w:val="TableText"/>
              <w:jc w:val="center"/>
            </w:pPr>
            <w:r w:rsidRPr="00885D52">
              <w:t>142.3</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5937</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165.7</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1984</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3237</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202.7</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2651</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133.1</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5888</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160.8</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1985</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3318</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204.5</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2849</w:t>
            </w:r>
          </w:p>
        </w:tc>
        <w:tc>
          <w:tcPr>
            <w:tcW w:w="1134" w:type="dxa"/>
            <w:tcBorders>
              <w:top w:val="nil"/>
              <w:left w:val="nil"/>
              <w:bottom w:val="nil"/>
              <w:right w:val="nil"/>
            </w:tcBorders>
          </w:tcPr>
          <w:p w:rsidR="00000384" w:rsidRPr="00885D52" w:rsidRDefault="00000384" w:rsidP="005C5C09">
            <w:pPr>
              <w:pStyle w:val="TableText"/>
              <w:jc w:val="center"/>
            </w:pPr>
            <w:r w:rsidRPr="00885D52">
              <w:t>140.2</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6167</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165.6</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1986</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3364</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200.9</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2857</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137.2</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6221</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163.1</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1987</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3375</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198.5</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3035</w:t>
            </w:r>
          </w:p>
        </w:tc>
        <w:tc>
          <w:tcPr>
            <w:tcW w:w="1134" w:type="dxa"/>
            <w:tcBorders>
              <w:top w:val="nil"/>
              <w:left w:val="nil"/>
              <w:bottom w:val="nil"/>
              <w:right w:val="nil"/>
            </w:tcBorders>
          </w:tcPr>
          <w:p w:rsidR="00000384" w:rsidRPr="00885D52" w:rsidRDefault="00000384" w:rsidP="005C5C09">
            <w:pPr>
              <w:pStyle w:val="TableText"/>
              <w:jc w:val="center"/>
            </w:pPr>
            <w:r w:rsidRPr="00885D52">
              <w:t>144.3</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6410</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165.8</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1988</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3444</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200.6</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3037</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141.5</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6481</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165.2</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1989</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3492</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199.6</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3139</w:t>
            </w:r>
          </w:p>
        </w:tc>
        <w:tc>
          <w:tcPr>
            <w:tcW w:w="1134" w:type="dxa"/>
            <w:tcBorders>
              <w:top w:val="nil"/>
              <w:left w:val="nil"/>
              <w:bottom w:val="nil"/>
              <w:right w:val="nil"/>
            </w:tcBorders>
          </w:tcPr>
          <w:p w:rsidR="00000384" w:rsidRPr="00885D52" w:rsidRDefault="00000384" w:rsidP="005C5C09">
            <w:pPr>
              <w:pStyle w:val="TableText"/>
              <w:jc w:val="center"/>
            </w:pPr>
            <w:r w:rsidRPr="00885D52">
              <w:t>145.6</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6631</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166.9</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1990</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3548</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199.0</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3198</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145.7</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6746</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166.2</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1991</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3541</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195.1</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3251</w:t>
            </w:r>
          </w:p>
        </w:tc>
        <w:tc>
          <w:tcPr>
            <w:tcW w:w="1134" w:type="dxa"/>
            <w:tcBorders>
              <w:top w:val="nil"/>
              <w:left w:val="nil"/>
              <w:bottom w:val="nil"/>
              <w:right w:val="nil"/>
            </w:tcBorders>
          </w:tcPr>
          <w:p w:rsidR="00000384" w:rsidRPr="00885D52" w:rsidRDefault="00000384" w:rsidP="005C5C09">
            <w:pPr>
              <w:pStyle w:val="TableText"/>
              <w:jc w:val="center"/>
            </w:pPr>
            <w:r w:rsidRPr="00885D52">
              <w:t>145.4</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6792</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165.2</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1992</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3771</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201.7</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3110</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133.8</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6881</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161.5</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1993</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3812</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199.8</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3282</w:t>
            </w:r>
          </w:p>
        </w:tc>
        <w:tc>
          <w:tcPr>
            <w:tcW w:w="1134" w:type="dxa"/>
            <w:tcBorders>
              <w:top w:val="nil"/>
              <w:left w:val="nil"/>
              <w:bottom w:val="nil"/>
              <w:right w:val="nil"/>
            </w:tcBorders>
          </w:tcPr>
          <w:p w:rsidR="00000384" w:rsidRPr="00885D52" w:rsidRDefault="00000384" w:rsidP="005C5C09">
            <w:pPr>
              <w:pStyle w:val="TableText"/>
              <w:jc w:val="center"/>
            </w:pPr>
            <w:r w:rsidRPr="00885D52">
              <w:t>138.6</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7094</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163.4</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1994</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3834</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196.3</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3332</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137.6</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7166</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161.3</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1995</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3918</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196.9</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3504</w:t>
            </w:r>
          </w:p>
        </w:tc>
        <w:tc>
          <w:tcPr>
            <w:tcW w:w="1134" w:type="dxa"/>
            <w:tcBorders>
              <w:top w:val="nil"/>
              <w:left w:val="nil"/>
              <w:bottom w:val="nil"/>
              <w:right w:val="nil"/>
            </w:tcBorders>
          </w:tcPr>
          <w:p w:rsidR="00000384" w:rsidRPr="00885D52" w:rsidRDefault="00000384" w:rsidP="005C5C09">
            <w:pPr>
              <w:pStyle w:val="TableText"/>
              <w:jc w:val="center"/>
            </w:pPr>
            <w:r w:rsidRPr="00885D52">
              <w:t>143.8</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7422</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164.5</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1996</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3872</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189.3</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3589</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142.1</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7461</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160.8</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1997</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3834</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179.6</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3448</w:t>
            </w:r>
          </w:p>
        </w:tc>
        <w:tc>
          <w:tcPr>
            <w:tcW w:w="1134" w:type="dxa"/>
            <w:tcBorders>
              <w:top w:val="nil"/>
              <w:left w:val="nil"/>
              <w:bottom w:val="nil"/>
              <w:right w:val="nil"/>
            </w:tcBorders>
          </w:tcPr>
          <w:p w:rsidR="00000384" w:rsidRPr="00885D52" w:rsidRDefault="00000384" w:rsidP="005C5C09">
            <w:pPr>
              <w:pStyle w:val="TableText"/>
              <w:jc w:val="center"/>
            </w:pPr>
            <w:r w:rsidRPr="00885D52">
              <w:t>130.7</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7282</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150.6</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1998</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3911</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178.5</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3671</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134.9</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7582</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152.4</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1999</w:t>
            </w:r>
          </w:p>
        </w:tc>
        <w:tc>
          <w:tcPr>
            <w:tcW w:w="1134" w:type="dxa"/>
            <w:tcBorders>
              <w:top w:val="nil"/>
              <w:left w:val="single" w:sz="4" w:space="0" w:color="A6A6A6"/>
              <w:bottom w:val="nil"/>
              <w:right w:val="nil"/>
            </w:tcBorders>
            <w:shd w:val="clear" w:color="auto" w:fill="auto"/>
          </w:tcPr>
          <w:p w:rsidR="00000384" w:rsidRPr="00885D52" w:rsidRDefault="00000384" w:rsidP="005C5C09">
            <w:pPr>
              <w:pStyle w:val="TableText"/>
              <w:jc w:val="center"/>
            </w:pPr>
            <w:r w:rsidRPr="00885D52">
              <w:t>4063</w:t>
            </w:r>
          </w:p>
        </w:tc>
        <w:tc>
          <w:tcPr>
            <w:tcW w:w="1134" w:type="dxa"/>
            <w:tcBorders>
              <w:top w:val="nil"/>
              <w:left w:val="nil"/>
              <w:bottom w:val="nil"/>
              <w:right w:val="single" w:sz="4" w:space="0" w:color="A6A6A6"/>
            </w:tcBorders>
            <w:shd w:val="clear" w:color="auto" w:fill="auto"/>
          </w:tcPr>
          <w:p w:rsidR="00000384" w:rsidRPr="00885D52" w:rsidRDefault="00000384" w:rsidP="005C5C09">
            <w:pPr>
              <w:pStyle w:val="TableText"/>
              <w:jc w:val="center"/>
            </w:pPr>
            <w:r w:rsidRPr="00885D52">
              <w:t>181.3</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3611</w:t>
            </w:r>
          </w:p>
        </w:tc>
        <w:tc>
          <w:tcPr>
            <w:tcW w:w="1134" w:type="dxa"/>
            <w:tcBorders>
              <w:top w:val="nil"/>
              <w:left w:val="nil"/>
              <w:bottom w:val="nil"/>
              <w:right w:val="nil"/>
            </w:tcBorders>
          </w:tcPr>
          <w:p w:rsidR="00000384" w:rsidRPr="00885D52" w:rsidRDefault="00000384" w:rsidP="005C5C09">
            <w:pPr>
              <w:pStyle w:val="TableText"/>
              <w:jc w:val="center"/>
            </w:pPr>
            <w:r w:rsidRPr="00885D52">
              <w:t>130.7</w:t>
            </w:r>
          </w:p>
        </w:tc>
        <w:tc>
          <w:tcPr>
            <w:tcW w:w="1134" w:type="dxa"/>
            <w:tcBorders>
              <w:top w:val="nil"/>
              <w:left w:val="single" w:sz="4" w:space="0" w:color="A6A6A6"/>
              <w:bottom w:val="nil"/>
              <w:right w:val="nil"/>
            </w:tcBorders>
            <w:shd w:val="clear" w:color="auto" w:fill="auto"/>
            <w:vAlign w:val="bottom"/>
          </w:tcPr>
          <w:p w:rsidR="00000384" w:rsidRPr="00885D52" w:rsidRDefault="00000384" w:rsidP="005C5C09">
            <w:pPr>
              <w:pStyle w:val="TableText"/>
              <w:jc w:val="center"/>
            </w:pPr>
            <w:r w:rsidRPr="00885D52">
              <w:t>7674</w:t>
            </w:r>
          </w:p>
        </w:tc>
        <w:tc>
          <w:tcPr>
            <w:tcW w:w="1134" w:type="dxa"/>
            <w:tcBorders>
              <w:top w:val="nil"/>
              <w:left w:val="nil"/>
              <w:bottom w:val="nil"/>
            </w:tcBorders>
            <w:shd w:val="clear" w:color="auto" w:fill="auto"/>
            <w:vAlign w:val="bottom"/>
          </w:tcPr>
          <w:p w:rsidR="00000384" w:rsidRPr="00885D52" w:rsidRDefault="00000384" w:rsidP="005C5C09">
            <w:pPr>
              <w:pStyle w:val="TableText"/>
              <w:jc w:val="center"/>
            </w:pPr>
            <w:r w:rsidRPr="00885D52">
              <w:t>151.4</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2000</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4120</w:t>
            </w:r>
          </w:p>
        </w:tc>
        <w:tc>
          <w:tcPr>
            <w:tcW w:w="1134" w:type="dxa"/>
            <w:tcBorders>
              <w:top w:val="nil"/>
              <w:left w:val="nil"/>
              <w:bottom w:val="nil"/>
              <w:right w:val="single" w:sz="4" w:space="0" w:color="A6A6A6"/>
            </w:tcBorders>
            <w:shd w:val="clear" w:color="auto" w:fill="F2F2F2"/>
          </w:tcPr>
          <w:p w:rsidR="00000384" w:rsidRPr="00885D52" w:rsidRDefault="00000384" w:rsidP="005C5C09">
            <w:pPr>
              <w:pStyle w:val="TableText"/>
              <w:jc w:val="center"/>
            </w:pPr>
            <w:r w:rsidRPr="00885D52">
              <w:t>178.1</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3500</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123.2</w:t>
            </w:r>
          </w:p>
        </w:tc>
        <w:tc>
          <w:tcPr>
            <w:tcW w:w="1134" w:type="dxa"/>
            <w:tcBorders>
              <w:top w:val="nil"/>
              <w:left w:val="single" w:sz="4" w:space="0" w:color="A6A6A6"/>
              <w:bottom w:val="nil"/>
              <w:right w:val="nil"/>
            </w:tcBorders>
            <w:shd w:val="clear" w:color="auto" w:fill="F2F2F2"/>
            <w:vAlign w:val="bottom"/>
          </w:tcPr>
          <w:p w:rsidR="00000384" w:rsidRPr="00885D52" w:rsidRDefault="00000384" w:rsidP="005C5C09">
            <w:pPr>
              <w:pStyle w:val="TableText"/>
              <w:jc w:val="center"/>
            </w:pPr>
            <w:r w:rsidRPr="00885D52">
              <w:t>7620</w:t>
            </w:r>
          </w:p>
        </w:tc>
        <w:tc>
          <w:tcPr>
            <w:tcW w:w="1134" w:type="dxa"/>
            <w:tcBorders>
              <w:top w:val="nil"/>
              <w:left w:val="nil"/>
              <w:bottom w:val="nil"/>
            </w:tcBorders>
            <w:shd w:val="clear" w:color="auto" w:fill="F2F2F2"/>
            <w:vAlign w:val="bottom"/>
          </w:tcPr>
          <w:p w:rsidR="00000384" w:rsidRPr="00885D52" w:rsidRDefault="00000384" w:rsidP="005C5C09">
            <w:pPr>
              <w:pStyle w:val="TableText"/>
              <w:jc w:val="center"/>
            </w:pPr>
            <w:r w:rsidRPr="00885D52">
              <w:t>146.1</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2001</w:t>
            </w:r>
          </w:p>
        </w:tc>
        <w:tc>
          <w:tcPr>
            <w:tcW w:w="1134" w:type="dxa"/>
            <w:tcBorders>
              <w:top w:val="nil"/>
              <w:left w:val="single" w:sz="4" w:space="0" w:color="A6A6A6"/>
              <w:bottom w:val="nil"/>
              <w:right w:val="nil"/>
            </w:tcBorders>
            <w:shd w:val="clear" w:color="auto" w:fill="auto"/>
            <w:noWrap/>
          </w:tcPr>
          <w:p w:rsidR="00000384" w:rsidRPr="00885D52" w:rsidRDefault="00000384" w:rsidP="005C5C09">
            <w:pPr>
              <w:pStyle w:val="TableText"/>
              <w:jc w:val="center"/>
            </w:pPr>
            <w:r w:rsidRPr="00885D52">
              <w:t>4166</w:t>
            </w:r>
          </w:p>
        </w:tc>
        <w:tc>
          <w:tcPr>
            <w:tcW w:w="1134" w:type="dxa"/>
            <w:tcBorders>
              <w:top w:val="nil"/>
              <w:left w:val="nil"/>
              <w:bottom w:val="nil"/>
              <w:right w:val="single" w:sz="4" w:space="0" w:color="A6A6A6"/>
            </w:tcBorders>
            <w:shd w:val="clear" w:color="auto" w:fill="auto"/>
            <w:noWrap/>
          </w:tcPr>
          <w:p w:rsidR="00000384" w:rsidRPr="00885D52" w:rsidRDefault="00000384" w:rsidP="005C5C09">
            <w:pPr>
              <w:pStyle w:val="TableText"/>
              <w:jc w:val="center"/>
            </w:pPr>
            <w:r w:rsidRPr="00885D52">
              <w:t>175.7</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3644</w:t>
            </w:r>
          </w:p>
        </w:tc>
        <w:tc>
          <w:tcPr>
            <w:tcW w:w="1134" w:type="dxa"/>
            <w:tcBorders>
              <w:top w:val="nil"/>
              <w:left w:val="nil"/>
              <w:bottom w:val="nil"/>
              <w:right w:val="nil"/>
            </w:tcBorders>
          </w:tcPr>
          <w:p w:rsidR="00000384" w:rsidRPr="00885D52" w:rsidRDefault="00000384" w:rsidP="005C5C09">
            <w:pPr>
              <w:pStyle w:val="TableText"/>
              <w:jc w:val="center"/>
            </w:pPr>
            <w:r w:rsidRPr="00885D52">
              <w:t>124.6</w:t>
            </w:r>
          </w:p>
        </w:tc>
        <w:tc>
          <w:tcPr>
            <w:tcW w:w="1134" w:type="dxa"/>
            <w:tcBorders>
              <w:top w:val="nil"/>
              <w:left w:val="single" w:sz="4" w:space="0" w:color="A6A6A6"/>
              <w:bottom w:val="nil"/>
              <w:right w:val="nil"/>
            </w:tcBorders>
            <w:shd w:val="clear" w:color="auto" w:fill="auto"/>
            <w:noWrap/>
            <w:vAlign w:val="bottom"/>
          </w:tcPr>
          <w:p w:rsidR="00000384" w:rsidRPr="00885D52" w:rsidRDefault="00000384" w:rsidP="005C5C09">
            <w:pPr>
              <w:pStyle w:val="TableText"/>
              <w:jc w:val="center"/>
            </w:pPr>
            <w:r w:rsidRPr="00885D52">
              <w:t>7810</w:t>
            </w:r>
          </w:p>
        </w:tc>
        <w:tc>
          <w:tcPr>
            <w:tcW w:w="1134" w:type="dxa"/>
            <w:tcBorders>
              <w:top w:val="nil"/>
              <w:left w:val="nil"/>
              <w:bottom w:val="nil"/>
            </w:tcBorders>
            <w:shd w:val="clear" w:color="auto" w:fill="auto"/>
            <w:noWrap/>
            <w:vAlign w:val="bottom"/>
          </w:tcPr>
          <w:p w:rsidR="00000384" w:rsidRPr="00885D52" w:rsidRDefault="00000384" w:rsidP="005C5C09">
            <w:pPr>
              <w:pStyle w:val="TableText"/>
              <w:jc w:val="center"/>
            </w:pPr>
            <w:r w:rsidRPr="00885D52">
              <w:t>145.5</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2002</w:t>
            </w:r>
          </w:p>
        </w:tc>
        <w:tc>
          <w:tcPr>
            <w:tcW w:w="1134" w:type="dxa"/>
            <w:tcBorders>
              <w:top w:val="nil"/>
              <w:left w:val="single" w:sz="4" w:space="0" w:color="A6A6A6"/>
              <w:bottom w:val="nil"/>
              <w:right w:val="nil"/>
            </w:tcBorders>
            <w:shd w:val="clear" w:color="auto" w:fill="F2F2F2"/>
            <w:noWrap/>
          </w:tcPr>
          <w:p w:rsidR="00000384" w:rsidRPr="00885D52" w:rsidRDefault="00000384" w:rsidP="005C5C09">
            <w:pPr>
              <w:pStyle w:val="TableText"/>
              <w:jc w:val="center"/>
            </w:pPr>
            <w:r w:rsidRPr="00885D52">
              <w:t>4125</w:t>
            </w:r>
          </w:p>
        </w:tc>
        <w:tc>
          <w:tcPr>
            <w:tcW w:w="1134" w:type="dxa"/>
            <w:tcBorders>
              <w:top w:val="nil"/>
              <w:left w:val="nil"/>
              <w:bottom w:val="nil"/>
              <w:right w:val="single" w:sz="4" w:space="0" w:color="A6A6A6"/>
            </w:tcBorders>
            <w:shd w:val="clear" w:color="auto" w:fill="F2F2F2"/>
            <w:noWrap/>
          </w:tcPr>
          <w:p w:rsidR="00000384" w:rsidRPr="00885D52" w:rsidRDefault="00000384" w:rsidP="005C5C09">
            <w:pPr>
              <w:pStyle w:val="TableText"/>
              <w:jc w:val="center"/>
            </w:pPr>
            <w:r w:rsidRPr="00885D52">
              <w:t>168.9</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3675</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120.9</w:t>
            </w:r>
          </w:p>
        </w:tc>
        <w:tc>
          <w:tcPr>
            <w:tcW w:w="1134" w:type="dxa"/>
            <w:tcBorders>
              <w:top w:val="nil"/>
              <w:left w:val="single" w:sz="4" w:space="0" w:color="A6A6A6"/>
              <w:bottom w:val="nil"/>
              <w:right w:val="nil"/>
            </w:tcBorders>
            <w:shd w:val="clear" w:color="auto" w:fill="F2F2F2"/>
            <w:noWrap/>
            <w:vAlign w:val="bottom"/>
          </w:tcPr>
          <w:p w:rsidR="00000384" w:rsidRPr="00885D52" w:rsidRDefault="00000384" w:rsidP="005C5C09">
            <w:pPr>
              <w:pStyle w:val="TableText"/>
              <w:jc w:val="center"/>
            </w:pPr>
            <w:r w:rsidRPr="00885D52">
              <w:t>7800</w:t>
            </w:r>
          </w:p>
        </w:tc>
        <w:tc>
          <w:tcPr>
            <w:tcW w:w="1134" w:type="dxa"/>
            <w:tcBorders>
              <w:top w:val="nil"/>
              <w:left w:val="nil"/>
              <w:bottom w:val="nil"/>
            </w:tcBorders>
            <w:shd w:val="clear" w:color="auto" w:fill="F2F2F2"/>
            <w:noWrap/>
            <w:vAlign w:val="bottom"/>
          </w:tcPr>
          <w:p w:rsidR="00000384" w:rsidRPr="00885D52" w:rsidRDefault="00000384" w:rsidP="005C5C09">
            <w:pPr>
              <w:pStyle w:val="TableText"/>
              <w:jc w:val="center"/>
            </w:pPr>
            <w:r w:rsidRPr="00885D52">
              <w:t>140.7</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2003</w:t>
            </w:r>
          </w:p>
        </w:tc>
        <w:tc>
          <w:tcPr>
            <w:tcW w:w="1134" w:type="dxa"/>
            <w:tcBorders>
              <w:top w:val="nil"/>
              <w:left w:val="single" w:sz="4" w:space="0" w:color="A6A6A6"/>
              <w:bottom w:val="nil"/>
              <w:right w:val="nil"/>
            </w:tcBorders>
            <w:shd w:val="clear" w:color="auto" w:fill="auto"/>
            <w:noWrap/>
          </w:tcPr>
          <w:p w:rsidR="00000384" w:rsidRPr="00885D52" w:rsidRDefault="00000384" w:rsidP="005C5C09">
            <w:pPr>
              <w:pStyle w:val="TableText"/>
              <w:jc w:val="center"/>
            </w:pPr>
            <w:r w:rsidRPr="00885D52">
              <w:t>4292</w:t>
            </w:r>
          </w:p>
        </w:tc>
        <w:tc>
          <w:tcPr>
            <w:tcW w:w="1134" w:type="dxa"/>
            <w:tcBorders>
              <w:top w:val="nil"/>
              <w:left w:val="nil"/>
              <w:bottom w:val="nil"/>
              <w:right w:val="single" w:sz="4" w:space="0" w:color="A6A6A6"/>
            </w:tcBorders>
            <w:shd w:val="clear" w:color="auto" w:fill="auto"/>
            <w:noWrap/>
          </w:tcPr>
          <w:p w:rsidR="00000384" w:rsidRPr="00885D52" w:rsidRDefault="00000384" w:rsidP="005C5C09">
            <w:pPr>
              <w:pStyle w:val="TableText"/>
              <w:jc w:val="center"/>
            </w:pPr>
            <w:r w:rsidRPr="00885D52">
              <w:t>170.1</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3735</w:t>
            </w:r>
          </w:p>
        </w:tc>
        <w:tc>
          <w:tcPr>
            <w:tcW w:w="1134" w:type="dxa"/>
            <w:tcBorders>
              <w:top w:val="nil"/>
              <w:left w:val="nil"/>
              <w:bottom w:val="nil"/>
              <w:right w:val="nil"/>
            </w:tcBorders>
          </w:tcPr>
          <w:p w:rsidR="00000384" w:rsidRPr="00885D52" w:rsidRDefault="00000384" w:rsidP="005C5C09">
            <w:pPr>
              <w:pStyle w:val="TableText"/>
              <w:jc w:val="center"/>
            </w:pPr>
            <w:r w:rsidRPr="00885D52">
              <w:t>121.7</w:t>
            </w:r>
          </w:p>
        </w:tc>
        <w:tc>
          <w:tcPr>
            <w:tcW w:w="1134" w:type="dxa"/>
            <w:tcBorders>
              <w:top w:val="nil"/>
              <w:left w:val="single" w:sz="4" w:space="0" w:color="A6A6A6"/>
              <w:bottom w:val="nil"/>
              <w:right w:val="nil"/>
            </w:tcBorders>
            <w:shd w:val="clear" w:color="auto" w:fill="auto"/>
            <w:noWrap/>
            <w:vAlign w:val="bottom"/>
          </w:tcPr>
          <w:p w:rsidR="00000384" w:rsidRPr="00885D52" w:rsidRDefault="00000384" w:rsidP="005C5C09">
            <w:pPr>
              <w:pStyle w:val="TableText"/>
              <w:jc w:val="center"/>
            </w:pPr>
            <w:r w:rsidRPr="00885D52">
              <w:t>8027</w:t>
            </w:r>
          </w:p>
        </w:tc>
        <w:tc>
          <w:tcPr>
            <w:tcW w:w="1134" w:type="dxa"/>
            <w:tcBorders>
              <w:top w:val="nil"/>
              <w:left w:val="nil"/>
              <w:bottom w:val="nil"/>
            </w:tcBorders>
            <w:shd w:val="clear" w:color="auto" w:fill="auto"/>
            <w:noWrap/>
            <w:vAlign w:val="bottom"/>
          </w:tcPr>
          <w:p w:rsidR="00000384" w:rsidRPr="00885D52" w:rsidRDefault="00000384" w:rsidP="005C5C09">
            <w:pPr>
              <w:pStyle w:val="TableText"/>
              <w:jc w:val="center"/>
            </w:pPr>
            <w:r w:rsidRPr="00885D52">
              <w:t>141.8</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2004</w:t>
            </w:r>
          </w:p>
        </w:tc>
        <w:tc>
          <w:tcPr>
            <w:tcW w:w="1134" w:type="dxa"/>
            <w:tcBorders>
              <w:top w:val="nil"/>
              <w:left w:val="single" w:sz="4" w:space="0" w:color="A6A6A6"/>
              <w:bottom w:val="nil"/>
              <w:right w:val="nil"/>
            </w:tcBorders>
            <w:shd w:val="clear" w:color="auto" w:fill="F2F2F2"/>
            <w:noWrap/>
          </w:tcPr>
          <w:p w:rsidR="00000384" w:rsidRPr="00885D52" w:rsidRDefault="00000384" w:rsidP="005C5C09">
            <w:pPr>
              <w:pStyle w:val="TableText"/>
              <w:jc w:val="center"/>
            </w:pPr>
            <w:r w:rsidRPr="00885D52">
              <w:t>4246</w:t>
            </w:r>
          </w:p>
        </w:tc>
        <w:tc>
          <w:tcPr>
            <w:tcW w:w="1134" w:type="dxa"/>
            <w:tcBorders>
              <w:top w:val="nil"/>
              <w:left w:val="nil"/>
              <w:bottom w:val="nil"/>
              <w:right w:val="single" w:sz="4" w:space="0" w:color="A6A6A6"/>
            </w:tcBorders>
            <w:shd w:val="clear" w:color="auto" w:fill="F2F2F2"/>
            <w:noWrap/>
          </w:tcPr>
          <w:p w:rsidR="00000384" w:rsidRPr="00885D52" w:rsidRDefault="00000384" w:rsidP="005C5C09">
            <w:pPr>
              <w:pStyle w:val="TableText"/>
              <w:jc w:val="center"/>
            </w:pPr>
            <w:r w:rsidRPr="00885D52">
              <w:t>164.1</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3899</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124.1</w:t>
            </w:r>
          </w:p>
        </w:tc>
        <w:tc>
          <w:tcPr>
            <w:tcW w:w="1134" w:type="dxa"/>
            <w:tcBorders>
              <w:top w:val="nil"/>
              <w:left w:val="single" w:sz="4" w:space="0" w:color="A6A6A6"/>
              <w:bottom w:val="nil"/>
              <w:right w:val="nil"/>
            </w:tcBorders>
            <w:shd w:val="clear" w:color="auto" w:fill="F2F2F2"/>
            <w:noWrap/>
            <w:vAlign w:val="bottom"/>
          </w:tcPr>
          <w:p w:rsidR="00000384" w:rsidRPr="00885D52" w:rsidRDefault="00000384" w:rsidP="005C5C09">
            <w:pPr>
              <w:pStyle w:val="TableText"/>
              <w:jc w:val="center"/>
            </w:pPr>
            <w:r w:rsidRPr="00885D52">
              <w:t>8145</w:t>
            </w:r>
          </w:p>
        </w:tc>
        <w:tc>
          <w:tcPr>
            <w:tcW w:w="1134" w:type="dxa"/>
            <w:tcBorders>
              <w:top w:val="nil"/>
              <w:left w:val="nil"/>
              <w:bottom w:val="nil"/>
            </w:tcBorders>
            <w:shd w:val="clear" w:color="auto" w:fill="F2F2F2"/>
            <w:noWrap/>
            <w:vAlign w:val="bottom"/>
          </w:tcPr>
          <w:p w:rsidR="00000384" w:rsidRPr="00885D52" w:rsidRDefault="00000384" w:rsidP="005C5C09">
            <w:pPr>
              <w:pStyle w:val="TableText"/>
              <w:jc w:val="center"/>
            </w:pPr>
            <w:r w:rsidRPr="00885D52">
              <w:t>140.7</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2005</w:t>
            </w:r>
          </w:p>
        </w:tc>
        <w:tc>
          <w:tcPr>
            <w:tcW w:w="1134" w:type="dxa"/>
            <w:tcBorders>
              <w:top w:val="nil"/>
              <w:left w:val="single" w:sz="4" w:space="0" w:color="A6A6A6"/>
              <w:bottom w:val="nil"/>
              <w:right w:val="nil"/>
            </w:tcBorders>
            <w:shd w:val="clear" w:color="auto" w:fill="auto"/>
            <w:noWrap/>
          </w:tcPr>
          <w:p w:rsidR="00000384" w:rsidRPr="00885D52" w:rsidRDefault="00000384" w:rsidP="005C5C09">
            <w:pPr>
              <w:pStyle w:val="TableText"/>
              <w:jc w:val="center"/>
            </w:pPr>
            <w:r w:rsidRPr="00885D52">
              <w:t>4184</w:t>
            </w:r>
          </w:p>
        </w:tc>
        <w:tc>
          <w:tcPr>
            <w:tcW w:w="1134" w:type="dxa"/>
            <w:tcBorders>
              <w:top w:val="nil"/>
              <w:left w:val="nil"/>
              <w:bottom w:val="nil"/>
              <w:right w:val="single" w:sz="4" w:space="0" w:color="A6A6A6"/>
            </w:tcBorders>
            <w:shd w:val="clear" w:color="auto" w:fill="auto"/>
            <w:noWrap/>
          </w:tcPr>
          <w:p w:rsidR="00000384" w:rsidRPr="00885D52" w:rsidRDefault="00000384" w:rsidP="005C5C09">
            <w:pPr>
              <w:pStyle w:val="TableText"/>
              <w:jc w:val="center"/>
            </w:pPr>
            <w:r w:rsidRPr="00885D52">
              <w:t>156.6</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3787</w:t>
            </w:r>
          </w:p>
        </w:tc>
        <w:tc>
          <w:tcPr>
            <w:tcW w:w="1134" w:type="dxa"/>
            <w:tcBorders>
              <w:top w:val="nil"/>
              <w:left w:val="nil"/>
              <w:bottom w:val="nil"/>
              <w:right w:val="nil"/>
            </w:tcBorders>
          </w:tcPr>
          <w:p w:rsidR="00000384" w:rsidRPr="00885D52" w:rsidRDefault="00000384" w:rsidP="005C5C09">
            <w:pPr>
              <w:pStyle w:val="TableText"/>
              <w:jc w:val="center"/>
            </w:pPr>
            <w:r w:rsidRPr="00885D52">
              <w:t>116.9</w:t>
            </w:r>
          </w:p>
        </w:tc>
        <w:tc>
          <w:tcPr>
            <w:tcW w:w="1134" w:type="dxa"/>
            <w:tcBorders>
              <w:top w:val="nil"/>
              <w:left w:val="single" w:sz="4" w:space="0" w:color="A6A6A6"/>
              <w:bottom w:val="nil"/>
              <w:right w:val="nil"/>
            </w:tcBorders>
            <w:shd w:val="clear" w:color="auto" w:fill="auto"/>
            <w:noWrap/>
            <w:vAlign w:val="bottom"/>
          </w:tcPr>
          <w:p w:rsidR="00000384" w:rsidRPr="00885D52" w:rsidRDefault="00000384" w:rsidP="005C5C09">
            <w:pPr>
              <w:pStyle w:val="TableText"/>
              <w:jc w:val="center"/>
            </w:pPr>
            <w:r w:rsidRPr="00885D52">
              <w:t>7971</w:t>
            </w:r>
          </w:p>
        </w:tc>
        <w:tc>
          <w:tcPr>
            <w:tcW w:w="1134" w:type="dxa"/>
            <w:tcBorders>
              <w:top w:val="nil"/>
              <w:left w:val="nil"/>
              <w:bottom w:val="nil"/>
            </w:tcBorders>
            <w:shd w:val="clear" w:color="auto" w:fill="auto"/>
            <w:noWrap/>
            <w:vAlign w:val="bottom"/>
          </w:tcPr>
          <w:p w:rsidR="00000384" w:rsidRPr="00885D52" w:rsidRDefault="00000384" w:rsidP="005C5C09">
            <w:pPr>
              <w:pStyle w:val="TableText"/>
              <w:jc w:val="center"/>
            </w:pPr>
            <w:r w:rsidRPr="00885D52">
              <w:t>133.6</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2006</w:t>
            </w:r>
          </w:p>
        </w:tc>
        <w:tc>
          <w:tcPr>
            <w:tcW w:w="1134" w:type="dxa"/>
            <w:tcBorders>
              <w:top w:val="nil"/>
              <w:left w:val="single" w:sz="4" w:space="0" w:color="A6A6A6"/>
              <w:bottom w:val="nil"/>
              <w:right w:val="nil"/>
            </w:tcBorders>
            <w:shd w:val="clear" w:color="auto" w:fill="F2F2F2"/>
            <w:noWrap/>
          </w:tcPr>
          <w:p w:rsidR="00000384" w:rsidRPr="00885D52" w:rsidRDefault="00000384" w:rsidP="005C5C09">
            <w:pPr>
              <w:pStyle w:val="TableText"/>
              <w:jc w:val="center"/>
            </w:pPr>
            <w:r w:rsidRPr="00885D52">
              <w:t>4144</w:t>
            </w:r>
          </w:p>
        </w:tc>
        <w:tc>
          <w:tcPr>
            <w:tcW w:w="1134" w:type="dxa"/>
            <w:tcBorders>
              <w:top w:val="nil"/>
              <w:left w:val="nil"/>
              <w:bottom w:val="nil"/>
              <w:right w:val="single" w:sz="4" w:space="0" w:color="A6A6A6"/>
            </w:tcBorders>
            <w:shd w:val="clear" w:color="auto" w:fill="F2F2F2"/>
            <w:noWrap/>
          </w:tcPr>
          <w:p w:rsidR="00000384" w:rsidRPr="00885D52" w:rsidRDefault="00000384" w:rsidP="005C5C09">
            <w:pPr>
              <w:pStyle w:val="TableText"/>
              <w:jc w:val="center"/>
            </w:pPr>
            <w:r w:rsidRPr="00885D52">
              <w:t>151.3</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3950</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118.5</w:t>
            </w:r>
          </w:p>
        </w:tc>
        <w:tc>
          <w:tcPr>
            <w:tcW w:w="1134" w:type="dxa"/>
            <w:tcBorders>
              <w:top w:val="nil"/>
              <w:left w:val="single" w:sz="4" w:space="0" w:color="A6A6A6"/>
              <w:bottom w:val="nil"/>
              <w:right w:val="nil"/>
            </w:tcBorders>
            <w:shd w:val="clear" w:color="auto" w:fill="F2F2F2"/>
            <w:noWrap/>
            <w:vAlign w:val="bottom"/>
          </w:tcPr>
          <w:p w:rsidR="00000384" w:rsidRPr="00885D52" w:rsidRDefault="00000384" w:rsidP="005C5C09">
            <w:pPr>
              <w:pStyle w:val="TableText"/>
              <w:jc w:val="center"/>
            </w:pPr>
            <w:r w:rsidRPr="00885D52">
              <w:t>8094</w:t>
            </w:r>
          </w:p>
        </w:tc>
        <w:tc>
          <w:tcPr>
            <w:tcW w:w="1134" w:type="dxa"/>
            <w:tcBorders>
              <w:top w:val="nil"/>
              <w:left w:val="nil"/>
              <w:bottom w:val="nil"/>
            </w:tcBorders>
            <w:shd w:val="clear" w:color="auto" w:fill="F2F2F2"/>
            <w:noWrap/>
            <w:vAlign w:val="bottom"/>
          </w:tcPr>
          <w:p w:rsidR="00000384" w:rsidRPr="00885D52" w:rsidRDefault="00000384" w:rsidP="005C5C09">
            <w:pPr>
              <w:pStyle w:val="TableText"/>
              <w:jc w:val="center"/>
            </w:pPr>
            <w:r w:rsidRPr="00885D52">
              <w:t>132.4</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2007</w:t>
            </w:r>
          </w:p>
        </w:tc>
        <w:tc>
          <w:tcPr>
            <w:tcW w:w="1134" w:type="dxa"/>
            <w:tcBorders>
              <w:top w:val="nil"/>
              <w:left w:val="single" w:sz="4" w:space="0" w:color="A6A6A6"/>
              <w:bottom w:val="nil"/>
              <w:right w:val="nil"/>
            </w:tcBorders>
            <w:shd w:val="clear" w:color="auto" w:fill="auto"/>
            <w:noWrap/>
          </w:tcPr>
          <w:p w:rsidR="00000384" w:rsidRPr="00885D52" w:rsidRDefault="00000384" w:rsidP="005C5C09">
            <w:pPr>
              <w:pStyle w:val="TableText"/>
              <w:jc w:val="center"/>
            </w:pPr>
            <w:r w:rsidRPr="00885D52">
              <w:t>4539</w:t>
            </w:r>
          </w:p>
        </w:tc>
        <w:tc>
          <w:tcPr>
            <w:tcW w:w="1134" w:type="dxa"/>
            <w:tcBorders>
              <w:top w:val="nil"/>
              <w:left w:val="nil"/>
              <w:bottom w:val="nil"/>
              <w:right w:val="single" w:sz="4" w:space="0" w:color="A6A6A6"/>
            </w:tcBorders>
            <w:shd w:val="clear" w:color="auto" w:fill="auto"/>
            <w:noWrap/>
          </w:tcPr>
          <w:p w:rsidR="00000384" w:rsidRPr="00885D52" w:rsidRDefault="00000384" w:rsidP="005C5C09">
            <w:pPr>
              <w:pStyle w:val="TableText"/>
              <w:jc w:val="center"/>
            </w:pPr>
            <w:r w:rsidRPr="00885D52">
              <w:t>159.4</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3980</w:t>
            </w:r>
          </w:p>
        </w:tc>
        <w:tc>
          <w:tcPr>
            <w:tcW w:w="1134" w:type="dxa"/>
            <w:tcBorders>
              <w:top w:val="nil"/>
              <w:left w:val="nil"/>
              <w:bottom w:val="nil"/>
              <w:right w:val="nil"/>
            </w:tcBorders>
          </w:tcPr>
          <w:p w:rsidR="00000384" w:rsidRPr="00885D52" w:rsidRDefault="00000384" w:rsidP="005C5C09">
            <w:pPr>
              <w:pStyle w:val="TableText"/>
              <w:jc w:val="center"/>
            </w:pPr>
            <w:r w:rsidRPr="00885D52">
              <w:t>117.3</w:t>
            </w:r>
          </w:p>
        </w:tc>
        <w:tc>
          <w:tcPr>
            <w:tcW w:w="1134" w:type="dxa"/>
            <w:tcBorders>
              <w:top w:val="nil"/>
              <w:left w:val="single" w:sz="4" w:space="0" w:color="A6A6A6"/>
              <w:bottom w:val="nil"/>
              <w:right w:val="nil"/>
            </w:tcBorders>
            <w:shd w:val="clear" w:color="auto" w:fill="auto"/>
            <w:noWrap/>
            <w:vAlign w:val="bottom"/>
          </w:tcPr>
          <w:p w:rsidR="00000384" w:rsidRPr="00885D52" w:rsidRDefault="00000384" w:rsidP="005C5C09">
            <w:pPr>
              <w:pStyle w:val="TableText"/>
              <w:jc w:val="center"/>
            </w:pPr>
            <w:r w:rsidRPr="00885D52">
              <w:t>8519</w:t>
            </w:r>
          </w:p>
        </w:tc>
        <w:tc>
          <w:tcPr>
            <w:tcW w:w="1134" w:type="dxa"/>
            <w:tcBorders>
              <w:top w:val="nil"/>
              <w:left w:val="nil"/>
              <w:bottom w:val="nil"/>
            </w:tcBorders>
            <w:shd w:val="clear" w:color="auto" w:fill="auto"/>
            <w:noWrap/>
            <w:vAlign w:val="bottom"/>
          </w:tcPr>
          <w:p w:rsidR="00000384" w:rsidRPr="00885D52" w:rsidRDefault="00000384" w:rsidP="005C5C09">
            <w:pPr>
              <w:pStyle w:val="TableText"/>
              <w:jc w:val="center"/>
            </w:pPr>
            <w:r w:rsidRPr="00885D52">
              <w:t>135.1</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2008</w:t>
            </w:r>
          </w:p>
        </w:tc>
        <w:tc>
          <w:tcPr>
            <w:tcW w:w="1134" w:type="dxa"/>
            <w:tcBorders>
              <w:top w:val="nil"/>
              <w:left w:val="single" w:sz="4" w:space="0" w:color="A6A6A6"/>
              <w:bottom w:val="nil"/>
              <w:right w:val="nil"/>
            </w:tcBorders>
            <w:shd w:val="clear" w:color="auto" w:fill="F2F2F2"/>
            <w:noWrap/>
          </w:tcPr>
          <w:p w:rsidR="00000384" w:rsidRPr="00885D52" w:rsidRDefault="00000384" w:rsidP="005C5C09">
            <w:pPr>
              <w:pStyle w:val="TableText"/>
              <w:jc w:val="center"/>
            </w:pPr>
            <w:r w:rsidRPr="00885D52">
              <w:t>4561</w:t>
            </w:r>
          </w:p>
        </w:tc>
        <w:tc>
          <w:tcPr>
            <w:tcW w:w="1134" w:type="dxa"/>
            <w:tcBorders>
              <w:top w:val="nil"/>
              <w:left w:val="nil"/>
              <w:bottom w:val="nil"/>
              <w:right w:val="single" w:sz="4" w:space="0" w:color="A6A6A6"/>
            </w:tcBorders>
            <w:shd w:val="clear" w:color="auto" w:fill="F2F2F2"/>
            <w:noWrap/>
          </w:tcPr>
          <w:p w:rsidR="00000384" w:rsidRPr="00885D52" w:rsidRDefault="00000384" w:rsidP="005C5C09">
            <w:pPr>
              <w:pStyle w:val="TableText"/>
              <w:jc w:val="center"/>
            </w:pPr>
            <w:r w:rsidRPr="00885D52">
              <w:t>154.9</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4005</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115.3</w:t>
            </w:r>
          </w:p>
        </w:tc>
        <w:tc>
          <w:tcPr>
            <w:tcW w:w="1134" w:type="dxa"/>
            <w:tcBorders>
              <w:top w:val="nil"/>
              <w:left w:val="single" w:sz="4" w:space="0" w:color="A6A6A6"/>
              <w:bottom w:val="nil"/>
              <w:right w:val="nil"/>
            </w:tcBorders>
            <w:shd w:val="clear" w:color="auto" w:fill="F2F2F2"/>
            <w:noWrap/>
            <w:vAlign w:val="bottom"/>
          </w:tcPr>
          <w:p w:rsidR="00000384" w:rsidRPr="00885D52" w:rsidRDefault="00000384" w:rsidP="005C5C09">
            <w:pPr>
              <w:pStyle w:val="TableText"/>
              <w:jc w:val="center"/>
            </w:pPr>
            <w:r w:rsidRPr="00885D52">
              <w:t>8566</w:t>
            </w:r>
          </w:p>
        </w:tc>
        <w:tc>
          <w:tcPr>
            <w:tcW w:w="1134" w:type="dxa"/>
            <w:tcBorders>
              <w:top w:val="nil"/>
              <w:left w:val="nil"/>
              <w:bottom w:val="nil"/>
            </w:tcBorders>
            <w:shd w:val="clear" w:color="auto" w:fill="F2F2F2"/>
            <w:noWrap/>
            <w:vAlign w:val="bottom"/>
          </w:tcPr>
          <w:p w:rsidR="00000384" w:rsidRPr="00885D52" w:rsidRDefault="00000384" w:rsidP="005C5C09">
            <w:pPr>
              <w:pStyle w:val="TableText"/>
              <w:jc w:val="center"/>
            </w:pPr>
            <w:r w:rsidRPr="00885D52">
              <w:t>132.3</w:t>
            </w:r>
          </w:p>
        </w:tc>
      </w:tr>
      <w:tr w:rsidR="00000384" w:rsidRPr="00885D52" w:rsidTr="00E74AD1">
        <w:trPr>
          <w:cantSplit/>
        </w:trPr>
        <w:tc>
          <w:tcPr>
            <w:tcW w:w="1134" w:type="dxa"/>
            <w:tcBorders>
              <w:top w:val="nil"/>
              <w:bottom w:val="nil"/>
              <w:right w:val="single" w:sz="4" w:space="0" w:color="A6A6A6"/>
            </w:tcBorders>
            <w:shd w:val="clear" w:color="auto" w:fill="auto"/>
          </w:tcPr>
          <w:p w:rsidR="00000384" w:rsidRPr="00885D52" w:rsidRDefault="00000384" w:rsidP="005C5C09">
            <w:pPr>
              <w:pStyle w:val="TableText"/>
              <w:jc w:val="center"/>
            </w:pPr>
            <w:r w:rsidRPr="00885D52">
              <w:t>2009</w:t>
            </w:r>
          </w:p>
        </w:tc>
        <w:tc>
          <w:tcPr>
            <w:tcW w:w="1134" w:type="dxa"/>
            <w:tcBorders>
              <w:top w:val="nil"/>
              <w:left w:val="single" w:sz="4" w:space="0" w:color="A6A6A6"/>
              <w:bottom w:val="nil"/>
              <w:right w:val="nil"/>
            </w:tcBorders>
            <w:shd w:val="clear" w:color="auto" w:fill="auto"/>
            <w:noWrap/>
          </w:tcPr>
          <w:p w:rsidR="00000384" w:rsidRPr="00885D52" w:rsidRDefault="00000384" w:rsidP="005C5C09">
            <w:pPr>
              <w:pStyle w:val="TableText"/>
              <w:jc w:val="center"/>
            </w:pPr>
            <w:r w:rsidRPr="00885D52">
              <w:t>4402</w:t>
            </w:r>
          </w:p>
        </w:tc>
        <w:tc>
          <w:tcPr>
            <w:tcW w:w="1134" w:type="dxa"/>
            <w:tcBorders>
              <w:top w:val="nil"/>
              <w:left w:val="nil"/>
              <w:bottom w:val="nil"/>
              <w:right w:val="single" w:sz="4" w:space="0" w:color="A6A6A6"/>
            </w:tcBorders>
            <w:shd w:val="clear" w:color="auto" w:fill="auto"/>
            <w:noWrap/>
          </w:tcPr>
          <w:p w:rsidR="00000384" w:rsidRPr="00885D52" w:rsidRDefault="00000384" w:rsidP="005C5C09">
            <w:pPr>
              <w:pStyle w:val="TableText"/>
              <w:jc w:val="center"/>
            </w:pPr>
            <w:r w:rsidRPr="00885D52">
              <w:t>145.4</w:t>
            </w:r>
          </w:p>
        </w:tc>
        <w:tc>
          <w:tcPr>
            <w:tcW w:w="1134" w:type="dxa"/>
            <w:tcBorders>
              <w:top w:val="nil"/>
              <w:left w:val="single" w:sz="4" w:space="0" w:color="A6A6A6"/>
              <w:bottom w:val="nil"/>
              <w:right w:val="nil"/>
            </w:tcBorders>
          </w:tcPr>
          <w:p w:rsidR="00000384" w:rsidRPr="00885D52" w:rsidRDefault="00000384" w:rsidP="005C5C09">
            <w:pPr>
              <w:pStyle w:val="TableText"/>
              <w:jc w:val="center"/>
            </w:pPr>
            <w:r w:rsidRPr="00885D52">
              <w:t>4035</w:t>
            </w:r>
          </w:p>
        </w:tc>
        <w:tc>
          <w:tcPr>
            <w:tcW w:w="1134" w:type="dxa"/>
            <w:tcBorders>
              <w:top w:val="nil"/>
              <w:left w:val="nil"/>
              <w:bottom w:val="nil"/>
              <w:right w:val="nil"/>
            </w:tcBorders>
          </w:tcPr>
          <w:p w:rsidR="00000384" w:rsidRPr="00885D52" w:rsidRDefault="00000384" w:rsidP="005C5C09">
            <w:pPr>
              <w:pStyle w:val="TableText"/>
              <w:jc w:val="center"/>
            </w:pPr>
            <w:r w:rsidRPr="00885D52">
              <w:t>112.6</w:t>
            </w:r>
          </w:p>
        </w:tc>
        <w:tc>
          <w:tcPr>
            <w:tcW w:w="1134" w:type="dxa"/>
            <w:tcBorders>
              <w:top w:val="nil"/>
              <w:left w:val="single" w:sz="4" w:space="0" w:color="A6A6A6"/>
              <w:bottom w:val="nil"/>
              <w:right w:val="nil"/>
            </w:tcBorders>
            <w:shd w:val="clear" w:color="auto" w:fill="auto"/>
            <w:noWrap/>
            <w:vAlign w:val="bottom"/>
          </w:tcPr>
          <w:p w:rsidR="00000384" w:rsidRPr="00885D52" w:rsidRDefault="00000384" w:rsidP="005C5C09">
            <w:pPr>
              <w:pStyle w:val="TableText"/>
              <w:jc w:val="center"/>
            </w:pPr>
            <w:r w:rsidRPr="00885D52">
              <w:t>8437</w:t>
            </w:r>
          </w:p>
        </w:tc>
        <w:tc>
          <w:tcPr>
            <w:tcW w:w="1134" w:type="dxa"/>
            <w:tcBorders>
              <w:top w:val="nil"/>
              <w:left w:val="nil"/>
              <w:bottom w:val="nil"/>
            </w:tcBorders>
            <w:shd w:val="clear" w:color="auto" w:fill="auto"/>
            <w:noWrap/>
            <w:vAlign w:val="bottom"/>
          </w:tcPr>
          <w:p w:rsidR="00000384" w:rsidRPr="00885D52" w:rsidRDefault="00000384" w:rsidP="005C5C09">
            <w:pPr>
              <w:pStyle w:val="TableText"/>
              <w:jc w:val="center"/>
            </w:pPr>
            <w:r w:rsidRPr="00885D52">
              <w:t>126.8</w:t>
            </w:r>
          </w:p>
        </w:tc>
      </w:tr>
      <w:tr w:rsidR="00000384" w:rsidRPr="00885D52" w:rsidTr="00E74AD1">
        <w:trPr>
          <w:cantSplit/>
        </w:trPr>
        <w:tc>
          <w:tcPr>
            <w:tcW w:w="1134" w:type="dxa"/>
            <w:tcBorders>
              <w:top w:val="nil"/>
              <w:bottom w:val="nil"/>
              <w:right w:val="single" w:sz="4" w:space="0" w:color="A6A6A6"/>
            </w:tcBorders>
            <w:shd w:val="clear" w:color="auto" w:fill="F2F2F2"/>
          </w:tcPr>
          <w:p w:rsidR="00000384" w:rsidRPr="00885D52" w:rsidRDefault="00000384" w:rsidP="005C5C09">
            <w:pPr>
              <w:pStyle w:val="TableText"/>
              <w:jc w:val="center"/>
            </w:pPr>
            <w:r w:rsidRPr="00885D52">
              <w:t>2010</w:t>
            </w:r>
          </w:p>
        </w:tc>
        <w:tc>
          <w:tcPr>
            <w:tcW w:w="1134" w:type="dxa"/>
            <w:tcBorders>
              <w:top w:val="nil"/>
              <w:left w:val="single" w:sz="4" w:space="0" w:color="A6A6A6"/>
              <w:bottom w:val="nil"/>
              <w:right w:val="nil"/>
            </w:tcBorders>
            <w:shd w:val="clear" w:color="auto" w:fill="F2F2F2"/>
            <w:noWrap/>
          </w:tcPr>
          <w:p w:rsidR="00000384" w:rsidRPr="00885D52" w:rsidRDefault="00000384" w:rsidP="005C5C09">
            <w:pPr>
              <w:pStyle w:val="TableText"/>
              <w:jc w:val="center"/>
            </w:pPr>
            <w:r w:rsidRPr="00885D52">
              <w:t>4511</w:t>
            </w:r>
          </w:p>
        </w:tc>
        <w:tc>
          <w:tcPr>
            <w:tcW w:w="1134" w:type="dxa"/>
            <w:tcBorders>
              <w:top w:val="nil"/>
              <w:left w:val="nil"/>
              <w:bottom w:val="nil"/>
              <w:right w:val="single" w:sz="4" w:space="0" w:color="A6A6A6"/>
            </w:tcBorders>
            <w:shd w:val="clear" w:color="auto" w:fill="F2F2F2"/>
            <w:noWrap/>
          </w:tcPr>
          <w:p w:rsidR="00000384" w:rsidRPr="00885D52" w:rsidRDefault="00000384" w:rsidP="005C5C09">
            <w:pPr>
              <w:pStyle w:val="TableText"/>
              <w:jc w:val="center"/>
            </w:pPr>
            <w:r w:rsidRPr="00885D52">
              <w:t>143.9</w:t>
            </w:r>
          </w:p>
        </w:tc>
        <w:tc>
          <w:tcPr>
            <w:tcW w:w="1134" w:type="dxa"/>
            <w:tcBorders>
              <w:top w:val="nil"/>
              <w:left w:val="single" w:sz="4" w:space="0" w:color="A6A6A6"/>
              <w:bottom w:val="nil"/>
              <w:right w:val="nil"/>
            </w:tcBorders>
            <w:shd w:val="clear" w:color="auto" w:fill="F2F2F2"/>
          </w:tcPr>
          <w:p w:rsidR="00000384" w:rsidRPr="00885D52" w:rsidRDefault="00000384" w:rsidP="005C5C09">
            <w:pPr>
              <w:pStyle w:val="TableText"/>
              <w:jc w:val="center"/>
            </w:pPr>
            <w:r w:rsidRPr="00885D52">
              <w:t>4082</w:t>
            </w:r>
          </w:p>
        </w:tc>
        <w:tc>
          <w:tcPr>
            <w:tcW w:w="1134" w:type="dxa"/>
            <w:tcBorders>
              <w:top w:val="nil"/>
              <w:left w:val="nil"/>
              <w:bottom w:val="nil"/>
              <w:right w:val="nil"/>
            </w:tcBorders>
            <w:shd w:val="clear" w:color="auto" w:fill="F2F2F2"/>
          </w:tcPr>
          <w:p w:rsidR="00000384" w:rsidRPr="00885D52" w:rsidRDefault="00000384" w:rsidP="005C5C09">
            <w:pPr>
              <w:pStyle w:val="TableText"/>
              <w:jc w:val="center"/>
            </w:pPr>
            <w:r w:rsidRPr="00885D52">
              <w:t>110.6</w:t>
            </w:r>
          </w:p>
        </w:tc>
        <w:tc>
          <w:tcPr>
            <w:tcW w:w="1134" w:type="dxa"/>
            <w:tcBorders>
              <w:top w:val="nil"/>
              <w:left w:val="single" w:sz="4" w:space="0" w:color="A6A6A6"/>
              <w:bottom w:val="nil"/>
              <w:right w:val="nil"/>
            </w:tcBorders>
            <w:shd w:val="clear" w:color="auto" w:fill="F2F2F2"/>
            <w:noWrap/>
            <w:vAlign w:val="bottom"/>
          </w:tcPr>
          <w:p w:rsidR="00000384" w:rsidRPr="00885D52" w:rsidRDefault="00000384" w:rsidP="005C5C09">
            <w:pPr>
              <w:pStyle w:val="TableText"/>
              <w:jc w:val="center"/>
            </w:pPr>
            <w:r w:rsidRPr="00885D52">
              <w:t>8593</w:t>
            </w:r>
          </w:p>
        </w:tc>
        <w:tc>
          <w:tcPr>
            <w:tcW w:w="1134" w:type="dxa"/>
            <w:tcBorders>
              <w:top w:val="nil"/>
              <w:left w:val="nil"/>
              <w:bottom w:val="nil"/>
            </w:tcBorders>
            <w:shd w:val="clear" w:color="auto" w:fill="F2F2F2"/>
            <w:noWrap/>
            <w:vAlign w:val="bottom"/>
          </w:tcPr>
          <w:p w:rsidR="00000384" w:rsidRPr="00885D52" w:rsidRDefault="00000384" w:rsidP="005C5C09">
            <w:pPr>
              <w:pStyle w:val="TableText"/>
              <w:jc w:val="center"/>
            </w:pPr>
            <w:r w:rsidRPr="00885D52">
              <w:t>125.2</w:t>
            </w:r>
          </w:p>
        </w:tc>
      </w:tr>
      <w:tr w:rsidR="00000384" w:rsidRPr="00885D52" w:rsidTr="00E74AD1">
        <w:trPr>
          <w:cantSplit/>
        </w:trPr>
        <w:tc>
          <w:tcPr>
            <w:tcW w:w="1134" w:type="dxa"/>
            <w:tcBorders>
              <w:top w:val="nil"/>
              <w:bottom w:val="single" w:sz="4" w:space="0" w:color="auto"/>
              <w:right w:val="single" w:sz="4" w:space="0" w:color="A6A6A6"/>
            </w:tcBorders>
            <w:shd w:val="clear" w:color="auto" w:fill="auto"/>
          </w:tcPr>
          <w:p w:rsidR="00000384" w:rsidRPr="00885D52" w:rsidRDefault="00000384" w:rsidP="005C5C09">
            <w:pPr>
              <w:pStyle w:val="TableText"/>
              <w:jc w:val="center"/>
            </w:pPr>
            <w:r w:rsidRPr="00885D52">
              <w:t>2011</w:t>
            </w:r>
          </w:p>
        </w:tc>
        <w:tc>
          <w:tcPr>
            <w:tcW w:w="1134" w:type="dxa"/>
            <w:tcBorders>
              <w:top w:val="nil"/>
              <w:left w:val="single" w:sz="4" w:space="0" w:color="A6A6A6"/>
              <w:bottom w:val="single" w:sz="4" w:space="0" w:color="auto"/>
              <w:right w:val="nil"/>
            </w:tcBorders>
            <w:shd w:val="clear" w:color="auto" w:fill="auto"/>
            <w:noWrap/>
          </w:tcPr>
          <w:p w:rsidR="00000384" w:rsidRPr="00885D52" w:rsidRDefault="00000384" w:rsidP="005C5C09">
            <w:pPr>
              <w:pStyle w:val="TableText"/>
              <w:jc w:val="center"/>
            </w:pPr>
            <w:r w:rsidRPr="00885D52">
              <w:t>4650</w:t>
            </w:r>
          </w:p>
        </w:tc>
        <w:tc>
          <w:tcPr>
            <w:tcW w:w="1134" w:type="dxa"/>
            <w:tcBorders>
              <w:top w:val="nil"/>
              <w:left w:val="nil"/>
              <w:bottom w:val="single" w:sz="4" w:space="0" w:color="auto"/>
              <w:right w:val="single" w:sz="4" w:space="0" w:color="A6A6A6"/>
            </w:tcBorders>
            <w:shd w:val="clear" w:color="auto" w:fill="auto"/>
            <w:noWrap/>
          </w:tcPr>
          <w:p w:rsidR="00000384" w:rsidRPr="00885D52" w:rsidRDefault="00000384" w:rsidP="005C5C09">
            <w:pPr>
              <w:pStyle w:val="TableText"/>
              <w:jc w:val="center"/>
            </w:pPr>
            <w:r w:rsidRPr="00885D52">
              <w:t>143.3</w:t>
            </w:r>
          </w:p>
        </w:tc>
        <w:tc>
          <w:tcPr>
            <w:tcW w:w="1134" w:type="dxa"/>
            <w:tcBorders>
              <w:top w:val="nil"/>
              <w:left w:val="single" w:sz="4" w:space="0" w:color="A6A6A6"/>
              <w:bottom w:val="single" w:sz="4" w:space="0" w:color="auto"/>
              <w:right w:val="nil"/>
            </w:tcBorders>
            <w:shd w:val="clear" w:color="auto" w:fill="auto"/>
          </w:tcPr>
          <w:p w:rsidR="00000384" w:rsidRPr="00885D52" w:rsidRDefault="00000384" w:rsidP="005C5C09">
            <w:pPr>
              <w:pStyle w:val="TableText"/>
              <w:jc w:val="center"/>
            </w:pPr>
            <w:r w:rsidRPr="00885D52">
              <w:t>4241</w:t>
            </w:r>
          </w:p>
        </w:tc>
        <w:tc>
          <w:tcPr>
            <w:tcW w:w="1134" w:type="dxa"/>
            <w:tcBorders>
              <w:top w:val="nil"/>
              <w:left w:val="nil"/>
              <w:bottom w:val="single" w:sz="4" w:space="0" w:color="auto"/>
              <w:right w:val="nil"/>
            </w:tcBorders>
            <w:shd w:val="clear" w:color="auto" w:fill="auto"/>
          </w:tcPr>
          <w:p w:rsidR="00000384" w:rsidRPr="00885D52" w:rsidRDefault="00000384" w:rsidP="005C5C09">
            <w:pPr>
              <w:pStyle w:val="TableText"/>
              <w:jc w:val="center"/>
            </w:pPr>
            <w:r w:rsidRPr="00885D52">
              <w:t>112.6</w:t>
            </w:r>
          </w:p>
        </w:tc>
        <w:tc>
          <w:tcPr>
            <w:tcW w:w="1134" w:type="dxa"/>
            <w:tcBorders>
              <w:top w:val="nil"/>
              <w:left w:val="single" w:sz="4" w:space="0" w:color="A6A6A6"/>
              <w:bottom w:val="single" w:sz="4" w:space="0" w:color="auto"/>
              <w:right w:val="nil"/>
            </w:tcBorders>
            <w:shd w:val="clear" w:color="auto" w:fill="auto"/>
            <w:noWrap/>
            <w:vAlign w:val="bottom"/>
          </w:tcPr>
          <w:p w:rsidR="00000384" w:rsidRPr="00885D52" w:rsidRDefault="00000384" w:rsidP="005C5C09">
            <w:pPr>
              <w:pStyle w:val="TableText"/>
              <w:jc w:val="center"/>
            </w:pPr>
            <w:r w:rsidRPr="00885D52">
              <w:t>8891</w:t>
            </w:r>
          </w:p>
        </w:tc>
        <w:tc>
          <w:tcPr>
            <w:tcW w:w="1134" w:type="dxa"/>
            <w:tcBorders>
              <w:top w:val="nil"/>
              <w:left w:val="nil"/>
              <w:bottom w:val="single" w:sz="4" w:space="0" w:color="auto"/>
            </w:tcBorders>
            <w:shd w:val="clear" w:color="auto" w:fill="auto"/>
            <w:noWrap/>
            <w:vAlign w:val="bottom"/>
          </w:tcPr>
          <w:p w:rsidR="00000384" w:rsidRPr="00885D52" w:rsidRDefault="00000384" w:rsidP="005C5C09">
            <w:pPr>
              <w:pStyle w:val="TableText"/>
              <w:jc w:val="center"/>
            </w:pPr>
            <w:r w:rsidRPr="00885D52">
              <w:t>125.9</w:t>
            </w:r>
          </w:p>
        </w:tc>
      </w:tr>
    </w:tbl>
    <w:p w:rsidR="00000384" w:rsidRPr="00885D52" w:rsidRDefault="00000384" w:rsidP="005C5C09">
      <w:pPr>
        <w:pStyle w:val="Note"/>
      </w:pPr>
      <w:r w:rsidRPr="00885D52">
        <w:t>Note: Rates per 100,000 population, age-standardised to WHO World Standard Population.</w:t>
      </w:r>
    </w:p>
    <w:p w:rsidR="00E74AD1" w:rsidRPr="00885D52" w:rsidRDefault="00E74AD1" w:rsidP="00E74AD1">
      <w:bookmarkStart w:id="300" w:name="_Ref132173039"/>
      <w:bookmarkStart w:id="301" w:name="_Toc167268874"/>
      <w:bookmarkStart w:id="302" w:name="_Toc236641293"/>
      <w:bookmarkStart w:id="303" w:name="_Toc262631270"/>
    </w:p>
    <w:p w:rsidR="00000384" w:rsidRPr="00885D52" w:rsidRDefault="00000384" w:rsidP="008A16FC">
      <w:pPr>
        <w:keepNext/>
      </w:pPr>
      <w:r w:rsidRPr="00885D52">
        <w:t>Figure 11 shows how the numbers and mortality rates from cancer have changed since 1950. Although the number of deaths has increased steadily for both males and females, matching the general rise in population, the rate has shown a different trend.</w:t>
      </w:r>
    </w:p>
    <w:p w:rsidR="00000384" w:rsidRPr="00885D52" w:rsidRDefault="00000384" w:rsidP="008A16FC">
      <w:pPr>
        <w:keepNext/>
      </w:pPr>
    </w:p>
    <w:p w:rsidR="008D5D23" w:rsidRPr="00885D52" w:rsidRDefault="00000384" w:rsidP="008A16FC">
      <w:pPr>
        <w:keepNext/>
      </w:pPr>
      <w:r w:rsidRPr="00885D52">
        <w:t xml:space="preserve">Male rates showed a general increase, with a high point in 1985, and then showed a gradual decline to below the levels seen in the 1950s. Female rates showed more stability, but reached </w:t>
      </w:r>
      <w:r w:rsidRPr="00885D52">
        <w:lastRenderedPageBreak/>
        <w:t>their highest level in 1990. The male rate in 2011 was the lowest seen since 1950, while the female rate in 2010 was the lowest over the entire period.</w:t>
      </w:r>
    </w:p>
    <w:p w:rsidR="00000384" w:rsidRPr="00885D52" w:rsidRDefault="00000384" w:rsidP="008A16FC">
      <w:pPr>
        <w:keepNext/>
      </w:pPr>
    </w:p>
    <w:p w:rsidR="00000384" w:rsidRPr="00885D52" w:rsidRDefault="00000384" w:rsidP="00E74AD1">
      <w:pPr>
        <w:pStyle w:val="Figure"/>
      </w:pPr>
      <w:bookmarkStart w:id="304" w:name="_Toc352670679"/>
      <w:bookmarkStart w:id="305" w:name="_Toc400536110"/>
      <w:bookmarkStart w:id="306" w:name="_Toc403120585"/>
      <w:bookmarkStart w:id="307" w:name="OLE_LINK6"/>
      <w:bookmarkEnd w:id="300"/>
      <w:bookmarkEnd w:id="301"/>
      <w:bookmarkEnd w:id="302"/>
      <w:bookmarkEnd w:id="303"/>
      <w:r w:rsidRPr="00885D52">
        <w:t>Figure 11: Numbers and age-standardised mortality rates from cancer, by sex, 1950–201</w:t>
      </w:r>
      <w:bookmarkEnd w:id="304"/>
      <w:r w:rsidRPr="00885D52">
        <w:t>1</w:t>
      </w:r>
      <w:bookmarkEnd w:id="305"/>
      <w:bookmarkEnd w:id="306"/>
    </w:p>
    <w:p w:rsidR="00000384" w:rsidRPr="00885D52" w:rsidRDefault="00E74AD1" w:rsidP="00E74AD1">
      <w:r w:rsidRPr="00885D52">
        <w:rPr>
          <w:noProof/>
          <w:lang w:eastAsia="en-NZ"/>
        </w:rPr>
        <w:drawing>
          <wp:inline distT="0" distB="0" distL="0" distR="0" wp14:anchorId="6491B42E" wp14:editId="44BA33B5">
            <wp:extent cx="5037512" cy="3069868"/>
            <wp:effectExtent l="0" t="0" r="0" b="0"/>
            <wp:docPr id="9" name="Picture 9" title="Figure 11: Numbers and age-standardised mortality rates from cancer,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3181" cy="3073322"/>
                    </a:xfrm>
                    <a:prstGeom prst="rect">
                      <a:avLst/>
                    </a:prstGeom>
                  </pic:spPr>
                </pic:pic>
              </a:graphicData>
            </a:graphic>
          </wp:inline>
        </w:drawing>
      </w:r>
    </w:p>
    <w:bookmarkEnd w:id="307"/>
    <w:p w:rsidR="00000384" w:rsidRPr="00885D52" w:rsidRDefault="00000384" w:rsidP="00E74AD1">
      <w:pPr>
        <w:pStyle w:val="Note"/>
      </w:pPr>
      <w:r w:rsidRPr="00885D52">
        <w:t>Note: Rates per 100,000 population, age-standardised to WHO World Standard Population.</w:t>
      </w:r>
    </w:p>
    <w:p w:rsidR="00000384" w:rsidRPr="00885D52" w:rsidRDefault="00000384" w:rsidP="00E74AD1"/>
    <w:p w:rsidR="00000384" w:rsidRPr="00885D52" w:rsidRDefault="00000384" w:rsidP="00E74AD1">
      <w:r w:rsidRPr="00885D52">
        <w:t>Table 5 shows the 2011 percentage distribution of deaths and age-specific mortality rates from cancer for four age groupings for Māori and non-Māori.</w:t>
      </w:r>
    </w:p>
    <w:p w:rsidR="00000384" w:rsidRPr="00885D52" w:rsidRDefault="00000384" w:rsidP="00955E74"/>
    <w:p w:rsidR="00000384" w:rsidRPr="00885D52" w:rsidRDefault="00000384" w:rsidP="00955E74">
      <w:pPr>
        <w:pStyle w:val="Table"/>
      </w:pPr>
      <w:bookmarkStart w:id="308" w:name="_Ref173222820"/>
      <w:bookmarkStart w:id="309" w:name="_Toc236641645"/>
      <w:bookmarkStart w:id="310" w:name="_Toc262631229"/>
      <w:bookmarkStart w:id="311" w:name="_Toc316912722"/>
      <w:bookmarkStart w:id="312" w:name="_Toc352670654"/>
      <w:bookmarkStart w:id="313" w:name="_Toc400536145"/>
      <w:bookmarkStart w:id="314" w:name="_Toc403120550"/>
      <w:r w:rsidRPr="00885D52">
        <w:t>Table 5</w:t>
      </w:r>
      <w:bookmarkEnd w:id="308"/>
      <w:r w:rsidRPr="00885D52">
        <w:t>: Age distribution of deaths from cancer, percentages and age-specific rates, by ethnicity and sex, 20</w:t>
      </w:r>
      <w:bookmarkEnd w:id="309"/>
      <w:bookmarkEnd w:id="310"/>
      <w:bookmarkEnd w:id="311"/>
      <w:r w:rsidRPr="00885D52">
        <w:t>1</w:t>
      </w:r>
      <w:bookmarkEnd w:id="312"/>
      <w:r w:rsidRPr="00885D52">
        <w:t>1</w:t>
      </w:r>
      <w:bookmarkEnd w:id="313"/>
      <w:bookmarkEnd w:id="314"/>
    </w:p>
    <w:tbl>
      <w:tblPr>
        <w:tblW w:w="4940" w:type="pct"/>
        <w:tblInd w:w="28" w:type="dxa"/>
        <w:tblLayout w:type="fixed"/>
        <w:tblCellMar>
          <w:left w:w="28" w:type="dxa"/>
          <w:right w:w="28" w:type="dxa"/>
        </w:tblCellMar>
        <w:tblLook w:val="04A0" w:firstRow="1" w:lastRow="0" w:firstColumn="1" w:lastColumn="0" w:noHBand="0" w:noVBand="1"/>
      </w:tblPr>
      <w:tblGrid>
        <w:gridCol w:w="700"/>
        <w:gridCol w:w="711"/>
        <w:gridCol w:w="711"/>
        <w:gridCol w:w="711"/>
        <w:gridCol w:w="712"/>
        <w:gridCol w:w="712"/>
        <w:gridCol w:w="712"/>
        <w:gridCol w:w="712"/>
        <w:gridCol w:w="712"/>
        <w:gridCol w:w="712"/>
        <w:gridCol w:w="712"/>
        <w:gridCol w:w="712"/>
        <w:gridCol w:w="714"/>
      </w:tblGrid>
      <w:tr w:rsidR="00000384" w:rsidRPr="00885D52" w:rsidTr="007E73A8">
        <w:trPr>
          <w:cantSplit/>
        </w:trPr>
        <w:tc>
          <w:tcPr>
            <w:tcW w:w="379" w:type="pct"/>
            <w:vMerge w:val="restart"/>
            <w:tcBorders>
              <w:top w:val="single" w:sz="4" w:space="0" w:color="auto"/>
              <w:bottom w:val="single" w:sz="4" w:space="0" w:color="auto"/>
              <w:right w:val="single" w:sz="4" w:space="0" w:color="auto"/>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231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2311" w:type="pct"/>
            <w:gridSpan w:val="6"/>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Age-specific mortality rate</w:t>
            </w:r>
          </w:p>
        </w:tc>
      </w:tr>
      <w:tr w:rsidR="00000384" w:rsidRPr="00885D52" w:rsidTr="007E73A8">
        <w:trPr>
          <w:cantSplit/>
        </w:trPr>
        <w:tc>
          <w:tcPr>
            <w:tcW w:w="379"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keepNext/>
              <w:rPr>
                <w:b/>
                <w:lang w:eastAsia="en-NZ"/>
              </w:rPr>
            </w:pPr>
          </w:p>
        </w:tc>
        <w:tc>
          <w:tcPr>
            <w:tcW w:w="1155"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55"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c>
          <w:tcPr>
            <w:tcW w:w="1155"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56" w:type="pct"/>
            <w:gridSpan w:val="3"/>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r>
      <w:tr w:rsidR="00000384" w:rsidRPr="00885D52" w:rsidTr="007E73A8">
        <w:trPr>
          <w:cantSplit/>
        </w:trPr>
        <w:tc>
          <w:tcPr>
            <w:tcW w:w="379"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keepNext/>
              <w:rPr>
                <w:b/>
                <w:lang w:eastAsia="en-NZ"/>
              </w:rPr>
            </w:pP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6" w:type="pct"/>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r>
      <w:tr w:rsidR="00000384" w:rsidRPr="00885D52" w:rsidTr="007E73A8">
        <w:trPr>
          <w:cantSplit/>
        </w:trPr>
        <w:tc>
          <w:tcPr>
            <w:tcW w:w="379" w:type="pct"/>
            <w:tcBorders>
              <w:top w:val="single" w:sz="4" w:space="0" w:color="auto"/>
              <w:right w:val="single" w:sz="4" w:space="0" w:color="auto"/>
            </w:tcBorders>
            <w:shd w:val="clear" w:color="auto" w:fill="F2F2F2"/>
            <w:noWrap/>
            <w:hideMark/>
          </w:tcPr>
          <w:p w:rsidR="00000384" w:rsidRPr="00885D52" w:rsidRDefault="00000384" w:rsidP="007E73A8">
            <w:pPr>
              <w:pStyle w:val="TableText"/>
              <w:keepNext/>
              <w:rPr>
                <w:lang w:eastAsia="en-NZ"/>
              </w:rPr>
            </w:pPr>
            <w:r w:rsidRPr="00885D52">
              <w:rPr>
                <w:lang w:eastAsia="en-NZ"/>
              </w:rPr>
              <w:t>&lt;25</w:t>
            </w:r>
          </w:p>
        </w:tc>
        <w:tc>
          <w:tcPr>
            <w:tcW w:w="385" w:type="pct"/>
            <w:tcBorders>
              <w:top w:val="single" w:sz="4" w:space="0" w:color="auto"/>
              <w:lef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1.1</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1.4</w:t>
            </w:r>
          </w:p>
        </w:tc>
        <w:tc>
          <w:tcPr>
            <w:tcW w:w="385" w:type="pct"/>
            <w:tcBorders>
              <w:top w:val="single" w:sz="4" w:space="0" w:color="auto"/>
              <w:left w:val="nil"/>
              <w:righ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0.8</w:t>
            </w:r>
          </w:p>
        </w:tc>
        <w:tc>
          <w:tcPr>
            <w:tcW w:w="385" w:type="pct"/>
            <w:tcBorders>
              <w:top w:val="single" w:sz="4" w:space="0" w:color="auto"/>
              <w:lef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0.5</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0.5</w:t>
            </w:r>
          </w:p>
        </w:tc>
        <w:tc>
          <w:tcPr>
            <w:tcW w:w="385" w:type="pct"/>
            <w:tcBorders>
              <w:top w:val="single" w:sz="4" w:space="0" w:color="auto"/>
              <w:left w:val="nil"/>
              <w:righ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0.5</w:t>
            </w:r>
          </w:p>
        </w:tc>
        <w:tc>
          <w:tcPr>
            <w:tcW w:w="385" w:type="pct"/>
            <w:tcBorders>
              <w:top w:val="single" w:sz="4" w:space="0" w:color="auto"/>
              <w:lef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2.8</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3.3</w:t>
            </w:r>
          </w:p>
        </w:tc>
        <w:tc>
          <w:tcPr>
            <w:tcW w:w="385" w:type="pct"/>
            <w:tcBorders>
              <w:top w:val="single" w:sz="4" w:space="0" w:color="auto"/>
              <w:left w:val="nil"/>
              <w:righ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2.3</w:t>
            </w:r>
          </w:p>
        </w:tc>
        <w:tc>
          <w:tcPr>
            <w:tcW w:w="385" w:type="pct"/>
            <w:tcBorders>
              <w:top w:val="single" w:sz="4" w:space="0" w:color="auto"/>
              <w:lef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3.6</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3.8</w:t>
            </w:r>
          </w:p>
        </w:tc>
        <w:tc>
          <w:tcPr>
            <w:tcW w:w="386" w:type="pct"/>
            <w:tcBorders>
              <w:top w:val="single" w:sz="4" w:space="0" w:color="auto"/>
              <w:left w:val="nil"/>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3.3</w:t>
            </w:r>
          </w:p>
        </w:tc>
      </w:tr>
      <w:tr w:rsidR="00000384" w:rsidRPr="00885D52" w:rsidTr="007E73A8">
        <w:trPr>
          <w:cantSplit/>
        </w:trPr>
        <w:tc>
          <w:tcPr>
            <w:tcW w:w="379" w:type="pct"/>
            <w:tcBorders>
              <w:right w:val="single" w:sz="4" w:space="0" w:color="auto"/>
            </w:tcBorders>
            <w:shd w:val="clear" w:color="auto" w:fill="auto"/>
            <w:noWrap/>
            <w:hideMark/>
          </w:tcPr>
          <w:p w:rsidR="00000384" w:rsidRPr="00885D52" w:rsidRDefault="00000384" w:rsidP="007E73A8">
            <w:pPr>
              <w:pStyle w:val="TableText"/>
              <w:keepNext/>
              <w:rPr>
                <w:lang w:eastAsia="en-NZ"/>
              </w:rPr>
            </w:pPr>
            <w:r w:rsidRPr="00885D52">
              <w:rPr>
                <w:lang w:eastAsia="en-NZ"/>
              </w:rPr>
              <w:t>25–44</w:t>
            </w:r>
          </w:p>
        </w:tc>
        <w:tc>
          <w:tcPr>
            <w:tcW w:w="385" w:type="pct"/>
            <w:tcBorders>
              <w:left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6.7</w:t>
            </w:r>
          </w:p>
        </w:tc>
        <w:tc>
          <w:tcPr>
            <w:tcW w:w="385" w:type="pct"/>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5.1</w:t>
            </w:r>
          </w:p>
        </w:tc>
        <w:tc>
          <w:tcPr>
            <w:tcW w:w="385" w:type="pct"/>
            <w:tcBorders>
              <w:left w:val="nil"/>
              <w:righ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8.0</w:t>
            </w:r>
          </w:p>
        </w:tc>
        <w:tc>
          <w:tcPr>
            <w:tcW w:w="385" w:type="pct"/>
            <w:tcBorders>
              <w:lef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2.8</w:t>
            </w:r>
          </w:p>
        </w:tc>
        <w:tc>
          <w:tcPr>
            <w:tcW w:w="385" w:type="pct"/>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2.2</w:t>
            </w:r>
          </w:p>
        </w:tc>
        <w:tc>
          <w:tcPr>
            <w:tcW w:w="385" w:type="pct"/>
            <w:tcBorders>
              <w:left w:val="nil"/>
              <w:right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3.4</w:t>
            </w:r>
          </w:p>
        </w:tc>
        <w:tc>
          <w:tcPr>
            <w:tcW w:w="385" w:type="pct"/>
            <w:tcBorders>
              <w:left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37.6</w:t>
            </w:r>
          </w:p>
        </w:tc>
        <w:tc>
          <w:tcPr>
            <w:tcW w:w="385" w:type="pct"/>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28.0</w:t>
            </w:r>
          </w:p>
        </w:tc>
        <w:tc>
          <w:tcPr>
            <w:tcW w:w="385" w:type="pct"/>
            <w:tcBorders>
              <w:left w:val="nil"/>
              <w:righ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46.1</w:t>
            </w:r>
          </w:p>
        </w:tc>
        <w:tc>
          <w:tcPr>
            <w:tcW w:w="385" w:type="pct"/>
            <w:tcBorders>
              <w:lef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22.0</w:t>
            </w:r>
          </w:p>
        </w:tc>
        <w:tc>
          <w:tcPr>
            <w:tcW w:w="385" w:type="pct"/>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19.1</w:t>
            </w:r>
          </w:p>
        </w:tc>
        <w:tc>
          <w:tcPr>
            <w:tcW w:w="386" w:type="pct"/>
            <w:tcBorders>
              <w:left w:val="nil"/>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24.8</w:t>
            </w:r>
          </w:p>
        </w:tc>
      </w:tr>
      <w:tr w:rsidR="00000384" w:rsidRPr="00885D52" w:rsidTr="007E73A8">
        <w:trPr>
          <w:cantSplit/>
        </w:trPr>
        <w:tc>
          <w:tcPr>
            <w:tcW w:w="379" w:type="pct"/>
            <w:tcBorders>
              <w:right w:val="single" w:sz="4" w:space="0" w:color="auto"/>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385" w:type="pct"/>
            <w:tcBorders>
              <w:lef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41.7</w:t>
            </w:r>
          </w:p>
        </w:tc>
        <w:tc>
          <w:tcPr>
            <w:tcW w:w="385" w:type="pct"/>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39.3</w:t>
            </w:r>
          </w:p>
        </w:tc>
        <w:tc>
          <w:tcPr>
            <w:tcW w:w="385" w:type="pct"/>
            <w:tcBorders>
              <w:righ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43.8</w:t>
            </w:r>
          </w:p>
        </w:tc>
        <w:tc>
          <w:tcPr>
            <w:tcW w:w="385" w:type="pct"/>
            <w:tcBorders>
              <w:lef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21.0</w:t>
            </w:r>
          </w:p>
        </w:tc>
        <w:tc>
          <w:tcPr>
            <w:tcW w:w="385" w:type="pct"/>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20.0</w:t>
            </w:r>
          </w:p>
        </w:tc>
        <w:tc>
          <w:tcPr>
            <w:tcW w:w="385" w:type="pct"/>
            <w:tcBorders>
              <w:righ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22.2</w:t>
            </w:r>
          </w:p>
        </w:tc>
        <w:tc>
          <w:tcPr>
            <w:tcW w:w="385" w:type="pct"/>
            <w:tcBorders>
              <w:left w:val="single" w:sz="4" w:space="0" w:color="auto"/>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336.5</w:t>
            </w:r>
          </w:p>
        </w:tc>
        <w:tc>
          <w:tcPr>
            <w:tcW w:w="385" w:type="pct"/>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305.1</w:t>
            </w:r>
          </w:p>
        </w:tc>
        <w:tc>
          <w:tcPr>
            <w:tcW w:w="385" w:type="pct"/>
            <w:tcBorders>
              <w:righ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364.6</w:t>
            </w:r>
          </w:p>
        </w:tc>
        <w:tc>
          <w:tcPr>
            <w:tcW w:w="385" w:type="pct"/>
            <w:tcBorders>
              <w:left w:val="single" w:sz="4" w:space="0" w:color="A6A6A6"/>
            </w:tcBorders>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167.8</w:t>
            </w:r>
          </w:p>
        </w:tc>
        <w:tc>
          <w:tcPr>
            <w:tcW w:w="385" w:type="pct"/>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173.1</w:t>
            </w:r>
          </w:p>
        </w:tc>
        <w:tc>
          <w:tcPr>
            <w:tcW w:w="386" w:type="pct"/>
            <w:shd w:val="clear" w:color="auto" w:fill="F2F2F2"/>
            <w:noWrap/>
            <w:vAlign w:val="bottom"/>
            <w:hideMark/>
          </w:tcPr>
          <w:p w:rsidR="00000384" w:rsidRPr="00885D52" w:rsidRDefault="00000384" w:rsidP="007E73A8">
            <w:pPr>
              <w:pStyle w:val="TableText"/>
              <w:tabs>
                <w:tab w:val="decimal" w:pos="454"/>
              </w:tabs>
              <w:rPr>
                <w:lang w:eastAsia="en-NZ"/>
              </w:rPr>
            </w:pPr>
            <w:r w:rsidRPr="00885D52">
              <w:rPr>
                <w:lang w:eastAsia="en-NZ"/>
              </w:rPr>
              <w:t>162.7</w:t>
            </w:r>
          </w:p>
        </w:tc>
      </w:tr>
      <w:tr w:rsidR="00000384" w:rsidRPr="00885D52" w:rsidTr="007E73A8">
        <w:trPr>
          <w:cantSplit/>
        </w:trPr>
        <w:tc>
          <w:tcPr>
            <w:tcW w:w="379" w:type="pct"/>
            <w:tcBorders>
              <w:bottom w:val="single" w:sz="4" w:space="0" w:color="auto"/>
              <w:right w:val="single" w:sz="4" w:space="0" w:color="auto"/>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385" w:type="pct"/>
            <w:tcBorders>
              <w:left w:val="single" w:sz="4" w:space="0" w:color="auto"/>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50.5</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54.2</w:t>
            </w:r>
          </w:p>
        </w:tc>
        <w:tc>
          <w:tcPr>
            <w:tcW w:w="385" w:type="pct"/>
            <w:tcBorders>
              <w:left w:val="nil"/>
              <w:bottom w:val="single" w:sz="4" w:space="0" w:color="auto"/>
              <w:righ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47.4</w:t>
            </w:r>
          </w:p>
        </w:tc>
        <w:tc>
          <w:tcPr>
            <w:tcW w:w="385" w:type="pct"/>
            <w:tcBorders>
              <w:left w:val="single" w:sz="4" w:space="0" w:color="A6A6A6"/>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75.7</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77.3</w:t>
            </w:r>
          </w:p>
        </w:tc>
        <w:tc>
          <w:tcPr>
            <w:tcW w:w="385" w:type="pct"/>
            <w:tcBorders>
              <w:left w:val="nil"/>
              <w:bottom w:val="single" w:sz="4" w:space="0" w:color="auto"/>
              <w:right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73.9</w:t>
            </w:r>
          </w:p>
        </w:tc>
        <w:tc>
          <w:tcPr>
            <w:tcW w:w="385" w:type="pct"/>
            <w:tcBorders>
              <w:left w:val="single" w:sz="4" w:space="0" w:color="auto"/>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1460.3</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1563.3</w:t>
            </w:r>
          </w:p>
        </w:tc>
        <w:tc>
          <w:tcPr>
            <w:tcW w:w="385" w:type="pct"/>
            <w:tcBorders>
              <w:left w:val="nil"/>
              <w:bottom w:val="single" w:sz="4" w:space="0" w:color="auto"/>
              <w:right w:val="single" w:sz="4" w:space="0" w:color="A6A6A6"/>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1373.4</w:t>
            </w:r>
          </w:p>
        </w:tc>
        <w:tc>
          <w:tcPr>
            <w:tcW w:w="385" w:type="pct"/>
            <w:tcBorders>
              <w:left w:val="single" w:sz="4" w:space="0" w:color="A6A6A6"/>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1084.1</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1285.4</w:t>
            </w:r>
          </w:p>
        </w:tc>
        <w:tc>
          <w:tcPr>
            <w:tcW w:w="386" w:type="pct"/>
            <w:tcBorders>
              <w:left w:val="nil"/>
              <w:bottom w:val="single" w:sz="4" w:space="0" w:color="auto"/>
            </w:tcBorders>
            <w:shd w:val="clear" w:color="auto" w:fill="auto"/>
            <w:noWrap/>
            <w:vAlign w:val="bottom"/>
            <w:hideMark/>
          </w:tcPr>
          <w:p w:rsidR="00000384" w:rsidRPr="00885D52" w:rsidRDefault="00000384" w:rsidP="007E73A8">
            <w:pPr>
              <w:pStyle w:val="TableText"/>
              <w:tabs>
                <w:tab w:val="decimal" w:pos="454"/>
              </w:tabs>
              <w:rPr>
                <w:lang w:eastAsia="en-NZ"/>
              </w:rPr>
            </w:pPr>
            <w:r w:rsidRPr="00885D52">
              <w:rPr>
                <w:lang w:eastAsia="en-NZ"/>
              </w:rPr>
              <w:t>914.2</w:t>
            </w:r>
          </w:p>
        </w:tc>
      </w:tr>
    </w:tbl>
    <w:p w:rsidR="00000384" w:rsidRPr="00885D52" w:rsidRDefault="00000384" w:rsidP="00955E74">
      <w:pPr>
        <w:pStyle w:val="Note"/>
        <w:ind w:right="0"/>
      </w:pPr>
      <w:r w:rsidRPr="00885D52">
        <w:t>Note: Rates per 100,000 population.</w:t>
      </w:r>
    </w:p>
    <w:p w:rsidR="00000384" w:rsidRPr="00885D52" w:rsidRDefault="00000384" w:rsidP="00955E74"/>
    <w:p w:rsidR="00000384" w:rsidRPr="00885D52" w:rsidRDefault="00000384" w:rsidP="00955E74">
      <w:r w:rsidRPr="00885D52">
        <w:t>The distribution is skewed toward the 65 years and over age group. However, a large proportion of cancer-related deaths also occurred in the 45–64 years age band. Cancer deaths were relatively rare in age groups below this.</w:t>
      </w:r>
    </w:p>
    <w:p w:rsidR="00000384" w:rsidRPr="00885D52" w:rsidRDefault="00000384" w:rsidP="00955E74"/>
    <w:p w:rsidR="00000384" w:rsidRPr="00885D52" w:rsidRDefault="00000384" w:rsidP="00955E74">
      <w:r w:rsidRPr="00885D52">
        <w:t xml:space="preserve">Compared </w:t>
      </w:r>
      <w:r w:rsidR="00491B19">
        <w:t>with</w:t>
      </w:r>
      <w:r w:rsidRPr="00885D52">
        <w:t xml:space="preserve"> non-Māori, a greater proportion of Māori deaths occurred in the youngest three age groups (almost half of Māori cancer deaths occurred in those aged less than 65; for non-Māori, this figure was 24.3 percent).</w:t>
      </w:r>
    </w:p>
    <w:p w:rsidR="00000384" w:rsidRPr="00885D52" w:rsidRDefault="00000384" w:rsidP="00955E74"/>
    <w:p w:rsidR="00000384" w:rsidRPr="00885D52" w:rsidRDefault="00000384" w:rsidP="008A16FC">
      <w:r w:rsidRPr="00885D52">
        <w:t>Figure 12 shows age-standardised cancer mortality rates by sex and ethnicity from 1996 to 2011.</w:t>
      </w:r>
    </w:p>
    <w:p w:rsidR="00000384" w:rsidRPr="00885D52" w:rsidRDefault="00000384" w:rsidP="008A16FC"/>
    <w:p w:rsidR="00000384" w:rsidRPr="00885D52" w:rsidRDefault="00000384" w:rsidP="00955E74">
      <w:pPr>
        <w:pStyle w:val="Figure"/>
      </w:pPr>
      <w:bookmarkStart w:id="315" w:name="_Toc352670680"/>
      <w:bookmarkStart w:id="316" w:name="_Toc400536111"/>
      <w:bookmarkStart w:id="317" w:name="_Toc403120586"/>
      <w:r w:rsidRPr="00885D52">
        <w:lastRenderedPageBreak/>
        <w:t>Figure 12</w:t>
      </w:r>
      <w:r w:rsidRPr="00885D52">
        <w:rPr>
          <w:bCs/>
        </w:rPr>
        <w:t xml:space="preserve">: Age-standardised mortality </w:t>
      </w:r>
      <w:r w:rsidRPr="00885D52">
        <w:t>rates from cancer, by sex and ethnicity, 1996–201</w:t>
      </w:r>
      <w:bookmarkEnd w:id="315"/>
      <w:r w:rsidRPr="00885D52">
        <w:t>1</w:t>
      </w:r>
      <w:bookmarkEnd w:id="316"/>
      <w:bookmarkEnd w:id="317"/>
    </w:p>
    <w:p w:rsidR="00000384" w:rsidRPr="00885D52" w:rsidRDefault="00955E74" w:rsidP="00955E74">
      <w:r w:rsidRPr="00885D52">
        <w:rPr>
          <w:noProof/>
          <w:lang w:eastAsia="en-NZ"/>
        </w:rPr>
        <w:drawing>
          <wp:inline distT="0" distB="0" distL="0" distR="0" wp14:anchorId="365E8F48" wp14:editId="64AB7F8A">
            <wp:extent cx="5095702" cy="3108596"/>
            <wp:effectExtent l="0" t="0" r="0" b="0"/>
            <wp:docPr id="29" name="Picture 29" title="Figure 12: Age-standardised mortality rates from cancer,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96137" cy="3108862"/>
                    </a:xfrm>
                    <a:prstGeom prst="rect">
                      <a:avLst/>
                    </a:prstGeom>
                  </pic:spPr>
                </pic:pic>
              </a:graphicData>
            </a:graphic>
          </wp:inline>
        </w:drawing>
      </w:r>
    </w:p>
    <w:p w:rsidR="00000384" w:rsidRPr="00885D52" w:rsidRDefault="00000384" w:rsidP="008D14AB">
      <w:pPr>
        <w:pStyle w:val="Note"/>
      </w:pPr>
      <w:r w:rsidRPr="00885D52">
        <w:t>Note: Rates per 100,000 population, age-standardised to WHO World Standard Population.</w:t>
      </w:r>
    </w:p>
    <w:p w:rsidR="00000384" w:rsidRPr="00885D52" w:rsidRDefault="00000384" w:rsidP="008D14AB"/>
    <w:p w:rsidR="00000384" w:rsidRPr="00885D52" w:rsidRDefault="00000384" w:rsidP="008D14AB">
      <w:r w:rsidRPr="00885D52">
        <w:t>Between 1996 and 2011, the Māori population had a consistently higher rate of cancer deaths than the non-Māori population. Māori males had a higher rate than Māori females in every year except 2008.</w:t>
      </w:r>
    </w:p>
    <w:p w:rsidR="00000384" w:rsidRPr="00885D52" w:rsidRDefault="00000384" w:rsidP="008D14AB"/>
    <w:p w:rsidR="00000384" w:rsidRPr="00885D52" w:rsidRDefault="00000384" w:rsidP="008D14AB">
      <w:r w:rsidRPr="00885D52">
        <w:t>In 2011, the rate of cancer deaths for Māori males was 1.5 times that for non-Māori males. The rate for Māori females was twice that for non-Māori females.</w:t>
      </w:r>
    </w:p>
    <w:p w:rsidR="00000384" w:rsidRPr="00885D52" w:rsidRDefault="00000384" w:rsidP="008D14AB"/>
    <w:p w:rsidR="00000384" w:rsidRPr="00885D52" w:rsidRDefault="00000384" w:rsidP="008D14AB">
      <w:r w:rsidRPr="00885D52">
        <w:t>There was a significant difference in cancer mortality rates between non-Māori males and non-Māori females between 1996 and 2011 (using 95 percent confidence intervals).</w:t>
      </w:r>
      <w:r w:rsidRPr="00885D52">
        <w:rPr>
          <w:rStyle w:val="FootnoteReference"/>
        </w:rPr>
        <w:footnoteReference w:id="2"/>
      </w:r>
      <w:r w:rsidRPr="00885D52">
        <w:t xml:space="preserve"> The difference between the Māori male and Māori female rates was not significant in 2011.</w:t>
      </w:r>
    </w:p>
    <w:p w:rsidR="00000384" w:rsidRPr="00885D52" w:rsidRDefault="00000384" w:rsidP="008D14AB"/>
    <w:p w:rsidR="00000384" w:rsidRPr="00885D52" w:rsidRDefault="00000384" w:rsidP="008A16FC">
      <w:pPr>
        <w:keepNext/>
      </w:pPr>
      <w:r w:rsidRPr="00885D52">
        <w:lastRenderedPageBreak/>
        <w:t>Figure 13 shows age-standardised cancer mortality rates by DHB region for the total population in 2011. One DHB (Northland) showed a rate that was significantly above the New Zealand rate; no DHBs had a rate that was significantly lower.</w:t>
      </w:r>
    </w:p>
    <w:p w:rsidR="008D14AB" w:rsidRPr="00885D52" w:rsidRDefault="008D14AB" w:rsidP="008A16FC">
      <w:pPr>
        <w:keepNext/>
      </w:pPr>
    </w:p>
    <w:p w:rsidR="00000384" w:rsidRPr="00885D52" w:rsidRDefault="00000384" w:rsidP="008D14AB">
      <w:pPr>
        <w:pStyle w:val="Figure"/>
      </w:pPr>
      <w:bookmarkStart w:id="318" w:name="_Toc352670681"/>
      <w:bookmarkStart w:id="319" w:name="_Toc400536112"/>
      <w:bookmarkStart w:id="320" w:name="_Toc403120587"/>
      <w:r w:rsidRPr="00885D52">
        <w:t>Figure 13</w:t>
      </w:r>
      <w:r w:rsidRPr="00885D52">
        <w:rPr>
          <w:bCs/>
        </w:rPr>
        <w:t xml:space="preserve">: </w:t>
      </w:r>
      <w:r w:rsidRPr="00885D52">
        <w:t>Age-standardised mortality rates from cancer, by DHB region, total population, 201</w:t>
      </w:r>
      <w:bookmarkEnd w:id="318"/>
      <w:r w:rsidRPr="00885D52">
        <w:t>1</w:t>
      </w:r>
      <w:bookmarkEnd w:id="319"/>
      <w:bookmarkEnd w:id="320"/>
    </w:p>
    <w:p w:rsidR="008D5D23" w:rsidRPr="00885D52" w:rsidRDefault="008D14AB" w:rsidP="008D14AB">
      <w:r w:rsidRPr="00885D52">
        <w:rPr>
          <w:noProof/>
          <w:lang w:eastAsia="en-NZ"/>
        </w:rPr>
        <w:drawing>
          <wp:inline distT="0" distB="0" distL="0" distR="0" wp14:anchorId="2248CECA" wp14:editId="5E31E64F">
            <wp:extent cx="5300696" cy="3233651"/>
            <wp:effectExtent l="0" t="0" r="0" b="5080"/>
            <wp:docPr id="42" name="Picture 42" title="Figure 13: Age-standardised mortality rates from cancer, by DHB region, total populatio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04294" cy="3235846"/>
                    </a:xfrm>
                    <a:prstGeom prst="rect">
                      <a:avLst/>
                    </a:prstGeom>
                  </pic:spPr>
                </pic:pic>
              </a:graphicData>
            </a:graphic>
          </wp:inline>
        </w:drawing>
      </w:r>
    </w:p>
    <w:p w:rsidR="008D5D23" w:rsidRPr="00885D52" w:rsidRDefault="00000384" w:rsidP="008D14AB">
      <w:pPr>
        <w:pStyle w:val="Note"/>
        <w:ind w:left="0" w:firstLine="0"/>
      </w:pPr>
      <w:r w:rsidRPr="00885D52">
        <w:t>Note 1: Rates per 100,000 population, age-standardised to WHO World Standard Population; 99% confidence intervals.</w:t>
      </w:r>
    </w:p>
    <w:p w:rsidR="00000384" w:rsidRPr="00885D52" w:rsidRDefault="00000384" w:rsidP="008D14AB">
      <w:pPr>
        <w:pStyle w:val="Note"/>
        <w:ind w:left="0" w:firstLine="0"/>
      </w:pPr>
      <w:r w:rsidRPr="00885D52">
        <w:t>Note 2: This figure shows confidence intervals for DHB regions. Confidence intervals for the national rate are not shown but are included in the analysis.</w:t>
      </w:r>
    </w:p>
    <w:p w:rsidR="00000384" w:rsidRPr="00885D52" w:rsidRDefault="00000384" w:rsidP="00F41AE5"/>
    <w:p w:rsidR="008A16FC" w:rsidRDefault="008A16FC" w:rsidP="008A16FC">
      <w:bookmarkStart w:id="321" w:name="_Toc167268828"/>
      <w:bookmarkStart w:id="322" w:name="_Toc236642208"/>
      <w:bookmarkStart w:id="323" w:name="_Toc262631087"/>
      <w:bookmarkStart w:id="324" w:name="_Toc316994470"/>
      <w:bookmarkStart w:id="325" w:name="_Toc352670627"/>
      <w:bookmarkStart w:id="326" w:name="_Toc400536183"/>
      <w:bookmarkStart w:id="327" w:name="_Toc403120523"/>
      <w:r>
        <w:br w:type="page"/>
      </w:r>
    </w:p>
    <w:p w:rsidR="00000384" w:rsidRPr="00885D52" w:rsidRDefault="00000384" w:rsidP="008A16FC">
      <w:pPr>
        <w:pStyle w:val="Heading2"/>
        <w:spacing w:before="0"/>
      </w:pPr>
      <w:r w:rsidRPr="00885D52">
        <w:lastRenderedPageBreak/>
        <w:t>Trachea, bronchus and lung cancer</w:t>
      </w:r>
      <w:r w:rsidR="00F41AE5" w:rsidRPr="00885D52">
        <w:br/>
      </w:r>
      <w:r w:rsidRPr="00885D52">
        <w:t>(C33–C34)</w:t>
      </w:r>
      <w:bookmarkEnd w:id="321"/>
      <w:bookmarkEnd w:id="322"/>
      <w:bookmarkEnd w:id="323"/>
      <w:bookmarkEnd w:id="324"/>
      <w:bookmarkEnd w:id="325"/>
      <w:bookmarkEnd w:id="326"/>
      <w:bookmarkEnd w:id="327"/>
    </w:p>
    <w:p w:rsidR="00000384" w:rsidRPr="00885D52" w:rsidRDefault="00000384" w:rsidP="008A16FC">
      <w:r w:rsidRPr="00885D52">
        <w:t>This section covers ICD codes C33 and C34 (C33: malignant neoplasm of trachea; C34: malignant neoplasm of bronchus and lung). In this publication, these conditions are collectively referred to as lung cancer.</w:t>
      </w:r>
    </w:p>
    <w:p w:rsidR="00000384" w:rsidRPr="00885D52" w:rsidRDefault="00000384" w:rsidP="008A16FC"/>
    <w:p w:rsidR="00000384" w:rsidRPr="00885D52" w:rsidRDefault="00000384" w:rsidP="008A16FC">
      <w:r w:rsidRPr="00885D52">
        <w:t>Lung cancer was the leading cause of cancer death in 2011, accounting for 18.9 percent of cancer deaths (1682 deaths). The majority of those who died from lung cancer were males (54.0 percent).</w:t>
      </w:r>
    </w:p>
    <w:p w:rsidR="00000384" w:rsidRPr="00885D52" w:rsidRDefault="00000384" w:rsidP="008A16FC"/>
    <w:p w:rsidR="00000384" w:rsidRPr="00885D52" w:rsidRDefault="00000384" w:rsidP="008A16FC">
      <w:r w:rsidRPr="00885D52">
        <w:t>Table 6 shows deaths from lung cancer from 1980 to 2011. The age-standardised mortality rate for males decreased by 50.3 percent over this period, while the rate for females showed the opposite trend, increasing by 46.5 percent.</w:t>
      </w:r>
    </w:p>
    <w:p w:rsidR="00000384" w:rsidRPr="00885D52" w:rsidRDefault="00000384" w:rsidP="008A16FC"/>
    <w:p w:rsidR="00000384" w:rsidRPr="00885D52" w:rsidRDefault="00000384" w:rsidP="00000384">
      <w:pPr>
        <w:pStyle w:val="Table"/>
      </w:pPr>
      <w:bookmarkStart w:id="328" w:name="_Ref132098254"/>
      <w:bookmarkStart w:id="329" w:name="_Toc167268855"/>
      <w:bookmarkStart w:id="330" w:name="_Toc236641646"/>
      <w:bookmarkStart w:id="331" w:name="_Toc262631230"/>
      <w:bookmarkStart w:id="332" w:name="_Toc316912723"/>
      <w:bookmarkStart w:id="333" w:name="_Toc352670655"/>
      <w:bookmarkStart w:id="334" w:name="_Toc400536146"/>
      <w:bookmarkStart w:id="335" w:name="_Toc403120551"/>
      <w:r w:rsidRPr="00885D52">
        <w:rPr>
          <w:bCs/>
        </w:rPr>
        <w:lastRenderedPageBreak/>
        <w:t>Table 6</w:t>
      </w:r>
      <w:bookmarkEnd w:id="328"/>
      <w:r w:rsidRPr="00885D52">
        <w:rPr>
          <w:bCs/>
        </w:rPr>
        <w:t xml:space="preserve">: </w:t>
      </w:r>
      <w:r w:rsidRPr="00885D52">
        <w:t>Numbers and age-standardised mortality rates from lung cancer, by sex,</w:t>
      </w:r>
      <w:r w:rsidR="00F41AE5" w:rsidRPr="00885D52">
        <w:br/>
      </w:r>
      <w:r w:rsidRPr="00885D52">
        <w:t>1980–20</w:t>
      </w:r>
      <w:bookmarkEnd w:id="329"/>
      <w:bookmarkEnd w:id="330"/>
      <w:bookmarkEnd w:id="331"/>
      <w:bookmarkEnd w:id="332"/>
      <w:r w:rsidRPr="00885D52">
        <w:t>1</w:t>
      </w:r>
      <w:bookmarkEnd w:id="333"/>
      <w:r w:rsidRPr="00885D52">
        <w:t>1</w:t>
      </w:r>
      <w:bookmarkEnd w:id="334"/>
      <w:bookmarkEnd w:id="335"/>
    </w:p>
    <w:tbl>
      <w:tblPr>
        <w:tblW w:w="7938"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8"/>
        <w:gridCol w:w="1131"/>
        <w:gridCol w:w="1132"/>
        <w:gridCol w:w="1132"/>
        <w:gridCol w:w="1131"/>
        <w:gridCol w:w="1132"/>
        <w:gridCol w:w="1132"/>
      </w:tblGrid>
      <w:tr w:rsidR="00000384" w:rsidRPr="00885D52" w:rsidTr="00F41AE5">
        <w:trPr>
          <w:cantSplit/>
        </w:trPr>
        <w:tc>
          <w:tcPr>
            <w:tcW w:w="1148" w:type="dxa"/>
            <w:vMerge w:val="restart"/>
            <w:tcBorders>
              <w:top w:val="single" w:sz="4" w:space="0" w:color="auto"/>
              <w:bottom w:val="single" w:sz="4" w:space="0" w:color="auto"/>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Year</w:t>
            </w:r>
          </w:p>
        </w:tc>
        <w:tc>
          <w:tcPr>
            <w:tcW w:w="2263" w:type="dxa"/>
            <w:gridSpan w:val="2"/>
            <w:tcBorders>
              <w:top w:val="single" w:sz="4" w:space="0" w:color="auto"/>
              <w:bottom w:val="single" w:sz="4" w:space="0" w:color="auto"/>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Male</w:t>
            </w:r>
          </w:p>
        </w:tc>
        <w:tc>
          <w:tcPr>
            <w:tcW w:w="2263" w:type="dxa"/>
            <w:gridSpan w:val="2"/>
            <w:tcBorders>
              <w:top w:val="single" w:sz="4" w:space="0" w:color="auto"/>
              <w:bottom w:val="single" w:sz="4" w:space="0" w:color="auto"/>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Female</w:t>
            </w:r>
          </w:p>
        </w:tc>
        <w:tc>
          <w:tcPr>
            <w:tcW w:w="2264" w:type="dxa"/>
            <w:gridSpan w:val="2"/>
            <w:tcBorders>
              <w:top w:val="single" w:sz="4" w:space="0" w:color="auto"/>
              <w:bottom w:val="single" w:sz="4" w:space="0" w:color="auto"/>
            </w:tcBorders>
          </w:tcPr>
          <w:p w:rsidR="00000384" w:rsidRPr="00885D52" w:rsidRDefault="00000384" w:rsidP="00F41AE5">
            <w:pPr>
              <w:pStyle w:val="TableText"/>
              <w:keepNext/>
              <w:jc w:val="center"/>
              <w:rPr>
                <w:rFonts w:cs="Arial"/>
                <w:b/>
                <w:szCs w:val="18"/>
              </w:rPr>
            </w:pPr>
            <w:r w:rsidRPr="00885D52">
              <w:rPr>
                <w:rFonts w:cs="Arial"/>
                <w:b/>
                <w:szCs w:val="18"/>
              </w:rPr>
              <w:t>Total</w:t>
            </w:r>
          </w:p>
        </w:tc>
      </w:tr>
      <w:tr w:rsidR="00000384" w:rsidRPr="00885D52" w:rsidTr="00F41AE5">
        <w:trPr>
          <w:cantSplit/>
        </w:trPr>
        <w:tc>
          <w:tcPr>
            <w:tcW w:w="1148" w:type="dxa"/>
            <w:vMerge/>
            <w:tcBorders>
              <w:top w:val="single" w:sz="4" w:space="0" w:color="auto"/>
              <w:bottom w:val="single" w:sz="4" w:space="0" w:color="auto"/>
              <w:right w:val="single" w:sz="4" w:space="0" w:color="auto"/>
            </w:tcBorders>
            <w:shd w:val="clear" w:color="auto" w:fill="auto"/>
          </w:tcPr>
          <w:p w:rsidR="00000384" w:rsidRPr="00885D52" w:rsidRDefault="00000384" w:rsidP="00F41AE5">
            <w:pPr>
              <w:pStyle w:val="TableText"/>
              <w:keepNext/>
              <w:jc w:val="center"/>
              <w:rPr>
                <w:rFonts w:cs="Arial"/>
                <w:b/>
                <w:szCs w:val="18"/>
              </w:rPr>
            </w:pPr>
          </w:p>
        </w:tc>
        <w:tc>
          <w:tcPr>
            <w:tcW w:w="1131" w:type="dxa"/>
            <w:tcBorders>
              <w:top w:val="single" w:sz="4" w:space="0" w:color="auto"/>
              <w:left w:val="single" w:sz="4" w:space="0" w:color="auto"/>
              <w:bottom w:val="single" w:sz="4" w:space="0" w:color="auto"/>
              <w:right w:val="nil"/>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No.</w:t>
            </w:r>
          </w:p>
        </w:tc>
        <w:tc>
          <w:tcPr>
            <w:tcW w:w="1132" w:type="dxa"/>
            <w:tcBorders>
              <w:top w:val="single" w:sz="4" w:space="0" w:color="A6A6A6"/>
              <w:left w:val="nil"/>
              <w:bottom w:val="single" w:sz="4" w:space="0" w:color="auto"/>
              <w:right w:val="single" w:sz="4" w:space="0" w:color="auto"/>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Rate</w:t>
            </w:r>
          </w:p>
        </w:tc>
        <w:tc>
          <w:tcPr>
            <w:tcW w:w="1132" w:type="dxa"/>
            <w:tcBorders>
              <w:top w:val="single" w:sz="4" w:space="0" w:color="auto"/>
              <w:left w:val="single" w:sz="4" w:space="0" w:color="auto"/>
              <w:bottom w:val="single" w:sz="4" w:space="0" w:color="auto"/>
              <w:right w:val="nil"/>
            </w:tcBorders>
          </w:tcPr>
          <w:p w:rsidR="00000384" w:rsidRPr="00885D52" w:rsidRDefault="00000384" w:rsidP="00F41AE5">
            <w:pPr>
              <w:pStyle w:val="TableText"/>
              <w:keepNext/>
              <w:jc w:val="center"/>
              <w:rPr>
                <w:rFonts w:cs="Arial"/>
                <w:b/>
                <w:szCs w:val="18"/>
              </w:rPr>
            </w:pPr>
            <w:r w:rsidRPr="00885D52">
              <w:rPr>
                <w:rFonts w:cs="Arial"/>
                <w:b/>
                <w:szCs w:val="18"/>
              </w:rPr>
              <w:t>No.</w:t>
            </w:r>
          </w:p>
        </w:tc>
        <w:tc>
          <w:tcPr>
            <w:tcW w:w="1131" w:type="dxa"/>
            <w:tcBorders>
              <w:top w:val="single" w:sz="4" w:space="0" w:color="auto"/>
              <w:left w:val="nil"/>
              <w:bottom w:val="single" w:sz="4" w:space="0" w:color="auto"/>
              <w:right w:val="nil"/>
            </w:tcBorders>
          </w:tcPr>
          <w:p w:rsidR="00000384" w:rsidRPr="00885D52" w:rsidRDefault="00000384" w:rsidP="00F41AE5">
            <w:pPr>
              <w:pStyle w:val="TableText"/>
              <w:keepNext/>
              <w:jc w:val="center"/>
              <w:rPr>
                <w:rFonts w:cs="Arial"/>
                <w:b/>
                <w:szCs w:val="18"/>
              </w:rPr>
            </w:pPr>
            <w:r w:rsidRPr="00885D52">
              <w:rPr>
                <w:rFonts w:cs="Arial"/>
                <w:b/>
                <w:szCs w:val="18"/>
              </w:rPr>
              <w:t>Rate</w:t>
            </w:r>
          </w:p>
        </w:tc>
        <w:tc>
          <w:tcPr>
            <w:tcW w:w="1132" w:type="dxa"/>
            <w:tcBorders>
              <w:top w:val="single" w:sz="4" w:space="0" w:color="A6A6A6"/>
              <w:left w:val="single" w:sz="4" w:space="0" w:color="auto"/>
              <w:bottom w:val="single" w:sz="4" w:space="0" w:color="auto"/>
              <w:right w:val="nil"/>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No.</w:t>
            </w:r>
          </w:p>
        </w:tc>
        <w:tc>
          <w:tcPr>
            <w:tcW w:w="1132" w:type="dxa"/>
            <w:tcBorders>
              <w:top w:val="single" w:sz="4" w:space="0" w:color="auto"/>
              <w:left w:val="nil"/>
              <w:bottom w:val="single" w:sz="4" w:space="0" w:color="auto"/>
            </w:tcBorders>
            <w:shd w:val="clear" w:color="auto" w:fill="auto"/>
            <w:noWrap/>
          </w:tcPr>
          <w:p w:rsidR="00000384" w:rsidRPr="00885D52" w:rsidRDefault="00000384" w:rsidP="00F41AE5">
            <w:pPr>
              <w:pStyle w:val="TableText"/>
              <w:keepNext/>
              <w:jc w:val="center"/>
              <w:rPr>
                <w:rFonts w:cs="Arial"/>
                <w:b/>
                <w:szCs w:val="18"/>
              </w:rPr>
            </w:pPr>
            <w:r w:rsidRPr="00885D52">
              <w:rPr>
                <w:rFonts w:cs="Arial"/>
                <w:b/>
                <w:szCs w:val="18"/>
              </w:rPr>
              <w:t>Rate</w:t>
            </w:r>
          </w:p>
        </w:tc>
      </w:tr>
      <w:tr w:rsidR="00000384" w:rsidRPr="00885D52" w:rsidTr="00F41AE5">
        <w:trPr>
          <w:cantSplit/>
        </w:trPr>
        <w:tc>
          <w:tcPr>
            <w:tcW w:w="1148" w:type="dxa"/>
            <w:tcBorders>
              <w:top w:val="single" w:sz="4" w:space="0" w:color="auto"/>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1980</w:t>
            </w:r>
          </w:p>
        </w:tc>
        <w:tc>
          <w:tcPr>
            <w:tcW w:w="1131" w:type="dxa"/>
            <w:tcBorders>
              <w:top w:val="single" w:sz="4" w:space="0" w:color="auto"/>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868</w:t>
            </w:r>
          </w:p>
        </w:tc>
        <w:tc>
          <w:tcPr>
            <w:tcW w:w="1132" w:type="dxa"/>
            <w:tcBorders>
              <w:top w:val="single" w:sz="4" w:space="0" w:color="auto"/>
              <w:left w:val="nil"/>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56.4</w:t>
            </w:r>
          </w:p>
        </w:tc>
        <w:tc>
          <w:tcPr>
            <w:tcW w:w="1132" w:type="dxa"/>
            <w:tcBorders>
              <w:top w:val="single" w:sz="4" w:space="0" w:color="auto"/>
              <w:left w:val="single" w:sz="4" w:space="0" w:color="auto"/>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265</w:t>
            </w:r>
          </w:p>
        </w:tc>
        <w:tc>
          <w:tcPr>
            <w:tcW w:w="1131" w:type="dxa"/>
            <w:tcBorders>
              <w:top w:val="single" w:sz="4" w:space="0" w:color="auto"/>
              <w:left w:val="nil"/>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14.5</w:t>
            </w:r>
          </w:p>
        </w:tc>
        <w:tc>
          <w:tcPr>
            <w:tcW w:w="1132" w:type="dxa"/>
            <w:tcBorders>
              <w:top w:val="single" w:sz="4" w:space="0" w:color="auto"/>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1133</w:t>
            </w:r>
          </w:p>
        </w:tc>
        <w:tc>
          <w:tcPr>
            <w:tcW w:w="1132" w:type="dxa"/>
            <w:tcBorders>
              <w:top w:val="single" w:sz="4" w:space="0" w:color="auto"/>
              <w:left w:val="nil"/>
              <w:bottom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32.8</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1981</w:t>
            </w:r>
          </w:p>
        </w:tc>
        <w:tc>
          <w:tcPr>
            <w:tcW w:w="1131" w:type="dxa"/>
            <w:tcBorders>
              <w:top w:val="nil"/>
              <w:left w:val="single" w:sz="4" w:space="0" w:color="auto"/>
              <w:bottom w:val="nil"/>
              <w:right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889</w:t>
            </w:r>
          </w:p>
        </w:tc>
        <w:tc>
          <w:tcPr>
            <w:tcW w:w="1132" w:type="dxa"/>
            <w:tcBorders>
              <w:top w:val="nil"/>
              <w:left w:val="nil"/>
              <w:bottom w:val="nil"/>
              <w:right w:val="single" w:sz="4" w:space="0" w:color="auto"/>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57.3</w:t>
            </w:r>
          </w:p>
        </w:tc>
        <w:tc>
          <w:tcPr>
            <w:tcW w:w="1132" w:type="dxa"/>
            <w:tcBorders>
              <w:top w:val="nil"/>
              <w:left w:val="single" w:sz="4" w:space="0" w:color="auto"/>
              <w:bottom w:val="nil"/>
              <w:right w:val="nil"/>
            </w:tcBorders>
          </w:tcPr>
          <w:p w:rsidR="00000384" w:rsidRPr="00885D52" w:rsidRDefault="00000384" w:rsidP="00F41AE5">
            <w:pPr>
              <w:pStyle w:val="TableText"/>
              <w:keepNext/>
              <w:jc w:val="center"/>
              <w:rPr>
                <w:rFonts w:cs="Arial"/>
                <w:szCs w:val="18"/>
              </w:rPr>
            </w:pPr>
            <w:r w:rsidRPr="00885D52">
              <w:rPr>
                <w:rFonts w:cs="Arial"/>
                <w:szCs w:val="18"/>
              </w:rPr>
              <w:t>298</w:t>
            </w:r>
          </w:p>
        </w:tc>
        <w:tc>
          <w:tcPr>
            <w:tcW w:w="1131" w:type="dxa"/>
            <w:tcBorders>
              <w:top w:val="nil"/>
              <w:left w:val="nil"/>
              <w:bottom w:val="nil"/>
              <w:right w:val="nil"/>
            </w:tcBorders>
          </w:tcPr>
          <w:p w:rsidR="00000384" w:rsidRPr="00885D52" w:rsidRDefault="00000384" w:rsidP="00F41AE5">
            <w:pPr>
              <w:pStyle w:val="TableText"/>
              <w:keepNext/>
              <w:jc w:val="center"/>
              <w:rPr>
                <w:rFonts w:cs="Arial"/>
                <w:szCs w:val="18"/>
              </w:rPr>
            </w:pPr>
            <w:r w:rsidRPr="00885D52">
              <w:rPr>
                <w:rFonts w:cs="Arial"/>
                <w:szCs w:val="18"/>
              </w:rPr>
              <w:t>15.8</w:t>
            </w:r>
          </w:p>
        </w:tc>
        <w:tc>
          <w:tcPr>
            <w:tcW w:w="1132" w:type="dxa"/>
            <w:tcBorders>
              <w:top w:val="nil"/>
              <w:left w:val="single" w:sz="4" w:space="0" w:color="auto"/>
              <w:bottom w:val="nil"/>
              <w:right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1187</w:t>
            </w:r>
          </w:p>
        </w:tc>
        <w:tc>
          <w:tcPr>
            <w:tcW w:w="1132" w:type="dxa"/>
            <w:tcBorders>
              <w:top w:val="nil"/>
              <w:left w:val="nil"/>
              <w:bottom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33.8</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1982</w:t>
            </w:r>
          </w:p>
        </w:tc>
        <w:tc>
          <w:tcPr>
            <w:tcW w:w="1131" w:type="dxa"/>
            <w:tcBorders>
              <w:top w:val="nil"/>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844</w:t>
            </w:r>
          </w:p>
        </w:tc>
        <w:tc>
          <w:tcPr>
            <w:tcW w:w="1132" w:type="dxa"/>
            <w:tcBorders>
              <w:top w:val="nil"/>
              <w:left w:val="nil"/>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53.4</w:t>
            </w:r>
          </w:p>
        </w:tc>
        <w:tc>
          <w:tcPr>
            <w:tcW w:w="1132" w:type="dxa"/>
            <w:tcBorders>
              <w:top w:val="nil"/>
              <w:left w:val="single" w:sz="4" w:space="0" w:color="auto"/>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298</w:t>
            </w:r>
          </w:p>
        </w:tc>
        <w:tc>
          <w:tcPr>
            <w:tcW w:w="1131" w:type="dxa"/>
            <w:tcBorders>
              <w:top w:val="nil"/>
              <w:left w:val="nil"/>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15.4</w:t>
            </w:r>
          </w:p>
        </w:tc>
        <w:tc>
          <w:tcPr>
            <w:tcW w:w="1132" w:type="dxa"/>
            <w:tcBorders>
              <w:top w:val="nil"/>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1142</w:t>
            </w:r>
          </w:p>
        </w:tc>
        <w:tc>
          <w:tcPr>
            <w:tcW w:w="1132" w:type="dxa"/>
            <w:tcBorders>
              <w:top w:val="nil"/>
              <w:left w:val="nil"/>
              <w:bottom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31.7</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1983</w:t>
            </w:r>
          </w:p>
        </w:tc>
        <w:tc>
          <w:tcPr>
            <w:tcW w:w="1131" w:type="dxa"/>
            <w:tcBorders>
              <w:top w:val="nil"/>
              <w:left w:val="single" w:sz="4" w:space="0" w:color="auto"/>
              <w:bottom w:val="nil"/>
              <w:right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948</w:t>
            </w:r>
          </w:p>
        </w:tc>
        <w:tc>
          <w:tcPr>
            <w:tcW w:w="1132" w:type="dxa"/>
            <w:tcBorders>
              <w:top w:val="nil"/>
              <w:left w:val="nil"/>
              <w:bottom w:val="nil"/>
              <w:right w:val="single" w:sz="4" w:space="0" w:color="auto"/>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58.3</w:t>
            </w:r>
          </w:p>
        </w:tc>
        <w:tc>
          <w:tcPr>
            <w:tcW w:w="1132" w:type="dxa"/>
            <w:tcBorders>
              <w:top w:val="nil"/>
              <w:left w:val="single" w:sz="4" w:space="0" w:color="auto"/>
              <w:bottom w:val="nil"/>
              <w:right w:val="nil"/>
            </w:tcBorders>
          </w:tcPr>
          <w:p w:rsidR="00000384" w:rsidRPr="00885D52" w:rsidRDefault="00000384" w:rsidP="00F41AE5">
            <w:pPr>
              <w:pStyle w:val="TableText"/>
              <w:keepNext/>
              <w:jc w:val="center"/>
              <w:rPr>
                <w:rFonts w:cs="Arial"/>
                <w:szCs w:val="18"/>
              </w:rPr>
            </w:pPr>
            <w:r w:rsidRPr="00885D52">
              <w:rPr>
                <w:rFonts w:cs="Arial"/>
                <w:szCs w:val="18"/>
              </w:rPr>
              <w:t>291</w:t>
            </w:r>
          </w:p>
        </w:tc>
        <w:tc>
          <w:tcPr>
            <w:tcW w:w="1131" w:type="dxa"/>
            <w:tcBorders>
              <w:top w:val="nil"/>
              <w:left w:val="nil"/>
              <w:bottom w:val="nil"/>
              <w:right w:val="nil"/>
            </w:tcBorders>
          </w:tcPr>
          <w:p w:rsidR="00000384" w:rsidRPr="00885D52" w:rsidRDefault="00000384" w:rsidP="00F41AE5">
            <w:pPr>
              <w:pStyle w:val="TableText"/>
              <w:keepNext/>
              <w:jc w:val="center"/>
              <w:rPr>
                <w:rFonts w:cs="Arial"/>
                <w:szCs w:val="18"/>
              </w:rPr>
            </w:pPr>
            <w:r w:rsidRPr="00885D52">
              <w:rPr>
                <w:rFonts w:cs="Arial"/>
                <w:szCs w:val="18"/>
              </w:rPr>
              <w:t>15.0</w:t>
            </w:r>
          </w:p>
        </w:tc>
        <w:tc>
          <w:tcPr>
            <w:tcW w:w="1132" w:type="dxa"/>
            <w:tcBorders>
              <w:top w:val="nil"/>
              <w:left w:val="single" w:sz="4" w:space="0" w:color="auto"/>
              <w:bottom w:val="nil"/>
              <w:right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1239</w:t>
            </w:r>
          </w:p>
        </w:tc>
        <w:tc>
          <w:tcPr>
            <w:tcW w:w="1132" w:type="dxa"/>
            <w:tcBorders>
              <w:top w:val="nil"/>
              <w:left w:val="nil"/>
              <w:bottom w:val="nil"/>
            </w:tcBorders>
            <w:shd w:val="clear" w:color="auto" w:fill="auto"/>
            <w:noWrap/>
          </w:tcPr>
          <w:p w:rsidR="00000384" w:rsidRPr="00885D52" w:rsidRDefault="00000384" w:rsidP="00F41AE5">
            <w:pPr>
              <w:pStyle w:val="TableText"/>
              <w:keepNext/>
              <w:jc w:val="center"/>
              <w:rPr>
                <w:rFonts w:cs="Arial"/>
                <w:szCs w:val="18"/>
              </w:rPr>
            </w:pPr>
            <w:r w:rsidRPr="00885D52">
              <w:rPr>
                <w:rFonts w:cs="Arial"/>
                <w:szCs w:val="18"/>
              </w:rPr>
              <w:t>34.0</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1984</w:t>
            </w:r>
          </w:p>
        </w:tc>
        <w:tc>
          <w:tcPr>
            <w:tcW w:w="1131" w:type="dxa"/>
            <w:tcBorders>
              <w:top w:val="nil"/>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975</w:t>
            </w:r>
          </w:p>
        </w:tc>
        <w:tc>
          <w:tcPr>
            <w:tcW w:w="1132" w:type="dxa"/>
            <w:tcBorders>
              <w:top w:val="nil"/>
              <w:left w:val="nil"/>
              <w:bottom w:val="nil"/>
              <w:right w:val="single" w:sz="4" w:space="0" w:color="auto"/>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59.4</w:t>
            </w:r>
          </w:p>
        </w:tc>
        <w:tc>
          <w:tcPr>
            <w:tcW w:w="1132" w:type="dxa"/>
            <w:tcBorders>
              <w:top w:val="nil"/>
              <w:left w:val="single" w:sz="4" w:space="0" w:color="auto"/>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307</w:t>
            </w:r>
          </w:p>
        </w:tc>
        <w:tc>
          <w:tcPr>
            <w:tcW w:w="1131" w:type="dxa"/>
            <w:tcBorders>
              <w:top w:val="nil"/>
              <w:left w:val="nil"/>
              <w:bottom w:val="nil"/>
              <w:right w:val="nil"/>
            </w:tcBorders>
            <w:shd w:val="clear" w:color="auto" w:fill="F2F2F2"/>
          </w:tcPr>
          <w:p w:rsidR="00000384" w:rsidRPr="00885D52" w:rsidRDefault="00000384" w:rsidP="00F41AE5">
            <w:pPr>
              <w:pStyle w:val="TableText"/>
              <w:keepNext/>
              <w:jc w:val="center"/>
              <w:rPr>
                <w:rFonts w:cs="Arial"/>
                <w:szCs w:val="18"/>
              </w:rPr>
            </w:pPr>
            <w:r w:rsidRPr="00885D52">
              <w:rPr>
                <w:rFonts w:cs="Arial"/>
                <w:szCs w:val="18"/>
              </w:rPr>
              <w:t>15.2</w:t>
            </w:r>
          </w:p>
        </w:tc>
        <w:tc>
          <w:tcPr>
            <w:tcW w:w="1132" w:type="dxa"/>
            <w:tcBorders>
              <w:top w:val="nil"/>
              <w:left w:val="single" w:sz="4" w:space="0" w:color="auto"/>
              <w:bottom w:val="nil"/>
              <w:right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1282</w:t>
            </w:r>
          </w:p>
        </w:tc>
        <w:tc>
          <w:tcPr>
            <w:tcW w:w="1132" w:type="dxa"/>
            <w:tcBorders>
              <w:top w:val="nil"/>
              <w:left w:val="nil"/>
              <w:bottom w:val="nil"/>
            </w:tcBorders>
            <w:shd w:val="clear" w:color="auto" w:fill="F2F2F2"/>
            <w:noWrap/>
          </w:tcPr>
          <w:p w:rsidR="00000384" w:rsidRPr="00885D52" w:rsidRDefault="00000384" w:rsidP="00F41AE5">
            <w:pPr>
              <w:pStyle w:val="TableText"/>
              <w:keepNext/>
              <w:jc w:val="center"/>
              <w:rPr>
                <w:rFonts w:cs="Arial"/>
                <w:szCs w:val="18"/>
              </w:rPr>
            </w:pPr>
            <w:r w:rsidRPr="00885D52">
              <w:rPr>
                <w:rFonts w:cs="Arial"/>
                <w:szCs w:val="18"/>
              </w:rPr>
              <w:t>34.4</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1985</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866</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52.6</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331</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16.6</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1197</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31.9</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1986</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949</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55.5</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329</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15.9</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1278</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33.1</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1987</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950</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54.7</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396</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18.9</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1346</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34.5</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1988</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892</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51.2</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395</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18.4</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1287</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32.7</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1989</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896</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50.5</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411</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19.7</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1307</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32.9</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1990</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903</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50.0</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433</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20.2</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1336</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33.0</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1991</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869</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47.1</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427</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19.8</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1296</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31.6</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1992</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947</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50.0</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445</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19.5</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1392</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32.5</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1993</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892</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46.1</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444</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19.4</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1336</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30.9</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1994</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919</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46.3</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484</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20.7</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1403</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31.7</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1995</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892</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44.3</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514</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21.6</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1406</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31.5</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1996</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904</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43.8</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502</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20.2</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1406</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30.5</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1997</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882</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40.8</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530</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21.2</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1412</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29.6</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1998</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855</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38.8</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526</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20.2</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1381</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28.1</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1999</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874</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38.6</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569</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21.4</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1443</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28.8</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2000</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860</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37.0</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546</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19.7</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1406</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27.3</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2001</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841</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35.1</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594</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21.4</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1435</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27.3</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2002</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866</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35.1</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605</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20.7</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1471</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26.9</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2003</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848</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33.4</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618</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21.6</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1466</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26.6</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2004</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929</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35.9</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626</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21.5</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1555</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27.8</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2005</w:t>
            </w:r>
          </w:p>
        </w:tc>
        <w:tc>
          <w:tcPr>
            <w:tcW w:w="1131"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864</w:t>
            </w:r>
          </w:p>
        </w:tc>
        <w:tc>
          <w:tcPr>
            <w:tcW w:w="1132" w:type="dxa"/>
            <w:tcBorders>
              <w:top w:val="nil"/>
              <w:left w:val="nil"/>
              <w:bottom w:val="nil"/>
              <w:right w:val="single" w:sz="4" w:space="0" w:color="auto"/>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32.3</w:t>
            </w:r>
          </w:p>
        </w:tc>
        <w:tc>
          <w:tcPr>
            <w:tcW w:w="1132" w:type="dxa"/>
            <w:tcBorders>
              <w:top w:val="nil"/>
              <w:left w:val="single" w:sz="4" w:space="0" w:color="auto"/>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587</w:t>
            </w:r>
          </w:p>
        </w:tc>
        <w:tc>
          <w:tcPr>
            <w:tcW w:w="1131" w:type="dxa"/>
            <w:tcBorders>
              <w:top w:val="nil"/>
              <w:left w:val="nil"/>
              <w:bottom w:val="nil"/>
              <w:right w:val="nil"/>
            </w:tcBorders>
          </w:tcPr>
          <w:p w:rsidR="00000384" w:rsidRPr="00885D52" w:rsidRDefault="00000384" w:rsidP="008A16FC">
            <w:pPr>
              <w:pStyle w:val="TableText"/>
              <w:keepNext/>
              <w:jc w:val="center"/>
              <w:rPr>
                <w:rFonts w:cs="Arial"/>
                <w:szCs w:val="18"/>
              </w:rPr>
            </w:pPr>
            <w:r w:rsidRPr="00885D52">
              <w:rPr>
                <w:rFonts w:cs="Arial"/>
                <w:szCs w:val="18"/>
              </w:rPr>
              <w:t>19.2</w:t>
            </w:r>
          </w:p>
        </w:tc>
        <w:tc>
          <w:tcPr>
            <w:tcW w:w="1132" w:type="dxa"/>
            <w:tcBorders>
              <w:top w:val="nil"/>
              <w:left w:val="single" w:sz="4" w:space="0" w:color="auto"/>
              <w:bottom w:val="nil"/>
              <w:right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1451</w:t>
            </w:r>
          </w:p>
        </w:tc>
        <w:tc>
          <w:tcPr>
            <w:tcW w:w="1132" w:type="dxa"/>
            <w:tcBorders>
              <w:top w:val="nil"/>
              <w:left w:val="nil"/>
              <w:bottom w:val="nil"/>
            </w:tcBorders>
            <w:shd w:val="clear" w:color="auto" w:fill="auto"/>
            <w:noWrap/>
          </w:tcPr>
          <w:p w:rsidR="00000384" w:rsidRPr="00885D52" w:rsidRDefault="00000384" w:rsidP="008A16FC">
            <w:pPr>
              <w:pStyle w:val="TableText"/>
              <w:keepNext/>
              <w:jc w:val="center"/>
              <w:rPr>
                <w:rFonts w:cs="Arial"/>
                <w:szCs w:val="18"/>
              </w:rPr>
            </w:pPr>
            <w:r w:rsidRPr="00885D52">
              <w:rPr>
                <w:rFonts w:cs="Arial"/>
                <w:szCs w:val="18"/>
              </w:rPr>
              <w:t>25.0</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2006</w:t>
            </w:r>
          </w:p>
        </w:tc>
        <w:tc>
          <w:tcPr>
            <w:tcW w:w="1131"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798</w:t>
            </w:r>
          </w:p>
        </w:tc>
        <w:tc>
          <w:tcPr>
            <w:tcW w:w="1132" w:type="dxa"/>
            <w:tcBorders>
              <w:top w:val="nil"/>
              <w:left w:val="nil"/>
              <w:bottom w:val="nil"/>
              <w:right w:val="single" w:sz="4" w:space="0" w:color="auto"/>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29.2</w:t>
            </w:r>
          </w:p>
        </w:tc>
        <w:tc>
          <w:tcPr>
            <w:tcW w:w="1132" w:type="dxa"/>
            <w:tcBorders>
              <w:top w:val="nil"/>
              <w:left w:val="single" w:sz="4" w:space="0" w:color="auto"/>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659</w:t>
            </w:r>
          </w:p>
        </w:tc>
        <w:tc>
          <w:tcPr>
            <w:tcW w:w="1131" w:type="dxa"/>
            <w:tcBorders>
              <w:top w:val="nil"/>
              <w:left w:val="nil"/>
              <w:bottom w:val="nil"/>
              <w:right w:val="nil"/>
            </w:tcBorders>
            <w:shd w:val="clear" w:color="auto" w:fill="F2F2F2"/>
          </w:tcPr>
          <w:p w:rsidR="00000384" w:rsidRPr="00885D52" w:rsidRDefault="00000384" w:rsidP="008A16FC">
            <w:pPr>
              <w:pStyle w:val="TableText"/>
              <w:keepNext/>
              <w:jc w:val="center"/>
              <w:rPr>
                <w:rFonts w:cs="Arial"/>
                <w:szCs w:val="18"/>
              </w:rPr>
            </w:pPr>
            <w:r w:rsidRPr="00885D52">
              <w:rPr>
                <w:rFonts w:cs="Arial"/>
                <w:szCs w:val="18"/>
              </w:rPr>
              <w:t>21.2</w:t>
            </w:r>
          </w:p>
        </w:tc>
        <w:tc>
          <w:tcPr>
            <w:tcW w:w="1132" w:type="dxa"/>
            <w:tcBorders>
              <w:top w:val="nil"/>
              <w:left w:val="single" w:sz="4" w:space="0" w:color="auto"/>
              <w:bottom w:val="nil"/>
              <w:right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1457</w:t>
            </w:r>
          </w:p>
        </w:tc>
        <w:tc>
          <w:tcPr>
            <w:tcW w:w="1132" w:type="dxa"/>
            <w:tcBorders>
              <w:top w:val="nil"/>
              <w:left w:val="nil"/>
              <w:bottom w:val="nil"/>
            </w:tcBorders>
            <w:shd w:val="clear" w:color="auto" w:fill="F2F2F2"/>
            <w:noWrap/>
          </w:tcPr>
          <w:p w:rsidR="00000384" w:rsidRPr="00885D52" w:rsidRDefault="00000384" w:rsidP="008A16FC">
            <w:pPr>
              <w:pStyle w:val="TableText"/>
              <w:keepNext/>
              <w:jc w:val="center"/>
              <w:rPr>
                <w:rFonts w:cs="Arial"/>
                <w:szCs w:val="18"/>
              </w:rPr>
            </w:pPr>
            <w:r w:rsidRPr="00885D52">
              <w:rPr>
                <w:rFonts w:cs="Arial"/>
                <w:szCs w:val="18"/>
              </w:rPr>
              <w:t>24.7</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2007</w:t>
            </w:r>
          </w:p>
        </w:tc>
        <w:tc>
          <w:tcPr>
            <w:tcW w:w="1131" w:type="dxa"/>
            <w:tcBorders>
              <w:top w:val="nil"/>
              <w:left w:val="single" w:sz="4" w:space="0" w:color="auto"/>
              <w:bottom w:val="nil"/>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864</w:t>
            </w:r>
          </w:p>
        </w:tc>
        <w:tc>
          <w:tcPr>
            <w:tcW w:w="1132" w:type="dxa"/>
            <w:tcBorders>
              <w:top w:val="nil"/>
              <w:left w:val="nil"/>
              <w:bottom w:val="nil"/>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30.3</w:t>
            </w:r>
          </w:p>
        </w:tc>
        <w:tc>
          <w:tcPr>
            <w:tcW w:w="1132" w:type="dxa"/>
            <w:tcBorders>
              <w:top w:val="nil"/>
              <w:left w:val="single" w:sz="4" w:space="0" w:color="auto"/>
              <w:bottom w:val="nil"/>
              <w:right w:val="nil"/>
            </w:tcBorders>
          </w:tcPr>
          <w:p w:rsidR="00000384" w:rsidRPr="00885D52" w:rsidRDefault="00000384" w:rsidP="00F41AE5">
            <w:pPr>
              <w:pStyle w:val="TableText"/>
              <w:jc w:val="center"/>
              <w:rPr>
                <w:rFonts w:cs="Arial"/>
                <w:szCs w:val="18"/>
              </w:rPr>
            </w:pPr>
            <w:r w:rsidRPr="00885D52">
              <w:rPr>
                <w:rFonts w:cs="Arial"/>
                <w:szCs w:val="18"/>
              </w:rPr>
              <w:t>664</w:t>
            </w:r>
          </w:p>
        </w:tc>
        <w:tc>
          <w:tcPr>
            <w:tcW w:w="1131" w:type="dxa"/>
            <w:tcBorders>
              <w:top w:val="nil"/>
              <w:left w:val="nil"/>
              <w:bottom w:val="nil"/>
              <w:right w:val="nil"/>
            </w:tcBorders>
          </w:tcPr>
          <w:p w:rsidR="00000384" w:rsidRPr="00885D52" w:rsidRDefault="00000384" w:rsidP="00F41AE5">
            <w:pPr>
              <w:pStyle w:val="TableText"/>
              <w:jc w:val="center"/>
              <w:rPr>
                <w:rFonts w:cs="Arial"/>
                <w:szCs w:val="18"/>
              </w:rPr>
            </w:pPr>
            <w:r w:rsidRPr="00885D52">
              <w:rPr>
                <w:rFonts w:cs="Arial"/>
                <w:szCs w:val="18"/>
              </w:rPr>
              <w:t>20.4</w:t>
            </w:r>
          </w:p>
        </w:tc>
        <w:tc>
          <w:tcPr>
            <w:tcW w:w="1132" w:type="dxa"/>
            <w:tcBorders>
              <w:top w:val="nil"/>
              <w:left w:val="single" w:sz="4" w:space="0" w:color="auto"/>
              <w:bottom w:val="nil"/>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1528</w:t>
            </w:r>
          </w:p>
        </w:tc>
        <w:tc>
          <w:tcPr>
            <w:tcW w:w="1132" w:type="dxa"/>
            <w:tcBorders>
              <w:top w:val="nil"/>
              <w:left w:val="nil"/>
              <w:bottom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24.7</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2008</w:t>
            </w:r>
          </w:p>
        </w:tc>
        <w:tc>
          <w:tcPr>
            <w:tcW w:w="1131" w:type="dxa"/>
            <w:tcBorders>
              <w:top w:val="nil"/>
              <w:left w:val="single" w:sz="4" w:space="0" w:color="auto"/>
              <w:bottom w:val="nil"/>
              <w:right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889</w:t>
            </w:r>
          </w:p>
        </w:tc>
        <w:tc>
          <w:tcPr>
            <w:tcW w:w="1132" w:type="dxa"/>
            <w:tcBorders>
              <w:top w:val="nil"/>
              <w:left w:val="nil"/>
              <w:bottom w:val="nil"/>
              <w:right w:val="single" w:sz="4" w:space="0" w:color="auto"/>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30.1</w:t>
            </w:r>
          </w:p>
        </w:tc>
        <w:tc>
          <w:tcPr>
            <w:tcW w:w="1132" w:type="dxa"/>
            <w:tcBorders>
              <w:top w:val="nil"/>
              <w:left w:val="single" w:sz="4" w:space="0" w:color="auto"/>
              <w:bottom w:val="nil"/>
              <w:right w:val="nil"/>
            </w:tcBorders>
            <w:shd w:val="clear" w:color="auto" w:fill="F2F2F2"/>
          </w:tcPr>
          <w:p w:rsidR="00000384" w:rsidRPr="00885D52" w:rsidRDefault="00000384" w:rsidP="00F41AE5">
            <w:pPr>
              <w:pStyle w:val="TableText"/>
              <w:jc w:val="center"/>
              <w:rPr>
                <w:rFonts w:cs="Arial"/>
                <w:szCs w:val="18"/>
              </w:rPr>
            </w:pPr>
            <w:r w:rsidRPr="00885D52">
              <w:rPr>
                <w:rFonts w:cs="Arial"/>
                <w:szCs w:val="18"/>
              </w:rPr>
              <w:t>745</w:t>
            </w:r>
          </w:p>
        </w:tc>
        <w:tc>
          <w:tcPr>
            <w:tcW w:w="1131" w:type="dxa"/>
            <w:tcBorders>
              <w:top w:val="nil"/>
              <w:left w:val="nil"/>
              <w:bottom w:val="nil"/>
              <w:right w:val="nil"/>
            </w:tcBorders>
            <w:shd w:val="clear" w:color="auto" w:fill="F2F2F2"/>
          </w:tcPr>
          <w:p w:rsidR="00000384" w:rsidRPr="00885D52" w:rsidRDefault="00000384" w:rsidP="00F41AE5">
            <w:pPr>
              <w:pStyle w:val="TableText"/>
              <w:jc w:val="center"/>
              <w:rPr>
                <w:rFonts w:cs="Arial"/>
                <w:szCs w:val="18"/>
              </w:rPr>
            </w:pPr>
            <w:r w:rsidRPr="00885D52">
              <w:rPr>
                <w:rFonts w:cs="Arial"/>
                <w:szCs w:val="18"/>
              </w:rPr>
              <w:t>22.6</w:t>
            </w:r>
          </w:p>
        </w:tc>
        <w:tc>
          <w:tcPr>
            <w:tcW w:w="1132" w:type="dxa"/>
            <w:tcBorders>
              <w:top w:val="nil"/>
              <w:left w:val="single" w:sz="4" w:space="0" w:color="auto"/>
              <w:bottom w:val="nil"/>
              <w:right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1634</w:t>
            </w:r>
          </w:p>
        </w:tc>
        <w:tc>
          <w:tcPr>
            <w:tcW w:w="1132" w:type="dxa"/>
            <w:tcBorders>
              <w:top w:val="nil"/>
              <w:left w:val="nil"/>
              <w:bottom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25.7</w:t>
            </w:r>
          </w:p>
        </w:tc>
      </w:tr>
      <w:tr w:rsidR="00000384" w:rsidRPr="00885D52" w:rsidTr="00F41AE5">
        <w:trPr>
          <w:cantSplit/>
        </w:trPr>
        <w:tc>
          <w:tcPr>
            <w:tcW w:w="1148" w:type="dxa"/>
            <w:tcBorders>
              <w:top w:val="nil"/>
              <w:bottom w:val="nil"/>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2009</w:t>
            </w:r>
          </w:p>
        </w:tc>
        <w:tc>
          <w:tcPr>
            <w:tcW w:w="1131" w:type="dxa"/>
            <w:tcBorders>
              <w:top w:val="nil"/>
              <w:left w:val="single" w:sz="4" w:space="0" w:color="auto"/>
              <w:bottom w:val="nil"/>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876</w:t>
            </w:r>
          </w:p>
        </w:tc>
        <w:tc>
          <w:tcPr>
            <w:tcW w:w="1132" w:type="dxa"/>
            <w:tcBorders>
              <w:top w:val="nil"/>
              <w:left w:val="nil"/>
              <w:bottom w:val="nil"/>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28.8</w:t>
            </w:r>
          </w:p>
        </w:tc>
        <w:tc>
          <w:tcPr>
            <w:tcW w:w="1132" w:type="dxa"/>
            <w:tcBorders>
              <w:top w:val="nil"/>
              <w:left w:val="single" w:sz="4" w:space="0" w:color="auto"/>
              <w:bottom w:val="nil"/>
              <w:right w:val="nil"/>
            </w:tcBorders>
          </w:tcPr>
          <w:p w:rsidR="00000384" w:rsidRPr="00885D52" w:rsidRDefault="00000384" w:rsidP="00F41AE5">
            <w:pPr>
              <w:pStyle w:val="TableText"/>
              <w:jc w:val="center"/>
              <w:rPr>
                <w:rFonts w:cs="Arial"/>
                <w:szCs w:val="18"/>
              </w:rPr>
            </w:pPr>
            <w:r w:rsidRPr="00885D52">
              <w:rPr>
                <w:rFonts w:cs="Arial"/>
                <w:szCs w:val="18"/>
              </w:rPr>
              <w:t>717</w:t>
            </w:r>
          </w:p>
        </w:tc>
        <w:tc>
          <w:tcPr>
            <w:tcW w:w="1131" w:type="dxa"/>
            <w:tcBorders>
              <w:top w:val="nil"/>
              <w:left w:val="nil"/>
              <w:bottom w:val="nil"/>
              <w:right w:val="nil"/>
            </w:tcBorders>
          </w:tcPr>
          <w:p w:rsidR="00000384" w:rsidRPr="00885D52" w:rsidRDefault="00000384" w:rsidP="00F41AE5">
            <w:pPr>
              <w:pStyle w:val="TableText"/>
              <w:jc w:val="center"/>
              <w:rPr>
                <w:rFonts w:cs="Arial"/>
                <w:szCs w:val="18"/>
              </w:rPr>
            </w:pPr>
            <w:r w:rsidRPr="00885D52">
              <w:rPr>
                <w:rFonts w:cs="Arial"/>
                <w:szCs w:val="18"/>
              </w:rPr>
              <w:t>21.0</w:t>
            </w:r>
          </w:p>
        </w:tc>
        <w:tc>
          <w:tcPr>
            <w:tcW w:w="1132" w:type="dxa"/>
            <w:tcBorders>
              <w:top w:val="nil"/>
              <w:left w:val="single" w:sz="4" w:space="0" w:color="auto"/>
              <w:bottom w:val="nil"/>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1593</w:t>
            </w:r>
          </w:p>
        </w:tc>
        <w:tc>
          <w:tcPr>
            <w:tcW w:w="1132" w:type="dxa"/>
            <w:tcBorders>
              <w:top w:val="nil"/>
              <w:left w:val="nil"/>
              <w:bottom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24.4</w:t>
            </w:r>
          </w:p>
        </w:tc>
      </w:tr>
      <w:tr w:rsidR="00000384" w:rsidRPr="00885D52" w:rsidTr="00F41AE5">
        <w:trPr>
          <w:cantSplit/>
        </w:trPr>
        <w:tc>
          <w:tcPr>
            <w:tcW w:w="1148" w:type="dxa"/>
            <w:tcBorders>
              <w:top w:val="nil"/>
              <w:bottom w:val="nil"/>
              <w:right w:val="single" w:sz="4" w:space="0" w:color="auto"/>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2010</w:t>
            </w:r>
          </w:p>
        </w:tc>
        <w:tc>
          <w:tcPr>
            <w:tcW w:w="1131" w:type="dxa"/>
            <w:tcBorders>
              <w:top w:val="nil"/>
              <w:left w:val="single" w:sz="4" w:space="0" w:color="auto"/>
              <w:bottom w:val="nil"/>
              <w:right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893</w:t>
            </w:r>
          </w:p>
        </w:tc>
        <w:tc>
          <w:tcPr>
            <w:tcW w:w="1132" w:type="dxa"/>
            <w:tcBorders>
              <w:top w:val="nil"/>
              <w:left w:val="nil"/>
              <w:bottom w:val="nil"/>
              <w:right w:val="single" w:sz="4" w:space="0" w:color="auto"/>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28.7</w:t>
            </w:r>
          </w:p>
        </w:tc>
        <w:tc>
          <w:tcPr>
            <w:tcW w:w="1132" w:type="dxa"/>
            <w:tcBorders>
              <w:top w:val="nil"/>
              <w:left w:val="single" w:sz="4" w:space="0" w:color="auto"/>
              <w:bottom w:val="nil"/>
              <w:right w:val="nil"/>
            </w:tcBorders>
            <w:shd w:val="clear" w:color="auto" w:fill="F2F2F2"/>
          </w:tcPr>
          <w:p w:rsidR="00000384" w:rsidRPr="00885D52" w:rsidRDefault="00000384" w:rsidP="00F41AE5">
            <w:pPr>
              <w:pStyle w:val="TableText"/>
              <w:jc w:val="center"/>
              <w:rPr>
                <w:rFonts w:cs="Arial"/>
                <w:szCs w:val="18"/>
              </w:rPr>
            </w:pPr>
            <w:r w:rsidRPr="00885D52">
              <w:rPr>
                <w:rFonts w:cs="Arial"/>
                <w:szCs w:val="18"/>
              </w:rPr>
              <w:t>757</w:t>
            </w:r>
          </w:p>
        </w:tc>
        <w:tc>
          <w:tcPr>
            <w:tcW w:w="1131" w:type="dxa"/>
            <w:tcBorders>
              <w:top w:val="nil"/>
              <w:left w:val="nil"/>
              <w:bottom w:val="nil"/>
              <w:right w:val="nil"/>
            </w:tcBorders>
            <w:shd w:val="clear" w:color="auto" w:fill="F2F2F2"/>
          </w:tcPr>
          <w:p w:rsidR="00000384" w:rsidRPr="00885D52" w:rsidRDefault="00000384" w:rsidP="00F41AE5">
            <w:pPr>
              <w:pStyle w:val="TableText"/>
              <w:jc w:val="center"/>
              <w:rPr>
                <w:rFonts w:cs="Arial"/>
                <w:szCs w:val="18"/>
              </w:rPr>
            </w:pPr>
            <w:r w:rsidRPr="00885D52">
              <w:rPr>
                <w:rFonts w:cs="Arial"/>
                <w:szCs w:val="18"/>
              </w:rPr>
              <w:t>21.2</w:t>
            </w:r>
          </w:p>
        </w:tc>
        <w:tc>
          <w:tcPr>
            <w:tcW w:w="1132" w:type="dxa"/>
            <w:tcBorders>
              <w:top w:val="nil"/>
              <w:left w:val="single" w:sz="4" w:space="0" w:color="auto"/>
              <w:bottom w:val="nil"/>
              <w:right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1650</w:t>
            </w:r>
          </w:p>
        </w:tc>
        <w:tc>
          <w:tcPr>
            <w:tcW w:w="1132" w:type="dxa"/>
            <w:tcBorders>
              <w:top w:val="nil"/>
              <w:left w:val="nil"/>
              <w:bottom w:val="nil"/>
            </w:tcBorders>
            <w:shd w:val="clear" w:color="auto" w:fill="F2F2F2"/>
            <w:noWrap/>
          </w:tcPr>
          <w:p w:rsidR="00000384" w:rsidRPr="00885D52" w:rsidRDefault="00000384" w:rsidP="00F41AE5">
            <w:pPr>
              <w:pStyle w:val="TableText"/>
              <w:jc w:val="center"/>
              <w:rPr>
                <w:rFonts w:cs="Arial"/>
                <w:szCs w:val="18"/>
              </w:rPr>
            </w:pPr>
            <w:r w:rsidRPr="00885D52">
              <w:rPr>
                <w:rFonts w:cs="Arial"/>
                <w:szCs w:val="18"/>
              </w:rPr>
              <w:t>24.6</w:t>
            </w:r>
          </w:p>
        </w:tc>
      </w:tr>
      <w:tr w:rsidR="00000384" w:rsidRPr="00885D52" w:rsidTr="00F41AE5">
        <w:trPr>
          <w:cantSplit/>
        </w:trPr>
        <w:tc>
          <w:tcPr>
            <w:tcW w:w="1148" w:type="dxa"/>
            <w:tcBorders>
              <w:top w:val="nil"/>
              <w:bottom w:val="single" w:sz="4" w:space="0" w:color="auto"/>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2011</w:t>
            </w:r>
          </w:p>
        </w:tc>
        <w:tc>
          <w:tcPr>
            <w:tcW w:w="1131" w:type="dxa"/>
            <w:tcBorders>
              <w:top w:val="nil"/>
              <w:left w:val="single" w:sz="4" w:space="0" w:color="auto"/>
              <w:bottom w:val="single" w:sz="4" w:space="0" w:color="auto"/>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909</w:t>
            </w:r>
          </w:p>
        </w:tc>
        <w:tc>
          <w:tcPr>
            <w:tcW w:w="1132" w:type="dxa"/>
            <w:tcBorders>
              <w:top w:val="nil"/>
              <w:left w:val="nil"/>
              <w:bottom w:val="single" w:sz="4" w:space="0" w:color="auto"/>
              <w:right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28.0</w:t>
            </w:r>
          </w:p>
        </w:tc>
        <w:tc>
          <w:tcPr>
            <w:tcW w:w="1132" w:type="dxa"/>
            <w:tcBorders>
              <w:top w:val="nil"/>
              <w:left w:val="single" w:sz="4" w:space="0" w:color="auto"/>
              <w:bottom w:val="single" w:sz="4" w:space="0" w:color="auto"/>
              <w:right w:val="nil"/>
            </w:tcBorders>
            <w:shd w:val="clear" w:color="auto" w:fill="auto"/>
          </w:tcPr>
          <w:p w:rsidR="00000384" w:rsidRPr="00885D52" w:rsidRDefault="00000384" w:rsidP="00F41AE5">
            <w:pPr>
              <w:pStyle w:val="TableText"/>
              <w:jc w:val="center"/>
              <w:rPr>
                <w:rFonts w:cs="Arial"/>
                <w:szCs w:val="18"/>
              </w:rPr>
            </w:pPr>
            <w:r w:rsidRPr="00885D52">
              <w:rPr>
                <w:rFonts w:cs="Arial"/>
                <w:szCs w:val="18"/>
              </w:rPr>
              <w:t>773</w:t>
            </w:r>
          </w:p>
        </w:tc>
        <w:tc>
          <w:tcPr>
            <w:tcW w:w="1131" w:type="dxa"/>
            <w:tcBorders>
              <w:top w:val="nil"/>
              <w:left w:val="nil"/>
              <w:bottom w:val="single" w:sz="4" w:space="0" w:color="auto"/>
              <w:right w:val="nil"/>
            </w:tcBorders>
            <w:shd w:val="clear" w:color="auto" w:fill="auto"/>
          </w:tcPr>
          <w:p w:rsidR="00000384" w:rsidRPr="00885D52" w:rsidRDefault="00000384" w:rsidP="00F41AE5">
            <w:pPr>
              <w:pStyle w:val="TableText"/>
              <w:jc w:val="center"/>
              <w:rPr>
                <w:rFonts w:cs="Arial"/>
                <w:szCs w:val="18"/>
              </w:rPr>
            </w:pPr>
            <w:r w:rsidRPr="00885D52">
              <w:rPr>
                <w:rFonts w:cs="Arial"/>
                <w:szCs w:val="18"/>
              </w:rPr>
              <w:t>21.2</w:t>
            </w:r>
          </w:p>
        </w:tc>
        <w:tc>
          <w:tcPr>
            <w:tcW w:w="1132" w:type="dxa"/>
            <w:tcBorders>
              <w:top w:val="nil"/>
              <w:left w:val="single" w:sz="4" w:space="0" w:color="auto"/>
              <w:bottom w:val="single" w:sz="4" w:space="0" w:color="auto"/>
              <w:right w:val="nil"/>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1682</w:t>
            </w:r>
          </w:p>
        </w:tc>
        <w:tc>
          <w:tcPr>
            <w:tcW w:w="1132" w:type="dxa"/>
            <w:tcBorders>
              <w:top w:val="nil"/>
              <w:left w:val="nil"/>
              <w:bottom w:val="single" w:sz="4" w:space="0" w:color="auto"/>
            </w:tcBorders>
            <w:shd w:val="clear" w:color="auto" w:fill="auto"/>
            <w:noWrap/>
          </w:tcPr>
          <w:p w:rsidR="00000384" w:rsidRPr="00885D52" w:rsidRDefault="00000384" w:rsidP="00F41AE5">
            <w:pPr>
              <w:pStyle w:val="TableText"/>
              <w:jc w:val="center"/>
              <w:rPr>
                <w:rFonts w:cs="Arial"/>
                <w:szCs w:val="18"/>
              </w:rPr>
            </w:pPr>
            <w:r w:rsidRPr="00885D52">
              <w:rPr>
                <w:rFonts w:cs="Arial"/>
                <w:szCs w:val="18"/>
              </w:rPr>
              <w:t>24.2</w:t>
            </w:r>
          </w:p>
        </w:tc>
      </w:tr>
    </w:tbl>
    <w:p w:rsidR="00000384" w:rsidRPr="00885D52" w:rsidRDefault="00000384" w:rsidP="00F41AE5">
      <w:pPr>
        <w:pStyle w:val="Note"/>
      </w:pPr>
      <w:r w:rsidRPr="00885D52">
        <w:t>Note: Rates per 100,000 population, age-standardised to WHO World Standard Population.</w:t>
      </w:r>
    </w:p>
    <w:p w:rsidR="00F41AE5" w:rsidRPr="00885D52" w:rsidRDefault="00F41AE5" w:rsidP="00F41AE5"/>
    <w:p w:rsidR="008D5D23" w:rsidRPr="00885D52" w:rsidRDefault="00000384" w:rsidP="008A16FC">
      <w:pPr>
        <w:keepNext/>
      </w:pPr>
      <w:r w:rsidRPr="00885D52">
        <w:lastRenderedPageBreak/>
        <w:t>Figure 14 shows trends in numbers and rates of death from lung cancer for both males and females. Mortality rates for males peaked in the mid-1980s and then showed a strong downward trend. Female rates showed a general upward trend from 1950 before stabilising in the 1990s.</w:t>
      </w:r>
    </w:p>
    <w:p w:rsidR="00000384" w:rsidRPr="00885D52" w:rsidRDefault="00000384" w:rsidP="008A16FC">
      <w:pPr>
        <w:keepNext/>
      </w:pPr>
    </w:p>
    <w:p w:rsidR="00000384" w:rsidRPr="00885D52" w:rsidRDefault="00000384" w:rsidP="00F41AE5">
      <w:pPr>
        <w:pStyle w:val="Figure"/>
      </w:pPr>
      <w:bookmarkStart w:id="336" w:name="_Toc352670682"/>
      <w:bookmarkStart w:id="337" w:name="_Toc400536113"/>
      <w:bookmarkStart w:id="338" w:name="_Toc403120588"/>
      <w:r w:rsidRPr="00885D52">
        <w:t>Figure 14</w:t>
      </w:r>
      <w:r w:rsidRPr="00885D52">
        <w:rPr>
          <w:bCs/>
        </w:rPr>
        <w:t xml:space="preserve">: </w:t>
      </w:r>
      <w:r w:rsidRPr="00885D52">
        <w:t>Numbers and age-standardised mortality rates from lung cancer, by sex,</w:t>
      </w:r>
      <w:r w:rsidRPr="00885D52">
        <w:br/>
        <w:t>1950–201</w:t>
      </w:r>
      <w:bookmarkEnd w:id="336"/>
      <w:r w:rsidRPr="00885D52">
        <w:t>1</w:t>
      </w:r>
      <w:bookmarkEnd w:id="337"/>
      <w:bookmarkEnd w:id="338"/>
    </w:p>
    <w:p w:rsidR="00000384" w:rsidRPr="00885D52" w:rsidRDefault="00F41AE5" w:rsidP="00F41AE5">
      <w:r w:rsidRPr="00885D52">
        <w:rPr>
          <w:noProof/>
          <w:lang w:eastAsia="en-NZ"/>
        </w:rPr>
        <w:drawing>
          <wp:inline distT="0" distB="0" distL="0" distR="0" wp14:anchorId="3B5D571E" wp14:editId="06E3DB64">
            <wp:extent cx="5045825" cy="3074934"/>
            <wp:effectExtent l="0" t="0" r="2540" b="0"/>
            <wp:docPr id="43" name="Picture 43" title="Figure 14: Numbers and age-standardised mortality rates from lung cancer,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51501" cy="3078393"/>
                    </a:xfrm>
                    <a:prstGeom prst="rect">
                      <a:avLst/>
                    </a:prstGeom>
                  </pic:spPr>
                </pic:pic>
              </a:graphicData>
            </a:graphic>
          </wp:inline>
        </w:drawing>
      </w:r>
    </w:p>
    <w:p w:rsidR="00000384" w:rsidRPr="00885D52" w:rsidRDefault="00000384" w:rsidP="00F41AE5">
      <w:pPr>
        <w:pStyle w:val="Note"/>
      </w:pPr>
      <w:r w:rsidRPr="00885D52">
        <w:t>Note: Rates per 100,000 population, age-standardised to WHO World Standard Population.</w:t>
      </w:r>
    </w:p>
    <w:p w:rsidR="00000384" w:rsidRPr="00885D52" w:rsidRDefault="00000384" w:rsidP="00F41AE5"/>
    <w:p w:rsidR="00000384" w:rsidRPr="00885D52" w:rsidRDefault="00000384" w:rsidP="00F41AE5">
      <w:bookmarkStart w:id="339" w:name="_Toc437749001"/>
      <w:r w:rsidRPr="00885D52">
        <w:t>Table 7 shows the 2011 percentage distribution of deaths and age-specific mortality rates from lung cancer for four age groupings for Māori and non-Māori.</w:t>
      </w:r>
    </w:p>
    <w:p w:rsidR="00000384" w:rsidRPr="00885D52" w:rsidRDefault="00000384" w:rsidP="00F41AE5"/>
    <w:p w:rsidR="00000384" w:rsidRPr="00885D52" w:rsidRDefault="00000384" w:rsidP="00000384">
      <w:pPr>
        <w:pStyle w:val="Table"/>
      </w:pPr>
      <w:bookmarkStart w:id="340" w:name="_Ref132098361"/>
      <w:bookmarkStart w:id="341" w:name="_Toc167268856"/>
      <w:bookmarkStart w:id="342" w:name="_Toc236641647"/>
      <w:bookmarkStart w:id="343" w:name="_Toc262631231"/>
      <w:bookmarkStart w:id="344" w:name="_Toc316912724"/>
      <w:bookmarkStart w:id="345" w:name="_Toc352670656"/>
      <w:bookmarkStart w:id="346" w:name="_Toc400536147"/>
      <w:bookmarkStart w:id="347" w:name="_Toc403120552"/>
      <w:r w:rsidRPr="00885D52">
        <w:t>Table 7</w:t>
      </w:r>
      <w:bookmarkEnd w:id="340"/>
      <w:r w:rsidRPr="00885D52">
        <w:t xml:space="preserve">: </w:t>
      </w:r>
      <w:bookmarkEnd w:id="341"/>
      <w:bookmarkEnd w:id="342"/>
      <w:bookmarkEnd w:id="343"/>
      <w:r w:rsidRPr="00885D52">
        <w:t>Age distribution of deaths from lung cancer, percentages and age-specific rates, by ethnicity and sex, 20</w:t>
      </w:r>
      <w:bookmarkEnd w:id="344"/>
      <w:r w:rsidRPr="00885D52">
        <w:t>1</w:t>
      </w:r>
      <w:bookmarkEnd w:id="345"/>
      <w:r w:rsidRPr="00885D52">
        <w:t>1</w:t>
      </w:r>
      <w:bookmarkEnd w:id="346"/>
      <w:bookmarkEnd w:id="347"/>
    </w:p>
    <w:tbl>
      <w:tblPr>
        <w:tblW w:w="4971" w:type="pct"/>
        <w:tblInd w:w="28" w:type="dxa"/>
        <w:tblLayout w:type="fixed"/>
        <w:tblCellMar>
          <w:left w:w="28" w:type="dxa"/>
          <w:right w:w="28" w:type="dxa"/>
        </w:tblCellMar>
        <w:tblLook w:val="04A0" w:firstRow="1" w:lastRow="0" w:firstColumn="1" w:lastColumn="0" w:noHBand="0" w:noVBand="1"/>
      </w:tblPr>
      <w:tblGrid>
        <w:gridCol w:w="717"/>
        <w:gridCol w:w="717"/>
        <w:gridCol w:w="716"/>
        <w:gridCol w:w="722"/>
        <w:gridCol w:w="716"/>
        <w:gridCol w:w="716"/>
        <w:gridCol w:w="716"/>
        <w:gridCol w:w="716"/>
        <w:gridCol w:w="716"/>
        <w:gridCol w:w="716"/>
        <w:gridCol w:w="716"/>
        <w:gridCol w:w="716"/>
        <w:gridCol w:w="701"/>
      </w:tblGrid>
      <w:tr w:rsidR="00000384" w:rsidRPr="00885D52" w:rsidTr="007E73A8">
        <w:trPr>
          <w:cantSplit/>
        </w:trPr>
        <w:tc>
          <w:tcPr>
            <w:tcW w:w="385" w:type="pct"/>
            <w:vMerge w:val="restart"/>
            <w:tcBorders>
              <w:top w:val="single" w:sz="4" w:space="0" w:color="auto"/>
              <w:bottom w:val="single" w:sz="4" w:space="0" w:color="auto"/>
              <w:right w:val="single" w:sz="4" w:space="0" w:color="auto"/>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2313"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2302" w:type="pct"/>
            <w:gridSpan w:val="6"/>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Age-specific rate</w:t>
            </w:r>
          </w:p>
        </w:tc>
      </w:tr>
      <w:tr w:rsidR="00000384" w:rsidRPr="00885D52" w:rsidTr="007E73A8">
        <w:trPr>
          <w:cantSplit/>
        </w:trPr>
        <w:tc>
          <w:tcPr>
            <w:tcW w:w="385"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jc w:val="center"/>
              <w:rPr>
                <w:b/>
                <w:lang w:eastAsia="en-NZ"/>
              </w:rPr>
            </w:pPr>
          </w:p>
        </w:tc>
        <w:tc>
          <w:tcPr>
            <w:tcW w:w="1158"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55"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c>
          <w:tcPr>
            <w:tcW w:w="1154"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47" w:type="pct"/>
            <w:gridSpan w:val="3"/>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r>
      <w:tr w:rsidR="00000384" w:rsidRPr="00885D52" w:rsidTr="007E73A8">
        <w:trPr>
          <w:cantSplit/>
        </w:trPr>
        <w:tc>
          <w:tcPr>
            <w:tcW w:w="385"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jc w:val="center"/>
              <w:rPr>
                <w:b/>
                <w:lang w:eastAsia="en-NZ"/>
              </w:rPr>
            </w:pP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7"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78" w:type="pct"/>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r>
      <w:tr w:rsidR="00000384" w:rsidRPr="00885D52" w:rsidTr="00F41AE5">
        <w:trPr>
          <w:cantSplit/>
        </w:trPr>
        <w:tc>
          <w:tcPr>
            <w:tcW w:w="385" w:type="pct"/>
            <w:tcBorders>
              <w:top w:val="single" w:sz="4" w:space="0" w:color="auto"/>
              <w:right w:val="single" w:sz="4" w:space="0" w:color="auto"/>
            </w:tcBorders>
            <w:shd w:val="clear" w:color="auto" w:fill="F2F2F2"/>
            <w:noWrap/>
            <w:hideMark/>
          </w:tcPr>
          <w:p w:rsidR="00000384" w:rsidRPr="00885D52" w:rsidRDefault="00000384" w:rsidP="007E73A8">
            <w:pPr>
              <w:pStyle w:val="TableText"/>
              <w:rPr>
                <w:lang w:eastAsia="en-NZ"/>
              </w:rPr>
            </w:pPr>
            <w:r w:rsidRPr="00885D52">
              <w:rPr>
                <w:lang w:eastAsia="en-NZ"/>
              </w:rPr>
              <w:t>&lt;25</w:t>
            </w:r>
          </w:p>
        </w:tc>
        <w:tc>
          <w:tcPr>
            <w:tcW w:w="385" w:type="pct"/>
            <w:tcBorders>
              <w:top w:val="single" w:sz="4" w:space="0" w:color="auto"/>
              <w:lef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7" w:type="pct"/>
            <w:tcBorders>
              <w:top w:val="single" w:sz="4" w:space="0" w:color="auto"/>
              <w:left w:val="nil"/>
              <w:righ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lef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0.1</w:t>
            </w:r>
          </w:p>
        </w:tc>
        <w:tc>
          <w:tcPr>
            <w:tcW w:w="385" w:type="pct"/>
            <w:tcBorders>
              <w:top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left w:val="nil"/>
              <w:righ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0.2</w:t>
            </w:r>
          </w:p>
        </w:tc>
        <w:tc>
          <w:tcPr>
            <w:tcW w:w="385" w:type="pct"/>
            <w:tcBorders>
              <w:top w:val="single" w:sz="4" w:space="0" w:color="auto"/>
              <w:lef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left w:val="nil"/>
              <w:righ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85" w:type="pct"/>
            <w:tcBorders>
              <w:top w:val="single" w:sz="4" w:space="0" w:color="auto"/>
              <w:lef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0.1</w:t>
            </w:r>
          </w:p>
        </w:tc>
        <w:tc>
          <w:tcPr>
            <w:tcW w:w="385" w:type="pct"/>
            <w:tcBorders>
              <w:top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0.0</w:t>
            </w:r>
          </w:p>
        </w:tc>
        <w:tc>
          <w:tcPr>
            <w:tcW w:w="378" w:type="pct"/>
            <w:tcBorders>
              <w:top w:val="single" w:sz="4" w:space="0" w:color="auto"/>
              <w:left w:val="nil"/>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0.2</w:t>
            </w:r>
          </w:p>
        </w:tc>
      </w:tr>
      <w:tr w:rsidR="00000384" w:rsidRPr="00885D52" w:rsidTr="00F41AE5">
        <w:trPr>
          <w:cantSplit/>
        </w:trPr>
        <w:tc>
          <w:tcPr>
            <w:tcW w:w="385" w:type="pct"/>
            <w:tcBorders>
              <w:right w:val="single" w:sz="4" w:space="0" w:color="auto"/>
            </w:tcBorders>
            <w:shd w:val="clear" w:color="auto" w:fill="auto"/>
            <w:noWrap/>
            <w:hideMark/>
          </w:tcPr>
          <w:p w:rsidR="00000384" w:rsidRPr="00885D52" w:rsidRDefault="00000384" w:rsidP="007E73A8">
            <w:pPr>
              <w:pStyle w:val="TableText"/>
              <w:rPr>
                <w:lang w:eastAsia="en-NZ"/>
              </w:rPr>
            </w:pPr>
            <w:r w:rsidRPr="00885D52">
              <w:rPr>
                <w:lang w:eastAsia="en-NZ"/>
              </w:rPr>
              <w:t>25–44</w:t>
            </w:r>
          </w:p>
        </w:tc>
        <w:tc>
          <w:tcPr>
            <w:tcW w:w="385" w:type="pct"/>
            <w:tcBorders>
              <w:left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2.3</w:t>
            </w:r>
          </w:p>
        </w:tc>
        <w:tc>
          <w:tcPr>
            <w:tcW w:w="385" w:type="pct"/>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2.3</w:t>
            </w:r>
          </w:p>
        </w:tc>
        <w:tc>
          <w:tcPr>
            <w:tcW w:w="387" w:type="pct"/>
            <w:tcBorders>
              <w:left w:val="nil"/>
              <w:righ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2.3</w:t>
            </w:r>
          </w:p>
        </w:tc>
        <w:tc>
          <w:tcPr>
            <w:tcW w:w="385" w:type="pct"/>
            <w:tcBorders>
              <w:lef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0.7</w:t>
            </w:r>
          </w:p>
        </w:tc>
        <w:tc>
          <w:tcPr>
            <w:tcW w:w="385" w:type="pct"/>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0.4</w:t>
            </w:r>
          </w:p>
        </w:tc>
        <w:tc>
          <w:tcPr>
            <w:tcW w:w="385" w:type="pct"/>
            <w:tcBorders>
              <w:left w:val="nil"/>
              <w:right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1.0</w:t>
            </w:r>
          </w:p>
        </w:tc>
        <w:tc>
          <w:tcPr>
            <w:tcW w:w="385" w:type="pct"/>
            <w:tcBorders>
              <w:left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4.2</w:t>
            </w:r>
          </w:p>
        </w:tc>
        <w:tc>
          <w:tcPr>
            <w:tcW w:w="385" w:type="pct"/>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3.8</w:t>
            </w:r>
          </w:p>
        </w:tc>
        <w:tc>
          <w:tcPr>
            <w:tcW w:w="385" w:type="pct"/>
            <w:tcBorders>
              <w:left w:val="nil"/>
              <w:righ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4.5</w:t>
            </w:r>
          </w:p>
        </w:tc>
        <w:tc>
          <w:tcPr>
            <w:tcW w:w="385" w:type="pct"/>
            <w:tcBorders>
              <w:lef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0.9</w:t>
            </w:r>
          </w:p>
        </w:tc>
        <w:tc>
          <w:tcPr>
            <w:tcW w:w="385" w:type="pct"/>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0.6</w:t>
            </w:r>
          </w:p>
        </w:tc>
        <w:tc>
          <w:tcPr>
            <w:tcW w:w="378" w:type="pct"/>
            <w:tcBorders>
              <w:left w:val="nil"/>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1.2</w:t>
            </w:r>
          </w:p>
        </w:tc>
      </w:tr>
      <w:tr w:rsidR="00000384" w:rsidRPr="00885D52" w:rsidTr="00F41AE5">
        <w:trPr>
          <w:cantSplit/>
        </w:trPr>
        <w:tc>
          <w:tcPr>
            <w:tcW w:w="385" w:type="pct"/>
            <w:tcBorders>
              <w:right w:val="single" w:sz="4" w:space="0" w:color="auto"/>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385" w:type="pct"/>
            <w:tcBorders>
              <w:lef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45.2</w:t>
            </w:r>
          </w:p>
        </w:tc>
        <w:tc>
          <w:tcPr>
            <w:tcW w:w="385" w:type="pct"/>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47.3</w:t>
            </w:r>
          </w:p>
        </w:tc>
        <w:tc>
          <w:tcPr>
            <w:tcW w:w="387" w:type="pct"/>
            <w:tcBorders>
              <w:left w:val="nil"/>
              <w:righ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43.7</w:t>
            </w:r>
          </w:p>
        </w:tc>
        <w:tc>
          <w:tcPr>
            <w:tcW w:w="385" w:type="pct"/>
            <w:tcBorders>
              <w:lef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22.1</w:t>
            </w:r>
          </w:p>
        </w:tc>
        <w:tc>
          <w:tcPr>
            <w:tcW w:w="385" w:type="pct"/>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20.8</w:t>
            </w:r>
          </w:p>
        </w:tc>
        <w:tc>
          <w:tcPr>
            <w:tcW w:w="385" w:type="pct"/>
            <w:tcBorders>
              <w:left w:val="nil"/>
              <w:righ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23.9</w:t>
            </w:r>
          </w:p>
        </w:tc>
        <w:tc>
          <w:tcPr>
            <w:tcW w:w="385" w:type="pct"/>
            <w:tcBorders>
              <w:left w:val="single" w:sz="4" w:space="0" w:color="auto"/>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117.6</w:t>
            </w:r>
          </w:p>
        </w:tc>
        <w:tc>
          <w:tcPr>
            <w:tcW w:w="385" w:type="pct"/>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110.8</w:t>
            </w:r>
          </w:p>
        </w:tc>
        <w:tc>
          <w:tcPr>
            <w:tcW w:w="385" w:type="pct"/>
            <w:tcBorders>
              <w:left w:val="nil"/>
              <w:righ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123.7</w:t>
            </w:r>
          </w:p>
        </w:tc>
        <w:tc>
          <w:tcPr>
            <w:tcW w:w="385" w:type="pct"/>
            <w:tcBorders>
              <w:left w:val="single" w:sz="4" w:space="0" w:color="A6A6A6"/>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30.6</w:t>
            </w:r>
          </w:p>
        </w:tc>
        <w:tc>
          <w:tcPr>
            <w:tcW w:w="385" w:type="pct"/>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33.3</w:t>
            </w:r>
          </w:p>
        </w:tc>
        <w:tc>
          <w:tcPr>
            <w:tcW w:w="378" w:type="pct"/>
            <w:tcBorders>
              <w:left w:val="nil"/>
            </w:tcBorders>
            <w:shd w:val="clear" w:color="auto" w:fill="F2F2F2"/>
            <w:noWrap/>
            <w:hideMark/>
          </w:tcPr>
          <w:p w:rsidR="00000384" w:rsidRPr="00885D52" w:rsidRDefault="00000384" w:rsidP="00F41AE5">
            <w:pPr>
              <w:pStyle w:val="TableText"/>
              <w:tabs>
                <w:tab w:val="decimal" w:pos="425"/>
              </w:tabs>
              <w:rPr>
                <w:lang w:eastAsia="en-NZ"/>
              </w:rPr>
            </w:pPr>
            <w:r w:rsidRPr="00885D52">
              <w:rPr>
                <w:lang w:eastAsia="en-NZ"/>
              </w:rPr>
              <w:t>28.1</w:t>
            </w:r>
          </w:p>
        </w:tc>
      </w:tr>
      <w:tr w:rsidR="00000384" w:rsidRPr="00885D52" w:rsidTr="00F41AE5">
        <w:trPr>
          <w:cantSplit/>
        </w:trPr>
        <w:tc>
          <w:tcPr>
            <w:tcW w:w="385" w:type="pct"/>
            <w:tcBorders>
              <w:bottom w:val="single" w:sz="4" w:space="0" w:color="auto"/>
              <w:right w:val="single" w:sz="4" w:space="0" w:color="auto"/>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385" w:type="pct"/>
            <w:tcBorders>
              <w:left w:val="single" w:sz="4" w:space="0" w:color="auto"/>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52.5</w:t>
            </w:r>
          </w:p>
        </w:tc>
        <w:tc>
          <w:tcPr>
            <w:tcW w:w="385" w:type="pct"/>
            <w:tcBorders>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50.4</w:t>
            </w:r>
          </w:p>
        </w:tc>
        <w:tc>
          <w:tcPr>
            <w:tcW w:w="387" w:type="pct"/>
            <w:tcBorders>
              <w:left w:val="nil"/>
              <w:bottom w:val="single" w:sz="4" w:space="0" w:color="auto"/>
              <w:righ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54.0</w:t>
            </w:r>
          </w:p>
        </w:tc>
        <w:tc>
          <w:tcPr>
            <w:tcW w:w="385" w:type="pct"/>
            <w:tcBorders>
              <w:left w:val="single" w:sz="4" w:space="0" w:color="A6A6A6"/>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77.2</w:t>
            </w:r>
          </w:p>
        </w:tc>
        <w:tc>
          <w:tcPr>
            <w:tcW w:w="385" w:type="pct"/>
            <w:tcBorders>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78.8</w:t>
            </w:r>
          </w:p>
        </w:tc>
        <w:tc>
          <w:tcPr>
            <w:tcW w:w="385" w:type="pct"/>
            <w:tcBorders>
              <w:left w:val="nil"/>
              <w:bottom w:val="single" w:sz="4" w:space="0" w:color="auto"/>
              <w:right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75.0</w:t>
            </w:r>
          </w:p>
        </w:tc>
        <w:tc>
          <w:tcPr>
            <w:tcW w:w="385" w:type="pct"/>
            <w:tcBorders>
              <w:left w:val="single" w:sz="4" w:space="0" w:color="auto"/>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489.8</w:t>
            </w:r>
          </w:p>
        </w:tc>
        <w:tc>
          <w:tcPr>
            <w:tcW w:w="385" w:type="pct"/>
            <w:tcBorders>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438.0</w:t>
            </w:r>
          </w:p>
        </w:tc>
        <w:tc>
          <w:tcPr>
            <w:tcW w:w="385" w:type="pct"/>
            <w:tcBorders>
              <w:left w:val="nil"/>
              <w:bottom w:val="single" w:sz="4" w:space="0" w:color="auto"/>
              <w:right w:val="single" w:sz="4" w:space="0" w:color="A6A6A6"/>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533.5</w:t>
            </w:r>
          </w:p>
        </w:tc>
        <w:tc>
          <w:tcPr>
            <w:tcW w:w="385" w:type="pct"/>
            <w:tcBorders>
              <w:left w:val="single" w:sz="4" w:space="0" w:color="A6A6A6"/>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191.6</w:t>
            </w:r>
          </w:p>
        </w:tc>
        <w:tc>
          <w:tcPr>
            <w:tcW w:w="385" w:type="pct"/>
            <w:tcBorders>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242.3</w:t>
            </w:r>
          </w:p>
        </w:tc>
        <w:tc>
          <w:tcPr>
            <w:tcW w:w="378" w:type="pct"/>
            <w:tcBorders>
              <w:left w:val="nil"/>
              <w:bottom w:val="single" w:sz="4" w:space="0" w:color="auto"/>
            </w:tcBorders>
            <w:shd w:val="clear" w:color="auto" w:fill="auto"/>
            <w:noWrap/>
            <w:hideMark/>
          </w:tcPr>
          <w:p w:rsidR="00000384" w:rsidRPr="00885D52" w:rsidRDefault="00000384" w:rsidP="00F41AE5">
            <w:pPr>
              <w:pStyle w:val="TableText"/>
              <w:tabs>
                <w:tab w:val="decimal" w:pos="425"/>
              </w:tabs>
              <w:rPr>
                <w:lang w:eastAsia="en-NZ"/>
              </w:rPr>
            </w:pPr>
            <w:r w:rsidRPr="00885D52">
              <w:rPr>
                <w:lang w:eastAsia="en-NZ"/>
              </w:rPr>
              <w:t>148.9</w:t>
            </w:r>
          </w:p>
        </w:tc>
      </w:tr>
    </w:tbl>
    <w:p w:rsidR="00000384" w:rsidRPr="00885D52" w:rsidRDefault="00000384" w:rsidP="00F41AE5">
      <w:pPr>
        <w:pStyle w:val="Note"/>
        <w:ind w:right="0"/>
      </w:pPr>
      <w:r w:rsidRPr="00885D52">
        <w:t>Note: Rates per 100,000 population.</w:t>
      </w:r>
    </w:p>
    <w:p w:rsidR="00000384" w:rsidRPr="00885D52" w:rsidRDefault="00000384" w:rsidP="00F41AE5"/>
    <w:p w:rsidR="00000384" w:rsidRPr="00885D52" w:rsidRDefault="00000384" w:rsidP="00F41AE5">
      <w:pPr>
        <w:rPr>
          <w:bCs/>
          <w:iCs/>
        </w:rPr>
      </w:pPr>
      <w:r w:rsidRPr="00885D52">
        <w:t>The age distribution evident in Table 7 is similar to that for cancer deaths as a whole; the great majority of deaths occurred in those aged 45 years and over.</w:t>
      </w:r>
      <w:bookmarkEnd w:id="339"/>
    </w:p>
    <w:p w:rsidR="00F41AE5" w:rsidRPr="00885D52" w:rsidRDefault="00F41AE5" w:rsidP="00F41AE5"/>
    <w:p w:rsidR="00000384" w:rsidRPr="00885D52" w:rsidRDefault="00000384" w:rsidP="00F41AE5">
      <w:r w:rsidRPr="00885D52">
        <w:t>Among Māori, a greater proportion of deaths occurred in those aged 45–64 years (over twice that of non-Māori), and the Māori age-specific rate was almost four times that of non-Māori. In the 65 years and over age group, the Māori rate was 2.6 times that of non-Māori.</w:t>
      </w:r>
    </w:p>
    <w:p w:rsidR="00000384" w:rsidRPr="00885D52" w:rsidRDefault="00000384" w:rsidP="00F41AE5"/>
    <w:p w:rsidR="00000384" w:rsidRPr="00885D52" w:rsidRDefault="00000384" w:rsidP="008A16FC">
      <w:pPr>
        <w:keepLines/>
      </w:pPr>
      <w:r w:rsidRPr="00885D52">
        <w:lastRenderedPageBreak/>
        <w:t>Figure 15 shows age-standardised death rates from lung cancer, by sex and ethnicity. Between 1996 and 2011, mortality rates for Māori males and females from lung cancer were higher than the equivalent non-Māori rates. During this period, the mortality rate for Māori males from lung cancer decreased by 42.6 percent, while the Māori female rate showed no obvious trend.</w:t>
      </w:r>
    </w:p>
    <w:p w:rsidR="00000384" w:rsidRPr="00885D52" w:rsidRDefault="00000384" w:rsidP="00F41AE5"/>
    <w:p w:rsidR="00000384" w:rsidRPr="00885D52" w:rsidRDefault="00000384" w:rsidP="00F41AE5">
      <w:r w:rsidRPr="00885D52">
        <w:t>In 2011, the age-standardised mortality rate of lung cancer in Māori males was almost 2.5 times that of the non-Māori male population. The rate for Māori females was over four times that of non-Māori females.</w:t>
      </w:r>
    </w:p>
    <w:p w:rsidR="00000384" w:rsidRPr="00885D52" w:rsidRDefault="00000384" w:rsidP="00F41AE5"/>
    <w:p w:rsidR="00000384" w:rsidRPr="00885D52" w:rsidRDefault="00000384" w:rsidP="00F41AE5">
      <w:pPr>
        <w:pStyle w:val="Figure"/>
      </w:pPr>
      <w:bookmarkStart w:id="348" w:name="_Toc352670683"/>
      <w:bookmarkStart w:id="349" w:name="_Toc400536114"/>
      <w:bookmarkStart w:id="350" w:name="_Toc403120589"/>
      <w:r w:rsidRPr="00885D52">
        <w:t>Figure 15: Age-standardised mortality rates from lung cancer, by sex and ethnicity,</w:t>
      </w:r>
      <w:r w:rsidRPr="00885D52">
        <w:br/>
        <w:t>1996–201</w:t>
      </w:r>
      <w:bookmarkEnd w:id="348"/>
      <w:r w:rsidRPr="00885D52">
        <w:t>1</w:t>
      </w:r>
      <w:bookmarkEnd w:id="349"/>
      <w:bookmarkEnd w:id="350"/>
    </w:p>
    <w:p w:rsidR="00000384" w:rsidRPr="00885D52" w:rsidRDefault="00F41AE5" w:rsidP="00F41AE5">
      <w:r w:rsidRPr="00885D52">
        <w:rPr>
          <w:noProof/>
          <w:lang w:eastAsia="en-NZ"/>
        </w:rPr>
        <w:drawing>
          <wp:inline distT="0" distB="0" distL="0" distR="0" wp14:anchorId="6E64355C" wp14:editId="156006CE">
            <wp:extent cx="5137266" cy="3133952"/>
            <wp:effectExtent l="0" t="0" r="6350" b="9525"/>
            <wp:docPr id="45" name="Picture 45" title="Figure 15: Age-standardised mortality rates from lung cancer, by sex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7705" cy="3134220"/>
                    </a:xfrm>
                    <a:prstGeom prst="rect">
                      <a:avLst/>
                    </a:prstGeom>
                  </pic:spPr>
                </pic:pic>
              </a:graphicData>
            </a:graphic>
          </wp:inline>
        </w:drawing>
      </w:r>
    </w:p>
    <w:p w:rsidR="00000384" w:rsidRPr="00885D52" w:rsidRDefault="00000384" w:rsidP="00F41AE5">
      <w:pPr>
        <w:pStyle w:val="Note"/>
      </w:pPr>
      <w:r w:rsidRPr="00885D52">
        <w:t>Note: Rates per 100,000 population, age-standardised to WHO World Standard Population.</w:t>
      </w:r>
    </w:p>
    <w:p w:rsidR="00000384" w:rsidRPr="00885D52" w:rsidRDefault="00000384" w:rsidP="00F41AE5"/>
    <w:p w:rsidR="008A16FC" w:rsidRDefault="008A16FC">
      <w:pPr>
        <w:spacing w:line="240" w:lineRule="auto"/>
        <w:rPr>
          <w:b/>
          <w:sz w:val="40"/>
        </w:rPr>
      </w:pPr>
      <w:bookmarkStart w:id="351" w:name="_Toc167268829"/>
      <w:bookmarkStart w:id="352" w:name="_Toc236642209"/>
      <w:bookmarkStart w:id="353" w:name="_Toc262631088"/>
      <w:bookmarkStart w:id="354" w:name="_Toc316994471"/>
      <w:bookmarkStart w:id="355" w:name="_Toc352670628"/>
      <w:bookmarkStart w:id="356" w:name="_Toc400536184"/>
      <w:bookmarkStart w:id="357" w:name="_Toc403120524"/>
      <w:r>
        <w:br w:type="page"/>
      </w:r>
    </w:p>
    <w:p w:rsidR="00000384" w:rsidRPr="00885D52" w:rsidRDefault="00000384" w:rsidP="008A16FC">
      <w:pPr>
        <w:pStyle w:val="Heading2"/>
        <w:spacing w:before="0"/>
      </w:pPr>
      <w:r w:rsidRPr="00885D52">
        <w:lastRenderedPageBreak/>
        <w:t>Female breast cancer (C50)</w:t>
      </w:r>
      <w:bookmarkEnd w:id="351"/>
      <w:bookmarkEnd w:id="352"/>
      <w:bookmarkEnd w:id="353"/>
      <w:bookmarkEnd w:id="354"/>
      <w:bookmarkEnd w:id="355"/>
      <w:bookmarkEnd w:id="356"/>
      <w:bookmarkEnd w:id="357"/>
    </w:p>
    <w:p w:rsidR="00000384" w:rsidRPr="00885D52" w:rsidRDefault="00000384" w:rsidP="00F41AE5">
      <w:r w:rsidRPr="00885D52">
        <w:t>Breast cancer, or malignant neoplasm of the breast, was the second leading cause of cancer death among females in 2011 after lung cancer.</w:t>
      </w:r>
      <w:r w:rsidRPr="00885D52">
        <w:rPr>
          <w:rStyle w:val="FootnoteReference"/>
        </w:rPr>
        <w:footnoteReference w:id="3"/>
      </w:r>
      <w:r w:rsidRPr="00885D52">
        <w:t xml:space="preserve"> National breast screening commenced at the end of 1998 for women aged 50–69 years; from July 2008 the minimum screening age was lowered to 45.</w:t>
      </w:r>
      <w:r w:rsidRPr="00885D52">
        <w:rPr>
          <w:rStyle w:val="FootnoteReference"/>
        </w:rPr>
        <w:footnoteReference w:id="4"/>
      </w:r>
    </w:p>
    <w:p w:rsidR="00000384" w:rsidRPr="00885D52" w:rsidRDefault="00000384" w:rsidP="00F41AE5"/>
    <w:p w:rsidR="00000384" w:rsidRPr="00885D52" w:rsidRDefault="00000384" w:rsidP="00F41AE5">
      <w:r w:rsidRPr="00885D52">
        <w:t>A total of 636 females died from breast cancer in 2011; this accounted for 15.0 percent of female deaths from cancer.</w:t>
      </w:r>
    </w:p>
    <w:p w:rsidR="00000384" w:rsidRPr="00885D52" w:rsidRDefault="00000384" w:rsidP="00F41AE5"/>
    <w:p w:rsidR="00000384" w:rsidRPr="00885D52" w:rsidRDefault="00000384" w:rsidP="00F41AE5">
      <w:r w:rsidRPr="00885D52">
        <w:t xml:space="preserve">Table 8 shows the numbers and age-standardised mortality rates for females from breast cancer from 1980 to 2011. While the actual number of deaths increased, the </w:t>
      </w:r>
      <w:r w:rsidR="003E4541">
        <w:t>mortality rate decreased by 38</w:t>
      </w:r>
      <w:r w:rsidR="00F41AE5" w:rsidRPr="00885D52">
        <w:t> </w:t>
      </w:r>
      <w:r w:rsidRPr="00885D52">
        <w:t>percent.</w:t>
      </w:r>
    </w:p>
    <w:p w:rsidR="00000384" w:rsidRPr="00885D52" w:rsidRDefault="00000384" w:rsidP="00F41AE5"/>
    <w:p w:rsidR="00000384" w:rsidRPr="00885D52" w:rsidRDefault="00000384" w:rsidP="00F41AE5">
      <w:pPr>
        <w:pStyle w:val="Table"/>
      </w:pPr>
      <w:bookmarkStart w:id="358" w:name="_Ref132098578"/>
      <w:bookmarkStart w:id="359" w:name="_Toc167268857"/>
      <w:bookmarkStart w:id="360" w:name="_Toc236641648"/>
      <w:bookmarkStart w:id="361" w:name="_Toc262631232"/>
      <w:bookmarkStart w:id="362" w:name="_Toc316912725"/>
      <w:bookmarkStart w:id="363" w:name="_Toc352670657"/>
      <w:bookmarkStart w:id="364" w:name="_Toc400536148"/>
      <w:bookmarkStart w:id="365" w:name="_Toc403120553"/>
      <w:r w:rsidRPr="00885D52">
        <w:lastRenderedPageBreak/>
        <w:t>Table 8</w:t>
      </w:r>
      <w:bookmarkEnd w:id="358"/>
      <w:r w:rsidRPr="00885D52">
        <w:t>: Numbers and age-standardised mortality rates from breast cancer in females,</w:t>
      </w:r>
      <w:r w:rsidRPr="00885D52">
        <w:br/>
        <w:t>1980–20</w:t>
      </w:r>
      <w:bookmarkEnd w:id="359"/>
      <w:bookmarkEnd w:id="360"/>
      <w:bookmarkEnd w:id="361"/>
      <w:bookmarkEnd w:id="362"/>
      <w:r w:rsidRPr="00885D52">
        <w:t>1</w:t>
      </w:r>
      <w:bookmarkEnd w:id="363"/>
      <w:r w:rsidRPr="00885D52">
        <w:t>1</w:t>
      </w:r>
      <w:bookmarkEnd w:id="364"/>
      <w:bookmarkEnd w:id="365"/>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08"/>
        <w:gridCol w:w="1398"/>
        <w:gridCol w:w="1398"/>
      </w:tblGrid>
      <w:tr w:rsidR="00000384" w:rsidRPr="00885D52" w:rsidTr="003E56B2">
        <w:trPr>
          <w:cantSplit/>
        </w:trPr>
        <w:tc>
          <w:tcPr>
            <w:tcW w:w="1308" w:type="dxa"/>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F41AE5">
            <w:pPr>
              <w:pStyle w:val="TableText"/>
              <w:keepNext/>
              <w:jc w:val="center"/>
              <w:rPr>
                <w:b/>
              </w:rPr>
            </w:pPr>
            <w:r w:rsidRPr="00885D52">
              <w:rPr>
                <w:b/>
              </w:rPr>
              <w:t>Year</w:t>
            </w:r>
          </w:p>
        </w:tc>
        <w:tc>
          <w:tcPr>
            <w:tcW w:w="139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F41AE5">
            <w:pPr>
              <w:pStyle w:val="TableText"/>
              <w:keepNext/>
              <w:jc w:val="center"/>
              <w:rPr>
                <w:b/>
              </w:rPr>
            </w:pPr>
            <w:r w:rsidRPr="00885D52">
              <w:rPr>
                <w:b/>
              </w:rPr>
              <w:t>No.</w:t>
            </w:r>
          </w:p>
        </w:tc>
        <w:tc>
          <w:tcPr>
            <w:tcW w:w="1398" w:type="dxa"/>
            <w:tcBorders>
              <w:top w:val="single" w:sz="4" w:space="0" w:color="auto"/>
              <w:left w:val="single" w:sz="4" w:space="0" w:color="A6A6A6" w:themeColor="background1" w:themeShade="A6"/>
              <w:bottom w:val="single" w:sz="4" w:space="0" w:color="auto"/>
            </w:tcBorders>
            <w:shd w:val="clear" w:color="auto" w:fill="auto"/>
            <w:noWrap/>
          </w:tcPr>
          <w:p w:rsidR="00000384" w:rsidRPr="00885D52" w:rsidRDefault="00000384" w:rsidP="00F41AE5">
            <w:pPr>
              <w:pStyle w:val="TableText"/>
              <w:keepNext/>
              <w:jc w:val="center"/>
              <w:rPr>
                <w:b/>
              </w:rPr>
            </w:pPr>
            <w:r w:rsidRPr="00885D52">
              <w:rPr>
                <w:b/>
              </w:rPr>
              <w:t>Rate</w:t>
            </w:r>
          </w:p>
        </w:tc>
      </w:tr>
      <w:tr w:rsidR="00000384" w:rsidRPr="00885D52" w:rsidTr="003E56B2">
        <w:trPr>
          <w:cantSplit/>
        </w:trPr>
        <w:tc>
          <w:tcPr>
            <w:tcW w:w="1308" w:type="dxa"/>
            <w:tcBorders>
              <w:top w:val="single" w:sz="4" w:space="0" w:color="auto"/>
              <w:bottom w:val="nil"/>
              <w:right w:val="single" w:sz="4" w:space="0" w:color="A6A6A6" w:themeColor="background1" w:themeShade="A6"/>
            </w:tcBorders>
            <w:shd w:val="clear" w:color="auto" w:fill="F2F2F2"/>
            <w:noWrap/>
          </w:tcPr>
          <w:p w:rsidR="00000384" w:rsidRPr="00885D52" w:rsidRDefault="00000384" w:rsidP="00F41AE5">
            <w:pPr>
              <w:pStyle w:val="TableText"/>
              <w:keepNext/>
              <w:jc w:val="center"/>
            </w:pPr>
            <w:r w:rsidRPr="00885D52">
              <w:t>1980</w:t>
            </w:r>
          </w:p>
        </w:tc>
        <w:tc>
          <w:tcPr>
            <w:tcW w:w="1398" w:type="dxa"/>
            <w:tcBorders>
              <w:top w:val="single" w:sz="4" w:space="0" w:color="auto"/>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F41AE5">
            <w:pPr>
              <w:pStyle w:val="TableText"/>
              <w:keepNext/>
              <w:jc w:val="center"/>
            </w:pPr>
            <w:r w:rsidRPr="00885D52">
              <w:t>509</w:t>
            </w:r>
          </w:p>
        </w:tc>
        <w:tc>
          <w:tcPr>
            <w:tcW w:w="1398" w:type="dxa"/>
            <w:tcBorders>
              <w:top w:val="single" w:sz="4" w:space="0" w:color="auto"/>
              <w:left w:val="single" w:sz="4" w:space="0" w:color="A6A6A6" w:themeColor="background1" w:themeShade="A6"/>
              <w:bottom w:val="nil"/>
            </w:tcBorders>
            <w:shd w:val="clear" w:color="auto" w:fill="F2F2F2"/>
            <w:noWrap/>
          </w:tcPr>
          <w:p w:rsidR="00000384" w:rsidRPr="00885D52" w:rsidRDefault="00000384" w:rsidP="00F41AE5">
            <w:pPr>
              <w:pStyle w:val="TableText"/>
              <w:keepNext/>
              <w:jc w:val="center"/>
            </w:pPr>
            <w:r w:rsidRPr="00885D52">
              <w:t>29.5</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F41AE5">
            <w:pPr>
              <w:pStyle w:val="TableText"/>
              <w:keepNext/>
              <w:jc w:val="center"/>
            </w:pPr>
            <w:r w:rsidRPr="00885D52">
              <w:t>1981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F41AE5">
            <w:pPr>
              <w:pStyle w:val="TableText"/>
              <w:keepNext/>
              <w:jc w:val="center"/>
            </w:pPr>
            <w:r w:rsidRPr="00885D52">
              <w:t>478</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F41AE5">
            <w:pPr>
              <w:pStyle w:val="TableText"/>
              <w:keepNext/>
              <w:jc w:val="center"/>
            </w:pPr>
            <w:r w:rsidRPr="00885D52">
              <w:t>27.3</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F41AE5">
            <w:pPr>
              <w:pStyle w:val="TableText"/>
              <w:keepNext/>
              <w:jc w:val="center"/>
            </w:pPr>
            <w:r w:rsidRPr="00885D52">
              <w:t>1982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F41AE5">
            <w:pPr>
              <w:pStyle w:val="TableText"/>
              <w:keepNext/>
              <w:jc w:val="center"/>
            </w:pPr>
            <w:r w:rsidRPr="00885D52">
              <w:t>524</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F41AE5">
            <w:pPr>
              <w:pStyle w:val="TableText"/>
              <w:keepNext/>
              <w:jc w:val="center"/>
            </w:pPr>
            <w:r w:rsidRPr="00885D52">
              <w:t>29.4</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1983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537</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29.8</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1984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504</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26.8</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1985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565</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29.5</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1986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529</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27.6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1987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607</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31.5</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1988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593</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30.0</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1989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605</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30.0</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1990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635</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31.2</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1991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588</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28.6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1992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569</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26.6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1993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584</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26.6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1994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567</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25.5</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1995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638</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28.4</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1996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681</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28.6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1997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620</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25.8</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1998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629</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25.2</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1999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647</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25.3</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2000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622</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23.6</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2001</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615</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22.7</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2002</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625</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22.4</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2003</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647</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23.1</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2004</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642</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22.4</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2005</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648</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21.7</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2006</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614</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F41AE5">
            <w:pPr>
              <w:pStyle w:val="TableText"/>
              <w:jc w:val="center"/>
            </w:pPr>
            <w:r w:rsidRPr="00885D52">
              <w:t>20.3</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2007</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643</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F41AE5">
            <w:pPr>
              <w:pStyle w:val="TableText"/>
              <w:jc w:val="center"/>
            </w:pPr>
            <w:r w:rsidRPr="00885D52">
              <w:t>20.8</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2008</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618</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F41AE5">
            <w:pPr>
              <w:pStyle w:val="TableText"/>
              <w:jc w:val="center"/>
            </w:pPr>
            <w:r w:rsidRPr="00885D52">
              <w:t>19.1</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2009</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658</w:t>
            </w:r>
          </w:p>
        </w:tc>
        <w:tc>
          <w:tcPr>
            <w:tcW w:w="1398" w:type="dxa"/>
            <w:tcBorders>
              <w:top w:val="nil"/>
              <w:left w:val="single" w:sz="4" w:space="0" w:color="A6A6A6" w:themeColor="background1" w:themeShade="A6"/>
              <w:bottom w:val="nil"/>
            </w:tcBorders>
            <w:shd w:val="clear" w:color="auto" w:fill="auto"/>
            <w:noWrap/>
          </w:tcPr>
          <w:p w:rsidR="00000384" w:rsidRPr="00885D52" w:rsidRDefault="00000384" w:rsidP="00F41AE5">
            <w:pPr>
              <w:pStyle w:val="TableText"/>
              <w:jc w:val="center"/>
            </w:pPr>
            <w:r w:rsidRPr="00885D52">
              <w:t>19.9</w:t>
            </w:r>
          </w:p>
        </w:tc>
      </w:tr>
      <w:tr w:rsidR="00000384" w:rsidRPr="00885D52" w:rsidTr="003E56B2">
        <w:trPr>
          <w:cantSplit/>
        </w:trPr>
        <w:tc>
          <w:tcPr>
            <w:tcW w:w="1308" w:type="dxa"/>
            <w:tcBorders>
              <w:top w:val="nil"/>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2010</w:t>
            </w:r>
          </w:p>
        </w:tc>
        <w:tc>
          <w:tcPr>
            <w:tcW w:w="1398"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F41AE5">
            <w:pPr>
              <w:pStyle w:val="TableText"/>
              <w:jc w:val="center"/>
            </w:pPr>
            <w:r w:rsidRPr="00885D52">
              <w:t>641</w:t>
            </w:r>
          </w:p>
        </w:tc>
        <w:tc>
          <w:tcPr>
            <w:tcW w:w="1398" w:type="dxa"/>
            <w:tcBorders>
              <w:top w:val="nil"/>
              <w:left w:val="single" w:sz="4" w:space="0" w:color="A6A6A6" w:themeColor="background1" w:themeShade="A6"/>
              <w:bottom w:val="nil"/>
            </w:tcBorders>
            <w:shd w:val="clear" w:color="auto" w:fill="F2F2F2"/>
            <w:noWrap/>
          </w:tcPr>
          <w:p w:rsidR="00000384" w:rsidRPr="00885D52" w:rsidRDefault="00000384" w:rsidP="00F41AE5">
            <w:pPr>
              <w:pStyle w:val="TableText"/>
              <w:jc w:val="center"/>
            </w:pPr>
            <w:r w:rsidRPr="00885D52">
              <w:t>19.1</w:t>
            </w:r>
          </w:p>
        </w:tc>
      </w:tr>
      <w:tr w:rsidR="00000384" w:rsidRPr="00885D52" w:rsidTr="003E56B2">
        <w:trPr>
          <w:cantSplit/>
        </w:trPr>
        <w:tc>
          <w:tcPr>
            <w:tcW w:w="1308"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2011</w:t>
            </w:r>
          </w:p>
        </w:tc>
        <w:tc>
          <w:tcPr>
            <w:tcW w:w="1398" w:type="dxa"/>
            <w:tcBorders>
              <w:top w:val="nil"/>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F41AE5">
            <w:pPr>
              <w:pStyle w:val="TableText"/>
              <w:jc w:val="center"/>
            </w:pPr>
            <w:r w:rsidRPr="00885D52">
              <w:t>636</w:t>
            </w:r>
          </w:p>
        </w:tc>
        <w:tc>
          <w:tcPr>
            <w:tcW w:w="1398" w:type="dxa"/>
            <w:tcBorders>
              <w:top w:val="nil"/>
              <w:left w:val="single" w:sz="4" w:space="0" w:color="A6A6A6" w:themeColor="background1" w:themeShade="A6"/>
              <w:bottom w:val="single" w:sz="4" w:space="0" w:color="auto"/>
            </w:tcBorders>
            <w:shd w:val="clear" w:color="auto" w:fill="auto"/>
            <w:noWrap/>
          </w:tcPr>
          <w:p w:rsidR="00000384" w:rsidRPr="00885D52" w:rsidRDefault="00000384" w:rsidP="00F41AE5">
            <w:pPr>
              <w:pStyle w:val="TableText"/>
              <w:jc w:val="center"/>
            </w:pPr>
            <w:r w:rsidRPr="00885D52">
              <w:t>18.3</w:t>
            </w:r>
          </w:p>
        </w:tc>
      </w:tr>
    </w:tbl>
    <w:p w:rsidR="00000384" w:rsidRPr="00885D52" w:rsidRDefault="00000384" w:rsidP="00F41AE5">
      <w:pPr>
        <w:pStyle w:val="Note"/>
        <w:ind w:right="0"/>
      </w:pPr>
      <w:r w:rsidRPr="00885D52">
        <w:t>Note: Rates per 100,000 female population, age-standardised to WHO World Standard Population.</w:t>
      </w:r>
    </w:p>
    <w:p w:rsidR="00000384" w:rsidRPr="00885D52" w:rsidRDefault="00000384" w:rsidP="00F41AE5"/>
    <w:p w:rsidR="008D5D23" w:rsidRPr="00885D52" w:rsidRDefault="00000384" w:rsidP="008A16FC">
      <w:pPr>
        <w:keepNext/>
      </w:pPr>
      <w:r w:rsidRPr="00885D52">
        <w:t xml:space="preserve">Figure 16 shows that although the number of deaths due to breast cancer increased between 1950 and 2011, when adjusted for age and the change in population, the rate showed a general </w:t>
      </w:r>
      <w:r w:rsidRPr="00885D52">
        <w:lastRenderedPageBreak/>
        <w:t>downward trend after the mid-1980s. The mortality rate for 2011 (18.3 deaths per 100,000 females) was the lowest over the entire period.</w:t>
      </w:r>
    </w:p>
    <w:p w:rsidR="00F41AE5" w:rsidRPr="00885D52" w:rsidRDefault="00F41AE5" w:rsidP="008A16FC">
      <w:pPr>
        <w:keepNext/>
      </w:pPr>
    </w:p>
    <w:p w:rsidR="00000384" w:rsidRPr="00885D52" w:rsidRDefault="00000384" w:rsidP="00F41AE5">
      <w:pPr>
        <w:pStyle w:val="Figure"/>
      </w:pPr>
      <w:bookmarkStart w:id="366" w:name="_Toc352670684"/>
      <w:bookmarkStart w:id="367" w:name="_Toc400536115"/>
      <w:bookmarkStart w:id="368" w:name="_Toc403120590"/>
      <w:r w:rsidRPr="00885D52">
        <w:t>Figure 16: Numbers and age-standardised mortality rates from breast cancer in females, 1950–201</w:t>
      </w:r>
      <w:bookmarkEnd w:id="366"/>
      <w:r w:rsidRPr="00885D52">
        <w:t>1</w:t>
      </w:r>
      <w:bookmarkEnd w:id="367"/>
      <w:bookmarkEnd w:id="368"/>
    </w:p>
    <w:p w:rsidR="00000384" w:rsidRPr="00885D52" w:rsidRDefault="00F41AE5" w:rsidP="00F41AE5">
      <w:r w:rsidRPr="00885D52">
        <w:rPr>
          <w:noProof/>
          <w:lang w:eastAsia="en-NZ"/>
        </w:rPr>
        <w:drawing>
          <wp:inline distT="0" distB="0" distL="0" distR="0" wp14:anchorId="1FF1D465" wp14:editId="1B6DEC14">
            <wp:extent cx="5029200" cy="3064803"/>
            <wp:effectExtent l="0" t="0" r="0" b="2540"/>
            <wp:docPr id="46" name="Picture 46" title="Figure 16: Numbers and age-standardised mortality rates from breast cancer in females,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4858" cy="3068251"/>
                    </a:xfrm>
                    <a:prstGeom prst="rect">
                      <a:avLst/>
                    </a:prstGeom>
                  </pic:spPr>
                </pic:pic>
              </a:graphicData>
            </a:graphic>
          </wp:inline>
        </w:drawing>
      </w:r>
    </w:p>
    <w:p w:rsidR="00000384" w:rsidRPr="00885D52" w:rsidRDefault="00000384" w:rsidP="00503EE5">
      <w:pPr>
        <w:pStyle w:val="Note"/>
      </w:pPr>
      <w:r w:rsidRPr="00885D52">
        <w:t>Note: Rates per 100,000 female population, age-standardised to WHO World Standard Population.</w:t>
      </w:r>
    </w:p>
    <w:p w:rsidR="00000384" w:rsidRPr="00885D52" w:rsidRDefault="00000384" w:rsidP="00503EE5"/>
    <w:p w:rsidR="00000384" w:rsidRPr="00885D52" w:rsidRDefault="00000384" w:rsidP="00503EE5">
      <w:r w:rsidRPr="00885D52">
        <w:t>Table 9 shows the 2011 percentage distribution of deaths and age-specific mortality rates from breast cancer in females for four age groupings for Māori and non-Māori.</w:t>
      </w:r>
    </w:p>
    <w:p w:rsidR="00000384" w:rsidRPr="00885D52" w:rsidRDefault="00000384" w:rsidP="00503EE5"/>
    <w:p w:rsidR="00000384" w:rsidRPr="00885D52" w:rsidRDefault="00000384" w:rsidP="00503EE5">
      <w:pPr>
        <w:pStyle w:val="Table"/>
      </w:pPr>
      <w:bookmarkStart w:id="369" w:name="_Ref132098644"/>
      <w:bookmarkStart w:id="370" w:name="_Toc167268858"/>
      <w:bookmarkStart w:id="371" w:name="_Toc236641649"/>
      <w:bookmarkStart w:id="372" w:name="_Toc262631233"/>
      <w:bookmarkStart w:id="373" w:name="_Toc316912726"/>
      <w:bookmarkStart w:id="374" w:name="_Toc352670658"/>
      <w:bookmarkStart w:id="375" w:name="_Toc400536149"/>
      <w:bookmarkStart w:id="376" w:name="_Toc403120554"/>
      <w:r w:rsidRPr="00885D52">
        <w:t xml:space="preserve">Table </w:t>
      </w:r>
      <w:bookmarkEnd w:id="369"/>
      <w:r w:rsidRPr="00885D52">
        <w:t xml:space="preserve">9: </w:t>
      </w:r>
      <w:bookmarkEnd w:id="370"/>
      <w:bookmarkEnd w:id="371"/>
      <w:bookmarkEnd w:id="372"/>
      <w:r w:rsidRPr="00885D52">
        <w:t>Age distribution of deaths from breast cancer in females, percentages and age-specific rates, by ethnicity, 20</w:t>
      </w:r>
      <w:bookmarkEnd w:id="373"/>
      <w:r w:rsidRPr="00885D52">
        <w:t>1</w:t>
      </w:r>
      <w:bookmarkEnd w:id="374"/>
      <w:r w:rsidRPr="00885D52">
        <w:t>1</w:t>
      </w:r>
      <w:bookmarkEnd w:id="375"/>
      <w:bookmarkEnd w:id="376"/>
    </w:p>
    <w:tbl>
      <w:tblPr>
        <w:tblW w:w="0" w:type="auto"/>
        <w:tblInd w:w="57" w:type="dxa"/>
        <w:tblLayout w:type="fixed"/>
        <w:tblCellMar>
          <w:left w:w="57" w:type="dxa"/>
          <w:right w:w="57" w:type="dxa"/>
        </w:tblCellMar>
        <w:tblLook w:val="04A0" w:firstRow="1" w:lastRow="0" w:firstColumn="1" w:lastColumn="0" w:noHBand="0" w:noVBand="1"/>
      </w:tblPr>
      <w:tblGrid>
        <w:gridCol w:w="1526"/>
        <w:gridCol w:w="1957"/>
        <w:gridCol w:w="1958"/>
        <w:gridCol w:w="1957"/>
        <w:gridCol w:w="1958"/>
      </w:tblGrid>
      <w:tr w:rsidR="00000384" w:rsidRPr="00885D52" w:rsidTr="00503EE5">
        <w:trPr>
          <w:cantSplit/>
        </w:trPr>
        <w:tc>
          <w:tcPr>
            <w:tcW w:w="1526"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39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3915" w:type="dxa"/>
            <w:gridSpan w:val="2"/>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Age-specific rate</w:t>
            </w:r>
          </w:p>
        </w:tc>
      </w:tr>
      <w:tr w:rsidR="00000384" w:rsidRPr="00885D52" w:rsidTr="00503EE5">
        <w:trPr>
          <w:cantSplit/>
        </w:trPr>
        <w:tc>
          <w:tcPr>
            <w:tcW w:w="1526" w:type="dxa"/>
            <w:vMerge/>
            <w:tcBorders>
              <w:top w:val="single" w:sz="4" w:space="0" w:color="auto"/>
              <w:bottom w:val="single" w:sz="4" w:space="0" w:color="auto"/>
              <w:right w:val="single" w:sz="4" w:space="0" w:color="A6A6A6" w:themeColor="background1" w:themeShade="A6"/>
            </w:tcBorders>
            <w:hideMark/>
          </w:tcPr>
          <w:p w:rsidR="00000384" w:rsidRPr="00885D52" w:rsidRDefault="00000384" w:rsidP="007E73A8">
            <w:pPr>
              <w:pStyle w:val="TableText"/>
              <w:rPr>
                <w:b/>
                <w:lang w:eastAsia="en-NZ"/>
              </w:rPr>
            </w:pPr>
          </w:p>
        </w:tc>
        <w:tc>
          <w:tcPr>
            <w:tcW w:w="1957"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female</w:t>
            </w:r>
          </w:p>
        </w:tc>
        <w:tc>
          <w:tcPr>
            <w:tcW w:w="1958" w:type="dxa"/>
            <w:tcBorders>
              <w:top w:val="single" w:sz="4" w:space="0" w:color="auto"/>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female</w:t>
            </w:r>
          </w:p>
        </w:tc>
        <w:tc>
          <w:tcPr>
            <w:tcW w:w="1957"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female</w:t>
            </w:r>
          </w:p>
        </w:tc>
        <w:tc>
          <w:tcPr>
            <w:tcW w:w="1958" w:type="dxa"/>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female</w:t>
            </w:r>
          </w:p>
        </w:tc>
      </w:tr>
      <w:tr w:rsidR="00000384" w:rsidRPr="00885D52" w:rsidTr="00503EE5">
        <w:trPr>
          <w:cantSplit/>
        </w:trPr>
        <w:tc>
          <w:tcPr>
            <w:tcW w:w="1526" w:type="dxa"/>
            <w:tcBorders>
              <w:top w:val="single" w:sz="4" w:space="0" w:color="auto"/>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&lt;25</w:t>
            </w:r>
          </w:p>
        </w:tc>
        <w:tc>
          <w:tcPr>
            <w:tcW w:w="1957" w:type="dxa"/>
            <w:tcBorders>
              <w:top w:val="single" w:sz="4" w:space="0" w:color="auto"/>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0.0</w:t>
            </w:r>
          </w:p>
        </w:tc>
        <w:tc>
          <w:tcPr>
            <w:tcW w:w="1958" w:type="dxa"/>
            <w:tcBorders>
              <w:top w:val="single" w:sz="4" w:space="0" w:color="auto"/>
              <w:righ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0.0</w:t>
            </w:r>
          </w:p>
        </w:tc>
        <w:tc>
          <w:tcPr>
            <w:tcW w:w="1957" w:type="dxa"/>
            <w:tcBorders>
              <w:top w:val="single" w:sz="4" w:space="0" w:color="auto"/>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0.0</w:t>
            </w:r>
          </w:p>
        </w:tc>
        <w:tc>
          <w:tcPr>
            <w:tcW w:w="1958" w:type="dxa"/>
            <w:tcBorders>
              <w:top w:val="single" w:sz="4" w:space="0" w:color="auto"/>
              <w:left w:val="nil"/>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0.0</w:t>
            </w:r>
          </w:p>
        </w:tc>
      </w:tr>
      <w:tr w:rsidR="00000384" w:rsidRPr="00885D52" w:rsidTr="00503EE5">
        <w:trPr>
          <w:cantSplit/>
        </w:trPr>
        <w:tc>
          <w:tcPr>
            <w:tcW w:w="1526" w:type="dxa"/>
            <w:tcBorders>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25–44</w:t>
            </w:r>
          </w:p>
        </w:tc>
        <w:tc>
          <w:tcPr>
            <w:tcW w:w="1957" w:type="dxa"/>
            <w:tcBorders>
              <w:lef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11.1</w:t>
            </w:r>
          </w:p>
        </w:tc>
        <w:tc>
          <w:tcPr>
            <w:tcW w:w="1958" w:type="dxa"/>
            <w:tcBorders>
              <w:righ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7.8</w:t>
            </w:r>
          </w:p>
        </w:tc>
        <w:tc>
          <w:tcPr>
            <w:tcW w:w="1957" w:type="dxa"/>
            <w:tcBorders>
              <w:lef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9.0</w:t>
            </w:r>
          </w:p>
        </w:tc>
        <w:tc>
          <w:tcPr>
            <w:tcW w:w="1958" w:type="dxa"/>
            <w:tcBorders>
              <w:left w:val="nil"/>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8.5</w:t>
            </w:r>
          </w:p>
        </w:tc>
      </w:tr>
      <w:tr w:rsidR="00000384" w:rsidRPr="00885D52" w:rsidTr="00503EE5">
        <w:trPr>
          <w:cantSplit/>
        </w:trPr>
        <w:tc>
          <w:tcPr>
            <w:tcW w:w="1526" w:type="dxa"/>
            <w:tcBorders>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1957" w:type="dxa"/>
            <w:tcBorders>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54.2</w:t>
            </w:r>
          </w:p>
        </w:tc>
        <w:tc>
          <w:tcPr>
            <w:tcW w:w="1958" w:type="dxa"/>
            <w:tcBorders>
              <w:righ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34.9</w:t>
            </w:r>
          </w:p>
        </w:tc>
        <w:tc>
          <w:tcPr>
            <w:tcW w:w="1957" w:type="dxa"/>
            <w:tcBorders>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63.5</w:t>
            </w:r>
          </w:p>
        </w:tc>
        <w:tc>
          <w:tcPr>
            <w:tcW w:w="1958" w:type="dxa"/>
            <w:shd w:val="clear" w:color="auto" w:fill="F2F2F2"/>
            <w:noWrap/>
            <w:vAlign w:val="bottom"/>
            <w:hideMark/>
          </w:tcPr>
          <w:p w:rsidR="00000384" w:rsidRPr="00885D52" w:rsidRDefault="00000384" w:rsidP="007E73A8">
            <w:pPr>
              <w:pStyle w:val="TableText"/>
              <w:tabs>
                <w:tab w:val="decimal" w:pos="884"/>
              </w:tabs>
              <w:rPr>
                <w:lang w:eastAsia="en-NZ"/>
              </w:rPr>
            </w:pPr>
            <w:r w:rsidRPr="00885D52">
              <w:rPr>
                <w:lang w:eastAsia="en-NZ"/>
              </w:rPr>
              <w:t>38.8</w:t>
            </w:r>
          </w:p>
        </w:tc>
      </w:tr>
      <w:tr w:rsidR="00000384" w:rsidRPr="00885D52" w:rsidTr="00503EE5">
        <w:trPr>
          <w:cantSplit/>
        </w:trPr>
        <w:tc>
          <w:tcPr>
            <w:tcW w:w="1526" w:type="dxa"/>
            <w:tcBorders>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1957" w:type="dxa"/>
            <w:tcBorders>
              <w:left w:val="single" w:sz="4" w:space="0" w:color="A6A6A6" w:themeColor="background1" w:themeShade="A6"/>
              <w:bottom w:val="single" w:sz="4" w:space="0" w:color="auto"/>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34.7</w:t>
            </w:r>
          </w:p>
        </w:tc>
        <w:tc>
          <w:tcPr>
            <w:tcW w:w="1958" w:type="dxa"/>
            <w:tcBorders>
              <w:bottom w:val="single" w:sz="4" w:space="0" w:color="auto"/>
              <w:righ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57.3</w:t>
            </w:r>
          </w:p>
        </w:tc>
        <w:tc>
          <w:tcPr>
            <w:tcW w:w="1957" w:type="dxa"/>
            <w:tcBorders>
              <w:left w:val="single" w:sz="4" w:space="0" w:color="A6A6A6" w:themeColor="background1" w:themeShade="A6"/>
              <w:bottom w:val="single" w:sz="4" w:space="0" w:color="auto"/>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141.9</w:t>
            </w:r>
          </w:p>
        </w:tc>
        <w:tc>
          <w:tcPr>
            <w:tcW w:w="1958" w:type="dxa"/>
            <w:tcBorders>
              <w:left w:val="nil"/>
              <w:bottom w:val="single" w:sz="4" w:space="0" w:color="auto"/>
            </w:tcBorders>
            <w:shd w:val="clear" w:color="auto" w:fill="auto"/>
            <w:noWrap/>
            <w:vAlign w:val="bottom"/>
            <w:hideMark/>
          </w:tcPr>
          <w:p w:rsidR="00000384" w:rsidRPr="00885D52" w:rsidRDefault="00000384" w:rsidP="007E73A8">
            <w:pPr>
              <w:pStyle w:val="TableText"/>
              <w:tabs>
                <w:tab w:val="decimal" w:pos="884"/>
              </w:tabs>
              <w:rPr>
                <w:lang w:eastAsia="en-NZ"/>
              </w:rPr>
            </w:pPr>
            <w:r w:rsidRPr="00885D52">
              <w:rPr>
                <w:lang w:eastAsia="en-NZ"/>
              </w:rPr>
              <w:t>107.1</w:t>
            </w:r>
          </w:p>
        </w:tc>
      </w:tr>
    </w:tbl>
    <w:p w:rsidR="00000384" w:rsidRPr="00885D52" w:rsidRDefault="00000384" w:rsidP="00503EE5">
      <w:pPr>
        <w:pStyle w:val="Note"/>
        <w:ind w:right="0"/>
      </w:pPr>
      <w:r w:rsidRPr="00885D52">
        <w:t>Note: Rates per 100,000 population.</w:t>
      </w:r>
    </w:p>
    <w:p w:rsidR="00000384" w:rsidRPr="00885D52" w:rsidRDefault="00000384" w:rsidP="00503EE5"/>
    <w:p w:rsidR="00000384" w:rsidRPr="00885D52" w:rsidRDefault="00000384" w:rsidP="00503EE5">
      <w:r w:rsidRPr="00885D52">
        <w:t>The highest proportions of deaths from breast cancer were seen in the 45–64 age group for Māori, and the 65 and over age group for non-Māori.</w:t>
      </w:r>
    </w:p>
    <w:p w:rsidR="00000384" w:rsidRPr="00885D52" w:rsidRDefault="00000384" w:rsidP="00503EE5"/>
    <w:p w:rsidR="00000384" w:rsidRPr="00885D52" w:rsidRDefault="00000384" w:rsidP="008A16FC">
      <w:pPr>
        <w:keepNext/>
      </w:pPr>
      <w:r w:rsidRPr="00885D52">
        <w:lastRenderedPageBreak/>
        <w:t>Figure 17 shows age-standardised mortality rates for breast cancer by ethnicity from 1996 to 2011.</w:t>
      </w:r>
    </w:p>
    <w:p w:rsidR="00000384" w:rsidRPr="00885D52" w:rsidRDefault="00000384" w:rsidP="008A16FC">
      <w:pPr>
        <w:keepNext/>
      </w:pPr>
    </w:p>
    <w:p w:rsidR="00000384" w:rsidRPr="00885D52" w:rsidRDefault="00000384" w:rsidP="00503EE5">
      <w:pPr>
        <w:pStyle w:val="Figure"/>
      </w:pPr>
      <w:bookmarkStart w:id="377" w:name="_Toc400536116"/>
      <w:bookmarkStart w:id="378" w:name="_Toc403120591"/>
      <w:r w:rsidRPr="00885D52">
        <w:t>Figure 17: Age-standardised mortality rates from breast cancer in females, by ethnicity, 1996–2011</w:t>
      </w:r>
      <w:bookmarkEnd w:id="377"/>
      <w:bookmarkEnd w:id="378"/>
    </w:p>
    <w:p w:rsidR="00000384" w:rsidRPr="00885D52" w:rsidRDefault="00503EE5" w:rsidP="00503EE5">
      <w:r w:rsidRPr="00885D52">
        <w:rPr>
          <w:noProof/>
          <w:lang w:eastAsia="en-NZ"/>
        </w:rPr>
        <w:drawing>
          <wp:inline distT="0" distB="0" distL="0" distR="0" wp14:anchorId="63067662" wp14:editId="09F87382">
            <wp:extent cx="5827221" cy="3554854"/>
            <wp:effectExtent l="0" t="0" r="2540" b="7620"/>
            <wp:docPr id="53" name="Picture 53" title="Figure 17: Age-standardised mortality rates from breast cancer in females, by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31177" cy="3557267"/>
                    </a:xfrm>
                    <a:prstGeom prst="rect">
                      <a:avLst/>
                    </a:prstGeom>
                  </pic:spPr>
                </pic:pic>
              </a:graphicData>
            </a:graphic>
          </wp:inline>
        </w:drawing>
      </w:r>
    </w:p>
    <w:p w:rsidR="00000384" w:rsidRPr="00885D52" w:rsidRDefault="00000384" w:rsidP="00503EE5">
      <w:pPr>
        <w:pStyle w:val="Note"/>
        <w:ind w:left="0" w:firstLine="0"/>
      </w:pPr>
      <w:r w:rsidRPr="00885D52">
        <w:t>Note: Rates per 100,000 female population, age-standardised to WHO World Standard Population; 95% confidence intervals.</w:t>
      </w:r>
    </w:p>
    <w:p w:rsidR="00000384" w:rsidRPr="00885D52" w:rsidRDefault="00000384" w:rsidP="00503EE5"/>
    <w:p w:rsidR="00000384" w:rsidRPr="00885D52" w:rsidRDefault="00000384" w:rsidP="00503EE5">
      <w:r w:rsidRPr="00885D52">
        <w:t>In 2011, non-Māori females had a breast cancer mortality rate that was 56.6 percent lower than the Māori rate. The confidence intervals indicate that for most years Māori rates were significantly higher than non-Māori rates.</w:t>
      </w:r>
    </w:p>
    <w:p w:rsidR="00000384" w:rsidRPr="00885D52" w:rsidRDefault="00000384" w:rsidP="00503EE5"/>
    <w:p w:rsidR="00000384" w:rsidRPr="00885D52" w:rsidRDefault="00000384" w:rsidP="00503EE5">
      <w:r w:rsidRPr="00885D52">
        <w:t>The Māori age-standardised mortality rate for breast cancer shows greater variability than that of non-Māori, which may be partially explained by the lower number of Māori deaths (72 in 2011). The wide confidence intervals associated with the Māori figures highlight this issue, and indicate no significant change in breast cancer death rates among Māori between 1996 and 2011. For non-Māori females, the mortality rate for 2011 was significantly lower than the 1996 rate.</w:t>
      </w:r>
    </w:p>
    <w:p w:rsidR="00000384" w:rsidRPr="00885D52" w:rsidRDefault="00000384" w:rsidP="00503EE5"/>
    <w:p w:rsidR="008A16FC" w:rsidRDefault="008A16FC">
      <w:pPr>
        <w:spacing w:line="240" w:lineRule="auto"/>
        <w:rPr>
          <w:b/>
          <w:sz w:val="40"/>
        </w:rPr>
      </w:pPr>
      <w:bookmarkStart w:id="379" w:name="_Toc167268830"/>
      <w:bookmarkStart w:id="380" w:name="_Toc236642210"/>
      <w:bookmarkStart w:id="381" w:name="_Toc262631089"/>
      <w:bookmarkStart w:id="382" w:name="_Toc316994472"/>
      <w:bookmarkStart w:id="383" w:name="_Toc352670629"/>
      <w:bookmarkStart w:id="384" w:name="_Toc400536185"/>
      <w:bookmarkStart w:id="385" w:name="_Toc403120525"/>
      <w:r>
        <w:br w:type="page"/>
      </w:r>
    </w:p>
    <w:p w:rsidR="00000384" w:rsidRPr="00885D52" w:rsidRDefault="00000384" w:rsidP="008A16FC">
      <w:pPr>
        <w:pStyle w:val="Heading2"/>
        <w:spacing w:before="0"/>
      </w:pPr>
      <w:r w:rsidRPr="00885D52">
        <w:lastRenderedPageBreak/>
        <w:t>Prostate cancer (C61)</w:t>
      </w:r>
      <w:bookmarkEnd w:id="379"/>
      <w:bookmarkEnd w:id="380"/>
      <w:bookmarkEnd w:id="381"/>
      <w:bookmarkEnd w:id="382"/>
      <w:bookmarkEnd w:id="383"/>
      <w:bookmarkEnd w:id="384"/>
      <w:bookmarkEnd w:id="385"/>
    </w:p>
    <w:p w:rsidR="00000384" w:rsidRPr="00885D52" w:rsidRDefault="00000384" w:rsidP="00503EE5">
      <w:r w:rsidRPr="00885D52">
        <w:t>Prostate cancer, or malignant neoplasm of the prostate, is one of the leading causes of male cancer registration,</w:t>
      </w:r>
      <w:r w:rsidRPr="00885D52">
        <w:rPr>
          <w:rStyle w:val="FootnoteReference"/>
        </w:rPr>
        <w:footnoteReference w:id="5"/>
      </w:r>
      <w:r w:rsidRPr="00885D52">
        <w:t xml:space="preserve"> and, in 2011, was also one of the leading causes of male cancer death. There were 585 deaths from prostate cancer in 2011 (an age-standardised rate of 16.5 deaths per 100,000 male population), accounting for 12.6 percent of total male cancer deaths.</w:t>
      </w:r>
    </w:p>
    <w:p w:rsidR="00503EE5" w:rsidRPr="00885D52" w:rsidRDefault="00503EE5" w:rsidP="00503EE5"/>
    <w:p w:rsidR="00000384" w:rsidRPr="00885D52" w:rsidRDefault="00000384" w:rsidP="00503EE5">
      <w:r w:rsidRPr="00885D52">
        <w:t>Table 10 shows numbers and age-standardised mortality rates for prostate cancer deaths between 1980 and 2011.</w:t>
      </w:r>
    </w:p>
    <w:p w:rsidR="00000384" w:rsidRPr="00885D52" w:rsidRDefault="00000384" w:rsidP="00503EE5"/>
    <w:p w:rsidR="00000384" w:rsidRPr="00885D52" w:rsidRDefault="00000384" w:rsidP="00503EE5">
      <w:pPr>
        <w:pStyle w:val="Table"/>
      </w:pPr>
      <w:bookmarkStart w:id="386" w:name="_Ref132174492"/>
      <w:bookmarkStart w:id="387" w:name="_Toc167268859"/>
      <w:bookmarkStart w:id="388" w:name="_Toc236641650"/>
      <w:bookmarkStart w:id="389" w:name="_Toc262631234"/>
      <w:bookmarkStart w:id="390" w:name="_Toc316912727"/>
      <w:bookmarkStart w:id="391" w:name="_Toc352670659"/>
      <w:bookmarkStart w:id="392" w:name="_Toc400536150"/>
      <w:bookmarkStart w:id="393" w:name="_Toc403120555"/>
      <w:r w:rsidRPr="00885D52">
        <w:lastRenderedPageBreak/>
        <w:t xml:space="preserve">Table 10: </w:t>
      </w:r>
      <w:bookmarkEnd w:id="386"/>
      <w:r w:rsidRPr="00885D52">
        <w:t>Numbers and age-standardised mortality rates from prostate cancer, 1980–20</w:t>
      </w:r>
      <w:bookmarkEnd w:id="387"/>
      <w:bookmarkEnd w:id="388"/>
      <w:bookmarkEnd w:id="389"/>
      <w:bookmarkEnd w:id="390"/>
      <w:r w:rsidRPr="00885D52">
        <w:t>1</w:t>
      </w:r>
      <w:bookmarkEnd w:id="391"/>
      <w:r w:rsidRPr="00885D52">
        <w:t>1</w:t>
      </w:r>
      <w:bookmarkEnd w:id="392"/>
      <w:bookmarkEnd w:id="393"/>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76"/>
        <w:gridCol w:w="1376"/>
        <w:gridCol w:w="1376"/>
      </w:tblGrid>
      <w:tr w:rsidR="00000384" w:rsidRPr="00885D52" w:rsidTr="003E56B2">
        <w:trPr>
          <w:cantSplit/>
        </w:trPr>
        <w:tc>
          <w:tcPr>
            <w:tcW w:w="1376" w:type="dxa"/>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3E56B2">
            <w:pPr>
              <w:pStyle w:val="TableText"/>
              <w:keepNext/>
              <w:jc w:val="center"/>
              <w:rPr>
                <w:b/>
              </w:rPr>
            </w:pPr>
            <w:r w:rsidRPr="00885D52">
              <w:rPr>
                <w:b/>
              </w:rPr>
              <w:t>Year</w:t>
            </w:r>
          </w:p>
        </w:tc>
        <w:tc>
          <w:tcPr>
            <w:tcW w:w="137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503EE5">
            <w:pPr>
              <w:pStyle w:val="TableText"/>
              <w:keepNext/>
              <w:jc w:val="center"/>
              <w:rPr>
                <w:b/>
              </w:rPr>
            </w:pPr>
            <w:r w:rsidRPr="00885D52">
              <w:rPr>
                <w:b/>
              </w:rPr>
              <w:t>No.</w:t>
            </w:r>
          </w:p>
        </w:tc>
        <w:tc>
          <w:tcPr>
            <w:tcW w:w="1376" w:type="dxa"/>
            <w:tcBorders>
              <w:top w:val="single" w:sz="4" w:space="0" w:color="auto"/>
              <w:left w:val="single" w:sz="4" w:space="0" w:color="A6A6A6" w:themeColor="background1" w:themeShade="A6"/>
              <w:bottom w:val="single" w:sz="4" w:space="0" w:color="auto"/>
            </w:tcBorders>
            <w:shd w:val="clear" w:color="auto" w:fill="auto"/>
            <w:noWrap/>
          </w:tcPr>
          <w:p w:rsidR="00000384" w:rsidRPr="00885D52" w:rsidRDefault="00000384" w:rsidP="00503EE5">
            <w:pPr>
              <w:pStyle w:val="TableText"/>
              <w:keepNext/>
              <w:jc w:val="center"/>
              <w:rPr>
                <w:b/>
              </w:rPr>
            </w:pPr>
            <w:r w:rsidRPr="00885D52">
              <w:rPr>
                <w:b/>
              </w:rPr>
              <w:t>Rate</w:t>
            </w:r>
          </w:p>
        </w:tc>
      </w:tr>
      <w:tr w:rsidR="00000384" w:rsidRPr="00885D52" w:rsidTr="003E56B2">
        <w:trPr>
          <w:cantSplit/>
        </w:trPr>
        <w:tc>
          <w:tcPr>
            <w:tcW w:w="1376" w:type="dxa"/>
            <w:tcBorders>
              <w:top w:val="single" w:sz="4" w:space="0" w:color="auto"/>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1980</w:t>
            </w:r>
          </w:p>
        </w:tc>
        <w:tc>
          <w:tcPr>
            <w:tcW w:w="1376" w:type="dxa"/>
            <w:tcBorders>
              <w:top w:val="single" w:sz="4" w:space="0" w:color="auto"/>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311</w:t>
            </w:r>
          </w:p>
        </w:tc>
        <w:tc>
          <w:tcPr>
            <w:tcW w:w="1376" w:type="dxa"/>
            <w:tcBorders>
              <w:top w:val="single" w:sz="4" w:space="0" w:color="auto"/>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22.4</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293</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20.2</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289</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20.3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325</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21.8</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335</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21.5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351</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22.5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360</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22.1</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365</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21.5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402</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23.7</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425</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24.5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436</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24.5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423</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23.1</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478</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25.5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520</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26.9</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517</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25.8</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554</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27.3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502</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24.0</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525</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24.3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524</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23.3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552</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23.8</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594</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24.9</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2001</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592</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24.1</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2002</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591</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23.3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2003</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556</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21.0</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2004</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583</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21.5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2005</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564</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19.9</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2006</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559</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19.4</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2007</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574</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19.0</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2008</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670</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21.5</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2009</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auto"/>
            <w:noWrap/>
          </w:tcPr>
          <w:p w:rsidR="00000384" w:rsidRPr="00885D52" w:rsidRDefault="00000384" w:rsidP="008A16FC">
            <w:pPr>
              <w:pStyle w:val="TableText"/>
              <w:keepNext/>
              <w:jc w:val="center"/>
            </w:pPr>
            <w:r w:rsidRPr="00885D52">
              <w:t>562</w:t>
            </w:r>
          </w:p>
        </w:tc>
        <w:tc>
          <w:tcPr>
            <w:tcW w:w="1376" w:type="dxa"/>
            <w:tcBorders>
              <w:top w:val="nil"/>
              <w:left w:val="single" w:sz="4" w:space="0" w:color="A6A6A6" w:themeColor="background1" w:themeShade="A6"/>
              <w:bottom w:val="nil"/>
            </w:tcBorders>
            <w:shd w:val="clear" w:color="auto" w:fill="auto"/>
            <w:noWrap/>
          </w:tcPr>
          <w:p w:rsidR="00000384" w:rsidRPr="00885D52" w:rsidRDefault="00000384" w:rsidP="008A16FC">
            <w:pPr>
              <w:pStyle w:val="TableText"/>
              <w:keepNext/>
              <w:jc w:val="center"/>
            </w:pPr>
            <w:r w:rsidRPr="00885D52">
              <w:t>17.3</w:t>
            </w:r>
          </w:p>
        </w:tc>
      </w:tr>
      <w:tr w:rsidR="00000384" w:rsidRPr="00885D52" w:rsidTr="003E56B2">
        <w:trPr>
          <w:cantSplit/>
        </w:trPr>
        <w:tc>
          <w:tcPr>
            <w:tcW w:w="1376"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2010</w:t>
            </w:r>
          </w:p>
        </w:tc>
        <w:tc>
          <w:tcPr>
            <w:tcW w:w="1376" w:type="dxa"/>
            <w:tcBorders>
              <w:top w:val="nil"/>
              <w:left w:val="single" w:sz="4" w:space="0" w:color="A6A6A6" w:themeColor="background1" w:themeShade="A6"/>
              <w:bottom w:val="nil"/>
              <w:right w:val="single" w:sz="4" w:space="0" w:color="A6A6A6" w:themeColor="background1" w:themeShade="A6"/>
            </w:tcBorders>
            <w:shd w:val="clear" w:color="auto" w:fill="F2F2F2"/>
            <w:noWrap/>
          </w:tcPr>
          <w:p w:rsidR="00000384" w:rsidRPr="00885D52" w:rsidRDefault="00000384" w:rsidP="008A16FC">
            <w:pPr>
              <w:pStyle w:val="TableText"/>
              <w:keepNext/>
              <w:jc w:val="center"/>
            </w:pPr>
            <w:r w:rsidRPr="00885D52">
              <w:t>589</w:t>
            </w:r>
          </w:p>
        </w:tc>
        <w:tc>
          <w:tcPr>
            <w:tcW w:w="1376" w:type="dxa"/>
            <w:tcBorders>
              <w:top w:val="nil"/>
              <w:left w:val="single" w:sz="4" w:space="0" w:color="A6A6A6" w:themeColor="background1" w:themeShade="A6"/>
              <w:bottom w:val="nil"/>
            </w:tcBorders>
            <w:shd w:val="clear" w:color="auto" w:fill="F2F2F2"/>
            <w:noWrap/>
          </w:tcPr>
          <w:p w:rsidR="00000384" w:rsidRPr="00885D52" w:rsidRDefault="00000384" w:rsidP="008A16FC">
            <w:pPr>
              <w:pStyle w:val="TableText"/>
              <w:keepNext/>
              <w:jc w:val="center"/>
            </w:pPr>
            <w:r w:rsidRPr="00885D52">
              <w:t>17.4</w:t>
            </w:r>
          </w:p>
        </w:tc>
      </w:tr>
      <w:tr w:rsidR="00000384" w:rsidRPr="00885D52" w:rsidTr="003E56B2">
        <w:trPr>
          <w:cantSplit/>
        </w:trPr>
        <w:tc>
          <w:tcPr>
            <w:tcW w:w="1376"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3E56B2">
            <w:pPr>
              <w:pStyle w:val="TableText"/>
              <w:jc w:val="center"/>
            </w:pPr>
            <w:r w:rsidRPr="00885D52">
              <w:t>2011</w:t>
            </w:r>
          </w:p>
        </w:tc>
        <w:tc>
          <w:tcPr>
            <w:tcW w:w="1376" w:type="dxa"/>
            <w:tcBorders>
              <w:top w:val="nil"/>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503EE5">
            <w:pPr>
              <w:pStyle w:val="TableText"/>
              <w:jc w:val="center"/>
            </w:pPr>
            <w:r w:rsidRPr="00885D52">
              <w:t>585</w:t>
            </w:r>
          </w:p>
        </w:tc>
        <w:tc>
          <w:tcPr>
            <w:tcW w:w="1376" w:type="dxa"/>
            <w:tcBorders>
              <w:top w:val="nil"/>
              <w:left w:val="single" w:sz="4" w:space="0" w:color="A6A6A6" w:themeColor="background1" w:themeShade="A6"/>
              <w:bottom w:val="single" w:sz="4" w:space="0" w:color="auto"/>
            </w:tcBorders>
            <w:shd w:val="clear" w:color="auto" w:fill="auto"/>
            <w:noWrap/>
          </w:tcPr>
          <w:p w:rsidR="00000384" w:rsidRPr="00885D52" w:rsidRDefault="00000384" w:rsidP="00503EE5">
            <w:pPr>
              <w:pStyle w:val="TableText"/>
              <w:jc w:val="center"/>
            </w:pPr>
            <w:r w:rsidRPr="00885D52">
              <w:t>16.5</w:t>
            </w:r>
          </w:p>
        </w:tc>
      </w:tr>
    </w:tbl>
    <w:p w:rsidR="00000384" w:rsidRPr="00885D52" w:rsidRDefault="00000384" w:rsidP="009C1B61">
      <w:pPr>
        <w:pStyle w:val="Note"/>
        <w:ind w:right="0"/>
      </w:pPr>
      <w:r w:rsidRPr="00885D52">
        <w:t>Note: Rates per 100,000 male population, age-standardised to WHO World Standard Population.</w:t>
      </w:r>
    </w:p>
    <w:p w:rsidR="00000384" w:rsidRPr="00885D52" w:rsidRDefault="00000384" w:rsidP="00503EE5"/>
    <w:p w:rsidR="00000384" w:rsidRPr="00885D52" w:rsidRDefault="00000384" w:rsidP="00EA5B00">
      <w:pPr>
        <w:keepNext/>
      </w:pPr>
      <w:r w:rsidRPr="00885D52">
        <w:lastRenderedPageBreak/>
        <w:t>Figure 18 shows the number of deaths and mortality rates for prostate cancer between 1950 and 2011. Mortality rates from this cancer showed an overall increase until a peak in 1995. Thereafter, rates showed a downward trend; the 2011 rate was similar to rates in the 1950s.</w:t>
      </w:r>
    </w:p>
    <w:p w:rsidR="00000384" w:rsidRPr="00885D52" w:rsidRDefault="00000384" w:rsidP="00EA5B00">
      <w:pPr>
        <w:keepNext/>
      </w:pPr>
    </w:p>
    <w:p w:rsidR="00000384" w:rsidRPr="00885D52" w:rsidRDefault="00000384" w:rsidP="00503EE5">
      <w:pPr>
        <w:pStyle w:val="Figure"/>
      </w:pPr>
      <w:bookmarkStart w:id="394" w:name="_Toc352670685"/>
      <w:bookmarkStart w:id="395" w:name="_Toc400536117"/>
      <w:bookmarkStart w:id="396" w:name="_Toc403120592"/>
      <w:r w:rsidRPr="00885D52">
        <w:t>Figure 18: Numbers and age-standardised mortality rates from prostate cancer, 1950–201</w:t>
      </w:r>
      <w:bookmarkEnd w:id="394"/>
      <w:r w:rsidRPr="00885D52">
        <w:t>1</w:t>
      </w:r>
      <w:bookmarkEnd w:id="395"/>
      <w:bookmarkEnd w:id="396"/>
    </w:p>
    <w:p w:rsidR="00000384" w:rsidRPr="00885D52" w:rsidRDefault="006A592F" w:rsidP="006A592F">
      <w:r w:rsidRPr="00885D52">
        <w:rPr>
          <w:noProof/>
          <w:lang w:eastAsia="en-NZ"/>
        </w:rPr>
        <w:drawing>
          <wp:inline distT="0" distB="0" distL="0" distR="0" wp14:anchorId="1B73F6E7" wp14:editId="4AD3C9FE">
            <wp:extent cx="5045825" cy="3074934"/>
            <wp:effectExtent l="0" t="0" r="2540" b="0"/>
            <wp:docPr id="54" name="Picture 54" title="Figure 18: Numbers and age-standardised mortality rates from prostate cancer,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51503" cy="3078394"/>
                    </a:xfrm>
                    <a:prstGeom prst="rect">
                      <a:avLst/>
                    </a:prstGeom>
                  </pic:spPr>
                </pic:pic>
              </a:graphicData>
            </a:graphic>
          </wp:inline>
        </w:drawing>
      </w:r>
    </w:p>
    <w:p w:rsidR="00000384" w:rsidRPr="00885D52" w:rsidRDefault="00000384" w:rsidP="006A592F">
      <w:pPr>
        <w:pStyle w:val="Note"/>
      </w:pPr>
      <w:r w:rsidRPr="00885D52">
        <w:t>Note: Rates per 100,000 male population, age-standardised to WHO World Standard Population.</w:t>
      </w:r>
    </w:p>
    <w:p w:rsidR="00000384" w:rsidRPr="00885D52" w:rsidRDefault="00000384" w:rsidP="006A592F"/>
    <w:p w:rsidR="00000384" w:rsidRPr="00885D52" w:rsidRDefault="00000384" w:rsidP="006A592F">
      <w:r w:rsidRPr="00885D52">
        <w:t>Table 11 shows the 2011 percentage distribution of deaths and age-specific mortality rates from prostate cancer for four age groupings for Māori and non-Māori.</w:t>
      </w:r>
    </w:p>
    <w:p w:rsidR="00000384" w:rsidRPr="00885D52" w:rsidRDefault="00000384" w:rsidP="006A592F"/>
    <w:p w:rsidR="00000384" w:rsidRPr="00885D52" w:rsidRDefault="00000384" w:rsidP="006A592F">
      <w:pPr>
        <w:pStyle w:val="Table"/>
      </w:pPr>
      <w:bookmarkStart w:id="397" w:name="_Ref132098853"/>
      <w:bookmarkStart w:id="398" w:name="_Toc167268860"/>
      <w:bookmarkStart w:id="399" w:name="_Toc236641651"/>
      <w:bookmarkStart w:id="400" w:name="_Toc262631235"/>
      <w:bookmarkStart w:id="401" w:name="_Toc316912728"/>
      <w:bookmarkStart w:id="402" w:name="_Toc352670660"/>
      <w:bookmarkStart w:id="403" w:name="_Toc400536151"/>
      <w:bookmarkStart w:id="404" w:name="_Toc403120556"/>
      <w:r w:rsidRPr="00885D52">
        <w:rPr>
          <w:bCs/>
        </w:rPr>
        <w:t>Table 11</w:t>
      </w:r>
      <w:bookmarkEnd w:id="397"/>
      <w:r w:rsidRPr="00885D52">
        <w:rPr>
          <w:bCs/>
        </w:rPr>
        <w:t xml:space="preserve">: </w:t>
      </w:r>
      <w:bookmarkEnd w:id="398"/>
      <w:bookmarkEnd w:id="399"/>
      <w:bookmarkEnd w:id="400"/>
      <w:r w:rsidRPr="00885D52">
        <w:t>Age distribution of deaths from prostate cancer in males, percentages and age-specific rates, by ethnicity, 20</w:t>
      </w:r>
      <w:bookmarkEnd w:id="401"/>
      <w:r w:rsidRPr="00885D52">
        <w:t>1</w:t>
      </w:r>
      <w:bookmarkEnd w:id="402"/>
      <w:r w:rsidRPr="00885D52">
        <w:t>1</w:t>
      </w:r>
      <w:bookmarkEnd w:id="403"/>
      <w:bookmarkEnd w:id="404"/>
    </w:p>
    <w:tbl>
      <w:tblPr>
        <w:tblW w:w="0" w:type="auto"/>
        <w:tblInd w:w="57" w:type="dxa"/>
        <w:tblLayout w:type="fixed"/>
        <w:tblCellMar>
          <w:left w:w="57" w:type="dxa"/>
          <w:right w:w="57" w:type="dxa"/>
        </w:tblCellMar>
        <w:tblLook w:val="04A0" w:firstRow="1" w:lastRow="0" w:firstColumn="1" w:lastColumn="0" w:noHBand="0" w:noVBand="1"/>
      </w:tblPr>
      <w:tblGrid>
        <w:gridCol w:w="1276"/>
        <w:gridCol w:w="1665"/>
        <w:gridCol w:w="1666"/>
        <w:gridCol w:w="1665"/>
        <w:gridCol w:w="1666"/>
      </w:tblGrid>
      <w:tr w:rsidR="00000384" w:rsidRPr="00885D52" w:rsidTr="00EA5B00">
        <w:trPr>
          <w:cantSplit/>
        </w:trPr>
        <w:tc>
          <w:tcPr>
            <w:tcW w:w="1276"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333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3331" w:type="dxa"/>
            <w:gridSpan w:val="2"/>
            <w:tcBorders>
              <w:top w:val="single" w:sz="4" w:space="0" w:color="auto"/>
              <w:left w:val="single" w:sz="4" w:space="0" w:color="A6A6A6" w:themeColor="background1" w:themeShade="A6"/>
              <w:bottom w:val="single" w:sz="4" w:space="0" w:color="auto"/>
            </w:tcBorders>
          </w:tcPr>
          <w:p w:rsidR="00000384" w:rsidRPr="00885D52" w:rsidRDefault="00000384" w:rsidP="007E73A8">
            <w:pPr>
              <w:pStyle w:val="TableText"/>
              <w:jc w:val="center"/>
              <w:rPr>
                <w:b/>
                <w:lang w:eastAsia="en-NZ"/>
              </w:rPr>
            </w:pPr>
            <w:r w:rsidRPr="00885D52">
              <w:rPr>
                <w:b/>
                <w:lang w:eastAsia="en-NZ"/>
              </w:rPr>
              <w:t>Age-specific rate</w:t>
            </w:r>
          </w:p>
        </w:tc>
      </w:tr>
      <w:tr w:rsidR="00000384" w:rsidRPr="00885D52" w:rsidTr="00EA5B00">
        <w:trPr>
          <w:cantSplit/>
        </w:trPr>
        <w:tc>
          <w:tcPr>
            <w:tcW w:w="1276" w:type="dxa"/>
            <w:vMerge/>
            <w:tcBorders>
              <w:top w:val="single" w:sz="4" w:space="0" w:color="auto"/>
              <w:bottom w:val="single" w:sz="4" w:space="0" w:color="auto"/>
              <w:right w:val="single" w:sz="4" w:space="0" w:color="A6A6A6" w:themeColor="background1" w:themeShade="A6"/>
            </w:tcBorders>
            <w:hideMark/>
          </w:tcPr>
          <w:p w:rsidR="00000384" w:rsidRPr="00885D52" w:rsidRDefault="00000384" w:rsidP="007E73A8">
            <w:pPr>
              <w:pStyle w:val="TableText"/>
              <w:jc w:val="center"/>
              <w:rPr>
                <w:b/>
                <w:lang w:eastAsia="en-NZ"/>
              </w:rPr>
            </w:pPr>
          </w:p>
        </w:tc>
        <w:tc>
          <w:tcPr>
            <w:tcW w:w="1665"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male</w:t>
            </w:r>
          </w:p>
        </w:tc>
        <w:tc>
          <w:tcPr>
            <w:tcW w:w="1666" w:type="dxa"/>
            <w:tcBorders>
              <w:top w:val="single" w:sz="4" w:space="0" w:color="auto"/>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male</w:t>
            </w:r>
          </w:p>
        </w:tc>
        <w:tc>
          <w:tcPr>
            <w:tcW w:w="1665"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male</w:t>
            </w:r>
          </w:p>
        </w:tc>
        <w:tc>
          <w:tcPr>
            <w:tcW w:w="1666" w:type="dxa"/>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male</w:t>
            </w:r>
          </w:p>
        </w:tc>
      </w:tr>
      <w:tr w:rsidR="00000384" w:rsidRPr="00885D52" w:rsidTr="00EA5B00">
        <w:trPr>
          <w:cantSplit/>
        </w:trPr>
        <w:tc>
          <w:tcPr>
            <w:tcW w:w="1276" w:type="dxa"/>
            <w:tcBorders>
              <w:top w:val="single" w:sz="4" w:space="0" w:color="auto"/>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&lt;25</w:t>
            </w:r>
          </w:p>
        </w:tc>
        <w:tc>
          <w:tcPr>
            <w:tcW w:w="1665" w:type="dxa"/>
            <w:tcBorders>
              <w:top w:val="single" w:sz="4" w:space="0" w:color="auto"/>
              <w:lef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6" w:type="dxa"/>
            <w:tcBorders>
              <w:top w:val="single" w:sz="4" w:space="0" w:color="auto"/>
              <w:righ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5" w:type="dxa"/>
            <w:tcBorders>
              <w:top w:val="single" w:sz="4" w:space="0" w:color="auto"/>
              <w:lef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6" w:type="dxa"/>
            <w:tcBorders>
              <w:top w:val="single" w:sz="4" w:space="0" w:color="auto"/>
              <w:left w:val="nil"/>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0.0</w:t>
            </w:r>
          </w:p>
        </w:tc>
      </w:tr>
      <w:tr w:rsidR="00000384" w:rsidRPr="00885D52" w:rsidTr="00EA5B00">
        <w:trPr>
          <w:cantSplit/>
        </w:trPr>
        <w:tc>
          <w:tcPr>
            <w:tcW w:w="1276" w:type="dxa"/>
            <w:tcBorders>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25–44</w:t>
            </w:r>
          </w:p>
        </w:tc>
        <w:tc>
          <w:tcPr>
            <w:tcW w:w="1665" w:type="dxa"/>
            <w:tcBorders>
              <w:left w:val="single" w:sz="4" w:space="0" w:color="A6A6A6" w:themeColor="background1" w:themeShade="A6"/>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6" w:type="dxa"/>
            <w:tcBorders>
              <w:right w:val="single" w:sz="4" w:space="0" w:color="A6A6A6" w:themeColor="background1" w:themeShade="A6"/>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5" w:type="dxa"/>
            <w:tcBorders>
              <w:left w:val="single" w:sz="4" w:space="0" w:color="A6A6A6" w:themeColor="background1" w:themeShade="A6"/>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0.0</w:t>
            </w:r>
          </w:p>
        </w:tc>
        <w:tc>
          <w:tcPr>
            <w:tcW w:w="1666" w:type="dxa"/>
            <w:tcBorders>
              <w:left w:val="nil"/>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0.0</w:t>
            </w:r>
          </w:p>
        </w:tc>
      </w:tr>
      <w:tr w:rsidR="00000384" w:rsidRPr="00885D52" w:rsidTr="00EA5B00">
        <w:trPr>
          <w:cantSplit/>
        </w:trPr>
        <w:tc>
          <w:tcPr>
            <w:tcW w:w="1276" w:type="dxa"/>
            <w:tcBorders>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1665" w:type="dxa"/>
            <w:tcBorders>
              <w:lef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16.2</w:t>
            </w:r>
          </w:p>
        </w:tc>
        <w:tc>
          <w:tcPr>
            <w:tcW w:w="1666" w:type="dxa"/>
            <w:tcBorders>
              <w:righ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7.3</w:t>
            </w:r>
          </w:p>
        </w:tc>
        <w:tc>
          <w:tcPr>
            <w:tcW w:w="1665" w:type="dxa"/>
            <w:tcBorders>
              <w:left w:val="single" w:sz="4" w:space="0" w:color="A6A6A6" w:themeColor="background1" w:themeShade="A6"/>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10.9</w:t>
            </w:r>
          </w:p>
        </w:tc>
        <w:tc>
          <w:tcPr>
            <w:tcW w:w="1666" w:type="dxa"/>
            <w:tcBorders>
              <w:left w:val="nil"/>
            </w:tcBorders>
            <w:shd w:val="clear" w:color="auto" w:fill="F2F2F2"/>
            <w:noWrap/>
            <w:hideMark/>
          </w:tcPr>
          <w:p w:rsidR="00000384" w:rsidRPr="00885D52" w:rsidRDefault="00000384" w:rsidP="006A592F">
            <w:pPr>
              <w:pStyle w:val="TableText"/>
              <w:tabs>
                <w:tab w:val="decimal" w:pos="766"/>
              </w:tabs>
              <w:rPr>
                <w:lang w:eastAsia="en-NZ"/>
              </w:rPr>
            </w:pPr>
            <w:r w:rsidRPr="00885D52">
              <w:rPr>
                <w:lang w:eastAsia="en-NZ"/>
              </w:rPr>
              <w:t>8.2</w:t>
            </w:r>
          </w:p>
        </w:tc>
      </w:tr>
      <w:tr w:rsidR="00000384" w:rsidRPr="00885D52" w:rsidTr="00EA5B00">
        <w:trPr>
          <w:cantSplit/>
        </w:trPr>
        <w:tc>
          <w:tcPr>
            <w:tcW w:w="1276" w:type="dxa"/>
            <w:tcBorders>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1665" w:type="dxa"/>
            <w:tcBorders>
              <w:left w:val="single" w:sz="4" w:space="0" w:color="A6A6A6" w:themeColor="background1" w:themeShade="A6"/>
              <w:bottom w:val="single" w:sz="4" w:space="0" w:color="auto"/>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83.8</w:t>
            </w:r>
          </w:p>
        </w:tc>
        <w:tc>
          <w:tcPr>
            <w:tcW w:w="1666" w:type="dxa"/>
            <w:tcBorders>
              <w:bottom w:val="single" w:sz="4" w:space="0" w:color="auto"/>
              <w:right w:val="single" w:sz="4" w:space="0" w:color="A6A6A6" w:themeColor="background1" w:themeShade="A6"/>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92.7</w:t>
            </w:r>
          </w:p>
        </w:tc>
        <w:tc>
          <w:tcPr>
            <w:tcW w:w="1665" w:type="dxa"/>
            <w:tcBorders>
              <w:left w:val="single" w:sz="4" w:space="0" w:color="A6A6A6" w:themeColor="background1" w:themeShade="A6"/>
              <w:bottom w:val="single" w:sz="4" w:space="0" w:color="auto"/>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208.9</w:t>
            </w:r>
          </w:p>
        </w:tc>
        <w:tc>
          <w:tcPr>
            <w:tcW w:w="1666" w:type="dxa"/>
            <w:tcBorders>
              <w:left w:val="nil"/>
              <w:bottom w:val="single" w:sz="4" w:space="0" w:color="auto"/>
            </w:tcBorders>
            <w:shd w:val="clear" w:color="auto" w:fill="auto"/>
            <w:noWrap/>
            <w:hideMark/>
          </w:tcPr>
          <w:p w:rsidR="00000384" w:rsidRPr="00885D52" w:rsidRDefault="00000384" w:rsidP="006A592F">
            <w:pPr>
              <w:pStyle w:val="TableText"/>
              <w:tabs>
                <w:tab w:val="decimal" w:pos="766"/>
              </w:tabs>
              <w:rPr>
                <w:lang w:eastAsia="en-NZ"/>
              </w:rPr>
            </w:pPr>
            <w:r w:rsidRPr="00885D52">
              <w:rPr>
                <w:lang w:eastAsia="en-NZ"/>
              </w:rPr>
              <w:t>200.1</w:t>
            </w:r>
          </w:p>
        </w:tc>
      </w:tr>
    </w:tbl>
    <w:p w:rsidR="00000384" w:rsidRPr="00885D52" w:rsidRDefault="00000384" w:rsidP="006A592F">
      <w:pPr>
        <w:pStyle w:val="Note"/>
      </w:pPr>
      <w:r w:rsidRPr="00885D52">
        <w:t>Note: Rates per 100,000 male population.</w:t>
      </w:r>
    </w:p>
    <w:p w:rsidR="00000384" w:rsidRPr="00885D52" w:rsidRDefault="00000384" w:rsidP="006A592F"/>
    <w:p w:rsidR="00000384" w:rsidRPr="00885D52" w:rsidRDefault="00000384" w:rsidP="006A592F">
      <w:r w:rsidRPr="00885D52">
        <w:t>Prostate cancer mortality in 2011 primarily occurred in the 65 and over age group. The distribution of deaths for this particular cancer was more skewed toward the older age group than it was for cancer deaths as a whole.</w:t>
      </w:r>
    </w:p>
    <w:p w:rsidR="00000384" w:rsidRPr="00885D52" w:rsidRDefault="00000384" w:rsidP="006A592F"/>
    <w:p w:rsidR="00000384" w:rsidRPr="00885D52" w:rsidRDefault="00000384" w:rsidP="00EA5B00">
      <w:pPr>
        <w:keepNext/>
      </w:pPr>
      <w:r w:rsidRPr="00885D52">
        <w:lastRenderedPageBreak/>
        <w:t>Figure 19 shows prostate cancer age-standardised death rates for Māori and non-Māori from 1996 to 2011.</w:t>
      </w:r>
    </w:p>
    <w:p w:rsidR="00000384" w:rsidRPr="00885D52" w:rsidRDefault="00000384" w:rsidP="00EA5B00">
      <w:pPr>
        <w:keepNext/>
      </w:pPr>
    </w:p>
    <w:p w:rsidR="00000384" w:rsidRPr="00885D52" w:rsidRDefault="006A592F" w:rsidP="006A592F">
      <w:pPr>
        <w:pStyle w:val="Figure"/>
      </w:pPr>
      <w:bookmarkStart w:id="405" w:name="_Toc352670686"/>
      <w:bookmarkStart w:id="406" w:name="_Toc400536118"/>
      <w:bookmarkStart w:id="407" w:name="_Toc403120593"/>
      <w:r w:rsidRPr="00885D52">
        <w:t>F</w:t>
      </w:r>
      <w:r w:rsidR="00000384" w:rsidRPr="00885D52">
        <w:t>igure 19: Age-standardised mortality rates from prostate cancer, by ethnicity, 1996–201</w:t>
      </w:r>
      <w:bookmarkEnd w:id="405"/>
      <w:r w:rsidR="00000384" w:rsidRPr="00885D52">
        <w:t>1</w:t>
      </w:r>
      <w:bookmarkEnd w:id="406"/>
      <w:bookmarkEnd w:id="407"/>
    </w:p>
    <w:p w:rsidR="00000384" w:rsidRPr="00885D52" w:rsidRDefault="006A592F" w:rsidP="006A592F">
      <w:r w:rsidRPr="00885D52">
        <w:rPr>
          <w:noProof/>
          <w:lang w:eastAsia="en-NZ"/>
        </w:rPr>
        <w:drawing>
          <wp:inline distT="0" distB="0" distL="0" distR="0" wp14:anchorId="39F8F974" wp14:editId="1F86AB5D">
            <wp:extent cx="5818501" cy="3549534"/>
            <wp:effectExtent l="0" t="0" r="0" b="0"/>
            <wp:docPr id="55" name="Picture 55" title="Figure 19: Age-standardised mortality rates from prostate cancer, by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18998" cy="3549837"/>
                    </a:xfrm>
                    <a:prstGeom prst="rect">
                      <a:avLst/>
                    </a:prstGeom>
                  </pic:spPr>
                </pic:pic>
              </a:graphicData>
            </a:graphic>
          </wp:inline>
        </w:drawing>
      </w:r>
    </w:p>
    <w:p w:rsidR="00000384" w:rsidRPr="00885D52" w:rsidRDefault="00000384" w:rsidP="006A592F">
      <w:pPr>
        <w:pStyle w:val="Note"/>
        <w:ind w:left="0" w:firstLine="0"/>
      </w:pPr>
      <w:r w:rsidRPr="00885D52">
        <w:t>Note: Rates per 100,000 male population, age-standardised to WHO World Standard Population; 95% confidence intervals.</w:t>
      </w:r>
    </w:p>
    <w:p w:rsidR="00000384" w:rsidRPr="00885D52" w:rsidRDefault="00000384" w:rsidP="006A592F"/>
    <w:p w:rsidR="00000384" w:rsidRPr="00885D52" w:rsidRDefault="00000384" w:rsidP="006A592F">
      <w:r w:rsidRPr="00885D52">
        <w:t>The prostate cancer death rate for Māori in 2011 was 1.4 times higher than the non-Māori rate.</w:t>
      </w:r>
    </w:p>
    <w:p w:rsidR="00000384" w:rsidRPr="00885D52" w:rsidRDefault="00000384" w:rsidP="006A592F"/>
    <w:p w:rsidR="00000384" w:rsidRPr="00885D52" w:rsidRDefault="00000384" w:rsidP="006A592F">
      <w:r w:rsidRPr="00885D52">
        <w:t>Between 1996 and 2011, the mortality rate for prostate cancer in Māori was highly variable. The confidence intervals show that the 1996 rate is not significantly different to the 2011 rate.</w:t>
      </w:r>
    </w:p>
    <w:p w:rsidR="00000384" w:rsidRPr="00885D52" w:rsidRDefault="00000384" w:rsidP="006A592F"/>
    <w:p w:rsidR="00000384" w:rsidRPr="00885D52" w:rsidRDefault="00000384" w:rsidP="006A592F">
      <w:r w:rsidRPr="00885D52">
        <w:t>Over this time period there was an overall decrease in the mortality rate for prostate cancer in non-Māori; the 2011 rate was significantly lower than the 1996 rate.</w:t>
      </w:r>
    </w:p>
    <w:p w:rsidR="00000384" w:rsidRPr="00885D52" w:rsidRDefault="00000384" w:rsidP="006A592F"/>
    <w:p w:rsidR="00EA5B00" w:rsidRDefault="00EA5B00">
      <w:pPr>
        <w:spacing w:line="240" w:lineRule="auto"/>
        <w:rPr>
          <w:b/>
          <w:sz w:val="40"/>
        </w:rPr>
      </w:pPr>
      <w:bookmarkStart w:id="408" w:name="_Toc167268831"/>
      <w:bookmarkStart w:id="409" w:name="_Toc236642211"/>
      <w:bookmarkStart w:id="410" w:name="_Toc262631090"/>
      <w:bookmarkStart w:id="411" w:name="_Toc316994473"/>
      <w:bookmarkStart w:id="412" w:name="_Toc352670630"/>
      <w:bookmarkStart w:id="413" w:name="_Toc400536186"/>
      <w:bookmarkStart w:id="414" w:name="_Toc403120526"/>
      <w:r>
        <w:br w:type="page"/>
      </w:r>
    </w:p>
    <w:p w:rsidR="00000384" w:rsidRPr="00885D52" w:rsidRDefault="00000384" w:rsidP="00EA5B00">
      <w:pPr>
        <w:pStyle w:val="Heading2"/>
        <w:spacing w:before="0"/>
      </w:pPr>
      <w:r w:rsidRPr="00885D52">
        <w:lastRenderedPageBreak/>
        <w:t>Malignant melanoma of the skin (C43)</w:t>
      </w:r>
      <w:bookmarkEnd w:id="408"/>
      <w:bookmarkEnd w:id="409"/>
      <w:bookmarkEnd w:id="410"/>
      <w:bookmarkEnd w:id="411"/>
      <w:bookmarkEnd w:id="412"/>
      <w:bookmarkEnd w:id="413"/>
      <w:bookmarkEnd w:id="414"/>
    </w:p>
    <w:p w:rsidR="00000384" w:rsidRPr="00885D52" w:rsidRDefault="00000384" w:rsidP="006A592F">
      <w:r w:rsidRPr="00885D52">
        <w:t>While malignant melanoma of the skin is a common cause of cancer registration, it was not a leading cause of cancer death in 2011.</w:t>
      </w:r>
      <w:r w:rsidRPr="00885D52">
        <w:rPr>
          <w:rStyle w:val="FootnoteReference"/>
        </w:rPr>
        <w:footnoteReference w:id="6"/>
      </w:r>
      <w:r w:rsidRPr="00885D52">
        <w:t xml:space="preserve"> However, male mortality incidence from this condition has been trending upwards since the 1950s.</w:t>
      </w:r>
    </w:p>
    <w:p w:rsidR="00000384" w:rsidRPr="00885D52" w:rsidRDefault="00000384" w:rsidP="006A592F"/>
    <w:p w:rsidR="00000384" w:rsidRPr="00885D52" w:rsidRDefault="00000384" w:rsidP="006A592F">
      <w:r w:rsidRPr="00885D52">
        <w:t>There were 359 deaths from malignant melanoma of the skin in 2011, representing 4.0 percent of total cancer deaths. Two-thirds of those who died from this condition were males (67.7 percent).</w:t>
      </w:r>
    </w:p>
    <w:p w:rsidR="00000384" w:rsidRPr="00885D52" w:rsidRDefault="00000384" w:rsidP="006A592F"/>
    <w:p w:rsidR="00000384" w:rsidRPr="00885D52" w:rsidRDefault="00000384" w:rsidP="006A592F">
      <w:r w:rsidRPr="00885D52">
        <w:t>Table 12 shows numbers and age-standardised mortality rates for malignant melanoma of the skin from 1980 to 2011.</w:t>
      </w:r>
    </w:p>
    <w:p w:rsidR="00000384" w:rsidRPr="00885D52" w:rsidRDefault="00000384" w:rsidP="006A592F"/>
    <w:p w:rsidR="00000384" w:rsidRPr="00885D52" w:rsidRDefault="00000384" w:rsidP="006A592F">
      <w:pPr>
        <w:pStyle w:val="Table"/>
      </w:pPr>
      <w:bookmarkStart w:id="415" w:name="_Ref132175223"/>
      <w:bookmarkStart w:id="416" w:name="_Toc167268861"/>
      <w:bookmarkStart w:id="417" w:name="_Toc236641652"/>
      <w:bookmarkStart w:id="418" w:name="_Toc262631236"/>
      <w:bookmarkStart w:id="419" w:name="_Toc316912729"/>
      <w:bookmarkStart w:id="420" w:name="_Toc352670661"/>
      <w:bookmarkStart w:id="421" w:name="_Toc400536152"/>
      <w:bookmarkStart w:id="422" w:name="_Toc403120557"/>
      <w:r w:rsidRPr="00885D52">
        <w:lastRenderedPageBreak/>
        <w:t>Table 12</w:t>
      </w:r>
      <w:bookmarkEnd w:id="415"/>
      <w:r w:rsidRPr="00885D52">
        <w:t>: Numbers and age-standardised mortality rates from malignant melanoma of the skin, by sex, 1980–20</w:t>
      </w:r>
      <w:bookmarkEnd w:id="416"/>
      <w:bookmarkEnd w:id="417"/>
      <w:bookmarkEnd w:id="418"/>
      <w:bookmarkEnd w:id="419"/>
      <w:r w:rsidRPr="00885D52">
        <w:t>1</w:t>
      </w:r>
      <w:bookmarkEnd w:id="420"/>
      <w:r w:rsidRPr="00885D52">
        <w:t>1</w:t>
      </w:r>
      <w:bookmarkEnd w:id="421"/>
      <w:bookmarkEnd w:id="42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134"/>
        <w:gridCol w:w="1134"/>
        <w:gridCol w:w="1134"/>
        <w:gridCol w:w="1134"/>
        <w:gridCol w:w="1134"/>
        <w:gridCol w:w="1134"/>
      </w:tblGrid>
      <w:tr w:rsidR="00000384" w:rsidRPr="00885D52" w:rsidTr="00663BA1">
        <w:trPr>
          <w:cantSplit/>
        </w:trPr>
        <w:tc>
          <w:tcPr>
            <w:tcW w:w="1134" w:type="dxa"/>
            <w:vMerge w:val="restart"/>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3E56B2">
            <w:pPr>
              <w:pStyle w:val="TableText"/>
              <w:keepNext/>
              <w:jc w:val="center"/>
              <w:rPr>
                <w:b/>
              </w:rPr>
            </w:pPr>
            <w:r w:rsidRPr="00885D52">
              <w:rPr>
                <w:b/>
              </w:rPr>
              <w:t>Year</w:t>
            </w:r>
          </w:p>
        </w:tc>
        <w:tc>
          <w:tcPr>
            <w:tcW w:w="2268"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rsidR="00000384" w:rsidRPr="00885D52" w:rsidRDefault="00000384" w:rsidP="00EA5B00">
            <w:pPr>
              <w:pStyle w:val="TableText"/>
              <w:keepNext/>
              <w:jc w:val="center"/>
              <w:rPr>
                <w:b/>
              </w:rPr>
            </w:pPr>
            <w:r w:rsidRPr="00885D52">
              <w:rPr>
                <w:b/>
              </w:rPr>
              <w:t>Male</w:t>
            </w:r>
          </w:p>
        </w:tc>
        <w:tc>
          <w:tcPr>
            <w:tcW w:w="2268"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tcPr>
          <w:p w:rsidR="00000384" w:rsidRPr="00885D52" w:rsidRDefault="00000384" w:rsidP="00EA5B00">
            <w:pPr>
              <w:pStyle w:val="TableText"/>
              <w:keepNext/>
              <w:jc w:val="center"/>
              <w:rPr>
                <w:b/>
              </w:rPr>
            </w:pPr>
            <w:r w:rsidRPr="00885D52">
              <w:rPr>
                <w:b/>
              </w:rPr>
              <w:t>Female</w:t>
            </w:r>
          </w:p>
        </w:tc>
        <w:tc>
          <w:tcPr>
            <w:tcW w:w="2268" w:type="dxa"/>
            <w:gridSpan w:val="2"/>
            <w:tcBorders>
              <w:top w:val="single" w:sz="4" w:space="0" w:color="auto"/>
              <w:left w:val="single" w:sz="4" w:space="0" w:color="A6A6A6" w:themeColor="background1" w:themeShade="A6"/>
              <w:bottom w:val="single" w:sz="4" w:space="0" w:color="A6A6A6" w:themeColor="background1" w:themeShade="A6"/>
            </w:tcBorders>
          </w:tcPr>
          <w:p w:rsidR="00000384" w:rsidRPr="00885D52" w:rsidRDefault="00000384" w:rsidP="00EA5B00">
            <w:pPr>
              <w:pStyle w:val="TableText"/>
              <w:keepNext/>
              <w:jc w:val="center"/>
              <w:rPr>
                <w:b/>
              </w:rPr>
            </w:pPr>
            <w:r w:rsidRPr="00885D52">
              <w:rPr>
                <w:b/>
              </w:rPr>
              <w:t>Total</w:t>
            </w:r>
          </w:p>
        </w:tc>
      </w:tr>
      <w:tr w:rsidR="00000384" w:rsidRPr="00885D52" w:rsidTr="00663BA1">
        <w:trPr>
          <w:cantSplit/>
        </w:trPr>
        <w:tc>
          <w:tcPr>
            <w:tcW w:w="1134" w:type="dxa"/>
            <w:vMerge/>
            <w:tcBorders>
              <w:top w:val="single" w:sz="4" w:space="0" w:color="auto"/>
              <w:bottom w:val="single" w:sz="4" w:space="0" w:color="auto"/>
              <w:right w:val="single" w:sz="4" w:space="0" w:color="A6A6A6" w:themeColor="background1" w:themeShade="A6"/>
            </w:tcBorders>
            <w:shd w:val="clear" w:color="auto" w:fill="auto"/>
          </w:tcPr>
          <w:p w:rsidR="00000384" w:rsidRPr="00885D52" w:rsidRDefault="00000384" w:rsidP="003E56B2">
            <w:pPr>
              <w:pStyle w:val="TableText"/>
              <w:keepNext/>
              <w:jc w:val="center"/>
            </w:pP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noWrap/>
          </w:tcPr>
          <w:p w:rsidR="00000384" w:rsidRPr="00885D52" w:rsidRDefault="00000384" w:rsidP="00EA5B00">
            <w:pPr>
              <w:pStyle w:val="TableText"/>
              <w:keepNext/>
              <w:jc w:val="center"/>
              <w:rPr>
                <w:b/>
              </w:rPr>
            </w:pPr>
            <w:r w:rsidRPr="00885D52">
              <w:rPr>
                <w:b/>
              </w:rPr>
              <w:t>No.</w:t>
            </w:r>
          </w:p>
        </w:tc>
        <w:tc>
          <w:tcPr>
            <w:tcW w:w="113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auto"/>
            <w:noWrap/>
          </w:tcPr>
          <w:p w:rsidR="00000384" w:rsidRPr="00885D52" w:rsidRDefault="00000384" w:rsidP="00EA5B00">
            <w:pPr>
              <w:pStyle w:val="TableText"/>
              <w:keepNext/>
              <w:jc w:val="center"/>
              <w:rPr>
                <w:b/>
              </w:rPr>
            </w:pPr>
            <w:r w:rsidRPr="00885D52">
              <w:rPr>
                <w:b/>
              </w:rPr>
              <w:t>Rate</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tcPr>
          <w:p w:rsidR="00000384" w:rsidRPr="00885D52" w:rsidRDefault="00000384" w:rsidP="00EA5B00">
            <w:pPr>
              <w:pStyle w:val="TableText"/>
              <w:keepNext/>
              <w:jc w:val="center"/>
              <w:rPr>
                <w:b/>
              </w:rPr>
            </w:pPr>
            <w:r w:rsidRPr="00885D52">
              <w:rPr>
                <w:b/>
              </w:rPr>
              <w:t>No.</w:t>
            </w:r>
          </w:p>
        </w:tc>
        <w:tc>
          <w:tcPr>
            <w:tcW w:w="1134" w:type="dxa"/>
            <w:tcBorders>
              <w:top w:val="single" w:sz="4" w:space="0" w:color="A6A6A6" w:themeColor="background1" w:themeShade="A6"/>
              <w:left w:val="nil"/>
              <w:bottom w:val="single" w:sz="4" w:space="0" w:color="auto"/>
              <w:right w:val="single" w:sz="4" w:space="0" w:color="A6A6A6" w:themeColor="background1" w:themeShade="A6"/>
            </w:tcBorders>
          </w:tcPr>
          <w:p w:rsidR="00000384" w:rsidRPr="00885D52" w:rsidRDefault="00000384" w:rsidP="00EA5B00">
            <w:pPr>
              <w:pStyle w:val="TableText"/>
              <w:keepNext/>
              <w:jc w:val="center"/>
              <w:rPr>
                <w:b/>
              </w:rPr>
            </w:pPr>
            <w:r w:rsidRPr="00885D52">
              <w:rPr>
                <w:b/>
              </w:rPr>
              <w:t>Rate</w:t>
            </w:r>
          </w:p>
        </w:tc>
        <w:tc>
          <w:tcPr>
            <w:tcW w:w="113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auto"/>
            <w:noWrap/>
          </w:tcPr>
          <w:p w:rsidR="00000384" w:rsidRPr="00885D52" w:rsidRDefault="00000384" w:rsidP="00EA5B00">
            <w:pPr>
              <w:pStyle w:val="TableText"/>
              <w:keepNext/>
              <w:jc w:val="center"/>
              <w:rPr>
                <w:b/>
              </w:rPr>
            </w:pPr>
            <w:r w:rsidRPr="00885D52">
              <w:rPr>
                <w:b/>
              </w:rPr>
              <w:t>No.</w:t>
            </w:r>
          </w:p>
        </w:tc>
        <w:tc>
          <w:tcPr>
            <w:tcW w:w="1134" w:type="dxa"/>
            <w:tcBorders>
              <w:top w:val="single" w:sz="4" w:space="0" w:color="A6A6A6" w:themeColor="background1" w:themeShade="A6"/>
              <w:left w:val="nil"/>
              <w:bottom w:val="single" w:sz="4" w:space="0" w:color="auto"/>
            </w:tcBorders>
            <w:shd w:val="clear" w:color="auto" w:fill="auto"/>
            <w:noWrap/>
          </w:tcPr>
          <w:p w:rsidR="00000384" w:rsidRPr="00885D52" w:rsidRDefault="00000384" w:rsidP="00EA5B00">
            <w:pPr>
              <w:pStyle w:val="TableText"/>
              <w:keepNext/>
              <w:jc w:val="center"/>
              <w:rPr>
                <w:b/>
              </w:rPr>
            </w:pPr>
            <w:r w:rsidRPr="00885D52">
              <w:rPr>
                <w:b/>
              </w:rPr>
              <w:t>Rate</w:t>
            </w:r>
          </w:p>
        </w:tc>
      </w:tr>
      <w:tr w:rsidR="00000384" w:rsidRPr="00885D52" w:rsidTr="00663BA1">
        <w:trPr>
          <w:cantSplit/>
        </w:trPr>
        <w:tc>
          <w:tcPr>
            <w:tcW w:w="1134" w:type="dxa"/>
            <w:tcBorders>
              <w:top w:val="single" w:sz="4" w:space="0" w:color="auto"/>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1980</w:t>
            </w:r>
          </w:p>
        </w:tc>
        <w:tc>
          <w:tcPr>
            <w:tcW w:w="1134"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74</w:t>
            </w:r>
          </w:p>
        </w:tc>
        <w:tc>
          <w:tcPr>
            <w:tcW w:w="1134" w:type="dxa"/>
            <w:tcBorders>
              <w:top w:val="single" w:sz="4" w:space="0" w:color="auto"/>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5.1</w:t>
            </w:r>
          </w:p>
        </w:tc>
        <w:tc>
          <w:tcPr>
            <w:tcW w:w="1134"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50</w:t>
            </w:r>
          </w:p>
        </w:tc>
        <w:tc>
          <w:tcPr>
            <w:tcW w:w="1134"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2.9</w:t>
            </w:r>
          </w:p>
        </w:tc>
        <w:tc>
          <w:tcPr>
            <w:tcW w:w="1134"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124</w:t>
            </w:r>
          </w:p>
        </w:tc>
        <w:tc>
          <w:tcPr>
            <w:tcW w:w="1134" w:type="dxa"/>
            <w:tcBorders>
              <w:top w:val="single" w:sz="4" w:space="0" w:color="auto"/>
              <w:left w:val="nil"/>
              <w:bottom w:val="nil"/>
            </w:tcBorders>
            <w:shd w:val="clear" w:color="auto" w:fill="F2F2F2"/>
            <w:noWrap/>
          </w:tcPr>
          <w:p w:rsidR="00000384" w:rsidRPr="00885D52" w:rsidRDefault="00000384" w:rsidP="00EA5B00">
            <w:pPr>
              <w:pStyle w:val="TableText"/>
              <w:keepNext/>
              <w:jc w:val="center"/>
            </w:pPr>
            <w:r w:rsidRPr="00885D52">
              <w:t>3.9</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1981</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74</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5.0</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47</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2.8</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121</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3.8</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1982</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84</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5.5</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57</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141</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4.3</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1983</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80</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4.9</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54</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3.1</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134</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4.0</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90</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5.6</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71</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4.0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161</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4.7</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100</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6.3</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60</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3.2</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160</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4.6</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1986</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88</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5.3</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71</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3.6</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159</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4.4</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1987</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83</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5.0</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67</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150</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4.2</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1988</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101</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5.8</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69</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170</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4.5</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1989</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95</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5.5</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71</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166</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4.4</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115</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6.5</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73</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188</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4.9</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1991</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109</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6.2</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71</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3.4</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180</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4.7</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1992</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99</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5.5</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83</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3.8</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182</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4.5</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1993</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112</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6.0</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82</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194</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4.6</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114</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6.0</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79</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193</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4.6</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126</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6.5</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71</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3.2</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197</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4.6</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1996</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107</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5.3</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87</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3.7</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194</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4.4</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1997</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121</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5.8</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80</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3.2</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201</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4.3</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1998</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143</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6.6</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105</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4.0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248</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5.2</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1999</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146</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6.7</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85</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3.3</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231</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4.8</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155</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7.0</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98</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3.7</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253</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5.2</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2001</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156</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6.7</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88</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3.1</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244</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4.7</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2002</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149</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6.3</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86</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3.1</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235</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4.6</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2003</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174</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7.1</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111</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3.6</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285</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5.2</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keepNext/>
              <w:jc w:val="center"/>
            </w:pPr>
            <w:r w:rsidRPr="00885D52">
              <w:t>2004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tabs>
                <w:tab w:val="decimal" w:pos="567"/>
              </w:tabs>
            </w:pPr>
            <w:r w:rsidRPr="00885D52">
              <w:t>152</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EA5B00">
            <w:pPr>
              <w:pStyle w:val="TableText"/>
              <w:keepNext/>
              <w:jc w:val="center"/>
            </w:pPr>
            <w:r w:rsidRPr="00885D52">
              <w:t>6.1</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EA5B00">
            <w:pPr>
              <w:pStyle w:val="TableText"/>
              <w:keepNext/>
              <w:tabs>
                <w:tab w:val="decimal" w:pos="624"/>
              </w:tabs>
            </w:pPr>
            <w:r w:rsidRPr="00885D52">
              <w:t>97</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EA5B00">
            <w:pPr>
              <w:pStyle w:val="TableText"/>
              <w:keepNext/>
              <w:jc w:val="center"/>
            </w:pPr>
            <w:r w:rsidRPr="00885D52">
              <w:t>3.0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EA5B00">
            <w:pPr>
              <w:pStyle w:val="TableText"/>
              <w:keepNext/>
              <w:jc w:val="center"/>
            </w:pPr>
            <w:r w:rsidRPr="00885D52">
              <w:t>249</w:t>
            </w:r>
          </w:p>
        </w:tc>
        <w:tc>
          <w:tcPr>
            <w:tcW w:w="1134" w:type="dxa"/>
            <w:tcBorders>
              <w:top w:val="nil"/>
              <w:left w:val="nil"/>
              <w:bottom w:val="nil"/>
            </w:tcBorders>
            <w:shd w:val="clear" w:color="auto" w:fill="F2F2F2"/>
            <w:noWrap/>
          </w:tcPr>
          <w:p w:rsidR="00000384" w:rsidRPr="00885D52" w:rsidRDefault="00000384" w:rsidP="00EA5B00">
            <w:pPr>
              <w:pStyle w:val="TableText"/>
              <w:keepNext/>
              <w:jc w:val="center"/>
            </w:pPr>
            <w:r w:rsidRPr="00885D52">
              <w:t>4.4</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keepNext/>
              <w:jc w:val="center"/>
            </w:pPr>
            <w:r w:rsidRPr="00885D52">
              <w:t>2005</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tabs>
                <w:tab w:val="decimal" w:pos="567"/>
              </w:tabs>
            </w:pPr>
            <w:r w:rsidRPr="00885D52">
              <w:t>156</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EA5B00">
            <w:pPr>
              <w:pStyle w:val="TableText"/>
              <w:keepNext/>
              <w:jc w:val="center"/>
            </w:pPr>
            <w:r w:rsidRPr="00885D52">
              <w:t>6.1</w:t>
            </w:r>
          </w:p>
        </w:tc>
        <w:tc>
          <w:tcPr>
            <w:tcW w:w="1134" w:type="dxa"/>
            <w:tcBorders>
              <w:top w:val="nil"/>
              <w:left w:val="single" w:sz="4" w:space="0" w:color="A6A6A6" w:themeColor="background1" w:themeShade="A6"/>
              <w:bottom w:val="nil"/>
              <w:right w:val="nil"/>
            </w:tcBorders>
          </w:tcPr>
          <w:p w:rsidR="00000384" w:rsidRPr="00885D52" w:rsidRDefault="00000384" w:rsidP="00EA5B00">
            <w:pPr>
              <w:pStyle w:val="TableText"/>
              <w:keepNext/>
              <w:tabs>
                <w:tab w:val="decimal" w:pos="624"/>
              </w:tabs>
            </w:pPr>
            <w:r w:rsidRPr="00885D52">
              <w:t>113</w:t>
            </w:r>
          </w:p>
        </w:tc>
        <w:tc>
          <w:tcPr>
            <w:tcW w:w="1134" w:type="dxa"/>
            <w:tcBorders>
              <w:top w:val="nil"/>
              <w:left w:val="nil"/>
              <w:bottom w:val="nil"/>
              <w:right w:val="single" w:sz="4" w:space="0" w:color="A6A6A6" w:themeColor="background1" w:themeShade="A6"/>
            </w:tcBorders>
          </w:tcPr>
          <w:p w:rsidR="00000384" w:rsidRPr="00885D52" w:rsidRDefault="00000384" w:rsidP="00EA5B00">
            <w:pPr>
              <w:pStyle w:val="TableText"/>
              <w:keepNext/>
              <w:jc w:val="center"/>
            </w:pPr>
            <w:r w:rsidRPr="00885D52">
              <w:t>3.7</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EA5B00">
            <w:pPr>
              <w:pStyle w:val="TableText"/>
              <w:keepNext/>
              <w:jc w:val="center"/>
            </w:pPr>
            <w:r w:rsidRPr="00885D52">
              <w:t>269</w:t>
            </w:r>
          </w:p>
        </w:tc>
        <w:tc>
          <w:tcPr>
            <w:tcW w:w="1134" w:type="dxa"/>
            <w:tcBorders>
              <w:top w:val="nil"/>
              <w:left w:val="nil"/>
              <w:bottom w:val="nil"/>
            </w:tcBorders>
            <w:shd w:val="clear" w:color="auto" w:fill="auto"/>
            <w:noWrap/>
          </w:tcPr>
          <w:p w:rsidR="00000384" w:rsidRPr="00885D52" w:rsidRDefault="00000384" w:rsidP="00EA5B00">
            <w:pPr>
              <w:pStyle w:val="TableText"/>
              <w:keepNext/>
              <w:jc w:val="center"/>
            </w:pPr>
            <w:r w:rsidRPr="00885D52">
              <w:t>4.8</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jc w:val="center"/>
            </w:pPr>
            <w:r w:rsidRPr="00885D52">
              <w:t>2006</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63BA1">
            <w:pPr>
              <w:pStyle w:val="TableText"/>
              <w:tabs>
                <w:tab w:val="decimal" w:pos="567"/>
              </w:tabs>
            </w:pPr>
            <w:r w:rsidRPr="00885D52">
              <w:t>173</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6A592F">
            <w:pPr>
              <w:pStyle w:val="TableText"/>
              <w:jc w:val="center"/>
            </w:pPr>
            <w:r w:rsidRPr="00885D52">
              <w:t>6.4</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663BA1">
            <w:pPr>
              <w:pStyle w:val="TableText"/>
              <w:tabs>
                <w:tab w:val="decimal" w:pos="624"/>
              </w:tabs>
            </w:pPr>
            <w:r w:rsidRPr="00885D52">
              <w:t>114</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6A592F">
            <w:pPr>
              <w:pStyle w:val="TableText"/>
              <w:jc w:val="center"/>
            </w:pPr>
            <w:r w:rsidRPr="00885D52">
              <w:t>3.4</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A592F">
            <w:pPr>
              <w:pStyle w:val="TableText"/>
              <w:jc w:val="center"/>
            </w:pPr>
            <w:r w:rsidRPr="00885D52">
              <w:t>287</w:t>
            </w:r>
          </w:p>
        </w:tc>
        <w:tc>
          <w:tcPr>
            <w:tcW w:w="1134" w:type="dxa"/>
            <w:tcBorders>
              <w:top w:val="nil"/>
              <w:left w:val="nil"/>
              <w:bottom w:val="nil"/>
            </w:tcBorders>
            <w:shd w:val="clear" w:color="auto" w:fill="F2F2F2"/>
            <w:noWrap/>
          </w:tcPr>
          <w:p w:rsidR="00000384" w:rsidRPr="00885D52" w:rsidRDefault="00000384" w:rsidP="006A592F">
            <w:pPr>
              <w:pStyle w:val="TableText"/>
              <w:jc w:val="center"/>
            </w:pPr>
            <w:r w:rsidRPr="00885D52">
              <w:t>4.7</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jc w:val="center"/>
            </w:pPr>
            <w:r w:rsidRPr="00885D52">
              <w:t>2007</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663BA1">
            <w:pPr>
              <w:pStyle w:val="TableText"/>
              <w:tabs>
                <w:tab w:val="decimal" w:pos="567"/>
              </w:tabs>
            </w:pPr>
            <w:r w:rsidRPr="00885D52">
              <w:t>178</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6A592F">
            <w:pPr>
              <w:pStyle w:val="TableText"/>
              <w:jc w:val="center"/>
            </w:pPr>
            <w:r w:rsidRPr="00885D52">
              <w:t>6.4</w:t>
            </w:r>
          </w:p>
        </w:tc>
        <w:tc>
          <w:tcPr>
            <w:tcW w:w="1134" w:type="dxa"/>
            <w:tcBorders>
              <w:top w:val="nil"/>
              <w:left w:val="single" w:sz="4" w:space="0" w:color="A6A6A6" w:themeColor="background1" w:themeShade="A6"/>
              <w:bottom w:val="nil"/>
              <w:right w:val="nil"/>
            </w:tcBorders>
          </w:tcPr>
          <w:p w:rsidR="00000384" w:rsidRPr="00885D52" w:rsidRDefault="00000384" w:rsidP="00663BA1">
            <w:pPr>
              <w:pStyle w:val="TableText"/>
              <w:tabs>
                <w:tab w:val="decimal" w:pos="624"/>
              </w:tabs>
            </w:pPr>
            <w:r w:rsidRPr="00885D52">
              <w:t>114</w:t>
            </w:r>
          </w:p>
        </w:tc>
        <w:tc>
          <w:tcPr>
            <w:tcW w:w="1134" w:type="dxa"/>
            <w:tcBorders>
              <w:top w:val="nil"/>
              <w:left w:val="nil"/>
              <w:bottom w:val="nil"/>
              <w:right w:val="single" w:sz="4" w:space="0" w:color="A6A6A6" w:themeColor="background1" w:themeShade="A6"/>
            </w:tcBorders>
          </w:tcPr>
          <w:p w:rsidR="00000384" w:rsidRPr="00885D52" w:rsidRDefault="00000384" w:rsidP="006A592F">
            <w:pPr>
              <w:pStyle w:val="TableText"/>
              <w:jc w:val="center"/>
            </w:pPr>
            <w:r w:rsidRPr="00885D52">
              <w:t>3.4</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6A592F">
            <w:pPr>
              <w:pStyle w:val="TableText"/>
              <w:jc w:val="center"/>
            </w:pPr>
            <w:r w:rsidRPr="00885D52">
              <w:t>292</w:t>
            </w:r>
          </w:p>
        </w:tc>
        <w:tc>
          <w:tcPr>
            <w:tcW w:w="1134" w:type="dxa"/>
            <w:tcBorders>
              <w:top w:val="nil"/>
              <w:left w:val="nil"/>
              <w:bottom w:val="nil"/>
            </w:tcBorders>
            <w:shd w:val="clear" w:color="auto" w:fill="auto"/>
            <w:noWrap/>
          </w:tcPr>
          <w:p w:rsidR="00000384" w:rsidRPr="00885D52" w:rsidRDefault="00000384" w:rsidP="006A592F">
            <w:pPr>
              <w:pStyle w:val="TableText"/>
              <w:jc w:val="center"/>
            </w:pPr>
            <w:r w:rsidRPr="00885D52">
              <w:t>4.8</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jc w:val="center"/>
            </w:pPr>
            <w:r w:rsidRPr="00885D52">
              <w:t>2008</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63BA1">
            <w:pPr>
              <w:pStyle w:val="TableText"/>
              <w:tabs>
                <w:tab w:val="decimal" w:pos="567"/>
              </w:tabs>
            </w:pPr>
            <w:r w:rsidRPr="00885D52">
              <w:t>202</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6A592F">
            <w:pPr>
              <w:pStyle w:val="TableText"/>
              <w:jc w:val="center"/>
            </w:pPr>
            <w:r w:rsidRPr="00885D52">
              <w:t>7.2</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663BA1">
            <w:pPr>
              <w:pStyle w:val="TableText"/>
              <w:tabs>
                <w:tab w:val="decimal" w:pos="624"/>
              </w:tabs>
            </w:pPr>
            <w:r w:rsidRPr="00885D52">
              <w:t>115</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6A592F">
            <w:pPr>
              <w:pStyle w:val="TableText"/>
              <w:jc w:val="center"/>
            </w:pPr>
            <w:r w:rsidRPr="00885D52">
              <w:t>3.2</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A592F">
            <w:pPr>
              <w:pStyle w:val="TableText"/>
              <w:jc w:val="center"/>
            </w:pPr>
            <w:r w:rsidRPr="00885D52">
              <w:t>317</w:t>
            </w:r>
          </w:p>
        </w:tc>
        <w:tc>
          <w:tcPr>
            <w:tcW w:w="1134" w:type="dxa"/>
            <w:tcBorders>
              <w:top w:val="nil"/>
              <w:left w:val="nil"/>
              <w:bottom w:val="nil"/>
            </w:tcBorders>
            <w:shd w:val="clear" w:color="auto" w:fill="F2F2F2"/>
            <w:noWrap/>
          </w:tcPr>
          <w:p w:rsidR="00000384" w:rsidRPr="00885D52" w:rsidRDefault="00000384" w:rsidP="006A592F">
            <w:pPr>
              <w:pStyle w:val="TableText"/>
              <w:jc w:val="center"/>
            </w:pPr>
            <w:r w:rsidRPr="00885D52">
              <w:t>5.1</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auto"/>
            <w:noWrap/>
          </w:tcPr>
          <w:p w:rsidR="00000384" w:rsidRPr="00885D52" w:rsidRDefault="00000384" w:rsidP="003E56B2">
            <w:pPr>
              <w:pStyle w:val="TableText"/>
              <w:jc w:val="center"/>
            </w:pPr>
            <w:r w:rsidRPr="00885D52">
              <w:t>2009</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663BA1">
            <w:pPr>
              <w:pStyle w:val="TableText"/>
              <w:tabs>
                <w:tab w:val="decimal" w:pos="567"/>
              </w:tabs>
            </w:pPr>
            <w:r w:rsidRPr="00885D52">
              <w:t>213</w:t>
            </w:r>
          </w:p>
        </w:tc>
        <w:tc>
          <w:tcPr>
            <w:tcW w:w="1134" w:type="dxa"/>
            <w:tcBorders>
              <w:top w:val="nil"/>
              <w:left w:val="nil"/>
              <w:bottom w:val="nil"/>
              <w:right w:val="single" w:sz="4" w:space="0" w:color="A6A6A6" w:themeColor="background1" w:themeShade="A6"/>
            </w:tcBorders>
            <w:shd w:val="clear" w:color="auto" w:fill="auto"/>
            <w:noWrap/>
          </w:tcPr>
          <w:p w:rsidR="00000384" w:rsidRPr="00885D52" w:rsidRDefault="00000384" w:rsidP="006A592F">
            <w:pPr>
              <w:pStyle w:val="TableText"/>
              <w:jc w:val="center"/>
            </w:pPr>
            <w:r w:rsidRPr="00885D52">
              <w:t>7.2</w:t>
            </w:r>
          </w:p>
        </w:tc>
        <w:tc>
          <w:tcPr>
            <w:tcW w:w="1134" w:type="dxa"/>
            <w:tcBorders>
              <w:top w:val="nil"/>
              <w:left w:val="single" w:sz="4" w:space="0" w:color="A6A6A6" w:themeColor="background1" w:themeShade="A6"/>
              <w:bottom w:val="nil"/>
              <w:right w:val="nil"/>
            </w:tcBorders>
          </w:tcPr>
          <w:p w:rsidR="00000384" w:rsidRPr="00885D52" w:rsidRDefault="00000384" w:rsidP="00663BA1">
            <w:pPr>
              <w:pStyle w:val="TableText"/>
              <w:tabs>
                <w:tab w:val="decimal" w:pos="624"/>
              </w:tabs>
            </w:pPr>
            <w:r w:rsidRPr="00885D52">
              <w:t>113</w:t>
            </w:r>
          </w:p>
        </w:tc>
        <w:tc>
          <w:tcPr>
            <w:tcW w:w="1134" w:type="dxa"/>
            <w:tcBorders>
              <w:top w:val="nil"/>
              <w:left w:val="nil"/>
              <w:bottom w:val="nil"/>
              <w:right w:val="single" w:sz="4" w:space="0" w:color="A6A6A6" w:themeColor="background1" w:themeShade="A6"/>
            </w:tcBorders>
          </w:tcPr>
          <w:p w:rsidR="00000384" w:rsidRPr="00885D52" w:rsidRDefault="00000384" w:rsidP="006A592F">
            <w:pPr>
              <w:pStyle w:val="TableText"/>
              <w:jc w:val="center"/>
            </w:pPr>
            <w:r w:rsidRPr="00885D52">
              <w:t>3.3</w:t>
            </w:r>
          </w:p>
        </w:tc>
        <w:tc>
          <w:tcPr>
            <w:tcW w:w="1134" w:type="dxa"/>
            <w:tcBorders>
              <w:top w:val="nil"/>
              <w:left w:val="single" w:sz="4" w:space="0" w:color="A6A6A6" w:themeColor="background1" w:themeShade="A6"/>
              <w:bottom w:val="nil"/>
              <w:right w:val="nil"/>
            </w:tcBorders>
            <w:shd w:val="clear" w:color="auto" w:fill="auto"/>
            <w:noWrap/>
          </w:tcPr>
          <w:p w:rsidR="00000384" w:rsidRPr="00885D52" w:rsidRDefault="00000384" w:rsidP="006A592F">
            <w:pPr>
              <w:pStyle w:val="TableText"/>
              <w:jc w:val="center"/>
            </w:pPr>
            <w:r w:rsidRPr="00885D52">
              <w:t>326</w:t>
            </w:r>
          </w:p>
        </w:tc>
        <w:tc>
          <w:tcPr>
            <w:tcW w:w="1134" w:type="dxa"/>
            <w:tcBorders>
              <w:top w:val="nil"/>
              <w:left w:val="nil"/>
              <w:bottom w:val="nil"/>
            </w:tcBorders>
            <w:shd w:val="clear" w:color="auto" w:fill="auto"/>
            <w:noWrap/>
          </w:tcPr>
          <w:p w:rsidR="00000384" w:rsidRPr="00885D52" w:rsidRDefault="00000384" w:rsidP="006A592F">
            <w:pPr>
              <w:pStyle w:val="TableText"/>
              <w:jc w:val="center"/>
            </w:pPr>
            <w:r w:rsidRPr="00885D52">
              <w:t>5.1</w:t>
            </w:r>
          </w:p>
        </w:tc>
      </w:tr>
      <w:tr w:rsidR="00000384" w:rsidRPr="00885D52" w:rsidTr="00663BA1">
        <w:trPr>
          <w:cantSplit/>
        </w:trPr>
        <w:tc>
          <w:tcPr>
            <w:tcW w:w="1134" w:type="dxa"/>
            <w:tcBorders>
              <w:top w:val="nil"/>
              <w:bottom w:val="nil"/>
              <w:right w:val="single" w:sz="4" w:space="0" w:color="A6A6A6" w:themeColor="background1" w:themeShade="A6"/>
            </w:tcBorders>
            <w:shd w:val="clear" w:color="auto" w:fill="F2F2F2"/>
            <w:noWrap/>
          </w:tcPr>
          <w:p w:rsidR="00000384" w:rsidRPr="00885D52" w:rsidRDefault="00000384" w:rsidP="003E56B2">
            <w:pPr>
              <w:pStyle w:val="TableText"/>
              <w:jc w:val="center"/>
            </w:pPr>
            <w:r w:rsidRPr="00885D52">
              <w:t>2010</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63BA1">
            <w:pPr>
              <w:pStyle w:val="TableText"/>
              <w:tabs>
                <w:tab w:val="decimal" w:pos="567"/>
              </w:tabs>
            </w:pPr>
            <w:r w:rsidRPr="00885D52">
              <w:t>199</w:t>
            </w:r>
          </w:p>
        </w:tc>
        <w:tc>
          <w:tcPr>
            <w:tcW w:w="1134" w:type="dxa"/>
            <w:tcBorders>
              <w:top w:val="nil"/>
              <w:left w:val="nil"/>
              <w:bottom w:val="nil"/>
              <w:right w:val="single" w:sz="4" w:space="0" w:color="A6A6A6" w:themeColor="background1" w:themeShade="A6"/>
            </w:tcBorders>
            <w:shd w:val="clear" w:color="auto" w:fill="F2F2F2"/>
            <w:noWrap/>
          </w:tcPr>
          <w:p w:rsidR="00000384" w:rsidRPr="00885D52" w:rsidRDefault="00000384" w:rsidP="006A592F">
            <w:pPr>
              <w:pStyle w:val="TableText"/>
              <w:jc w:val="center"/>
            </w:pPr>
            <w:r w:rsidRPr="00885D52">
              <w:t>6.5</w:t>
            </w:r>
          </w:p>
        </w:tc>
        <w:tc>
          <w:tcPr>
            <w:tcW w:w="1134" w:type="dxa"/>
            <w:tcBorders>
              <w:top w:val="nil"/>
              <w:left w:val="single" w:sz="4" w:space="0" w:color="A6A6A6" w:themeColor="background1" w:themeShade="A6"/>
              <w:bottom w:val="nil"/>
              <w:right w:val="nil"/>
            </w:tcBorders>
            <w:shd w:val="clear" w:color="auto" w:fill="F2F2F2"/>
          </w:tcPr>
          <w:p w:rsidR="00000384" w:rsidRPr="00885D52" w:rsidRDefault="00000384" w:rsidP="00663BA1">
            <w:pPr>
              <w:pStyle w:val="TableText"/>
              <w:tabs>
                <w:tab w:val="decimal" w:pos="624"/>
              </w:tabs>
            </w:pPr>
            <w:r w:rsidRPr="00885D52">
              <w:t>125</w:t>
            </w:r>
          </w:p>
        </w:tc>
        <w:tc>
          <w:tcPr>
            <w:tcW w:w="1134" w:type="dxa"/>
            <w:tcBorders>
              <w:top w:val="nil"/>
              <w:left w:val="nil"/>
              <w:bottom w:val="nil"/>
              <w:right w:val="single" w:sz="4" w:space="0" w:color="A6A6A6" w:themeColor="background1" w:themeShade="A6"/>
            </w:tcBorders>
            <w:shd w:val="clear" w:color="auto" w:fill="F2F2F2"/>
          </w:tcPr>
          <w:p w:rsidR="00000384" w:rsidRPr="00885D52" w:rsidRDefault="00000384" w:rsidP="006A592F">
            <w:pPr>
              <w:pStyle w:val="TableText"/>
              <w:jc w:val="center"/>
            </w:pPr>
            <w:r w:rsidRPr="00885D52">
              <w:t>3.5</w:t>
            </w:r>
          </w:p>
        </w:tc>
        <w:tc>
          <w:tcPr>
            <w:tcW w:w="1134" w:type="dxa"/>
            <w:tcBorders>
              <w:top w:val="nil"/>
              <w:left w:val="single" w:sz="4" w:space="0" w:color="A6A6A6" w:themeColor="background1" w:themeShade="A6"/>
              <w:bottom w:val="nil"/>
              <w:right w:val="nil"/>
            </w:tcBorders>
            <w:shd w:val="clear" w:color="auto" w:fill="F2F2F2"/>
            <w:noWrap/>
          </w:tcPr>
          <w:p w:rsidR="00000384" w:rsidRPr="00885D52" w:rsidRDefault="00000384" w:rsidP="006A592F">
            <w:pPr>
              <w:pStyle w:val="TableText"/>
              <w:jc w:val="center"/>
            </w:pPr>
            <w:r w:rsidRPr="00885D52">
              <w:t>324</w:t>
            </w:r>
          </w:p>
        </w:tc>
        <w:tc>
          <w:tcPr>
            <w:tcW w:w="1134" w:type="dxa"/>
            <w:tcBorders>
              <w:top w:val="nil"/>
              <w:left w:val="nil"/>
              <w:bottom w:val="nil"/>
            </w:tcBorders>
            <w:shd w:val="clear" w:color="auto" w:fill="F2F2F2"/>
            <w:noWrap/>
          </w:tcPr>
          <w:p w:rsidR="00000384" w:rsidRPr="00885D52" w:rsidRDefault="00000384" w:rsidP="006A592F">
            <w:pPr>
              <w:pStyle w:val="TableText"/>
              <w:jc w:val="center"/>
            </w:pPr>
            <w:r w:rsidRPr="00885D52">
              <w:t>4.9</w:t>
            </w:r>
          </w:p>
        </w:tc>
      </w:tr>
      <w:tr w:rsidR="00000384" w:rsidRPr="00885D52" w:rsidTr="00663BA1">
        <w:trPr>
          <w:cantSplit/>
        </w:trPr>
        <w:tc>
          <w:tcPr>
            <w:tcW w:w="1134"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3E56B2">
            <w:pPr>
              <w:pStyle w:val="TableText"/>
              <w:jc w:val="center"/>
            </w:pPr>
            <w:r w:rsidRPr="00885D52">
              <w:t>2011</w:t>
            </w:r>
          </w:p>
        </w:tc>
        <w:tc>
          <w:tcPr>
            <w:tcW w:w="1134"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663BA1">
            <w:pPr>
              <w:pStyle w:val="TableText"/>
              <w:tabs>
                <w:tab w:val="decimal" w:pos="567"/>
              </w:tabs>
            </w:pPr>
            <w:r w:rsidRPr="00885D52">
              <w:t>243</w:t>
            </w:r>
          </w:p>
        </w:tc>
        <w:tc>
          <w:tcPr>
            <w:tcW w:w="1134" w:type="dxa"/>
            <w:tcBorders>
              <w:top w:val="nil"/>
              <w:left w:val="nil"/>
              <w:bottom w:val="single" w:sz="4" w:space="0" w:color="auto"/>
              <w:right w:val="single" w:sz="4" w:space="0" w:color="A6A6A6" w:themeColor="background1" w:themeShade="A6"/>
            </w:tcBorders>
            <w:shd w:val="clear" w:color="auto" w:fill="auto"/>
            <w:noWrap/>
          </w:tcPr>
          <w:p w:rsidR="00000384" w:rsidRPr="00885D52" w:rsidRDefault="00000384" w:rsidP="006A592F">
            <w:pPr>
              <w:pStyle w:val="TableText"/>
              <w:jc w:val="center"/>
            </w:pPr>
            <w:r w:rsidRPr="00885D52">
              <w:t>7.8</w:t>
            </w:r>
          </w:p>
        </w:tc>
        <w:tc>
          <w:tcPr>
            <w:tcW w:w="1134" w:type="dxa"/>
            <w:tcBorders>
              <w:top w:val="nil"/>
              <w:left w:val="single" w:sz="4" w:space="0" w:color="A6A6A6" w:themeColor="background1" w:themeShade="A6"/>
              <w:bottom w:val="single" w:sz="4" w:space="0" w:color="auto"/>
              <w:right w:val="nil"/>
            </w:tcBorders>
          </w:tcPr>
          <w:p w:rsidR="00000384" w:rsidRPr="00885D52" w:rsidRDefault="00000384" w:rsidP="00663BA1">
            <w:pPr>
              <w:pStyle w:val="TableText"/>
              <w:tabs>
                <w:tab w:val="decimal" w:pos="624"/>
              </w:tabs>
            </w:pPr>
            <w:r w:rsidRPr="00885D52">
              <w:t>116</w:t>
            </w:r>
          </w:p>
        </w:tc>
        <w:tc>
          <w:tcPr>
            <w:tcW w:w="1134" w:type="dxa"/>
            <w:tcBorders>
              <w:top w:val="nil"/>
              <w:left w:val="nil"/>
              <w:bottom w:val="single" w:sz="4" w:space="0" w:color="auto"/>
              <w:right w:val="single" w:sz="4" w:space="0" w:color="A6A6A6" w:themeColor="background1" w:themeShade="A6"/>
            </w:tcBorders>
          </w:tcPr>
          <w:p w:rsidR="00000384" w:rsidRPr="00885D52" w:rsidRDefault="00000384" w:rsidP="006A592F">
            <w:pPr>
              <w:pStyle w:val="TableText"/>
              <w:jc w:val="center"/>
            </w:pPr>
            <w:r w:rsidRPr="00885D52">
              <w:t>3.2</w:t>
            </w:r>
          </w:p>
        </w:tc>
        <w:tc>
          <w:tcPr>
            <w:tcW w:w="1134"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6A592F">
            <w:pPr>
              <w:pStyle w:val="TableText"/>
              <w:jc w:val="center"/>
            </w:pPr>
            <w:r w:rsidRPr="00885D52">
              <w:t>359</w:t>
            </w:r>
          </w:p>
        </w:tc>
        <w:tc>
          <w:tcPr>
            <w:tcW w:w="1134" w:type="dxa"/>
            <w:tcBorders>
              <w:top w:val="nil"/>
              <w:left w:val="nil"/>
              <w:bottom w:val="single" w:sz="4" w:space="0" w:color="auto"/>
            </w:tcBorders>
            <w:shd w:val="clear" w:color="auto" w:fill="auto"/>
            <w:noWrap/>
          </w:tcPr>
          <w:p w:rsidR="00000384" w:rsidRPr="00885D52" w:rsidRDefault="00000384" w:rsidP="006A592F">
            <w:pPr>
              <w:pStyle w:val="TableText"/>
              <w:jc w:val="center"/>
            </w:pPr>
            <w:r w:rsidRPr="00885D52">
              <w:t>5.3</w:t>
            </w:r>
          </w:p>
        </w:tc>
      </w:tr>
    </w:tbl>
    <w:p w:rsidR="00000384" w:rsidRPr="00885D52" w:rsidRDefault="00000384" w:rsidP="00663BA1">
      <w:pPr>
        <w:pStyle w:val="Note"/>
      </w:pPr>
      <w:r w:rsidRPr="00885D52">
        <w:t>Note: Rates per 100,000 population, age-standardised to WHO World Standard Population.</w:t>
      </w:r>
    </w:p>
    <w:p w:rsidR="00000384" w:rsidRPr="00885D52" w:rsidRDefault="00000384" w:rsidP="00663BA1"/>
    <w:p w:rsidR="00000384" w:rsidRPr="00885D52" w:rsidRDefault="00000384" w:rsidP="00003789">
      <w:pPr>
        <w:keepNext/>
      </w:pPr>
      <w:r w:rsidRPr="00885D52">
        <w:t xml:space="preserve">Figure 20 shows numbers of deaths from melanoma and the associated mortality rate for each sex. The age-standardised mortality rate for males from malignant melanoma of the skin showed an upward trend between 1950 and 2011. The mortality rate for females diverged from the male rate in the late 1970s, and after that time remained relatively level, oscillating at </w:t>
      </w:r>
      <w:r w:rsidRPr="00885D52">
        <w:lastRenderedPageBreak/>
        <w:t>around three to four deaths per 100,000 female population. In 2011 the rate for males was almost 2.5 times the rate for females.</w:t>
      </w:r>
    </w:p>
    <w:p w:rsidR="00000384" w:rsidRPr="00885D52" w:rsidRDefault="00000384" w:rsidP="00003789">
      <w:pPr>
        <w:keepNext/>
      </w:pPr>
    </w:p>
    <w:p w:rsidR="00000384" w:rsidRPr="00885D52" w:rsidRDefault="00000384" w:rsidP="00663BA1">
      <w:pPr>
        <w:pStyle w:val="Figure"/>
        <w:rPr>
          <w:noProof/>
        </w:rPr>
      </w:pPr>
      <w:bookmarkStart w:id="423" w:name="_Toc352670687"/>
      <w:bookmarkStart w:id="424" w:name="_Toc400536119"/>
      <w:bookmarkStart w:id="425" w:name="_Toc403120594"/>
      <w:r w:rsidRPr="00885D52">
        <w:t xml:space="preserve">Figure 20: Numbers and age-standardised mortality </w:t>
      </w:r>
      <w:r w:rsidRPr="00885D52">
        <w:rPr>
          <w:noProof/>
        </w:rPr>
        <w:t>rates from malignant melanoma of the skin, by sex, 1950–201</w:t>
      </w:r>
      <w:bookmarkEnd w:id="423"/>
      <w:r w:rsidRPr="00885D52">
        <w:rPr>
          <w:noProof/>
        </w:rPr>
        <w:t>1</w:t>
      </w:r>
      <w:bookmarkEnd w:id="424"/>
      <w:bookmarkEnd w:id="425"/>
    </w:p>
    <w:p w:rsidR="00000384" w:rsidRPr="00885D52" w:rsidRDefault="00E34B87" w:rsidP="00E34B87">
      <w:r w:rsidRPr="00885D52">
        <w:rPr>
          <w:noProof/>
          <w:lang w:eastAsia="en-NZ"/>
        </w:rPr>
        <w:drawing>
          <wp:inline distT="0" distB="0" distL="0" distR="0" wp14:anchorId="0C68C88F" wp14:editId="2AE2CB26">
            <wp:extent cx="5029200" cy="3064803"/>
            <wp:effectExtent l="0" t="0" r="0" b="2540"/>
            <wp:docPr id="11" name="Picture 11" title="Figure 20: Numbers and age-standardised mortality rates from malignant melanoma of the skin,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4858" cy="3068251"/>
                    </a:xfrm>
                    <a:prstGeom prst="rect">
                      <a:avLst/>
                    </a:prstGeom>
                  </pic:spPr>
                </pic:pic>
              </a:graphicData>
            </a:graphic>
          </wp:inline>
        </w:drawing>
      </w:r>
    </w:p>
    <w:p w:rsidR="00000384" w:rsidRPr="00885D52" w:rsidRDefault="00000384" w:rsidP="00000384">
      <w:pPr>
        <w:pStyle w:val="Note"/>
      </w:pPr>
      <w:r w:rsidRPr="00885D52">
        <w:t>Note: Rates per 100,000 population, age-standardised to WHO World Standard Population.</w:t>
      </w:r>
    </w:p>
    <w:p w:rsidR="00000384" w:rsidRPr="00885D52" w:rsidRDefault="00000384" w:rsidP="00E34B87"/>
    <w:p w:rsidR="008D5D23" w:rsidRPr="00885D52" w:rsidRDefault="00000384" w:rsidP="00E34B87">
      <w:r w:rsidRPr="00885D52">
        <w:t>Table 13 shows the 2011 percentage distribution of deaths and age-specific mortality rates from melanoma of the skin for four age groupings for Māori and non-Māori. Melanoma is uncommon among Māori; in 2011 there were four Māori deaths from melanoma of the skin.</w:t>
      </w:r>
    </w:p>
    <w:p w:rsidR="00000384" w:rsidRPr="00885D52" w:rsidRDefault="00000384" w:rsidP="00E34B87"/>
    <w:p w:rsidR="00000384" w:rsidRPr="00885D52" w:rsidRDefault="00000384" w:rsidP="00E34B87">
      <w:pPr>
        <w:pStyle w:val="Table"/>
      </w:pPr>
      <w:bookmarkStart w:id="426" w:name="_Ref208128551"/>
      <w:bookmarkStart w:id="427" w:name="_Toc236641653"/>
      <w:bookmarkStart w:id="428" w:name="_Toc262631237"/>
      <w:bookmarkStart w:id="429" w:name="_Toc316912730"/>
      <w:bookmarkStart w:id="430" w:name="_Toc352670662"/>
      <w:bookmarkStart w:id="431" w:name="_Toc400536153"/>
      <w:bookmarkStart w:id="432" w:name="_Toc403120558"/>
      <w:r w:rsidRPr="00885D52">
        <w:t>Table 13:</w:t>
      </w:r>
      <w:bookmarkEnd w:id="426"/>
      <w:r w:rsidRPr="00885D52">
        <w:t xml:space="preserve"> </w:t>
      </w:r>
      <w:bookmarkEnd w:id="427"/>
      <w:bookmarkEnd w:id="428"/>
      <w:r w:rsidRPr="00885D52">
        <w:t xml:space="preserve">Age distribution of deaths from malignant melanoma of the skin, percentages </w:t>
      </w:r>
      <w:r w:rsidRPr="00885D52">
        <w:rPr>
          <w:noProof/>
        </w:rPr>
        <w:t>and age-specific rates</w:t>
      </w:r>
      <w:r w:rsidRPr="00885D52">
        <w:t>, by ethnicity and sex, 20</w:t>
      </w:r>
      <w:bookmarkEnd w:id="429"/>
      <w:r w:rsidRPr="00885D52">
        <w:t>1</w:t>
      </w:r>
      <w:bookmarkEnd w:id="430"/>
      <w:r w:rsidRPr="00885D52">
        <w:t>1</w:t>
      </w:r>
      <w:bookmarkEnd w:id="431"/>
      <w:bookmarkEnd w:id="432"/>
    </w:p>
    <w:tbl>
      <w:tblPr>
        <w:tblW w:w="4971" w:type="pct"/>
        <w:tblInd w:w="28" w:type="dxa"/>
        <w:tblLayout w:type="fixed"/>
        <w:tblCellMar>
          <w:left w:w="28" w:type="dxa"/>
          <w:right w:w="28" w:type="dxa"/>
        </w:tblCellMar>
        <w:tblLook w:val="04A0" w:firstRow="1" w:lastRow="0" w:firstColumn="1" w:lastColumn="0" w:noHBand="0" w:noVBand="1"/>
      </w:tblPr>
      <w:tblGrid>
        <w:gridCol w:w="717"/>
        <w:gridCol w:w="717"/>
        <w:gridCol w:w="716"/>
        <w:gridCol w:w="727"/>
        <w:gridCol w:w="716"/>
        <w:gridCol w:w="716"/>
        <w:gridCol w:w="716"/>
        <w:gridCol w:w="716"/>
        <w:gridCol w:w="716"/>
        <w:gridCol w:w="716"/>
        <w:gridCol w:w="716"/>
        <w:gridCol w:w="716"/>
        <w:gridCol w:w="696"/>
      </w:tblGrid>
      <w:tr w:rsidR="00000384" w:rsidRPr="00885D52" w:rsidTr="007E73A8">
        <w:trPr>
          <w:cantSplit/>
        </w:trPr>
        <w:tc>
          <w:tcPr>
            <w:tcW w:w="385" w:type="pct"/>
            <w:vMerge w:val="restart"/>
            <w:tcBorders>
              <w:top w:val="single" w:sz="4" w:space="0" w:color="auto"/>
              <w:bottom w:val="single" w:sz="4" w:space="0" w:color="auto"/>
              <w:right w:val="single" w:sz="4" w:space="0" w:color="auto"/>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2316"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2299" w:type="pct"/>
            <w:gridSpan w:val="6"/>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Age-specific rate</w:t>
            </w:r>
          </w:p>
        </w:tc>
      </w:tr>
      <w:tr w:rsidR="00000384" w:rsidRPr="00885D52" w:rsidTr="007E73A8">
        <w:trPr>
          <w:cantSplit/>
        </w:trPr>
        <w:tc>
          <w:tcPr>
            <w:tcW w:w="385"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jc w:val="center"/>
              <w:rPr>
                <w:b/>
                <w:lang w:eastAsia="en-NZ"/>
              </w:rPr>
            </w:pPr>
          </w:p>
        </w:tc>
        <w:tc>
          <w:tcPr>
            <w:tcW w:w="1161"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54" w:type="pct"/>
            <w:gridSpan w:val="3"/>
            <w:tcBorders>
              <w:top w:val="single" w:sz="4" w:space="0" w:color="auto"/>
              <w:left w:val="single" w:sz="4" w:space="0" w:color="A6A6A6"/>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c>
          <w:tcPr>
            <w:tcW w:w="1154" w:type="pct"/>
            <w:gridSpan w:val="3"/>
            <w:tcBorders>
              <w:top w:val="single" w:sz="4" w:space="0" w:color="auto"/>
              <w:left w:val="single" w:sz="4" w:space="0" w:color="auto"/>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w:t>
            </w:r>
          </w:p>
        </w:tc>
        <w:tc>
          <w:tcPr>
            <w:tcW w:w="1145" w:type="pct"/>
            <w:gridSpan w:val="3"/>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w:t>
            </w:r>
          </w:p>
        </w:tc>
      </w:tr>
      <w:tr w:rsidR="00000384" w:rsidRPr="00885D52" w:rsidTr="007E73A8">
        <w:trPr>
          <w:cantSplit/>
        </w:trPr>
        <w:tc>
          <w:tcPr>
            <w:tcW w:w="385" w:type="pct"/>
            <w:vMerge/>
            <w:tcBorders>
              <w:top w:val="single" w:sz="4" w:space="0" w:color="auto"/>
              <w:bottom w:val="single" w:sz="4" w:space="0" w:color="auto"/>
              <w:right w:val="single" w:sz="4" w:space="0" w:color="auto"/>
            </w:tcBorders>
            <w:shd w:val="clear" w:color="auto" w:fill="auto"/>
            <w:hideMark/>
          </w:tcPr>
          <w:p w:rsidR="00000384" w:rsidRPr="00885D52" w:rsidRDefault="00000384" w:rsidP="007E73A8">
            <w:pPr>
              <w:pStyle w:val="TableText"/>
              <w:jc w:val="center"/>
              <w:rPr>
                <w:b/>
                <w:lang w:eastAsia="en-NZ"/>
              </w:rPr>
            </w:pP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91"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85" w:type="pct"/>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c>
          <w:tcPr>
            <w:tcW w:w="385" w:type="pct"/>
            <w:tcBorders>
              <w:top w:val="single" w:sz="4" w:space="0" w:color="auto"/>
              <w:left w:val="single" w:sz="4" w:space="0" w:color="A6A6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Total</w:t>
            </w:r>
          </w:p>
        </w:tc>
        <w:tc>
          <w:tcPr>
            <w:tcW w:w="385" w:type="pct"/>
            <w:tcBorders>
              <w:top w:val="single" w:sz="4" w:space="0" w:color="auto"/>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Male</w:t>
            </w:r>
          </w:p>
        </w:tc>
        <w:tc>
          <w:tcPr>
            <w:tcW w:w="375" w:type="pct"/>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Female</w:t>
            </w:r>
          </w:p>
        </w:tc>
      </w:tr>
      <w:tr w:rsidR="00000384" w:rsidRPr="00885D52" w:rsidTr="007E73A8">
        <w:trPr>
          <w:cantSplit/>
        </w:trPr>
        <w:tc>
          <w:tcPr>
            <w:tcW w:w="385" w:type="pct"/>
            <w:tcBorders>
              <w:top w:val="single" w:sz="4" w:space="0" w:color="auto"/>
              <w:right w:val="single" w:sz="4" w:space="0" w:color="auto"/>
            </w:tcBorders>
            <w:shd w:val="clear" w:color="auto" w:fill="F2F2F2"/>
            <w:noWrap/>
            <w:hideMark/>
          </w:tcPr>
          <w:p w:rsidR="00000384" w:rsidRPr="00885D52" w:rsidRDefault="00000384" w:rsidP="007E73A8">
            <w:pPr>
              <w:pStyle w:val="TableText"/>
              <w:rPr>
                <w:lang w:eastAsia="en-NZ"/>
              </w:rPr>
            </w:pPr>
            <w:r w:rsidRPr="00885D52">
              <w:rPr>
                <w:lang w:eastAsia="en-NZ"/>
              </w:rPr>
              <w:t>&lt;25</w:t>
            </w:r>
          </w:p>
        </w:tc>
        <w:tc>
          <w:tcPr>
            <w:tcW w:w="385" w:type="pct"/>
            <w:tcBorders>
              <w:top w:val="single" w:sz="4" w:space="0" w:color="auto"/>
              <w:lef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91" w:type="pct"/>
            <w:tcBorders>
              <w:top w:val="single" w:sz="4" w:space="0" w:color="auto"/>
              <w:left w:val="nil"/>
              <w:righ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lef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0.3</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0.4</w:t>
            </w:r>
          </w:p>
        </w:tc>
        <w:tc>
          <w:tcPr>
            <w:tcW w:w="385" w:type="pct"/>
            <w:tcBorders>
              <w:top w:val="single" w:sz="4" w:space="0" w:color="auto"/>
              <w:left w:val="nil"/>
              <w:righ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lef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left w:val="nil"/>
              <w:righ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top w:val="single" w:sz="4" w:space="0" w:color="auto"/>
              <w:lef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0.1</w:t>
            </w:r>
          </w:p>
        </w:tc>
        <w:tc>
          <w:tcPr>
            <w:tcW w:w="385" w:type="pct"/>
            <w:tcBorders>
              <w:top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0.2</w:t>
            </w:r>
          </w:p>
        </w:tc>
        <w:tc>
          <w:tcPr>
            <w:tcW w:w="375" w:type="pct"/>
            <w:tcBorders>
              <w:top w:val="single" w:sz="4" w:space="0" w:color="auto"/>
              <w:left w:val="nil"/>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r>
      <w:tr w:rsidR="00000384" w:rsidRPr="00885D52" w:rsidTr="007E73A8">
        <w:trPr>
          <w:cantSplit/>
        </w:trPr>
        <w:tc>
          <w:tcPr>
            <w:tcW w:w="385" w:type="pct"/>
            <w:tcBorders>
              <w:right w:val="single" w:sz="4" w:space="0" w:color="auto"/>
            </w:tcBorders>
            <w:shd w:val="clear" w:color="auto" w:fill="auto"/>
            <w:noWrap/>
            <w:hideMark/>
          </w:tcPr>
          <w:p w:rsidR="00000384" w:rsidRPr="00885D52" w:rsidRDefault="00000384" w:rsidP="007E73A8">
            <w:pPr>
              <w:pStyle w:val="TableText"/>
              <w:rPr>
                <w:lang w:eastAsia="en-NZ"/>
              </w:rPr>
            </w:pPr>
            <w:r w:rsidRPr="00885D52">
              <w:rPr>
                <w:lang w:eastAsia="en-NZ"/>
              </w:rPr>
              <w:t>25–44</w:t>
            </w:r>
          </w:p>
        </w:tc>
        <w:tc>
          <w:tcPr>
            <w:tcW w:w="385" w:type="pct"/>
            <w:tcBorders>
              <w:left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50.0</w:t>
            </w:r>
          </w:p>
        </w:tc>
        <w:tc>
          <w:tcPr>
            <w:tcW w:w="385" w:type="pct"/>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33.3</w:t>
            </w:r>
          </w:p>
        </w:tc>
        <w:tc>
          <w:tcPr>
            <w:tcW w:w="391" w:type="pct"/>
            <w:tcBorders>
              <w:left w:val="nil"/>
              <w:righ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100.0</w:t>
            </w:r>
          </w:p>
        </w:tc>
        <w:tc>
          <w:tcPr>
            <w:tcW w:w="385" w:type="pct"/>
            <w:tcBorders>
              <w:lef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6.8</w:t>
            </w:r>
          </w:p>
        </w:tc>
        <w:tc>
          <w:tcPr>
            <w:tcW w:w="385" w:type="pct"/>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5.8</w:t>
            </w:r>
          </w:p>
        </w:tc>
        <w:tc>
          <w:tcPr>
            <w:tcW w:w="385" w:type="pct"/>
            <w:tcBorders>
              <w:left w:val="nil"/>
              <w:right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8.7</w:t>
            </w:r>
          </w:p>
        </w:tc>
        <w:tc>
          <w:tcPr>
            <w:tcW w:w="385" w:type="pct"/>
            <w:tcBorders>
              <w:left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1.2</w:t>
            </w:r>
          </w:p>
        </w:tc>
        <w:tc>
          <w:tcPr>
            <w:tcW w:w="385" w:type="pct"/>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1.3</w:t>
            </w:r>
          </w:p>
        </w:tc>
        <w:tc>
          <w:tcPr>
            <w:tcW w:w="385" w:type="pct"/>
            <w:tcBorders>
              <w:left w:val="nil"/>
              <w:righ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1.1</w:t>
            </w:r>
          </w:p>
        </w:tc>
        <w:tc>
          <w:tcPr>
            <w:tcW w:w="385" w:type="pct"/>
            <w:tcBorders>
              <w:lef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2.4</w:t>
            </w:r>
          </w:p>
        </w:tc>
        <w:tc>
          <w:tcPr>
            <w:tcW w:w="385" w:type="pct"/>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2.9</w:t>
            </w:r>
          </w:p>
        </w:tc>
        <w:tc>
          <w:tcPr>
            <w:tcW w:w="375" w:type="pct"/>
            <w:tcBorders>
              <w:left w:val="nil"/>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1.9</w:t>
            </w:r>
          </w:p>
        </w:tc>
      </w:tr>
      <w:tr w:rsidR="00000384" w:rsidRPr="00885D52" w:rsidTr="007E73A8">
        <w:trPr>
          <w:cantSplit/>
        </w:trPr>
        <w:tc>
          <w:tcPr>
            <w:tcW w:w="385" w:type="pct"/>
            <w:tcBorders>
              <w:right w:val="single" w:sz="4" w:space="0" w:color="auto"/>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385" w:type="pct"/>
            <w:tcBorders>
              <w:lef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91" w:type="pct"/>
            <w:tcBorders>
              <w:left w:val="nil"/>
              <w:righ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lef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30.1</w:t>
            </w:r>
          </w:p>
        </w:tc>
        <w:tc>
          <w:tcPr>
            <w:tcW w:w="385" w:type="pct"/>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31.3</w:t>
            </w:r>
          </w:p>
        </w:tc>
        <w:tc>
          <w:tcPr>
            <w:tcW w:w="385" w:type="pct"/>
            <w:tcBorders>
              <w:left w:val="nil"/>
              <w:righ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27.8</w:t>
            </w:r>
          </w:p>
        </w:tc>
        <w:tc>
          <w:tcPr>
            <w:tcW w:w="385" w:type="pct"/>
            <w:tcBorders>
              <w:left w:val="single" w:sz="4" w:space="0" w:color="auto"/>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left w:val="nil"/>
              <w:righ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left w:val="single" w:sz="4" w:space="0" w:color="A6A6A6"/>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10.8</w:t>
            </w:r>
          </w:p>
        </w:tc>
        <w:tc>
          <w:tcPr>
            <w:tcW w:w="385" w:type="pct"/>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15.4</w:t>
            </w:r>
          </w:p>
        </w:tc>
        <w:tc>
          <w:tcPr>
            <w:tcW w:w="375" w:type="pct"/>
            <w:tcBorders>
              <w:left w:val="nil"/>
            </w:tcBorders>
            <w:shd w:val="clear" w:color="auto" w:fill="F2F2F2"/>
            <w:noWrap/>
            <w:vAlign w:val="bottom"/>
            <w:hideMark/>
          </w:tcPr>
          <w:p w:rsidR="00000384" w:rsidRPr="00885D52" w:rsidRDefault="00000384" w:rsidP="007E73A8">
            <w:pPr>
              <w:pStyle w:val="TableText"/>
              <w:tabs>
                <w:tab w:val="decimal" w:pos="425"/>
              </w:tabs>
              <w:rPr>
                <w:lang w:eastAsia="en-NZ"/>
              </w:rPr>
            </w:pPr>
            <w:r w:rsidRPr="00885D52">
              <w:rPr>
                <w:lang w:eastAsia="en-NZ"/>
              </w:rPr>
              <w:t>6.3</w:t>
            </w:r>
          </w:p>
        </w:tc>
      </w:tr>
      <w:tr w:rsidR="00000384" w:rsidRPr="00885D52" w:rsidTr="007E73A8">
        <w:trPr>
          <w:cantSplit/>
        </w:trPr>
        <w:tc>
          <w:tcPr>
            <w:tcW w:w="385" w:type="pct"/>
            <w:tcBorders>
              <w:bottom w:val="single" w:sz="4" w:space="0" w:color="auto"/>
              <w:right w:val="single" w:sz="4" w:space="0" w:color="auto"/>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385" w:type="pct"/>
            <w:tcBorders>
              <w:left w:val="single" w:sz="4" w:space="0" w:color="auto"/>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50.0</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66.7</w:t>
            </w:r>
          </w:p>
        </w:tc>
        <w:tc>
          <w:tcPr>
            <w:tcW w:w="391" w:type="pct"/>
            <w:tcBorders>
              <w:left w:val="nil"/>
              <w:bottom w:val="single" w:sz="4" w:space="0" w:color="auto"/>
              <w:righ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left w:val="single" w:sz="4" w:space="0" w:color="A6A6A6"/>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62.8</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62.5</w:t>
            </w:r>
          </w:p>
        </w:tc>
        <w:tc>
          <w:tcPr>
            <w:tcW w:w="385" w:type="pct"/>
            <w:tcBorders>
              <w:left w:val="nil"/>
              <w:bottom w:val="single" w:sz="4" w:space="0" w:color="auto"/>
              <w:right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63.5</w:t>
            </w:r>
          </w:p>
        </w:tc>
        <w:tc>
          <w:tcPr>
            <w:tcW w:w="385" w:type="pct"/>
            <w:tcBorders>
              <w:left w:val="single" w:sz="4" w:space="0" w:color="auto"/>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6.2</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13.5</w:t>
            </w:r>
          </w:p>
        </w:tc>
        <w:tc>
          <w:tcPr>
            <w:tcW w:w="385" w:type="pct"/>
            <w:tcBorders>
              <w:left w:val="nil"/>
              <w:bottom w:val="single" w:sz="4" w:space="0" w:color="auto"/>
              <w:right w:val="single" w:sz="4" w:space="0" w:color="A6A6A6"/>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0.0</w:t>
            </w:r>
          </w:p>
        </w:tc>
        <w:tc>
          <w:tcPr>
            <w:tcW w:w="385" w:type="pct"/>
            <w:tcBorders>
              <w:left w:val="single" w:sz="4" w:space="0" w:color="A6A6A6"/>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40.2</w:t>
            </w:r>
          </w:p>
        </w:tc>
        <w:tc>
          <w:tcPr>
            <w:tcW w:w="385" w:type="pct"/>
            <w:tcBorders>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59.1</w:t>
            </w:r>
          </w:p>
        </w:tc>
        <w:tc>
          <w:tcPr>
            <w:tcW w:w="375" w:type="pct"/>
            <w:tcBorders>
              <w:left w:val="nil"/>
              <w:bottom w:val="single" w:sz="4" w:space="0" w:color="auto"/>
            </w:tcBorders>
            <w:shd w:val="clear" w:color="auto" w:fill="auto"/>
            <w:noWrap/>
            <w:vAlign w:val="bottom"/>
            <w:hideMark/>
          </w:tcPr>
          <w:p w:rsidR="00000384" w:rsidRPr="00885D52" w:rsidRDefault="00000384" w:rsidP="007E73A8">
            <w:pPr>
              <w:pStyle w:val="TableText"/>
              <w:tabs>
                <w:tab w:val="decimal" w:pos="425"/>
              </w:tabs>
              <w:rPr>
                <w:lang w:eastAsia="en-NZ"/>
              </w:rPr>
            </w:pPr>
            <w:r w:rsidRPr="00885D52">
              <w:rPr>
                <w:lang w:eastAsia="en-NZ"/>
              </w:rPr>
              <w:t>24.2</w:t>
            </w:r>
          </w:p>
        </w:tc>
      </w:tr>
    </w:tbl>
    <w:p w:rsidR="00000384" w:rsidRPr="00885D52" w:rsidRDefault="00000384" w:rsidP="00E34B87">
      <w:pPr>
        <w:pStyle w:val="Note"/>
        <w:ind w:right="0"/>
      </w:pPr>
      <w:r w:rsidRPr="00885D52">
        <w:t>Note: Rates per 100,000 population.</w:t>
      </w:r>
    </w:p>
    <w:p w:rsidR="00000384" w:rsidRPr="00885D52" w:rsidRDefault="00000384" w:rsidP="00E34B87">
      <w:bookmarkStart w:id="433" w:name="_Toc167268832"/>
      <w:bookmarkStart w:id="434" w:name="_Toc236642212"/>
      <w:bookmarkStart w:id="435" w:name="_Toc262631091"/>
      <w:bookmarkStart w:id="436" w:name="_Toc316994474"/>
      <w:bookmarkStart w:id="437" w:name="_Toc352670631"/>
    </w:p>
    <w:p w:rsidR="00003789" w:rsidRDefault="00003789">
      <w:pPr>
        <w:spacing w:line="240" w:lineRule="auto"/>
        <w:rPr>
          <w:b/>
          <w:sz w:val="40"/>
        </w:rPr>
      </w:pPr>
      <w:bookmarkStart w:id="438" w:name="_Toc400536187"/>
      <w:bookmarkStart w:id="439" w:name="_Toc403120527"/>
      <w:r>
        <w:br w:type="page"/>
      </w:r>
    </w:p>
    <w:p w:rsidR="00000384" w:rsidRPr="00885D52" w:rsidRDefault="00000384" w:rsidP="00003789">
      <w:pPr>
        <w:pStyle w:val="Heading2"/>
        <w:spacing w:before="0"/>
      </w:pPr>
      <w:r w:rsidRPr="00885D52">
        <w:lastRenderedPageBreak/>
        <w:t>Cervical cancer (C53)</w:t>
      </w:r>
      <w:bookmarkEnd w:id="433"/>
      <w:bookmarkEnd w:id="434"/>
      <w:bookmarkEnd w:id="435"/>
      <w:bookmarkEnd w:id="436"/>
      <w:bookmarkEnd w:id="437"/>
      <w:bookmarkEnd w:id="438"/>
      <w:bookmarkEnd w:id="439"/>
    </w:p>
    <w:p w:rsidR="00000384" w:rsidRPr="00885D52" w:rsidRDefault="00000384" w:rsidP="00E34B87">
      <w:r w:rsidRPr="00885D52">
        <w:t>Between 1980 and 2011, the number of women dying from cervical cancer, or malignant neoplasm of the cervix uteri, decreased significantly. A significant factor in the decrease seen in later years may be the establishment of the National Cervical Screening Programme in 1991.</w:t>
      </w:r>
      <w:r w:rsidRPr="00885D52">
        <w:rPr>
          <w:rStyle w:val="FootnoteReference"/>
        </w:rPr>
        <w:footnoteReference w:id="7"/>
      </w:r>
      <w:r w:rsidRPr="00885D52">
        <w:t xml:space="preserve"> There were 53 deaths from cervical cancer in 2011, accounting for 1.2 percent of total female cancer deaths. Table 14 shows the number and age-standardised rate of female deaths from cervical cancer between 1980 and 2011.</w:t>
      </w:r>
    </w:p>
    <w:p w:rsidR="00000384" w:rsidRPr="00885D52" w:rsidRDefault="00000384" w:rsidP="00E34B87"/>
    <w:p w:rsidR="00000384" w:rsidRPr="00885D52" w:rsidRDefault="00000384" w:rsidP="00E34B87">
      <w:pPr>
        <w:pStyle w:val="Table"/>
      </w:pPr>
      <w:bookmarkStart w:id="440" w:name="_Ref133220527"/>
      <w:bookmarkStart w:id="441" w:name="_Toc167268863"/>
      <w:bookmarkStart w:id="442" w:name="_Toc236641654"/>
      <w:bookmarkStart w:id="443" w:name="_Toc262631238"/>
      <w:bookmarkStart w:id="444" w:name="_Toc316912731"/>
      <w:bookmarkStart w:id="445" w:name="_Toc352670663"/>
      <w:bookmarkStart w:id="446" w:name="_Toc400536154"/>
      <w:bookmarkStart w:id="447" w:name="_Toc403120559"/>
      <w:r w:rsidRPr="00885D52">
        <w:t xml:space="preserve">Table </w:t>
      </w:r>
      <w:bookmarkEnd w:id="440"/>
      <w:r w:rsidRPr="00885D52">
        <w:t>14: Numbers and age-standardised mortality rates from cervical cancer, 1980–20</w:t>
      </w:r>
      <w:bookmarkEnd w:id="441"/>
      <w:bookmarkEnd w:id="442"/>
      <w:bookmarkEnd w:id="443"/>
      <w:bookmarkEnd w:id="444"/>
      <w:r w:rsidRPr="00885D52">
        <w:t>1</w:t>
      </w:r>
      <w:bookmarkEnd w:id="445"/>
      <w:r w:rsidRPr="00885D52">
        <w:t>1</w:t>
      </w:r>
      <w:bookmarkEnd w:id="446"/>
      <w:bookmarkEnd w:id="447"/>
    </w:p>
    <w:tbl>
      <w:tblPr>
        <w:tblW w:w="0" w:type="auto"/>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65"/>
        <w:gridCol w:w="1465"/>
        <w:gridCol w:w="1465"/>
      </w:tblGrid>
      <w:tr w:rsidR="00000384" w:rsidRPr="003E56B2" w:rsidTr="00003789">
        <w:trPr>
          <w:cantSplit/>
        </w:trPr>
        <w:tc>
          <w:tcPr>
            <w:tcW w:w="1465" w:type="dxa"/>
            <w:tcBorders>
              <w:bottom w:val="single" w:sz="4" w:space="0" w:color="auto"/>
              <w:right w:val="single" w:sz="4" w:space="0" w:color="A6A6A6" w:themeColor="background1" w:themeShade="A6"/>
            </w:tcBorders>
            <w:shd w:val="clear" w:color="auto" w:fill="auto"/>
          </w:tcPr>
          <w:p w:rsidR="00000384" w:rsidRPr="003E56B2" w:rsidRDefault="00000384" w:rsidP="003E56B2">
            <w:pPr>
              <w:pStyle w:val="TableText"/>
              <w:jc w:val="center"/>
              <w:rPr>
                <w:b/>
              </w:rPr>
            </w:pPr>
            <w:r w:rsidRPr="003E56B2">
              <w:rPr>
                <w:b/>
              </w:rPr>
              <w:t>Year</w:t>
            </w:r>
          </w:p>
        </w:tc>
        <w:tc>
          <w:tcPr>
            <w:tcW w:w="1465" w:type="dxa"/>
            <w:tcBorders>
              <w:left w:val="single" w:sz="4" w:space="0" w:color="A6A6A6" w:themeColor="background1" w:themeShade="A6"/>
              <w:bottom w:val="single" w:sz="4" w:space="0" w:color="auto"/>
              <w:right w:val="single" w:sz="4" w:space="0" w:color="A6A6A6" w:themeColor="background1" w:themeShade="A6"/>
            </w:tcBorders>
            <w:shd w:val="clear" w:color="auto" w:fill="auto"/>
          </w:tcPr>
          <w:p w:rsidR="00000384" w:rsidRPr="003E56B2" w:rsidRDefault="00000384" w:rsidP="003E56B2">
            <w:pPr>
              <w:pStyle w:val="TableText"/>
              <w:jc w:val="center"/>
              <w:rPr>
                <w:b/>
              </w:rPr>
            </w:pPr>
            <w:r w:rsidRPr="003E56B2">
              <w:rPr>
                <w:b/>
              </w:rPr>
              <w:t>No.</w:t>
            </w:r>
          </w:p>
        </w:tc>
        <w:tc>
          <w:tcPr>
            <w:tcW w:w="1465" w:type="dxa"/>
            <w:tcBorders>
              <w:left w:val="single" w:sz="4" w:space="0" w:color="A6A6A6" w:themeColor="background1" w:themeShade="A6"/>
              <w:bottom w:val="single" w:sz="4" w:space="0" w:color="auto"/>
            </w:tcBorders>
            <w:shd w:val="clear" w:color="auto" w:fill="auto"/>
          </w:tcPr>
          <w:p w:rsidR="00000384" w:rsidRPr="003E56B2" w:rsidRDefault="00000384" w:rsidP="003E56B2">
            <w:pPr>
              <w:pStyle w:val="TableText"/>
              <w:jc w:val="center"/>
              <w:rPr>
                <w:b/>
              </w:rPr>
            </w:pPr>
            <w:r w:rsidRPr="003E56B2">
              <w:rPr>
                <w:b/>
              </w:rPr>
              <w:t>Rate</w:t>
            </w:r>
          </w:p>
        </w:tc>
      </w:tr>
      <w:tr w:rsidR="00000384" w:rsidRPr="00885D52" w:rsidTr="00003789">
        <w:trPr>
          <w:cantSplit/>
        </w:trPr>
        <w:tc>
          <w:tcPr>
            <w:tcW w:w="1465" w:type="dxa"/>
            <w:tcBorders>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1980</w:t>
            </w:r>
          </w:p>
        </w:tc>
        <w:tc>
          <w:tcPr>
            <w:tcW w:w="1465" w:type="dxa"/>
            <w:tcBorders>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94</w:t>
            </w:r>
          </w:p>
        </w:tc>
        <w:tc>
          <w:tcPr>
            <w:tcW w:w="1465" w:type="dxa"/>
            <w:tcBorders>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5.8</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1981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95</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5.5</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1982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110</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6.4</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1983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90</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5.3</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1984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98</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5.8</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1985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97</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5.5</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1986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89</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4.8</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1987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117</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6.3</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1988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99</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5.3</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1989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85</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4.6</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1990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101</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5.5</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1991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106</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5.3</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1992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84</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4.1</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1993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80</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3.8</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1994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77</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3.7</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1995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96</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4.6</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1996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82</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3.8</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1997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73</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3.2</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1998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77</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3.2</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1999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71</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3.0</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2000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66</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2.7</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2001</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63</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2.4</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2002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65</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2.4</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2003</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58</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2.1</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2004</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71</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2.7</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2005</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54</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1.9</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2006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52</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1.7</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2007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65</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2.2</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2008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59</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1.9</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2009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44</w:t>
            </w:r>
          </w:p>
        </w:tc>
        <w:tc>
          <w:tcPr>
            <w:tcW w:w="1465" w:type="dxa"/>
            <w:tcBorders>
              <w:top w:val="nil"/>
              <w:left w:val="single" w:sz="4" w:space="0" w:color="A6A6A6" w:themeColor="background1" w:themeShade="A6"/>
              <w:bottom w:val="nil"/>
            </w:tcBorders>
            <w:shd w:val="clear" w:color="auto" w:fill="auto"/>
          </w:tcPr>
          <w:p w:rsidR="00000384" w:rsidRPr="00885D52" w:rsidRDefault="00000384" w:rsidP="003E56B2">
            <w:pPr>
              <w:pStyle w:val="TableText"/>
              <w:jc w:val="center"/>
            </w:pPr>
            <w:r w:rsidRPr="00885D52">
              <w:t>1.4</w:t>
            </w:r>
          </w:p>
        </w:tc>
      </w:tr>
      <w:tr w:rsidR="00000384" w:rsidRPr="00885D52" w:rsidTr="00003789">
        <w:trPr>
          <w:cantSplit/>
        </w:trPr>
        <w:tc>
          <w:tcPr>
            <w:tcW w:w="1465" w:type="dxa"/>
            <w:tcBorders>
              <w:top w:val="nil"/>
              <w:bottom w:val="nil"/>
              <w:right w:val="single" w:sz="4" w:space="0" w:color="A6A6A6" w:themeColor="background1" w:themeShade="A6"/>
            </w:tcBorders>
            <w:shd w:val="clear" w:color="auto" w:fill="F2F2F2"/>
          </w:tcPr>
          <w:p w:rsidR="00000384" w:rsidRPr="00885D52" w:rsidRDefault="00000384" w:rsidP="003E56B2">
            <w:pPr>
              <w:pStyle w:val="TableText"/>
              <w:jc w:val="center"/>
            </w:pPr>
            <w:r w:rsidRPr="00885D52">
              <w:t>2010</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2F2F2"/>
          </w:tcPr>
          <w:p w:rsidR="00000384" w:rsidRPr="00885D52" w:rsidRDefault="00000384" w:rsidP="003E56B2">
            <w:pPr>
              <w:pStyle w:val="TableText"/>
              <w:tabs>
                <w:tab w:val="decimal" w:pos="746"/>
              </w:tabs>
            </w:pPr>
            <w:r w:rsidRPr="00885D52">
              <w:t>52</w:t>
            </w:r>
          </w:p>
        </w:tc>
        <w:tc>
          <w:tcPr>
            <w:tcW w:w="1465" w:type="dxa"/>
            <w:tcBorders>
              <w:top w:val="nil"/>
              <w:left w:val="single" w:sz="4" w:space="0" w:color="A6A6A6" w:themeColor="background1" w:themeShade="A6"/>
              <w:bottom w:val="nil"/>
            </w:tcBorders>
            <w:shd w:val="clear" w:color="auto" w:fill="F2F2F2"/>
          </w:tcPr>
          <w:p w:rsidR="00000384" w:rsidRPr="00885D52" w:rsidRDefault="00000384" w:rsidP="003E56B2">
            <w:pPr>
              <w:pStyle w:val="TableText"/>
              <w:jc w:val="center"/>
            </w:pPr>
            <w:r w:rsidRPr="00885D52">
              <w:t>1.7</w:t>
            </w:r>
          </w:p>
        </w:tc>
      </w:tr>
      <w:tr w:rsidR="00000384" w:rsidRPr="00885D52" w:rsidTr="00003789">
        <w:trPr>
          <w:cantSplit/>
        </w:trPr>
        <w:tc>
          <w:tcPr>
            <w:tcW w:w="1465" w:type="dxa"/>
            <w:tcBorders>
              <w:top w:val="nil"/>
              <w:right w:val="single" w:sz="4" w:space="0" w:color="A6A6A6" w:themeColor="background1" w:themeShade="A6"/>
            </w:tcBorders>
            <w:shd w:val="clear" w:color="auto" w:fill="auto"/>
          </w:tcPr>
          <w:p w:rsidR="00000384" w:rsidRPr="00885D52" w:rsidRDefault="00000384" w:rsidP="003E56B2">
            <w:pPr>
              <w:pStyle w:val="TableText"/>
              <w:jc w:val="center"/>
            </w:pPr>
            <w:r w:rsidRPr="00885D52">
              <w:t>2011</w:t>
            </w:r>
          </w:p>
        </w:tc>
        <w:tc>
          <w:tcPr>
            <w:tcW w:w="1465" w:type="dxa"/>
            <w:tcBorders>
              <w:top w:val="nil"/>
              <w:left w:val="single" w:sz="4" w:space="0" w:color="A6A6A6" w:themeColor="background1" w:themeShade="A6"/>
              <w:right w:val="single" w:sz="4" w:space="0" w:color="A6A6A6" w:themeColor="background1" w:themeShade="A6"/>
            </w:tcBorders>
            <w:shd w:val="clear" w:color="auto" w:fill="auto"/>
          </w:tcPr>
          <w:p w:rsidR="00000384" w:rsidRPr="00885D52" w:rsidRDefault="00000384" w:rsidP="003E56B2">
            <w:pPr>
              <w:pStyle w:val="TableText"/>
              <w:tabs>
                <w:tab w:val="decimal" w:pos="746"/>
              </w:tabs>
            </w:pPr>
            <w:r w:rsidRPr="00885D52">
              <w:t>53</w:t>
            </w:r>
          </w:p>
        </w:tc>
        <w:tc>
          <w:tcPr>
            <w:tcW w:w="1465" w:type="dxa"/>
            <w:tcBorders>
              <w:top w:val="nil"/>
              <w:left w:val="single" w:sz="4" w:space="0" w:color="A6A6A6" w:themeColor="background1" w:themeShade="A6"/>
            </w:tcBorders>
            <w:shd w:val="clear" w:color="auto" w:fill="auto"/>
          </w:tcPr>
          <w:p w:rsidR="00000384" w:rsidRPr="00885D52" w:rsidRDefault="00000384" w:rsidP="003E56B2">
            <w:pPr>
              <w:pStyle w:val="TableText"/>
              <w:jc w:val="center"/>
            </w:pPr>
            <w:r w:rsidRPr="00885D52">
              <w:t>1.7</w:t>
            </w:r>
          </w:p>
        </w:tc>
      </w:tr>
    </w:tbl>
    <w:p w:rsidR="00000384" w:rsidRPr="00885D52" w:rsidRDefault="00000384" w:rsidP="00E34B87">
      <w:pPr>
        <w:pStyle w:val="Note"/>
        <w:ind w:right="0"/>
      </w:pPr>
      <w:r w:rsidRPr="00885D52">
        <w:lastRenderedPageBreak/>
        <w:t>Note: Rates per 100,000 female population, age-standardised to WHO World Standard Population.</w:t>
      </w:r>
    </w:p>
    <w:p w:rsidR="00000384" w:rsidRPr="00885D52" w:rsidRDefault="00000384" w:rsidP="003E56B2">
      <w:pPr>
        <w:keepNext/>
        <w:spacing w:before="240"/>
      </w:pPr>
      <w:r w:rsidRPr="00885D52">
        <w:t>Figure 21 shows the trend in numbers and rates of deaths from cervical cancer between 1950 and 2011. Over this period the age-standardised mortality rate decreased by almost 80 percent (from 8.1 in 1950 to 1.7 in 2011).</w:t>
      </w:r>
    </w:p>
    <w:p w:rsidR="00000384" w:rsidRPr="00885D52" w:rsidRDefault="00000384" w:rsidP="00E34B87"/>
    <w:p w:rsidR="00000384" w:rsidRPr="00885D52" w:rsidRDefault="00000384" w:rsidP="00000384">
      <w:pPr>
        <w:pStyle w:val="Figure"/>
      </w:pPr>
      <w:bookmarkStart w:id="448" w:name="_Toc352670688"/>
      <w:bookmarkStart w:id="449" w:name="_Toc400536120"/>
      <w:bookmarkStart w:id="450" w:name="_Toc403120595"/>
      <w:r w:rsidRPr="00885D52">
        <w:t>Figure 21: Numbers and age-standardised mortality rates from cervical cancer, 1950–201</w:t>
      </w:r>
      <w:bookmarkEnd w:id="448"/>
      <w:r w:rsidRPr="00885D52">
        <w:t>1</w:t>
      </w:r>
      <w:bookmarkEnd w:id="449"/>
      <w:bookmarkEnd w:id="450"/>
    </w:p>
    <w:p w:rsidR="00000384" w:rsidRPr="00885D52" w:rsidRDefault="00E34B87" w:rsidP="00E34B87">
      <w:r w:rsidRPr="00885D52">
        <w:rPr>
          <w:noProof/>
          <w:lang w:eastAsia="en-NZ"/>
        </w:rPr>
        <w:drawing>
          <wp:inline distT="0" distB="0" distL="0" distR="0" wp14:anchorId="5998494B" wp14:editId="4240AFF1">
            <wp:extent cx="5029200" cy="3064803"/>
            <wp:effectExtent l="0" t="0" r="0" b="2540"/>
            <wp:docPr id="12" name="Picture 12" title="Figure 21: Numbers and age-standardised mortality rates from cervical cancer,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34859" cy="3068252"/>
                    </a:xfrm>
                    <a:prstGeom prst="rect">
                      <a:avLst/>
                    </a:prstGeom>
                  </pic:spPr>
                </pic:pic>
              </a:graphicData>
            </a:graphic>
          </wp:inline>
        </w:drawing>
      </w:r>
    </w:p>
    <w:p w:rsidR="00000384" w:rsidRPr="00885D52" w:rsidRDefault="00000384" w:rsidP="00000384">
      <w:pPr>
        <w:pStyle w:val="Note"/>
      </w:pPr>
      <w:r w:rsidRPr="00885D52">
        <w:t>Note: Rates per 100,000 female population, age-standardised to WHO World Standard Population</w:t>
      </w:r>
    </w:p>
    <w:p w:rsidR="00000384" w:rsidRPr="00885D52" w:rsidRDefault="00000384" w:rsidP="00E34B87"/>
    <w:p w:rsidR="00000384" w:rsidRPr="00885D52" w:rsidRDefault="00000384" w:rsidP="00E34B87">
      <w:r w:rsidRPr="00885D52">
        <w:t>Table 15 shows the 2011 percentage distribution of deaths and age-specific mortality rates from cervical cancer for four age groupings for Māori and non-Māori.</w:t>
      </w:r>
    </w:p>
    <w:p w:rsidR="00000384" w:rsidRPr="00885D52" w:rsidRDefault="00000384" w:rsidP="00E34B87"/>
    <w:p w:rsidR="00000384" w:rsidRPr="00885D52" w:rsidRDefault="00000384" w:rsidP="00E34B87">
      <w:pPr>
        <w:pStyle w:val="Table"/>
      </w:pPr>
      <w:bookmarkStart w:id="451" w:name="_Ref132101846"/>
      <w:bookmarkStart w:id="452" w:name="_Toc167268864"/>
      <w:bookmarkStart w:id="453" w:name="_Toc236641655"/>
      <w:bookmarkStart w:id="454" w:name="_Toc262631239"/>
      <w:bookmarkStart w:id="455" w:name="_Toc316912732"/>
      <w:bookmarkStart w:id="456" w:name="_Toc352670664"/>
      <w:bookmarkStart w:id="457" w:name="_Toc400536155"/>
      <w:bookmarkStart w:id="458" w:name="_Toc403120560"/>
      <w:r w:rsidRPr="00885D52">
        <w:t>Table 15</w:t>
      </w:r>
      <w:bookmarkEnd w:id="451"/>
      <w:r w:rsidRPr="00885D52">
        <w:t xml:space="preserve">: </w:t>
      </w:r>
      <w:bookmarkEnd w:id="452"/>
      <w:bookmarkEnd w:id="453"/>
      <w:bookmarkEnd w:id="454"/>
      <w:r w:rsidRPr="00885D52">
        <w:t>Age distribution of deaths from cervical cancer, percentages and age-specific rates, by ethnicity, 20</w:t>
      </w:r>
      <w:bookmarkEnd w:id="455"/>
      <w:r w:rsidRPr="00885D52">
        <w:t>1</w:t>
      </w:r>
      <w:bookmarkEnd w:id="456"/>
      <w:r w:rsidRPr="00885D52">
        <w:t>1</w:t>
      </w:r>
      <w:bookmarkEnd w:id="457"/>
      <w:bookmarkEnd w:id="458"/>
    </w:p>
    <w:tbl>
      <w:tblPr>
        <w:tblW w:w="9371" w:type="dxa"/>
        <w:tblInd w:w="93" w:type="dxa"/>
        <w:tblLayout w:type="fixed"/>
        <w:tblLook w:val="04A0" w:firstRow="1" w:lastRow="0" w:firstColumn="1" w:lastColumn="0" w:noHBand="0" w:noVBand="1"/>
      </w:tblPr>
      <w:tblGrid>
        <w:gridCol w:w="1433"/>
        <w:gridCol w:w="1984"/>
        <w:gridCol w:w="1985"/>
        <w:gridCol w:w="1984"/>
        <w:gridCol w:w="1985"/>
      </w:tblGrid>
      <w:tr w:rsidR="00000384" w:rsidRPr="00885D52" w:rsidTr="00E34B87">
        <w:trPr>
          <w:trHeight w:val="315"/>
        </w:trPr>
        <w:tc>
          <w:tcPr>
            <w:tcW w:w="1433" w:type="dxa"/>
            <w:vMerge w:val="restart"/>
            <w:tcBorders>
              <w:top w:val="single" w:sz="4" w:space="0" w:color="auto"/>
              <w:bottom w:val="single" w:sz="4" w:space="0" w:color="auto"/>
              <w:right w:val="single" w:sz="4" w:space="0" w:color="A6A6A6" w:themeColor="background1" w:themeShade="A6"/>
            </w:tcBorders>
            <w:shd w:val="clear" w:color="auto" w:fill="auto"/>
            <w:noWrap/>
            <w:vAlign w:val="center"/>
            <w:hideMark/>
          </w:tcPr>
          <w:p w:rsidR="00000384" w:rsidRPr="00885D52" w:rsidRDefault="00000384" w:rsidP="007E73A8">
            <w:pPr>
              <w:pStyle w:val="TableText"/>
              <w:keepNext/>
              <w:rPr>
                <w:b/>
                <w:lang w:eastAsia="en-NZ"/>
              </w:rPr>
            </w:pPr>
            <w:r w:rsidRPr="00885D52">
              <w:rPr>
                <w:b/>
                <w:lang w:eastAsia="en-NZ"/>
              </w:rPr>
              <w:t>Age group</w:t>
            </w:r>
          </w:p>
        </w:tc>
        <w:tc>
          <w:tcPr>
            <w:tcW w:w="3969"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Percentage</w:t>
            </w:r>
          </w:p>
        </w:tc>
        <w:tc>
          <w:tcPr>
            <w:tcW w:w="3969" w:type="dxa"/>
            <w:gridSpan w:val="2"/>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Age-specific rate</w:t>
            </w:r>
          </w:p>
        </w:tc>
      </w:tr>
      <w:tr w:rsidR="00000384" w:rsidRPr="00885D52" w:rsidTr="00E34B87">
        <w:trPr>
          <w:trHeight w:val="270"/>
        </w:trPr>
        <w:tc>
          <w:tcPr>
            <w:tcW w:w="1433" w:type="dxa"/>
            <w:vMerge/>
            <w:tcBorders>
              <w:top w:val="single" w:sz="4" w:space="0" w:color="auto"/>
              <w:bottom w:val="single" w:sz="4" w:space="0" w:color="auto"/>
              <w:right w:val="single" w:sz="4" w:space="0" w:color="A6A6A6" w:themeColor="background1" w:themeShade="A6"/>
            </w:tcBorders>
            <w:shd w:val="clear" w:color="auto" w:fill="auto"/>
            <w:hideMark/>
          </w:tcPr>
          <w:p w:rsidR="00000384" w:rsidRPr="00885D52" w:rsidRDefault="00000384" w:rsidP="007E73A8">
            <w:pPr>
              <w:pStyle w:val="TableText"/>
              <w:rPr>
                <w:lang w:eastAsia="en-NZ"/>
              </w:rPr>
            </w:pPr>
          </w:p>
        </w:tc>
        <w:tc>
          <w:tcPr>
            <w:tcW w:w="1984"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female</w:t>
            </w:r>
          </w:p>
        </w:tc>
        <w:tc>
          <w:tcPr>
            <w:tcW w:w="1985" w:type="dxa"/>
            <w:tcBorders>
              <w:top w:val="single" w:sz="4" w:space="0" w:color="auto"/>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female</w:t>
            </w:r>
          </w:p>
        </w:tc>
        <w:tc>
          <w:tcPr>
            <w:tcW w:w="1984"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Māori female</w:t>
            </w:r>
          </w:p>
        </w:tc>
        <w:tc>
          <w:tcPr>
            <w:tcW w:w="1985" w:type="dxa"/>
            <w:tcBorders>
              <w:top w:val="single" w:sz="4" w:space="0" w:color="auto"/>
              <w:left w:val="nil"/>
              <w:bottom w:val="single" w:sz="4" w:space="0" w:color="auto"/>
            </w:tcBorders>
            <w:shd w:val="clear" w:color="auto" w:fill="auto"/>
            <w:noWrap/>
            <w:hideMark/>
          </w:tcPr>
          <w:p w:rsidR="00000384" w:rsidRPr="00885D52" w:rsidRDefault="00000384" w:rsidP="007E73A8">
            <w:pPr>
              <w:pStyle w:val="TableText"/>
              <w:jc w:val="center"/>
              <w:rPr>
                <w:b/>
                <w:lang w:eastAsia="en-NZ"/>
              </w:rPr>
            </w:pPr>
            <w:r w:rsidRPr="00885D52">
              <w:rPr>
                <w:b/>
                <w:lang w:eastAsia="en-NZ"/>
              </w:rPr>
              <w:t>Non-Māori female</w:t>
            </w:r>
          </w:p>
        </w:tc>
      </w:tr>
      <w:tr w:rsidR="00000384" w:rsidRPr="00885D52" w:rsidTr="00E34B87">
        <w:trPr>
          <w:trHeight w:val="285"/>
        </w:trPr>
        <w:tc>
          <w:tcPr>
            <w:tcW w:w="1433" w:type="dxa"/>
            <w:tcBorders>
              <w:top w:val="single" w:sz="4" w:space="0" w:color="auto"/>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&lt;25</w:t>
            </w:r>
          </w:p>
        </w:tc>
        <w:tc>
          <w:tcPr>
            <w:tcW w:w="1984" w:type="dxa"/>
            <w:tcBorders>
              <w:top w:val="single" w:sz="4" w:space="0" w:color="auto"/>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0.0</w:t>
            </w:r>
          </w:p>
        </w:tc>
        <w:tc>
          <w:tcPr>
            <w:tcW w:w="1985" w:type="dxa"/>
            <w:tcBorders>
              <w:top w:val="single" w:sz="4" w:space="0" w:color="auto"/>
              <w:righ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5.1</w:t>
            </w:r>
          </w:p>
        </w:tc>
        <w:tc>
          <w:tcPr>
            <w:tcW w:w="1984" w:type="dxa"/>
            <w:tcBorders>
              <w:top w:val="single" w:sz="4" w:space="0" w:color="auto"/>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0.0</w:t>
            </w:r>
          </w:p>
        </w:tc>
        <w:tc>
          <w:tcPr>
            <w:tcW w:w="1985" w:type="dxa"/>
            <w:tcBorders>
              <w:top w:val="single" w:sz="4" w:space="0" w:color="auto"/>
              <w:left w:val="nil"/>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0.3</w:t>
            </w:r>
          </w:p>
        </w:tc>
      </w:tr>
      <w:tr w:rsidR="00000384" w:rsidRPr="00885D52" w:rsidTr="00E34B87">
        <w:trPr>
          <w:trHeight w:val="285"/>
        </w:trPr>
        <w:tc>
          <w:tcPr>
            <w:tcW w:w="1433" w:type="dxa"/>
            <w:tcBorders>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25–44</w:t>
            </w:r>
          </w:p>
        </w:tc>
        <w:tc>
          <w:tcPr>
            <w:tcW w:w="1984" w:type="dxa"/>
            <w:tcBorders>
              <w:lef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14.3</w:t>
            </w:r>
          </w:p>
        </w:tc>
        <w:tc>
          <w:tcPr>
            <w:tcW w:w="1985" w:type="dxa"/>
            <w:tcBorders>
              <w:righ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15.4</w:t>
            </w:r>
          </w:p>
        </w:tc>
        <w:tc>
          <w:tcPr>
            <w:tcW w:w="1984" w:type="dxa"/>
            <w:tcBorders>
              <w:lef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2.2</w:t>
            </w:r>
          </w:p>
        </w:tc>
        <w:tc>
          <w:tcPr>
            <w:tcW w:w="1985" w:type="dxa"/>
            <w:tcBorders>
              <w:left w:val="nil"/>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1.2</w:t>
            </w:r>
          </w:p>
        </w:tc>
      </w:tr>
      <w:tr w:rsidR="00000384" w:rsidRPr="00885D52" w:rsidTr="00E34B87">
        <w:trPr>
          <w:trHeight w:val="285"/>
        </w:trPr>
        <w:tc>
          <w:tcPr>
            <w:tcW w:w="1433" w:type="dxa"/>
            <w:tcBorders>
              <w:right w:val="single" w:sz="4" w:space="0" w:color="A6A6A6" w:themeColor="background1" w:themeShade="A6"/>
            </w:tcBorders>
            <w:shd w:val="clear" w:color="auto" w:fill="F2F2F2"/>
            <w:noWrap/>
            <w:hideMark/>
          </w:tcPr>
          <w:p w:rsidR="00000384" w:rsidRPr="00885D52" w:rsidRDefault="00000384" w:rsidP="007E73A8">
            <w:pPr>
              <w:pStyle w:val="TableText"/>
              <w:rPr>
                <w:lang w:eastAsia="en-NZ"/>
              </w:rPr>
            </w:pPr>
            <w:r w:rsidRPr="00885D52">
              <w:rPr>
                <w:lang w:eastAsia="en-NZ"/>
              </w:rPr>
              <w:t>45–64</w:t>
            </w:r>
          </w:p>
        </w:tc>
        <w:tc>
          <w:tcPr>
            <w:tcW w:w="1984" w:type="dxa"/>
            <w:tcBorders>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42.9</w:t>
            </w:r>
          </w:p>
        </w:tc>
        <w:tc>
          <w:tcPr>
            <w:tcW w:w="1985" w:type="dxa"/>
            <w:tcBorders>
              <w:righ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28.2</w:t>
            </w:r>
          </w:p>
        </w:tc>
        <w:tc>
          <w:tcPr>
            <w:tcW w:w="1984" w:type="dxa"/>
            <w:tcBorders>
              <w:left w:val="single" w:sz="4" w:space="0" w:color="A6A6A6" w:themeColor="background1" w:themeShade="A6"/>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9.8</w:t>
            </w:r>
          </w:p>
        </w:tc>
        <w:tc>
          <w:tcPr>
            <w:tcW w:w="1985" w:type="dxa"/>
            <w:tcBorders>
              <w:left w:val="nil"/>
            </w:tcBorders>
            <w:shd w:val="clear" w:color="auto" w:fill="F2F2F2"/>
            <w:noWrap/>
            <w:vAlign w:val="bottom"/>
            <w:hideMark/>
          </w:tcPr>
          <w:p w:rsidR="00000384" w:rsidRPr="00885D52" w:rsidRDefault="00000384" w:rsidP="007E73A8">
            <w:pPr>
              <w:pStyle w:val="TableText"/>
              <w:tabs>
                <w:tab w:val="decimal" w:pos="856"/>
              </w:tabs>
              <w:rPr>
                <w:lang w:eastAsia="en-NZ"/>
              </w:rPr>
            </w:pPr>
            <w:r w:rsidRPr="00885D52">
              <w:rPr>
                <w:lang w:eastAsia="en-NZ"/>
              </w:rPr>
              <w:t>2.2</w:t>
            </w:r>
          </w:p>
        </w:tc>
      </w:tr>
      <w:tr w:rsidR="00000384" w:rsidRPr="00885D52" w:rsidTr="00E34B87">
        <w:trPr>
          <w:trHeight w:val="300"/>
        </w:trPr>
        <w:tc>
          <w:tcPr>
            <w:tcW w:w="1433" w:type="dxa"/>
            <w:tcBorders>
              <w:bottom w:val="single" w:sz="4" w:space="0" w:color="auto"/>
              <w:right w:val="single" w:sz="4" w:space="0" w:color="A6A6A6" w:themeColor="background1" w:themeShade="A6"/>
            </w:tcBorders>
            <w:shd w:val="clear" w:color="auto" w:fill="auto"/>
            <w:noWrap/>
            <w:hideMark/>
          </w:tcPr>
          <w:p w:rsidR="00000384" w:rsidRPr="00885D52" w:rsidRDefault="00000384" w:rsidP="007E73A8">
            <w:pPr>
              <w:pStyle w:val="TableText"/>
              <w:rPr>
                <w:lang w:eastAsia="en-NZ"/>
              </w:rPr>
            </w:pPr>
            <w:r w:rsidRPr="00885D52">
              <w:rPr>
                <w:lang w:eastAsia="en-NZ"/>
              </w:rPr>
              <w:t>65+</w:t>
            </w:r>
          </w:p>
        </w:tc>
        <w:tc>
          <w:tcPr>
            <w:tcW w:w="1984" w:type="dxa"/>
            <w:tcBorders>
              <w:left w:val="single" w:sz="4" w:space="0" w:color="A6A6A6" w:themeColor="background1" w:themeShade="A6"/>
              <w:bottom w:val="single" w:sz="4" w:space="0" w:color="auto"/>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42.9</w:t>
            </w:r>
          </w:p>
        </w:tc>
        <w:tc>
          <w:tcPr>
            <w:tcW w:w="1985" w:type="dxa"/>
            <w:tcBorders>
              <w:bottom w:val="single" w:sz="4" w:space="0" w:color="auto"/>
              <w:right w:val="single" w:sz="4" w:space="0" w:color="A6A6A6" w:themeColor="background1" w:themeShade="A6"/>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51.3</w:t>
            </w:r>
          </w:p>
        </w:tc>
        <w:tc>
          <w:tcPr>
            <w:tcW w:w="1984" w:type="dxa"/>
            <w:tcBorders>
              <w:left w:val="single" w:sz="4" w:space="0" w:color="A6A6A6" w:themeColor="background1" w:themeShade="A6"/>
              <w:bottom w:val="single" w:sz="4" w:space="0" w:color="auto"/>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34.1</w:t>
            </w:r>
          </w:p>
        </w:tc>
        <w:tc>
          <w:tcPr>
            <w:tcW w:w="1985" w:type="dxa"/>
            <w:tcBorders>
              <w:left w:val="nil"/>
              <w:bottom w:val="single" w:sz="4" w:space="0" w:color="auto"/>
            </w:tcBorders>
            <w:shd w:val="clear" w:color="auto" w:fill="auto"/>
            <w:noWrap/>
            <w:vAlign w:val="bottom"/>
            <w:hideMark/>
          </w:tcPr>
          <w:p w:rsidR="00000384" w:rsidRPr="00885D52" w:rsidRDefault="00000384" w:rsidP="007E73A8">
            <w:pPr>
              <w:pStyle w:val="TableText"/>
              <w:tabs>
                <w:tab w:val="decimal" w:pos="856"/>
              </w:tabs>
              <w:rPr>
                <w:lang w:eastAsia="en-NZ"/>
              </w:rPr>
            </w:pPr>
            <w:r w:rsidRPr="00885D52">
              <w:rPr>
                <w:lang w:eastAsia="en-NZ"/>
              </w:rPr>
              <w:t>6.6</w:t>
            </w:r>
          </w:p>
        </w:tc>
      </w:tr>
    </w:tbl>
    <w:p w:rsidR="00000384" w:rsidRPr="00885D52" w:rsidRDefault="00000384" w:rsidP="00E34B87">
      <w:pPr>
        <w:pStyle w:val="Note"/>
        <w:ind w:right="0"/>
      </w:pPr>
      <w:r w:rsidRPr="00885D52">
        <w:t>Note: Rates per 100,000 female population.</w:t>
      </w:r>
    </w:p>
    <w:p w:rsidR="00000384" w:rsidRPr="00885D52" w:rsidRDefault="00000384" w:rsidP="00E34B87"/>
    <w:p w:rsidR="00000384" w:rsidRPr="00885D52" w:rsidRDefault="00000384" w:rsidP="00003789">
      <w:pPr>
        <w:keepNext/>
      </w:pPr>
      <w:r w:rsidRPr="00885D52">
        <w:lastRenderedPageBreak/>
        <w:t>Figure 22 shows cervical cancer age-standardised mortality rates for Māori and non-Māori between 1996 and 2011.</w:t>
      </w:r>
    </w:p>
    <w:p w:rsidR="00000384" w:rsidRPr="00885D52" w:rsidRDefault="00000384" w:rsidP="00003789">
      <w:pPr>
        <w:keepNext/>
      </w:pPr>
    </w:p>
    <w:p w:rsidR="00000384" w:rsidRPr="00885D52" w:rsidRDefault="00000384" w:rsidP="00E34B87">
      <w:pPr>
        <w:pStyle w:val="Figure"/>
      </w:pPr>
      <w:bookmarkStart w:id="459" w:name="_Toc352670689"/>
      <w:bookmarkStart w:id="460" w:name="_Toc400536121"/>
      <w:bookmarkStart w:id="461" w:name="_Toc403120596"/>
      <w:r w:rsidRPr="00885D52">
        <w:t>Figure 22: Age-standardised mortality rates from cervical cancer, by ethnicity, 1996–201</w:t>
      </w:r>
      <w:bookmarkEnd w:id="459"/>
      <w:r w:rsidRPr="00885D52">
        <w:t>1</w:t>
      </w:r>
      <w:bookmarkEnd w:id="460"/>
      <w:bookmarkEnd w:id="461"/>
    </w:p>
    <w:p w:rsidR="00000384" w:rsidRPr="00885D52" w:rsidRDefault="00E34B87" w:rsidP="00E34B87">
      <w:r w:rsidRPr="00885D52">
        <w:rPr>
          <w:noProof/>
          <w:lang w:eastAsia="en-NZ"/>
        </w:rPr>
        <w:drawing>
          <wp:inline distT="0" distB="0" distL="0" distR="0" wp14:anchorId="46AA8765" wp14:editId="1718F52D">
            <wp:extent cx="5845754" cy="3566160"/>
            <wp:effectExtent l="0" t="0" r="3175" b="0"/>
            <wp:docPr id="14" name="Picture 14" descr="Figure 22: Age-standardised mortality rates from cervical cancer, by ethnicity, 1996–2011" title="Figure 22: Age-standardised mortality rates from cervical cancer, by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50017" cy="3568761"/>
                    </a:xfrm>
                    <a:prstGeom prst="rect">
                      <a:avLst/>
                    </a:prstGeom>
                  </pic:spPr>
                </pic:pic>
              </a:graphicData>
            </a:graphic>
          </wp:inline>
        </w:drawing>
      </w:r>
    </w:p>
    <w:p w:rsidR="00000384" w:rsidRPr="00885D52" w:rsidRDefault="00000384" w:rsidP="00000384">
      <w:pPr>
        <w:pStyle w:val="Note"/>
        <w:ind w:left="0" w:firstLine="0"/>
      </w:pPr>
      <w:r w:rsidRPr="00885D52">
        <w:t>Note: Rates per 100,000 female population, age-standardised to WHO World Standard Population; 95% confidence intervals.</w:t>
      </w:r>
    </w:p>
    <w:p w:rsidR="00000384" w:rsidRPr="00885D52" w:rsidRDefault="00000384" w:rsidP="00E34B87"/>
    <w:p w:rsidR="00000384" w:rsidRPr="00885D52" w:rsidRDefault="00000384" w:rsidP="00E34B87">
      <w:r w:rsidRPr="00885D52">
        <w:t>The Māori rate of cervical cancer death decreased by 58.7 percent between 1996 and 2011, while the non-Māori rate decreased by 52.5 percent.</w:t>
      </w:r>
    </w:p>
    <w:p w:rsidR="00000384" w:rsidRPr="00885D52" w:rsidRDefault="00000384" w:rsidP="00E34B87"/>
    <w:p w:rsidR="00000384" w:rsidRPr="00885D52" w:rsidRDefault="00000384" w:rsidP="00E34B87">
      <w:r w:rsidRPr="00885D52">
        <w:t>Māori accounted for one-quarter (26.4 percent) of cervical cancer deaths in 2011, and the Māori age-standardised death rate was almost four times higher than the non-Māori rate.</w:t>
      </w:r>
    </w:p>
    <w:p w:rsidR="00000384" w:rsidRPr="00885D52" w:rsidRDefault="00000384" w:rsidP="00E34B87"/>
    <w:p w:rsidR="00000384" w:rsidRPr="00885D52" w:rsidRDefault="00000384" w:rsidP="00E34B87">
      <w:r w:rsidRPr="00885D52">
        <w:t>The confidence intervals in Figure 22 show that between 1996 and 2011 there was a significant decrease in cervical cancer death rates for non-Māori women but not for Māori women. (Note that the Māori numbers here are low (2011 Māori n=14); the confidence intervals reflect the large potential variance associated with such small totals.)</w:t>
      </w:r>
    </w:p>
    <w:p w:rsidR="00000384" w:rsidRPr="00885D52" w:rsidRDefault="00000384" w:rsidP="00E34B87"/>
    <w:p w:rsidR="00003789" w:rsidRDefault="00003789">
      <w:pPr>
        <w:spacing w:line="240" w:lineRule="auto"/>
        <w:rPr>
          <w:b/>
          <w:sz w:val="40"/>
        </w:rPr>
      </w:pPr>
      <w:bookmarkStart w:id="462" w:name="_Toc437749002"/>
      <w:bookmarkStart w:id="463" w:name="_Toc167268833"/>
      <w:bookmarkStart w:id="464" w:name="_Toc236642213"/>
      <w:bookmarkStart w:id="465" w:name="_Toc262631092"/>
      <w:bookmarkStart w:id="466" w:name="_Toc316994475"/>
      <w:bookmarkStart w:id="467" w:name="_Toc352670632"/>
      <w:bookmarkStart w:id="468" w:name="_Toc400536188"/>
      <w:bookmarkStart w:id="469" w:name="_Toc403120528"/>
      <w:r>
        <w:br w:type="page"/>
      </w:r>
    </w:p>
    <w:p w:rsidR="00000384" w:rsidRPr="00885D52" w:rsidRDefault="00000384" w:rsidP="00003789">
      <w:pPr>
        <w:pStyle w:val="Heading2"/>
        <w:spacing w:before="0"/>
      </w:pPr>
      <w:r w:rsidRPr="00885D52">
        <w:lastRenderedPageBreak/>
        <w:t>Ischaemic heart disease</w:t>
      </w:r>
      <w:bookmarkEnd w:id="462"/>
      <w:r w:rsidRPr="00885D52">
        <w:t xml:space="preserve"> (I20–I25)</w:t>
      </w:r>
      <w:bookmarkEnd w:id="463"/>
      <w:bookmarkEnd w:id="464"/>
      <w:bookmarkEnd w:id="465"/>
      <w:bookmarkEnd w:id="466"/>
      <w:bookmarkEnd w:id="467"/>
      <w:bookmarkEnd w:id="468"/>
      <w:bookmarkEnd w:id="469"/>
    </w:p>
    <w:p w:rsidR="00000384" w:rsidRPr="00885D52" w:rsidRDefault="00000384" w:rsidP="00E34B87">
      <w:r w:rsidRPr="00885D52">
        <w:t>Ischaemic (or coronary) heart disease is a condition in which fatty deposits accumulate in the cells lining the wall of the coronary arteries – a process called atherosclerosis. The progressive narrowing and hardening of the arteries over time results in an inability to provide adequate oxygen to the heart muscle (called ischaemia). This can cause damage to the heart muscle or, in more severe cases, lead to myocardial infarction (a heart attack).</w:t>
      </w:r>
    </w:p>
    <w:p w:rsidR="00000384" w:rsidRPr="00885D52" w:rsidRDefault="00000384" w:rsidP="00E34B87"/>
    <w:p w:rsidR="00000384" w:rsidRPr="00885D52" w:rsidRDefault="00000384" w:rsidP="00E34B87">
      <w:r w:rsidRPr="00885D52">
        <w:t>Ischaemic heart disease was the second leading cause of death after cancer in 2011, accounting for 5534 deaths (18.3 percent of all deaths). Males accounted for 53.0 percent of these deaths.</w:t>
      </w:r>
    </w:p>
    <w:p w:rsidR="00000384" w:rsidRPr="00885D52" w:rsidRDefault="00000384" w:rsidP="00E34B87"/>
    <w:p w:rsidR="00000384" w:rsidRPr="00885D52" w:rsidRDefault="00000384" w:rsidP="00E34B87">
      <w:r w:rsidRPr="00885D52">
        <w:t>Table 16 shows numbers and age-standardised mortality rates for ischaemic heart disease from 1980 to 2011. The male mortality rate showed a downward trend over this period, decreasing by 71.8 percent. Similarly, the mortality rate for females decreased by 68.3 percent.</w:t>
      </w:r>
    </w:p>
    <w:p w:rsidR="00E34B87" w:rsidRPr="00885D52" w:rsidRDefault="00E34B87" w:rsidP="00E34B87"/>
    <w:p w:rsidR="00000384" w:rsidRPr="00885D52" w:rsidRDefault="00000384" w:rsidP="00E34B87">
      <w:r w:rsidRPr="00885D52">
        <w:t>The male age-standardised mortality rate from ischaemic heart disease was consistently higher than the female rate over this time: it was approximately double the equivalent female rate for most of the period. In 2011 the male rate was 1.8 times the female rate.</w:t>
      </w:r>
    </w:p>
    <w:p w:rsidR="00000384" w:rsidRPr="00885D52" w:rsidRDefault="00000384" w:rsidP="00E34B87"/>
    <w:p w:rsidR="00000384" w:rsidRPr="00885D52" w:rsidRDefault="00000384" w:rsidP="00E34B87">
      <w:pPr>
        <w:pStyle w:val="Table"/>
      </w:pPr>
      <w:bookmarkStart w:id="470" w:name="_Ref132176187"/>
      <w:bookmarkStart w:id="471" w:name="_Toc167268865"/>
      <w:bookmarkStart w:id="472" w:name="_Toc236641656"/>
      <w:bookmarkStart w:id="473" w:name="_Toc262631240"/>
      <w:bookmarkStart w:id="474" w:name="_Toc316912733"/>
      <w:bookmarkStart w:id="475" w:name="_Toc352670665"/>
      <w:bookmarkStart w:id="476" w:name="_Toc400536156"/>
      <w:bookmarkStart w:id="477" w:name="_Toc403120561"/>
      <w:r w:rsidRPr="00885D52">
        <w:lastRenderedPageBreak/>
        <w:t xml:space="preserve">Table </w:t>
      </w:r>
      <w:bookmarkEnd w:id="470"/>
      <w:r w:rsidRPr="00885D52">
        <w:t>16: Numbers and age-standardised mortality rates from ischaemic heart disease, by sex, 1980–</w:t>
      </w:r>
      <w:bookmarkEnd w:id="471"/>
      <w:bookmarkEnd w:id="472"/>
      <w:bookmarkEnd w:id="473"/>
      <w:r w:rsidRPr="00885D52">
        <w:t>201</w:t>
      </w:r>
      <w:bookmarkEnd w:id="474"/>
      <w:bookmarkEnd w:id="475"/>
      <w:r w:rsidRPr="00885D52">
        <w:t>1</w:t>
      </w:r>
      <w:bookmarkEnd w:id="476"/>
      <w:bookmarkEnd w:id="477"/>
    </w:p>
    <w:tbl>
      <w:tblPr>
        <w:tblW w:w="7938" w:type="dxa"/>
        <w:tblInd w:w="57" w:type="dxa"/>
        <w:tblLayout w:type="fixed"/>
        <w:tblCellMar>
          <w:left w:w="57" w:type="dxa"/>
          <w:right w:w="57" w:type="dxa"/>
        </w:tblCellMar>
        <w:tblLook w:val="04A0" w:firstRow="1" w:lastRow="0" w:firstColumn="1" w:lastColumn="0" w:noHBand="0" w:noVBand="1"/>
      </w:tblPr>
      <w:tblGrid>
        <w:gridCol w:w="1196"/>
        <w:gridCol w:w="1118"/>
        <w:gridCol w:w="1118"/>
        <w:gridCol w:w="1118"/>
        <w:gridCol w:w="1118"/>
        <w:gridCol w:w="1118"/>
        <w:gridCol w:w="1152"/>
      </w:tblGrid>
      <w:tr w:rsidR="00000384" w:rsidRPr="00885D52" w:rsidTr="0008616A">
        <w:trPr>
          <w:cantSplit/>
        </w:trPr>
        <w:tc>
          <w:tcPr>
            <w:tcW w:w="1196" w:type="dxa"/>
            <w:vMerge w:val="restart"/>
            <w:tcBorders>
              <w:top w:val="single" w:sz="4" w:space="0" w:color="auto"/>
              <w:left w:val="nil"/>
              <w:bottom w:val="single" w:sz="4" w:space="0" w:color="auto"/>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b/>
                <w:color w:val="000000"/>
                <w:lang w:eastAsia="en-NZ"/>
              </w:rPr>
            </w:pPr>
            <w:r w:rsidRPr="00885D52">
              <w:rPr>
                <w:b/>
                <w:color w:val="000000"/>
                <w:lang w:eastAsia="en-NZ"/>
              </w:rPr>
              <w:t>Year</w:t>
            </w:r>
          </w:p>
        </w:tc>
        <w:tc>
          <w:tcPr>
            <w:tcW w:w="2236"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Male</w:t>
            </w:r>
          </w:p>
        </w:tc>
        <w:tc>
          <w:tcPr>
            <w:tcW w:w="2236"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Female</w:t>
            </w:r>
          </w:p>
        </w:tc>
        <w:tc>
          <w:tcPr>
            <w:tcW w:w="2270" w:type="dxa"/>
            <w:gridSpan w:val="2"/>
            <w:tcBorders>
              <w:top w:val="single" w:sz="4" w:space="0" w:color="auto"/>
              <w:left w:val="single" w:sz="4" w:space="0" w:color="A6A6A6" w:themeColor="background1" w:themeShade="A6"/>
              <w:bottom w:val="single" w:sz="4" w:space="0" w:color="auto"/>
              <w:right w:val="nil"/>
            </w:tcBorders>
          </w:tcPr>
          <w:p w:rsidR="00000384" w:rsidRPr="00885D52" w:rsidRDefault="00000384" w:rsidP="00003789">
            <w:pPr>
              <w:pStyle w:val="TableText"/>
              <w:keepNext/>
              <w:jc w:val="center"/>
              <w:rPr>
                <w:b/>
                <w:color w:val="000000"/>
                <w:lang w:eastAsia="en-NZ"/>
              </w:rPr>
            </w:pPr>
            <w:r w:rsidRPr="00885D52">
              <w:rPr>
                <w:b/>
                <w:color w:val="000000"/>
                <w:lang w:eastAsia="en-NZ"/>
              </w:rPr>
              <w:t>Total</w:t>
            </w:r>
          </w:p>
        </w:tc>
      </w:tr>
      <w:tr w:rsidR="00000384" w:rsidRPr="00885D52" w:rsidTr="0008616A">
        <w:trPr>
          <w:cantSplit/>
        </w:trPr>
        <w:tc>
          <w:tcPr>
            <w:tcW w:w="1196" w:type="dxa"/>
            <w:vMerge/>
            <w:tcBorders>
              <w:top w:val="single" w:sz="4" w:space="0" w:color="auto"/>
              <w:left w:val="nil"/>
              <w:bottom w:val="single" w:sz="4" w:space="0" w:color="auto"/>
              <w:right w:val="single" w:sz="4" w:space="0" w:color="A6A6A6" w:themeColor="background1" w:themeShade="A6"/>
            </w:tcBorders>
            <w:shd w:val="clear" w:color="auto" w:fill="auto"/>
            <w:hideMark/>
          </w:tcPr>
          <w:p w:rsidR="00000384" w:rsidRPr="00885D52" w:rsidRDefault="00000384" w:rsidP="0008616A">
            <w:pPr>
              <w:pStyle w:val="TableText"/>
              <w:keepNext/>
              <w:jc w:val="center"/>
              <w:rPr>
                <w:color w:val="000000"/>
                <w:lang w:eastAsia="en-NZ"/>
              </w:rPr>
            </w:pPr>
          </w:p>
        </w:tc>
        <w:tc>
          <w:tcPr>
            <w:tcW w:w="1118"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No.</w:t>
            </w:r>
          </w:p>
        </w:tc>
        <w:tc>
          <w:tcPr>
            <w:tcW w:w="1118" w:type="dxa"/>
            <w:tcBorders>
              <w:top w:val="single" w:sz="4" w:space="0" w:color="auto"/>
              <w:bottom w:val="single" w:sz="4" w:space="0" w:color="auto"/>
              <w:right w:val="single" w:sz="4" w:space="0" w:color="A6A6A6" w:themeColor="background1" w:themeShade="A6"/>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Rate</w:t>
            </w:r>
          </w:p>
        </w:tc>
        <w:tc>
          <w:tcPr>
            <w:tcW w:w="1118" w:type="dxa"/>
            <w:tcBorders>
              <w:top w:val="single" w:sz="4" w:space="0" w:color="auto"/>
              <w:left w:val="single" w:sz="4" w:space="0" w:color="A6A6A6" w:themeColor="background1" w:themeShade="A6"/>
              <w:bottom w:val="single" w:sz="4" w:space="0" w:color="auto"/>
            </w:tcBorders>
          </w:tcPr>
          <w:p w:rsidR="00000384" w:rsidRPr="00885D52" w:rsidRDefault="00000384" w:rsidP="00003789">
            <w:pPr>
              <w:pStyle w:val="TableText"/>
              <w:keepNext/>
              <w:jc w:val="center"/>
              <w:rPr>
                <w:b/>
                <w:color w:val="000000"/>
                <w:lang w:eastAsia="en-NZ"/>
              </w:rPr>
            </w:pPr>
            <w:r w:rsidRPr="00885D52">
              <w:rPr>
                <w:b/>
                <w:color w:val="000000"/>
                <w:lang w:eastAsia="en-NZ"/>
              </w:rPr>
              <w:t>No.</w:t>
            </w:r>
          </w:p>
        </w:tc>
        <w:tc>
          <w:tcPr>
            <w:tcW w:w="1118" w:type="dxa"/>
            <w:tcBorders>
              <w:top w:val="single" w:sz="4" w:space="0" w:color="auto"/>
              <w:bottom w:val="single" w:sz="4" w:space="0" w:color="auto"/>
              <w:right w:val="single" w:sz="4" w:space="0" w:color="A6A6A6" w:themeColor="background1" w:themeShade="A6"/>
            </w:tcBorders>
          </w:tcPr>
          <w:p w:rsidR="00000384" w:rsidRPr="00885D52" w:rsidRDefault="00000384" w:rsidP="00003789">
            <w:pPr>
              <w:pStyle w:val="TableText"/>
              <w:keepNext/>
              <w:jc w:val="center"/>
              <w:rPr>
                <w:b/>
                <w:color w:val="000000"/>
                <w:lang w:eastAsia="en-NZ"/>
              </w:rPr>
            </w:pPr>
            <w:r w:rsidRPr="00885D52">
              <w:rPr>
                <w:b/>
                <w:color w:val="000000"/>
                <w:lang w:eastAsia="en-NZ"/>
              </w:rPr>
              <w:t>Rate</w:t>
            </w:r>
          </w:p>
        </w:tc>
        <w:tc>
          <w:tcPr>
            <w:tcW w:w="1118"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No.</w:t>
            </w:r>
          </w:p>
        </w:tc>
        <w:tc>
          <w:tcPr>
            <w:tcW w:w="1152" w:type="dxa"/>
            <w:tcBorders>
              <w:top w:val="single" w:sz="4" w:space="0" w:color="auto"/>
              <w:left w:val="nil"/>
              <w:bottom w:val="single" w:sz="4" w:space="0" w:color="auto"/>
              <w:right w:val="nil"/>
            </w:tcBorders>
            <w:shd w:val="clear" w:color="auto" w:fill="auto"/>
            <w:noWrap/>
            <w:hideMark/>
          </w:tcPr>
          <w:p w:rsidR="00000384" w:rsidRPr="00885D52" w:rsidRDefault="00000384" w:rsidP="00003789">
            <w:pPr>
              <w:pStyle w:val="TableText"/>
              <w:keepNext/>
              <w:jc w:val="center"/>
              <w:rPr>
                <w:b/>
                <w:color w:val="000000"/>
                <w:lang w:eastAsia="en-NZ"/>
              </w:rPr>
            </w:pPr>
            <w:r w:rsidRPr="00885D52">
              <w:rPr>
                <w:b/>
                <w:color w:val="000000"/>
                <w:lang w:eastAsia="en-NZ"/>
              </w:rPr>
              <w:t>Rate</w:t>
            </w:r>
          </w:p>
        </w:tc>
      </w:tr>
      <w:tr w:rsidR="00000384" w:rsidRPr="00885D52" w:rsidTr="0008616A">
        <w:trPr>
          <w:cantSplit/>
        </w:trPr>
        <w:tc>
          <w:tcPr>
            <w:tcW w:w="1196" w:type="dxa"/>
            <w:tcBorders>
              <w:top w:val="single" w:sz="4" w:space="0" w:color="auto"/>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1980</w:t>
            </w:r>
          </w:p>
        </w:tc>
        <w:tc>
          <w:tcPr>
            <w:tcW w:w="1118" w:type="dxa"/>
            <w:tcBorders>
              <w:top w:val="single" w:sz="4" w:space="0" w:color="auto"/>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4413</w:t>
            </w:r>
          </w:p>
        </w:tc>
        <w:tc>
          <w:tcPr>
            <w:tcW w:w="1118" w:type="dxa"/>
            <w:tcBorders>
              <w:top w:val="single" w:sz="4" w:space="0" w:color="auto"/>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304.4</w:t>
            </w:r>
          </w:p>
        </w:tc>
        <w:tc>
          <w:tcPr>
            <w:tcW w:w="1118" w:type="dxa"/>
            <w:tcBorders>
              <w:top w:val="single" w:sz="4" w:space="0" w:color="auto"/>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3046</w:t>
            </w:r>
          </w:p>
        </w:tc>
        <w:tc>
          <w:tcPr>
            <w:tcW w:w="1118" w:type="dxa"/>
            <w:tcBorders>
              <w:top w:val="single" w:sz="4" w:space="0" w:color="auto"/>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149.2</w:t>
            </w:r>
          </w:p>
        </w:tc>
        <w:tc>
          <w:tcPr>
            <w:tcW w:w="1118" w:type="dxa"/>
            <w:tcBorders>
              <w:top w:val="single" w:sz="4" w:space="0" w:color="auto"/>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7459</w:t>
            </w:r>
          </w:p>
        </w:tc>
        <w:tc>
          <w:tcPr>
            <w:tcW w:w="1152" w:type="dxa"/>
            <w:tcBorders>
              <w:top w:val="single" w:sz="4" w:space="0" w:color="auto"/>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217.4</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1981</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4259</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285.3</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2883</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134.7</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7142</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201.6</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1982</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4362</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285.0</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2939</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133.6</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7301</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200.9</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1983</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4241</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274.8</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2904</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128.3</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7145</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192.6</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1984</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4245</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268.2</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2951</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127.5</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7196</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189.6</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1985</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4234</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262.9</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3106</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128.8</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7340</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188.8</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1986</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4346</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263.4</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3109</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126.6</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7455</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187.4</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1987</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4379</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260.1</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3235</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128.7</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7614</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187.8</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1988</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4173</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243.4</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3079</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118.8</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7252</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174.9</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1989</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4071</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233.4</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2964</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111.9</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7035</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166.3</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1990</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3884</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217.5</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2923</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108.4</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6807</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157.3</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1991</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3789</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208.6</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2954</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105.8</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6743</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151.7</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1992</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4064</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217.3</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3034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104.0</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7098</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155.1</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1993</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3842</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201.0</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3056</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102.7</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6898</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146.7</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1994</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3718</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190.5</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2901</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94.9</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6619</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137.2</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1995</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3810</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191.2</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2887</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90.8</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6697</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135.9</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1996</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3729</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182.0</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2904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87.8</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6633</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130.1</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1997</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3614</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168.0</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2755</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79.9</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6369</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119.4</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1998</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3479</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158.1</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2724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75.3</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6203</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112.3</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1999</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3646</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160.9</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2925</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79.2</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6571</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115.6</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2000</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3269</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140.3</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2704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71.2</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5973</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102.2</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2001</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3389</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140.2</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2982</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75.2</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6371</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104.1</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keepNext/>
              <w:jc w:val="center"/>
              <w:rPr>
                <w:color w:val="000000"/>
                <w:lang w:eastAsia="en-NZ"/>
              </w:rPr>
            </w:pPr>
            <w:r w:rsidRPr="00885D52">
              <w:rPr>
                <w:color w:val="000000"/>
                <w:lang w:eastAsia="en-NZ"/>
              </w:rPr>
              <w:t>2002</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003789">
            <w:pPr>
              <w:pStyle w:val="TableText"/>
              <w:keepNext/>
              <w:jc w:val="center"/>
              <w:rPr>
                <w:color w:val="000000"/>
                <w:lang w:eastAsia="en-NZ"/>
              </w:rPr>
            </w:pPr>
            <w:r w:rsidRPr="00885D52">
              <w:rPr>
                <w:color w:val="000000"/>
                <w:lang w:eastAsia="en-NZ"/>
              </w:rPr>
              <w:t>3333</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134.2</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003789">
            <w:pPr>
              <w:pStyle w:val="TableText"/>
              <w:keepNext/>
              <w:jc w:val="center"/>
              <w:rPr>
                <w:color w:val="000000"/>
                <w:lang w:eastAsia="en-NZ"/>
              </w:rPr>
            </w:pPr>
            <w:r w:rsidRPr="00885D52">
              <w:rPr>
                <w:color w:val="000000"/>
                <w:lang w:eastAsia="en-NZ"/>
              </w:rPr>
              <w:t>2954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003789">
            <w:pPr>
              <w:pStyle w:val="TableText"/>
              <w:keepNext/>
              <w:tabs>
                <w:tab w:val="decimal" w:pos="538"/>
              </w:tabs>
              <w:rPr>
                <w:color w:val="000000"/>
                <w:lang w:eastAsia="en-NZ"/>
              </w:rPr>
            </w:pPr>
            <w:r w:rsidRPr="00885D52">
              <w:rPr>
                <w:color w:val="000000"/>
                <w:lang w:eastAsia="en-NZ"/>
              </w:rPr>
              <w:t>71.4</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003789">
            <w:pPr>
              <w:pStyle w:val="TableText"/>
              <w:keepNext/>
              <w:jc w:val="center"/>
              <w:rPr>
                <w:color w:val="000000"/>
                <w:lang w:eastAsia="en-NZ"/>
              </w:rPr>
            </w:pPr>
            <w:r w:rsidRPr="00885D52">
              <w:rPr>
                <w:color w:val="000000"/>
                <w:lang w:eastAsia="en-NZ"/>
              </w:rPr>
              <w:t>6287</w:t>
            </w:r>
          </w:p>
        </w:tc>
        <w:tc>
          <w:tcPr>
            <w:tcW w:w="1152" w:type="dxa"/>
            <w:tcBorders>
              <w:top w:val="nil"/>
              <w:left w:val="nil"/>
              <w:bottom w:val="nil"/>
              <w:right w:val="nil"/>
            </w:tcBorders>
            <w:shd w:val="clear" w:color="auto" w:fill="F2F2F2"/>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99.8</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keepNext/>
              <w:jc w:val="center"/>
              <w:rPr>
                <w:color w:val="000000"/>
                <w:lang w:eastAsia="en-NZ"/>
              </w:rPr>
            </w:pPr>
            <w:r w:rsidRPr="00885D52">
              <w:rPr>
                <w:color w:val="000000"/>
                <w:lang w:eastAsia="en-NZ"/>
              </w:rPr>
              <w:t>2003</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003789">
            <w:pPr>
              <w:pStyle w:val="TableText"/>
              <w:keepNext/>
              <w:jc w:val="center"/>
              <w:rPr>
                <w:color w:val="000000"/>
                <w:lang w:eastAsia="en-NZ"/>
              </w:rPr>
            </w:pPr>
            <w:r w:rsidRPr="00885D52">
              <w:rPr>
                <w:color w:val="000000"/>
                <w:lang w:eastAsia="en-NZ"/>
              </w:rPr>
              <w:t>3243</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003789">
            <w:pPr>
              <w:pStyle w:val="TableText"/>
              <w:keepNext/>
              <w:tabs>
                <w:tab w:val="decimal" w:pos="606"/>
              </w:tabs>
              <w:rPr>
                <w:color w:val="000000"/>
                <w:lang w:eastAsia="en-NZ"/>
              </w:rPr>
            </w:pPr>
            <w:r w:rsidRPr="00885D52">
              <w:rPr>
                <w:color w:val="000000"/>
                <w:lang w:eastAsia="en-NZ"/>
              </w:rPr>
              <w:t>126.7</w:t>
            </w:r>
          </w:p>
        </w:tc>
        <w:tc>
          <w:tcPr>
            <w:tcW w:w="1118" w:type="dxa"/>
            <w:tcBorders>
              <w:top w:val="nil"/>
              <w:left w:val="single" w:sz="4" w:space="0" w:color="A6A6A6" w:themeColor="background1" w:themeShade="A6"/>
            </w:tcBorders>
          </w:tcPr>
          <w:p w:rsidR="00000384" w:rsidRPr="00885D52" w:rsidRDefault="00000384" w:rsidP="00003789">
            <w:pPr>
              <w:pStyle w:val="TableText"/>
              <w:keepNext/>
              <w:jc w:val="center"/>
              <w:rPr>
                <w:color w:val="000000"/>
                <w:lang w:eastAsia="en-NZ"/>
              </w:rPr>
            </w:pPr>
            <w:r w:rsidRPr="00885D52">
              <w:rPr>
                <w:color w:val="000000"/>
                <w:lang w:eastAsia="en-NZ"/>
              </w:rPr>
              <w:t>2953</w:t>
            </w:r>
          </w:p>
        </w:tc>
        <w:tc>
          <w:tcPr>
            <w:tcW w:w="1118" w:type="dxa"/>
            <w:tcBorders>
              <w:top w:val="nil"/>
              <w:right w:val="single" w:sz="4" w:space="0" w:color="A6A6A6" w:themeColor="background1" w:themeShade="A6"/>
            </w:tcBorders>
          </w:tcPr>
          <w:p w:rsidR="00000384" w:rsidRPr="00885D52" w:rsidRDefault="00000384" w:rsidP="00003789">
            <w:pPr>
              <w:pStyle w:val="TableText"/>
              <w:keepNext/>
              <w:tabs>
                <w:tab w:val="decimal" w:pos="538"/>
              </w:tabs>
              <w:rPr>
                <w:color w:val="000000"/>
                <w:lang w:eastAsia="en-NZ"/>
              </w:rPr>
            </w:pPr>
            <w:r w:rsidRPr="00885D52">
              <w:rPr>
                <w:color w:val="000000"/>
                <w:lang w:eastAsia="en-NZ"/>
              </w:rPr>
              <w:t>68.4</w:t>
            </w:r>
          </w:p>
        </w:tc>
        <w:tc>
          <w:tcPr>
            <w:tcW w:w="1118" w:type="dxa"/>
            <w:tcBorders>
              <w:top w:val="nil"/>
              <w:left w:val="single" w:sz="4" w:space="0" w:color="A6A6A6" w:themeColor="background1" w:themeShade="A6"/>
            </w:tcBorders>
            <w:shd w:val="clear" w:color="auto" w:fill="auto"/>
            <w:noWrap/>
          </w:tcPr>
          <w:p w:rsidR="00000384" w:rsidRPr="00885D52" w:rsidRDefault="00000384" w:rsidP="00003789">
            <w:pPr>
              <w:pStyle w:val="TableText"/>
              <w:keepNext/>
              <w:jc w:val="center"/>
              <w:rPr>
                <w:color w:val="000000"/>
                <w:lang w:eastAsia="en-NZ"/>
              </w:rPr>
            </w:pPr>
            <w:r w:rsidRPr="00885D52">
              <w:rPr>
                <w:color w:val="000000"/>
                <w:lang w:eastAsia="en-NZ"/>
              </w:rPr>
              <w:t>6196</w:t>
            </w:r>
          </w:p>
        </w:tc>
        <w:tc>
          <w:tcPr>
            <w:tcW w:w="1152" w:type="dxa"/>
            <w:tcBorders>
              <w:top w:val="nil"/>
              <w:left w:val="nil"/>
              <w:right w:val="nil"/>
            </w:tcBorders>
            <w:shd w:val="clear" w:color="auto" w:fill="auto"/>
            <w:noWrap/>
          </w:tcPr>
          <w:p w:rsidR="00000384" w:rsidRPr="00885D52" w:rsidRDefault="00000384" w:rsidP="00003789">
            <w:pPr>
              <w:pStyle w:val="TableText"/>
              <w:keepNext/>
              <w:tabs>
                <w:tab w:val="decimal" w:pos="567"/>
              </w:tabs>
              <w:rPr>
                <w:color w:val="000000"/>
                <w:lang w:eastAsia="en-NZ"/>
              </w:rPr>
            </w:pPr>
            <w:r w:rsidRPr="00885D52">
              <w:rPr>
                <w:color w:val="000000"/>
                <w:lang w:eastAsia="en-NZ"/>
              </w:rPr>
              <w:t>94.9</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jc w:val="center"/>
              <w:rPr>
                <w:color w:val="000000"/>
                <w:lang w:eastAsia="en-NZ"/>
              </w:rPr>
            </w:pPr>
            <w:r w:rsidRPr="00885D52">
              <w:rPr>
                <w:color w:val="000000"/>
                <w:lang w:eastAsia="en-NZ"/>
              </w:rPr>
              <w:t>2004</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E34B87">
            <w:pPr>
              <w:pStyle w:val="TableText"/>
              <w:jc w:val="center"/>
              <w:rPr>
                <w:color w:val="000000"/>
                <w:lang w:eastAsia="en-NZ"/>
              </w:rPr>
            </w:pPr>
            <w:r w:rsidRPr="00885D52">
              <w:rPr>
                <w:color w:val="000000"/>
                <w:lang w:eastAsia="en-NZ"/>
              </w:rPr>
              <w:t>3366</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127.6</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E34B87">
            <w:pPr>
              <w:pStyle w:val="TableText"/>
              <w:jc w:val="center"/>
              <w:rPr>
                <w:color w:val="000000"/>
                <w:lang w:eastAsia="en-NZ"/>
              </w:rPr>
            </w:pPr>
            <w:r w:rsidRPr="00885D52">
              <w:rPr>
                <w:color w:val="000000"/>
                <w:lang w:eastAsia="en-NZ"/>
              </w:rPr>
              <w:t>2947</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E34B87">
            <w:pPr>
              <w:pStyle w:val="TableText"/>
              <w:tabs>
                <w:tab w:val="decimal" w:pos="538"/>
              </w:tabs>
              <w:rPr>
                <w:color w:val="000000"/>
                <w:lang w:eastAsia="en-NZ"/>
              </w:rPr>
            </w:pPr>
            <w:r w:rsidRPr="00885D52">
              <w:rPr>
                <w:color w:val="000000"/>
                <w:lang w:eastAsia="en-NZ"/>
              </w:rPr>
              <w:t>67.0</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E34B87">
            <w:pPr>
              <w:pStyle w:val="TableText"/>
              <w:jc w:val="center"/>
              <w:rPr>
                <w:color w:val="000000"/>
                <w:lang w:eastAsia="en-NZ"/>
              </w:rPr>
            </w:pPr>
            <w:r w:rsidRPr="00885D52">
              <w:rPr>
                <w:color w:val="000000"/>
                <w:lang w:eastAsia="en-NZ"/>
              </w:rPr>
              <w:t>6313</w:t>
            </w:r>
          </w:p>
        </w:tc>
        <w:tc>
          <w:tcPr>
            <w:tcW w:w="1152" w:type="dxa"/>
            <w:tcBorders>
              <w:top w:val="nil"/>
              <w:left w:val="nil"/>
              <w:bottom w:val="nil"/>
              <w:right w:val="nil"/>
            </w:tcBorders>
            <w:shd w:val="clear" w:color="auto" w:fill="F2F2F2"/>
            <w:noWrap/>
          </w:tcPr>
          <w:p w:rsidR="00000384" w:rsidRPr="00885D52" w:rsidRDefault="00000384" w:rsidP="00E34B87">
            <w:pPr>
              <w:pStyle w:val="TableText"/>
              <w:tabs>
                <w:tab w:val="decimal" w:pos="567"/>
              </w:tabs>
              <w:rPr>
                <w:color w:val="000000"/>
                <w:lang w:eastAsia="en-NZ"/>
              </w:rPr>
            </w:pPr>
            <w:r w:rsidRPr="00885D52">
              <w:rPr>
                <w:color w:val="000000"/>
                <w:lang w:eastAsia="en-NZ"/>
              </w:rPr>
              <w:t>94.4</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jc w:val="center"/>
              <w:rPr>
                <w:color w:val="000000"/>
                <w:lang w:eastAsia="en-NZ"/>
              </w:rPr>
            </w:pPr>
            <w:r w:rsidRPr="00885D52">
              <w:rPr>
                <w:color w:val="000000"/>
                <w:lang w:eastAsia="en-NZ"/>
              </w:rPr>
              <w:t>2005</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E34B87">
            <w:pPr>
              <w:pStyle w:val="TableText"/>
              <w:jc w:val="center"/>
              <w:rPr>
                <w:color w:val="000000"/>
                <w:lang w:eastAsia="en-NZ"/>
              </w:rPr>
            </w:pPr>
            <w:r w:rsidRPr="00885D52">
              <w:rPr>
                <w:color w:val="000000"/>
                <w:lang w:eastAsia="en-NZ"/>
              </w:rPr>
              <w:t>3057</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111.8</w:t>
            </w:r>
          </w:p>
        </w:tc>
        <w:tc>
          <w:tcPr>
            <w:tcW w:w="1118" w:type="dxa"/>
            <w:tcBorders>
              <w:top w:val="nil"/>
              <w:left w:val="single" w:sz="4" w:space="0" w:color="A6A6A6" w:themeColor="background1" w:themeShade="A6"/>
            </w:tcBorders>
          </w:tcPr>
          <w:p w:rsidR="00000384" w:rsidRPr="00885D52" w:rsidRDefault="00000384" w:rsidP="00E34B87">
            <w:pPr>
              <w:pStyle w:val="TableText"/>
              <w:jc w:val="center"/>
              <w:rPr>
                <w:color w:val="000000"/>
                <w:lang w:eastAsia="en-NZ"/>
              </w:rPr>
            </w:pPr>
            <w:r w:rsidRPr="00885D52">
              <w:rPr>
                <w:color w:val="000000"/>
                <w:lang w:eastAsia="en-NZ"/>
              </w:rPr>
              <w:t>2750</w:t>
            </w:r>
          </w:p>
        </w:tc>
        <w:tc>
          <w:tcPr>
            <w:tcW w:w="1118" w:type="dxa"/>
            <w:tcBorders>
              <w:top w:val="nil"/>
              <w:right w:val="single" w:sz="4" w:space="0" w:color="A6A6A6" w:themeColor="background1" w:themeShade="A6"/>
            </w:tcBorders>
          </w:tcPr>
          <w:p w:rsidR="00000384" w:rsidRPr="00885D52" w:rsidRDefault="00000384" w:rsidP="00E34B87">
            <w:pPr>
              <w:pStyle w:val="TableText"/>
              <w:tabs>
                <w:tab w:val="decimal" w:pos="538"/>
              </w:tabs>
              <w:rPr>
                <w:color w:val="000000"/>
                <w:lang w:eastAsia="en-NZ"/>
              </w:rPr>
            </w:pPr>
            <w:r w:rsidRPr="00885D52">
              <w:rPr>
                <w:color w:val="000000"/>
                <w:lang w:eastAsia="en-NZ"/>
              </w:rPr>
              <w:t>60.5</w:t>
            </w:r>
          </w:p>
        </w:tc>
        <w:tc>
          <w:tcPr>
            <w:tcW w:w="1118" w:type="dxa"/>
            <w:tcBorders>
              <w:top w:val="nil"/>
              <w:left w:val="single" w:sz="4" w:space="0" w:color="A6A6A6" w:themeColor="background1" w:themeShade="A6"/>
            </w:tcBorders>
            <w:shd w:val="clear" w:color="auto" w:fill="auto"/>
            <w:noWrap/>
          </w:tcPr>
          <w:p w:rsidR="00000384" w:rsidRPr="00885D52" w:rsidRDefault="00000384" w:rsidP="00E34B87">
            <w:pPr>
              <w:pStyle w:val="TableText"/>
              <w:jc w:val="center"/>
              <w:rPr>
                <w:color w:val="000000"/>
                <w:lang w:eastAsia="en-NZ"/>
              </w:rPr>
            </w:pPr>
            <w:r w:rsidRPr="00885D52">
              <w:rPr>
                <w:color w:val="000000"/>
                <w:lang w:eastAsia="en-NZ"/>
              </w:rPr>
              <w:t>5807</w:t>
            </w:r>
          </w:p>
        </w:tc>
        <w:tc>
          <w:tcPr>
            <w:tcW w:w="1152" w:type="dxa"/>
            <w:tcBorders>
              <w:top w:val="nil"/>
              <w:left w:val="nil"/>
              <w:right w:val="nil"/>
            </w:tcBorders>
            <w:shd w:val="clear" w:color="auto" w:fill="auto"/>
            <w:noWrap/>
          </w:tcPr>
          <w:p w:rsidR="00000384" w:rsidRPr="00885D52" w:rsidRDefault="00000384" w:rsidP="00E34B87">
            <w:pPr>
              <w:pStyle w:val="TableText"/>
              <w:tabs>
                <w:tab w:val="decimal" w:pos="567"/>
              </w:tabs>
              <w:rPr>
                <w:color w:val="000000"/>
                <w:lang w:eastAsia="en-NZ"/>
              </w:rPr>
            </w:pPr>
            <w:r w:rsidRPr="00885D52">
              <w:rPr>
                <w:color w:val="000000"/>
                <w:lang w:eastAsia="en-NZ"/>
              </w:rPr>
              <w:t>83.9</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jc w:val="center"/>
              <w:rPr>
                <w:color w:val="000000"/>
                <w:lang w:eastAsia="en-NZ"/>
              </w:rPr>
            </w:pPr>
            <w:r w:rsidRPr="00885D52">
              <w:rPr>
                <w:color w:val="000000"/>
                <w:lang w:eastAsia="en-NZ"/>
              </w:rPr>
              <w:t>2006</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E34B87">
            <w:pPr>
              <w:pStyle w:val="TableText"/>
              <w:jc w:val="center"/>
              <w:rPr>
                <w:color w:val="000000"/>
                <w:lang w:eastAsia="en-NZ"/>
              </w:rPr>
            </w:pPr>
            <w:r w:rsidRPr="00885D52">
              <w:rPr>
                <w:color w:val="000000"/>
                <w:lang w:eastAsia="en-NZ"/>
              </w:rPr>
              <w:t>3133</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110.9</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E34B87">
            <w:pPr>
              <w:pStyle w:val="TableText"/>
              <w:jc w:val="center"/>
              <w:rPr>
                <w:color w:val="000000"/>
                <w:lang w:eastAsia="en-NZ"/>
              </w:rPr>
            </w:pPr>
            <w:r w:rsidRPr="00885D52">
              <w:rPr>
                <w:color w:val="000000"/>
                <w:lang w:eastAsia="en-NZ"/>
              </w:rPr>
              <w:t>2779</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E34B87">
            <w:pPr>
              <w:pStyle w:val="TableText"/>
              <w:tabs>
                <w:tab w:val="decimal" w:pos="538"/>
              </w:tabs>
              <w:rPr>
                <w:color w:val="000000"/>
                <w:lang w:eastAsia="en-NZ"/>
              </w:rPr>
            </w:pPr>
            <w:r w:rsidRPr="00885D52">
              <w:rPr>
                <w:color w:val="000000"/>
                <w:lang w:eastAsia="en-NZ"/>
              </w:rPr>
              <w:t>58.6</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E34B87">
            <w:pPr>
              <w:pStyle w:val="TableText"/>
              <w:jc w:val="center"/>
              <w:rPr>
                <w:color w:val="000000"/>
                <w:lang w:eastAsia="en-NZ"/>
              </w:rPr>
            </w:pPr>
            <w:r w:rsidRPr="00885D52">
              <w:rPr>
                <w:color w:val="000000"/>
                <w:lang w:eastAsia="en-NZ"/>
              </w:rPr>
              <w:t>5912</w:t>
            </w:r>
          </w:p>
        </w:tc>
        <w:tc>
          <w:tcPr>
            <w:tcW w:w="1152" w:type="dxa"/>
            <w:tcBorders>
              <w:top w:val="nil"/>
              <w:left w:val="nil"/>
              <w:bottom w:val="nil"/>
              <w:right w:val="nil"/>
            </w:tcBorders>
            <w:shd w:val="clear" w:color="auto" w:fill="F2F2F2"/>
            <w:noWrap/>
          </w:tcPr>
          <w:p w:rsidR="00000384" w:rsidRPr="00885D52" w:rsidRDefault="00000384" w:rsidP="00E34B87">
            <w:pPr>
              <w:pStyle w:val="TableText"/>
              <w:tabs>
                <w:tab w:val="decimal" w:pos="567"/>
              </w:tabs>
              <w:rPr>
                <w:color w:val="000000"/>
                <w:lang w:eastAsia="en-NZ"/>
              </w:rPr>
            </w:pPr>
            <w:r w:rsidRPr="00885D52">
              <w:rPr>
                <w:color w:val="000000"/>
                <w:lang w:eastAsia="en-NZ"/>
              </w:rPr>
              <w:t>82.5</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jc w:val="center"/>
              <w:rPr>
                <w:color w:val="000000"/>
                <w:lang w:eastAsia="en-NZ"/>
              </w:rPr>
            </w:pPr>
            <w:r w:rsidRPr="00885D52">
              <w:rPr>
                <w:color w:val="000000"/>
                <w:lang w:eastAsia="en-NZ"/>
              </w:rPr>
              <w:t>2007</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E34B87">
            <w:pPr>
              <w:pStyle w:val="TableText"/>
              <w:jc w:val="center"/>
              <w:rPr>
                <w:color w:val="000000"/>
                <w:lang w:eastAsia="en-NZ"/>
              </w:rPr>
            </w:pPr>
            <w:r w:rsidRPr="00885D52">
              <w:rPr>
                <w:color w:val="000000"/>
                <w:lang w:eastAsia="en-NZ"/>
              </w:rPr>
              <w:t>3015</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103.4</w:t>
            </w:r>
          </w:p>
        </w:tc>
        <w:tc>
          <w:tcPr>
            <w:tcW w:w="1118" w:type="dxa"/>
            <w:tcBorders>
              <w:top w:val="nil"/>
              <w:left w:val="single" w:sz="4" w:space="0" w:color="A6A6A6" w:themeColor="background1" w:themeShade="A6"/>
            </w:tcBorders>
          </w:tcPr>
          <w:p w:rsidR="00000384" w:rsidRPr="00885D52" w:rsidRDefault="00000384" w:rsidP="00E34B87">
            <w:pPr>
              <w:pStyle w:val="TableText"/>
              <w:jc w:val="center"/>
              <w:rPr>
                <w:color w:val="000000"/>
                <w:lang w:eastAsia="en-NZ"/>
              </w:rPr>
            </w:pPr>
            <w:r w:rsidRPr="00885D52">
              <w:rPr>
                <w:color w:val="000000"/>
                <w:lang w:eastAsia="en-NZ"/>
              </w:rPr>
              <w:t>2619</w:t>
            </w:r>
          </w:p>
        </w:tc>
        <w:tc>
          <w:tcPr>
            <w:tcW w:w="1118" w:type="dxa"/>
            <w:tcBorders>
              <w:top w:val="nil"/>
              <w:right w:val="single" w:sz="4" w:space="0" w:color="A6A6A6" w:themeColor="background1" w:themeShade="A6"/>
            </w:tcBorders>
          </w:tcPr>
          <w:p w:rsidR="00000384" w:rsidRPr="00885D52" w:rsidRDefault="00000384" w:rsidP="00E34B87">
            <w:pPr>
              <w:pStyle w:val="TableText"/>
              <w:tabs>
                <w:tab w:val="decimal" w:pos="538"/>
              </w:tabs>
              <w:rPr>
                <w:color w:val="000000"/>
                <w:lang w:eastAsia="en-NZ"/>
              </w:rPr>
            </w:pPr>
            <w:r w:rsidRPr="00885D52">
              <w:rPr>
                <w:color w:val="000000"/>
                <w:lang w:eastAsia="en-NZ"/>
              </w:rPr>
              <w:t>54.4</w:t>
            </w:r>
          </w:p>
        </w:tc>
        <w:tc>
          <w:tcPr>
            <w:tcW w:w="1118" w:type="dxa"/>
            <w:tcBorders>
              <w:top w:val="nil"/>
              <w:left w:val="single" w:sz="4" w:space="0" w:color="A6A6A6" w:themeColor="background1" w:themeShade="A6"/>
            </w:tcBorders>
            <w:shd w:val="clear" w:color="auto" w:fill="auto"/>
            <w:noWrap/>
          </w:tcPr>
          <w:p w:rsidR="00000384" w:rsidRPr="00885D52" w:rsidRDefault="00000384" w:rsidP="00E34B87">
            <w:pPr>
              <w:pStyle w:val="TableText"/>
              <w:jc w:val="center"/>
              <w:rPr>
                <w:color w:val="000000"/>
                <w:lang w:eastAsia="en-NZ"/>
              </w:rPr>
            </w:pPr>
            <w:r w:rsidRPr="00885D52">
              <w:rPr>
                <w:color w:val="000000"/>
                <w:lang w:eastAsia="en-NZ"/>
              </w:rPr>
              <w:t>5634</w:t>
            </w:r>
          </w:p>
        </w:tc>
        <w:tc>
          <w:tcPr>
            <w:tcW w:w="1152" w:type="dxa"/>
            <w:tcBorders>
              <w:top w:val="nil"/>
              <w:left w:val="nil"/>
              <w:right w:val="nil"/>
            </w:tcBorders>
            <w:shd w:val="clear" w:color="auto" w:fill="auto"/>
            <w:noWrap/>
          </w:tcPr>
          <w:p w:rsidR="00000384" w:rsidRPr="00885D52" w:rsidRDefault="00000384" w:rsidP="00E34B87">
            <w:pPr>
              <w:pStyle w:val="TableText"/>
              <w:tabs>
                <w:tab w:val="decimal" w:pos="567"/>
              </w:tabs>
              <w:rPr>
                <w:color w:val="000000"/>
                <w:lang w:eastAsia="en-NZ"/>
              </w:rPr>
            </w:pPr>
            <w:r w:rsidRPr="00885D52">
              <w:rPr>
                <w:color w:val="000000"/>
                <w:lang w:eastAsia="en-NZ"/>
              </w:rPr>
              <w:t>77.2</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jc w:val="center"/>
              <w:rPr>
                <w:color w:val="000000"/>
                <w:lang w:eastAsia="en-NZ"/>
              </w:rPr>
            </w:pPr>
            <w:r w:rsidRPr="00885D52">
              <w:rPr>
                <w:color w:val="000000"/>
                <w:lang w:eastAsia="en-NZ"/>
              </w:rPr>
              <w:t>2008</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E34B87">
            <w:pPr>
              <w:pStyle w:val="TableText"/>
              <w:jc w:val="center"/>
              <w:rPr>
                <w:color w:val="000000"/>
                <w:lang w:eastAsia="en-NZ"/>
              </w:rPr>
            </w:pPr>
            <w:r w:rsidRPr="00885D52">
              <w:rPr>
                <w:color w:val="000000"/>
                <w:lang w:eastAsia="en-NZ"/>
              </w:rPr>
              <w:t>2960</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97.4</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E34B87">
            <w:pPr>
              <w:pStyle w:val="TableText"/>
              <w:jc w:val="center"/>
              <w:rPr>
                <w:color w:val="000000"/>
                <w:lang w:eastAsia="en-NZ"/>
              </w:rPr>
            </w:pPr>
            <w:r w:rsidRPr="00885D52">
              <w:rPr>
                <w:color w:val="000000"/>
                <w:lang w:eastAsia="en-NZ"/>
              </w:rPr>
              <w:t>2594</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E34B87">
            <w:pPr>
              <w:pStyle w:val="TableText"/>
              <w:tabs>
                <w:tab w:val="decimal" w:pos="538"/>
              </w:tabs>
              <w:rPr>
                <w:color w:val="000000"/>
                <w:lang w:eastAsia="en-NZ"/>
              </w:rPr>
            </w:pPr>
            <w:r w:rsidRPr="00885D52">
              <w:rPr>
                <w:color w:val="000000"/>
                <w:lang w:eastAsia="en-NZ"/>
              </w:rPr>
              <w:t>51.9</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E34B87">
            <w:pPr>
              <w:pStyle w:val="TableText"/>
              <w:jc w:val="center"/>
              <w:rPr>
                <w:color w:val="000000"/>
                <w:lang w:eastAsia="en-NZ"/>
              </w:rPr>
            </w:pPr>
            <w:r w:rsidRPr="00885D52">
              <w:rPr>
                <w:color w:val="000000"/>
                <w:lang w:eastAsia="en-NZ"/>
              </w:rPr>
              <w:t>5554</w:t>
            </w:r>
          </w:p>
        </w:tc>
        <w:tc>
          <w:tcPr>
            <w:tcW w:w="1152" w:type="dxa"/>
            <w:tcBorders>
              <w:top w:val="nil"/>
              <w:left w:val="nil"/>
              <w:bottom w:val="nil"/>
              <w:right w:val="nil"/>
            </w:tcBorders>
            <w:shd w:val="clear" w:color="auto" w:fill="F2F2F2"/>
            <w:noWrap/>
          </w:tcPr>
          <w:p w:rsidR="00000384" w:rsidRPr="00885D52" w:rsidRDefault="00000384" w:rsidP="00E34B87">
            <w:pPr>
              <w:pStyle w:val="TableText"/>
              <w:tabs>
                <w:tab w:val="decimal" w:pos="567"/>
              </w:tabs>
              <w:rPr>
                <w:color w:val="000000"/>
                <w:lang w:eastAsia="en-NZ"/>
              </w:rPr>
            </w:pPr>
            <w:r w:rsidRPr="00885D52">
              <w:rPr>
                <w:color w:val="000000"/>
                <w:lang w:eastAsia="en-NZ"/>
              </w:rPr>
              <w:t>72.9</w:t>
            </w:r>
          </w:p>
        </w:tc>
      </w:tr>
      <w:tr w:rsidR="00000384" w:rsidRPr="00885D52" w:rsidTr="0008616A">
        <w:trPr>
          <w:cantSplit/>
        </w:trPr>
        <w:tc>
          <w:tcPr>
            <w:tcW w:w="1196" w:type="dxa"/>
            <w:tcBorders>
              <w:top w:val="nil"/>
              <w:left w:val="nil"/>
              <w:right w:val="single" w:sz="4" w:space="0" w:color="A6A6A6" w:themeColor="background1" w:themeShade="A6"/>
            </w:tcBorders>
            <w:shd w:val="clear" w:color="auto" w:fill="auto"/>
            <w:noWrap/>
            <w:hideMark/>
          </w:tcPr>
          <w:p w:rsidR="00000384" w:rsidRPr="00885D52" w:rsidRDefault="00000384" w:rsidP="0008616A">
            <w:pPr>
              <w:pStyle w:val="TableText"/>
              <w:jc w:val="center"/>
              <w:rPr>
                <w:color w:val="000000"/>
                <w:lang w:eastAsia="en-NZ"/>
              </w:rPr>
            </w:pPr>
            <w:r w:rsidRPr="00885D52">
              <w:rPr>
                <w:color w:val="000000"/>
                <w:lang w:eastAsia="en-NZ"/>
              </w:rPr>
              <w:t>2009</w:t>
            </w:r>
          </w:p>
        </w:tc>
        <w:tc>
          <w:tcPr>
            <w:tcW w:w="1118" w:type="dxa"/>
            <w:tcBorders>
              <w:top w:val="nil"/>
              <w:left w:val="single" w:sz="4" w:space="0" w:color="A6A6A6" w:themeColor="background1" w:themeShade="A6"/>
            </w:tcBorders>
            <w:shd w:val="clear" w:color="auto" w:fill="auto"/>
            <w:noWrap/>
            <w:hideMark/>
          </w:tcPr>
          <w:p w:rsidR="00000384" w:rsidRPr="00885D52" w:rsidRDefault="00000384" w:rsidP="00E34B87">
            <w:pPr>
              <w:pStyle w:val="TableText"/>
              <w:jc w:val="center"/>
              <w:rPr>
                <w:color w:val="000000"/>
                <w:lang w:eastAsia="en-NZ"/>
              </w:rPr>
            </w:pPr>
            <w:r w:rsidRPr="00885D52">
              <w:rPr>
                <w:color w:val="000000"/>
                <w:lang w:eastAsia="en-NZ"/>
              </w:rPr>
              <w:t>3039</w:t>
            </w:r>
          </w:p>
        </w:tc>
        <w:tc>
          <w:tcPr>
            <w:tcW w:w="1118" w:type="dxa"/>
            <w:tcBorders>
              <w:top w:val="nil"/>
              <w:right w:val="single" w:sz="4" w:space="0" w:color="A6A6A6" w:themeColor="background1" w:themeShade="A6"/>
            </w:tcBorders>
            <w:shd w:val="clear" w:color="auto" w:fill="auto"/>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96.6</w:t>
            </w:r>
          </w:p>
        </w:tc>
        <w:tc>
          <w:tcPr>
            <w:tcW w:w="1118" w:type="dxa"/>
            <w:tcBorders>
              <w:top w:val="nil"/>
              <w:left w:val="single" w:sz="4" w:space="0" w:color="A6A6A6" w:themeColor="background1" w:themeShade="A6"/>
            </w:tcBorders>
          </w:tcPr>
          <w:p w:rsidR="00000384" w:rsidRPr="00885D52" w:rsidRDefault="00000384" w:rsidP="00E34B87">
            <w:pPr>
              <w:pStyle w:val="TableText"/>
              <w:jc w:val="center"/>
              <w:rPr>
                <w:color w:val="000000"/>
                <w:lang w:eastAsia="en-NZ"/>
              </w:rPr>
            </w:pPr>
            <w:r w:rsidRPr="00885D52">
              <w:rPr>
                <w:color w:val="000000"/>
                <w:lang w:eastAsia="en-NZ"/>
              </w:rPr>
              <w:t>2514</w:t>
            </w:r>
          </w:p>
        </w:tc>
        <w:tc>
          <w:tcPr>
            <w:tcW w:w="1118" w:type="dxa"/>
            <w:tcBorders>
              <w:top w:val="nil"/>
              <w:right w:val="single" w:sz="4" w:space="0" w:color="A6A6A6" w:themeColor="background1" w:themeShade="A6"/>
            </w:tcBorders>
          </w:tcPr>
          <w:p w:rsidR="00000384" w:rsidRPr="00885D52" w:rsidRDefault="00000384" w:rsidP="00E34B87">
            <w:pPr>
              <w:pStyle w:val="TableText"/>
              <w:tabs>
                <w:tab w:val="decimal" w:pos="538"/>
              </w:tabs>
              <w:rPr>
                <w:color w:val="000000"/>
                <w:lang w:eastAsia="en-NZ"/>
              </w:rPr>
            </w:pPr>
            <w:r w:rsidRPr="00885D52">
              <w:rPr>
                <w:color w:val="000000"/>
                <w:lang w:eastAsia="en-NZ"/>
              </w:rPr>
              <w:t>48.6</w:t>
            </w:r>
          </w:p>
        </w:tc>
        <w:tc>
          <w:tcPr>
            <w:tcW w:w="1118" w:type="dxa"/>
            <w:tcBorders>
              <w:top w:val="nil"/>
              <w:left w:val="single" w:sz="4" w:space="0" w:color="A6A6A6" w:themeColor="background1" w:themeShade="A6"/>
            </w:tcBorders>
            <w:shd w:val="clear" w:color="auto" w:fill="auto"/>
            <w:noWrap/>
          </w:tcPr>
          <w:p w:rsidR="00000384" w:rsidRPr="00885D52" w:rsidRDefault="00000384" w:rsidP="00E34B87">
            <w:pPr>
              <w:pStyle w:val="TableText"/>
              <w:jc w:val="center"/>
              <w:rPr>
                <w:color w:val="000000"/>
                <w:lang w:eastAsia="en-NZ"/>
              </w:rPr>
            </w:pPr>
            <w:r w:rsidRPr="00885D52">
              <w:rPr>
                <w:color w:val="000000"/>
                <w:lang w:eastAsia="en-NZ"/>
              </w:rPr>
              <w:t>5553</w:t>
            </w:r>
          </w:p>
        </w:tc>
        <w:tc>
          <w:tcPr>
            <w:tcW w:w="1152" w:type="dxa"/>
            <w:tcBorders>
              <w:top w:val="nil"/>
              <w:left w:val="nil"/>
              <w:right w:val="nil"/>
            </w:tcBorders>
            <w:shd w:val="clear" w:color="auto" w:fill="auto"/>
            <w:noWrap/>
          </w:tcPr>
          <w:p w:rsidR="00000384" w:rsidRPr="00885D52" w:rsidRDefault="00000384" w:rsidP="00E34B87">
            <w:pPr>
              <w:pStyle w:val="TableText"/>
              <w:tabs>
                <w:tab w:val="decimal" w:pos="567"/>
              </w:tabs>
              <w:rPr>
                <w:color w:val="000000"/>
                <w:lang w:eastAsia="en-NZ"/>
              </w:rPr>
            </w:pPr>
            <w:r w:rsidRPr="00885D52">
              <w:rPr>
                <w:color w:val="000000"/>
                <w:lang w:eastAsia="en-NZ"/>
              </w:rPr>
              <w:t>70.7</w:t>
            </w:r>
          </w:p>
        </w:tc>
      </w:tr>
      <w:tr w:rsidR="00000384" w:rsidRPr="00885D52" w:rsidTr="0008616A">
        <w:trPr>
          <w:cantSplit/>
        </w:trPr>
        <w:tc>
          <w:tcPr>
            <w:tcW w:w="1196" w:type="dxa"/>
            <w:tcBorders>
              <w:top w:val="nil"/>
              <w:left w:val="nil"/>
              <w:bottom w:val="nil"/>
              <w:right w:val="single" w:sz="4" w:space="0" w:color="A6A6A6" w:themeColor="background1" w:themeShade="A6"/>
            </w:tcBorders>
            <w:shd w:val="clear" w:color="auto" w:fill="F2F2F2"/>
            <w:noWrap/>
            <w:hideMark/>
          </w:tcPr>
          <w:p w:rsidR="00000384" w:rsidRPr="00885D52" w:rsidRDefault="00000384" w:rsidP="0008616A">
            <w:pPr>
              <w:pStyle w:val="TableText"/>
              <w:jc w:val="center"/>
              <w:rPr>
                <w:color w:val="000000"/>
                <w:lang w:eastAsia="en-NZ"/>
              </w:rPr>
            </w:pPr>
            <w:r w:rsidRPr="00885D52">
              <w:rPr>
                <w:color w:val="000000"/>
                <w:lang w:eastAsia="en-NZ"/>
              </w:rPr>
              <w:t>2010</w:t>
            </w:r>
          </w:p>
        </w:tc>
        <w:tc>
          <w:tcPr>
            <w:tcW w:w="1118" w:type="dxa"/>
            <w:tcBorders>
              <w:top w:val="nil"/>
              <w:left w:val="single" w:sz="4" w:space="0" w:color="A6A6A6" w:themeColor="background1" w:themeShade="A6"/>
              <w:bottom w:val="nil"/>
            </w:tcBorders>
            <w:shd w:val="clear" w:color="auto" w:fill="F2F2F2"/>
            <w:noWrap/>
            <w:hideMark/>
          </w:tcPr>
          <w:p w:rsidR="00000384" w:rsidRPr="00885D52" w:rsidRDefault="00000384" w:rsidP="00E34B87">
            <w:pPr>
              <w:pStyle w:val="TableText"/>
              <w:jc w:val="center"/>
              <w:rPr>
                <w:color w:val="000000"/>
                <w:lang w:eastAsia="en-NZ"/>
              </w:rPr>
            </w:pPr>
            <w:r w:rsidRPr="00885D52">
              <w:rPr>
                <w:color w:val="000000"/>
                <w:lang w:eastAsia="en-NZ"/>
              </w:rPr>
              <w:t>2900</w:t>
            </w:r>
          </w:p>
        </w:tc>
        <w:tc>
          <w:tcPr>
            <w:tcW w:w="1118" w:type="dxa"/>
            <w:tcBorders>
              <w:top w:val="nil"/>
              <w:bottom w:val="nil"/>
              <w:right w:val="single" w:sz="4" w:space="0" w:color="A6A6A6" w:themeColor="background1" w:themeShade="A6"/>
            </w:tcBorders>
            <w:shd w:val="clear" w:color="auto" w:fill="F2F2F2"/>
            <w:noWrap/>
            <w:hideMark/>
          </w:tcPr>
          <w:p w:rsidR="00000384" w:rsidRPr="00885D52" w:rsidRDefault="00000384" w:rsidP="00E34B87">
            <w:pPr>
              <w:pStyle w:val="TableText"/>
              <w:tabs>
                <w:tab w:val="decimal" w:pos="606"/>
              </w:tabs>
              <w:rPr>
                <w:color w:val="000000"/>
                <w:lang w:eastAsia="en-NZ"/>
              </w:rPr>
            </w:pPr>
            <w:r w:rsidRPr="00885D52">
              <w:rPr>
                <w:color w:val="000000"/>
                <w:lang w:eastAsia="en-NZ"/>
              </w:rPr>
              <w:t>88.0</w:t>
            </w:r>
          </w:p>
        </w:tc>
        <w:tc>
          <w:tcPr>
            <w:tcW w:w="1118" w:type="dxa"/>
            <w:tcBorders>
              <w:top w:val="nil"/>
              <w:left w:val="single" w:sz="4" w:space="0" w:color="A6A6A6" w:themeColor="background1" w:themeShade="A6"/>
              <w:bottom w:val="nil"/>
            </w:tcBorders>
            <w:shd w:val="clear" w:color="auto" w:fill="F2F2F2"/>
          </w:tcPr>
          <w:p w:rsidR="00000384" w:rsidRPr="00885D52" w:rsidRDefault="00000384" w:rsidP="00E34B87">
            <w:pPr>
              <w:pStyle w:val="TableText"/>
              <w:jc w:val="center"/>
              <w:rPr>
                <w:color w:val="000000"/>
                <w:lang w:eastAsia="en-NZ"/>
              </w:rPr>
            </w:pPr>
            <w:r w:rsidRPr="00885D52">
              <w:rPr>
                <w:color w:val="000000"/>
                <w:lang w:eastAsia="en-NZ"/>
              </w:rPr>
              <w:t>2489</w:t>
            </w:r>
          </w:p>
        </w:tc>
        <w:tc>
          <w:tcPr>
            <w:tcW w:w="1118" w:type="dxa"/>
            <w:tcBorders>
              <w:top w:val="nil"/>
              <w:bottom w:val="nil"/>
              <w:right w:val="single" w:sz="4" w:space="0" w:color="A6A6A6" w:themeColor="background1" w:themeShade="A6"/>
            </w:tcBorders>
            <w:shd w:val="clear" w:color="auto" w:fill="F2F2F2"/>
          </w:tcPr>
          <w:p w:rsidR="00000384" w:rsidRPr="00885D52" w:rsidRDefault="00000384" w:rsidP="00E34B87">
            <w:pPr>
              <w:pStyle w:val="TableText"/>
              <w:tabs>
                <w:tab w:val="decimal" w:pos="538"/>
              </w:tabs>
              <w:rPr>
                <w:color w:val="000000"/>
                <w:lang w:eastAsia="en-NZ"/>
              </w:rPr>
            </w:pPr>
            <w:r w:rsidRPr="00885D52">
              <w:rPr>
                <w:color w:val="000000"/>
                <w:lang w:eastAsia="en-NZ"/>
              </w:rPr>
              <w:t>47.5</w:t>
            </w:r>
          </w:p>
        </w:tc>
        <w:tc>
          <w:tcPr>
            <w:tcW w:w="1118" w:type="dxa"/>
            <w:tcBorders>
              <w:top w:val="nil"/>
              <w:left w:val="single" w:sz="4" w:space="0" w:color="A6A6A6" w:themeColor="background1" w:themeShade="A6"/>
              <w:bottom w:val="nil"/>
            </w:tcBorders>
            <w:shd w:val="clear" w:color="auto" w:fill="F2F2F2"/>
            <w:noWrap/>
          </w:tcPr>
          <w:p w:rsidR="00000384" w:rsidRPr="00885D52" w:rsidRDefault="00000384" w:rsidP="00E34B87">
            <w:pPr>
              <w:pStyle w:val="TableText"/>
              <w:jc w:val="center"/>
              <w:rPr>
                <w:color w:val="000000"/>
                <w:lang w:eastAsia="en-NZ"/>
              </w:rPr>
            </w:pPr>
            <w:r w:rsidRPr="00885D52">
              <w:rPr>
                <w:color w:val="000000"/>
                <w:lang w:eastAsia="en-NZ"/>
              </w:rPr>
              <w:t>5389</w:t>
            </w:r>
          </w:p>
        </w:tc>
        <w:tc>
          <w:tcPr>
            <w:tcW w:w="1152" w:type="dxa"/>
            <w:tcBorders>
              <w:top w:val="nil"/>
              <w:left w:val="nil"/>
              <w:bottom w:val="nil"/>
              <w:right w:val="nil"/>
            </w:tcBorders>
            <w:shd w:val="clear" w:color="auto" w:fill="F2F2F2"/>
            <w:noWrap/>
          </w:tcPr>
          <w:p w:rsidR="00000384" w:rsidRPr="00885D52" w:rsidRDefault="00000384" w:rsidP="00E34B87">
            <w:pPr>
              <w:pStyle w:val="TableText"/>
              <w:tabs>
                <w:tab w:val="decimal" w:pos="567"/>
              </w:tabs>
              <w:rPr>
                <w:color w:val="000000"/>
                <w:lang w:eastAsia="en-NZ"/>
              </w:rPr>
            </w:pPr>
            <w:r w:rsidRPr="00885D52">
              <w:rPr>
                <w:color w:val="000000"/>
                <w:lang w:eastAsia="en-NZ"/>
              </w:rPr>
              <w:t>66.3</w:t>
            </w:r>
          </w:p>
        </w:tc>
      </w:tr>
      <w:tr w:rsidR="00000384" w:rsidRPr="00885D52" w:rsidTr="0008616A">
        <w:trPr>
          <w:cantSplit/>
        </w:trPr>
        <w:tc>
          <w:tcPr>
            <w:tcW w:w="1196" w:type="dxa"/>
            <w:tcBorders>
              <w:top w:val="nil"/>
              <w:left w:val="nil"/>
              <w:bottom w:val="single" w:sz="4" w:space="0" w:color="auto"/>
              <w:right w:val="single" w:sz="4" w:space="0" w:color="A6A6A6" w:themeColor="background1" w:themeShade="A6"/>
            </w:tcBorders>
            <w:shd w:val="clear" w:color="auto" w:fill="auto"/>
            <w:noWrap/>
          </w:tcPr>
          <w:p w:rsidR="00000384" w:rsidRPr="00885D52" w:rsidRDefault="00000384" w:rsidP="0008616A">
            <w:pPr>
              <w:pStyle w:val="TableText"/>
              <w:jc w:val="center"/>
              <w:rPr>
                <w:color w:val="000000"/>
                <w:lang w:eastAsia="en-NZ"/>
              </w:rPr>
            </w:pPr>
            <w:r w:rsidRPr="00885D52">
              <w:rPr>
                <w:color w:val="000000"/>
                <w:lang w:eastAsia="en-NZ"/>
              </w:rPr>
              <w:t>2011</w:t>
            </w:r>
          </w:p>
        </w:tc>
        <w:tc>
          <w:tcPr>
            <w:tcW w:w="1118" w:type="dxa"/>
            <w:tcBorders>
              <w:top w:val="nil"/>
              <w:left w:val="single" w:sz="4" w:space="0" w:color="A6A6A6" w:themeColor="background1" w:themeShade="A6"/>
              <w:bottom w:val="single" w:sz="4" w:space="0" w:color="auto"/>
            </w:tcBorders>
            <w:shd w:val="clear" w:color="auto" w:fill="auto"/>
            <w:noWrap/>
          </w:tcPr>
          <w:p w:rsidR="00000384" w:rsidRPr="00885D52" w:rsidRDefault="00000384" w:rsidP="00E34B87">
            <w:pPr>
              <w:pStyle w:val="TableText"/>
              <w:jc w:val="center"/>
              <w:rPr>
                <w:color w:val="000000"/>
                <w:lang w:eastAsia="en-NZ"/>
              </w:rPr>
            </w:pPr>
            <w:r w:rsidRPr="00885D52">
              <w:rPr>
                <w:color w:val="000000"/>
                <w:lang w:eastAsia="en-NZ"/>
              </w:rPr>
              <w:t>2934</w:t>
            </w:r>
          </w:p>
        </w:tc>
        <w:tc>
          <w:tcPr>
            <w:tcW w:w="1118"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E34B87">
            <w:pPr>
              <w:pStyle w:val="TableText"/>
              <w:tabs>
                <w:tab w:val="decimal" w:pos="606"/>
              </w:tabs>
              <w:rPr>
                <w:color w:val="000000"/>
                <w:lang w:eastAsia="en-NZ"/>
              </w:rPr>
            </w:pPr>
            <w:r w:rsidRPr="00885D52">
              <w:rPr>
                <w:color w:val="000000"/>
                <w:lang w:eastAsia="en-NZ"/>
              </w:rPr>
              <w:t>85.9</w:t>
            </w:r>
          </w:p>
        </w:tc>
        <w:tc>
          <w:tcPr>
            <w:tcW w:w="1118" w:type="dxa"/>
            <w:tcBorders>
              <w:top w:val="nil"/>
              <w:left w:val="single" w:sz="4" w:space="0" w:color="A6A6A6" w:themeColor="background1" w:themeShade="A6"/>
              <w:bottom w:val="single" w:sz="4" w:space="0" w:color="auto"/>
            </w:tcBorders>
          </w:tcPr>
          <w:p w:rsidR="00000384" w:rsidRPr="00885D52" w:rsidRDefault="00000384" w:rsidP="00E34B87">
            <w:pPr>
              <w:pStyle w:val="TableText"/>
              <w:jc w:val="center"/>
              <w:rPr>
                <w:color w:val="000000"/>
                <w:lang w:eastAsia="en-NZ"/>
              </w:rPr>
            </w:pPr>
            <w:r w:rsidRPr="00885D52">
              <w:rPr>
                <w:color w:val="000000"/>
                <w:lang w:eastAsia="en-NZ"/>
              </w:rPr>
              <w:t>2600</w:t>
            </w:r>
          </w:p>
        </w:tc>
        <w:tc>
          <w:tcPr>
            <w:tcW w:w="1118" w:type="dxa"/>
            <w:tcBorders>
              <w:top w:val="nil"/>
              <w:bottom w:val="single" w:sz="4" w:space="0" w:color="auto"/>
              <w:right w:val="single" w:sz="4" w:space="0" w:color="A6A6A6" w:themeColor="background1" w:themeShade="A6"/>
            </w:tcBorders>
          </w:tcPr>
          <w:p w:rsidR="00000384" w:rsidRPr="00885D52" w:rsidRDefault="00000384" w:rsidP="00E34B87">
            <w:pPr>
              <w:pStyle w:val="TableText"/>
              <w:tabs>
                <w:tab w:val="decimal" w:pos="525"/>
              </w:tabs>
              <w:rPr>
                <w:color w:val="000000"/>
                <w:lang w:eastAsia="en-NZ"/>
              </w:rPr>
            </w:pPr>
            <w:r w:rsidRPr="00885D52">
              <w:rPr>
                <w:color w:val="000000"/>
                <w:lang w:eastAsia="en-NZ"/>
              </w:rPr>
              <w:t>47.3</w:t>
            </w:r>
          </w:p>
        </w:tc>
        <w:tc>
          <w:tcPr>
            <w:tcW w:w="1118" w:type="dxa"/>
            <w:tcBorders>
              <w:top w:val="nil"/>
              <w:left w:val="single" w:sz="4" w:space="0" w:color="A6A6A6" w:themeColor="background1" w:themeShade="A6"/>
              <w:bottom w:val="single" w:sz="4" w:space="0" w:color="auto"/>
            </w:tcBorders>
            <w:shd w:val="clear" w:color="auto" w:fill="auto"/>
            <w:noWrap/>
          </w:tcPr>
          <w:p w:rsidR="00000384" w:rsidRPr="00885D52" w:rsidRDefault="00000384" w:rsidP="00E34B87">
            <w:pPr>
              <w:pStyle w:val="TableText"/>
              <w:jc w:val="center"/>
              <w:rPr>
                <w:color w:val="000000"/>
                <w:lang w:eastAsia="en-NZ"/>
              </w:rPr>
            </w:pPr>
            <w:r w:rsidRPr="00885D52">
              <w:rPr>
                <w:color w:val="000000"/>
                <w:lang w:eastAsia="en-NZ"/>
              </w:rPr>
              <w:t>5534</w:t>
            </w:r>
          </w:p>
        </w:tc>
        <w:tc>
          <w:tcPr>
            <w:tcW w:w="1152" w:type="dxa"/>
            <w:tcBorders>
              <w:top w:val="nil"/>
              <w:left w:val="nil"/>
              <w:bottom w:val="single" w:sz="4" w:space="0" w:color="auto"/>
              <w:right w:val="nil"/>
            </w:tcBorders>
            <w:shd w:val="clear" w:color="auto" w:fill="auto"/>
            <w:noWrap/>
          </w:tcPr>
          <w:p w:rsidR="00000384" w:rsidRPr="00885D52" w:rsidRDefault="00000384" w:rsidP="00E34B87">
            <w:pPr>
              <w:pStyle w:val="TableText"/>
              <w:tabs>
                <w:tab w:val="decimal" w:pos="567"/>
              </w:tabs>
              <w:rPr>
                <w:color w:val="000000"/>
                <w:lang w:eastAsia="en-NZ"/>
              </w:rPr>
            </w:pPr>
            <w:r w:rsidRPr="00885D52">
              <w:rPr>
                <w:color w:val="000000"/>
                <w:lang w:eastAsia="en-NZ"/>
              </w:rPr>
              <w:t>65.4</w:t>
            </w:r>
          </w:p>
        </w:tc>
      </w:tr>
    </w:tbl>
    <w:p w:rsidR="00000384" w:rsidRPr="00885D52" w:rsidRDefault="00000384" w:rsidP="00E34B87">
      <w:pPr>
        <w:pStyle w:val="Note"/>
      </w:pPr>
      <w:r w:rsidRPr="00885D52">
        <w:t>Note: Rates per 100,000 population, age-standardised to WHO World Standard Population.</w:t>
      </w:r>
    </w:p>
    <w:p w:rsidR="00E34B87" w:rsidRPr="00885D52" w:rsidRDefault="00E34B87" w:rsidP="00E34B87"/>
    <w:p w:rsidR="00000384" w:rsidRPr="00885D52" w:rsidRDefault="00000384" w:rsidP="0008616A">
      <w:pPr>
        <w:keepNext/>
      </w:pPr>
      <w:r w:rsidRPr="00885D52">
        <w:t xml:space="preserve">Figure 23 shows trends in numbers and rates of deaths from ischaemic heart disease for both sexes from 1950 to 2011. Mortality rates for 2011 were the lowest they have been over this period </w:t>
      </w:r>
      <w:r w:rsidRPr="00885D52">
        <w:lastRenderedPageBreak/>
        <w:t>for males and females. From 1950, males consistently had a higher mortality rate than females, although this gap became less marked after its peak in the late 1960s and early 1970s.</w:t>
      </w:r>
    </w:p>
    <w:p w:rsidR="00000384" w:rsidRPr="00885D52" w:rsidRDefault="00000384" w:rsidP="0008616A">
      <w:pPr>
        <w:keepNext/>
      </w:pPr>
    </w:p>
    <w:p w:rsidR="00000384" w:rsidRPr="00885D52" w:rsidRDefault="00000384" w:rsidP="00E34B87">
      <w:pPr>
        <w:pStyle w:val="Figure"/>
      </w:pPr>
      <w:bookmarkStart w:id="478" w:name="_Toc352670690"/>
      <w:bookmarkStart w:id="479" w:name="_Toc400536122"/>
      <w:bookmarkStart w:id="480" w:name="_Toc403120597"/>
      <w:r w:rsidRPr="00885D52">
        <w:t>Figure 23: Numbers and age-standardised mortality rates from ischaemic heart disease, by sex, 1950–201</w:t>
      </w:r>
      <w:bookmarkEnd w:id="478"/>
      <w:r w:rsidRPr="00885D52">
        <w:t>1</w:t>
      </w:r>
      <w:bookmarkEnd w:id="479"/>
      <w:bookmarkEnd w:id="480"/>
    </w:p>
    <w:p w:rsidR="00000384" w:rsidRPr="00885D52" w:rsidRDefault="000C0C7D" w:rsidP="000C0C7D">
      <w:r w:rsidRPr="00885D52">
        <w:rPr>
          <w:noProof/>
          <w:lang w:eastAsia="en-NZ"/>
        </w:rPr>
        <w:drawing>
          <wp:inline distT="0" distB="0" distL="0" distR="0" wp14:anchorId="33827DC4" wp14:editId="301F8772">
            <wp:extent cx="5045825" cy="3074934"/>
            <wp:effectExtent l="0" t="0" r="2540" b="0"/>
            <wp:docPr id="15" name="Picture 15" title="Figure 23: Numbers and age-standardised mortality rates from ischaemic heart disease,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1503" cy="3078394"/>
                    </a:xfrm>
                    <a:prstGeom prst="rect">
                      <a:avLst/>
                    </a:prstGeom>
                  </pic:spPr>
                </pic:pic>
              </a:graphicData>
            </a:graphic>
          </wp:inline>
        </w:drawing>
      </w:r>
    </w:p>
    <w:p w:rsidR="00000384" w:rsidRPr="00885D52" w:rsidRDefault="00000384" w:rsidP="000C0C7D">
      <w:pPr>
        <w:pStyle w:val="Note"/>
      </w:pPr>
      <w:r w:rsidRPr="00885D52">
        <w:t>Note: Rates per 100,000 population, age-standardised to WHO World Standard Population.</w:t>
      </w:r>
    </w:p>
    <w:p w:rsidR="00000384" w:rsidRPr="00885D52" w:rsidRDefault="00000384" w:rsidP="000C0C7D"/>
    <w:p w:rsidR="00000384" w:rsidRPr="00885D52" w:rsidRDefault="00000384" w:rsidP="000C0C7D">
      <w:r w:rsidRPr="00885D52">
        <w:t>Table 17 shows the 2011 percentage distribution of deaths and age-specific mortality rates from ischaemic heart disease for four age groupings for Māori and non-Māori.</w:t>
      </w:r>
    </w:p>
    <w:p w:rsidR="00000384" w:rsidRPr="00885D52" w:rsidRDefault="00000384" w:rsidP="000C0C7D"/>
    <w:p w:rsidR="00000384" w:rsidRPr="00885D52" w:rsidRDefault="00000384" w:rsidP="000C0C7D">
      <w:pPr>
        <w:pStyle w:val="Table"/>
      </w:pPr>
      <w:bookmarkStart w:id="481" w:name="_Ref132176035"/>
      <w:bookmarkStart w:id="482" w:name="_Toc167268866"/>
      <w:bookmarkStart w:id="483" w:name="_Toc236641657"/>
      <w:bookmarkStart w:id="484" w:name="_Toc262631241"/>
      <w:bookmarkStart w:id="485" w:name="_Toc316912734"/>
      <w:bookmarkStart w:id="486" w:name="_Toc352670666"/>
      <w:bookmarkStart w:id="487" w:name="_Toc400536157"/>
      <w:bookmarkStart w:id="488" w:name="_Toc403120562"/>
      <w:r w:rsidRPr="00885D52">
        <w:t>Table 17</w:t>
      </w:r>
      <w:bookmarkEnd w:id="481"/>
      <w:r w:rsidRPr="00885D52">
        <w:t xml:space="preserve">: </w:t>
      </w:r>
      <w:bookmarkEnd w:id="482"/>
      <w:bookmarkEnd w:id="483"/>
      <w:bookmarkEnd w:id="484"/>
      <w:r w:rsidRPr="00885D52">
        <w:t>Age distribution of deaths from ischaemic heart disease, percentages and age-specific rates, by ethnicity and sex, 20</w:t>
      </w:r>
      <w:bookmarkEnd w:id="485"/>
      <w:r w:rsidRPr="00885D52">
        <w:t>1</w:t>
      </w:r>
      <w:bookmarkEnd w:id="486"/>
      <w:r w:rsidRPr="00885D52">
        <w:t>1</w:t>
      </w:r>
      <w:bookmarkEnd w:id="487"/>
      <w:bookmarkEnd w:id="488"/>
    </w:p>
    <w:tbl>
      <w:tblPr>
        <w:tblW w:w="0" w:type="auto"/>
        <w:tblInd w:w="28" w:type="dxa"/>
        <w:tblLayout w:type="fixed"/>
        <w:tblCellMar>
          <w:left w:w="28" w:type="dxa"/>
          <w:right w:w="28" w:type="dxa"/>
        </w:tblCellMar>
        <w:tblLook w:val="04A0" w:firstRow="1" w:lastRow="0" w:firstColumn="1" w:lastColumn="0" w:noHBand="0" w:noVBand="1"/>
      </w:tblPr>
      <w:tblGrid>
        <w:gridCol w:w="580"/>
        <w:gridCol w:w="731"/>
        <w:gridCol w:w="731"/>
        <w:gridCol w:w="732"/>
        <w:gridCol w:w="731"/>
        <w:gridCol w:w="731"/>
        <w:gridCol w:w="732"/>
        <w:gridCol w:w="731"/>
        <w:gridCol w:w="731"/>
        <w:gridCol w:w="732"/>
        <w:gridCol w:w="731"/>
        <w:gridCol w:w="731"/>
        <w:gridCol w:w="732"/>
      </w:tblGrid>
      <w:tr w:rsidR="00000384" w:rsidRPr="00885D52" w:rsidTr="000C0C7D">
        <w:trPr>
          <w:cantSplit/>
        </w:trPr>
        <w:tc>
          <w:tcPr>
            <w:tcW w:w="580" w:type="dxa"/>
            <w:vMerge w:val="restart"/>
            <w:tcBorders>
              <w:top w:val="single" w:sz="4" w:space="0" w:color="auto"/>
              <w:bottom w:val="single" w:sz="4" w:space="0" w:color="auto"/>
              <w:right w:val="single" w:sz="4" w:space="0" w:color="auto"/>
            </w:tcBorders>
            <w:shd w:val="clear" w:color="auto" w:fill="auto"/>
            <w:noWrap/>
          </w:tcPr>
          <w:p w:rsidR="00000384" w:rsidRPr="00885D52" w:rsidRDefault="00000384" w:rsidP="000C0C7D">
            <w:pPr>
              <w:pStyle w:val="TableText"/>
              <w:keepNext/>
              <w:rPr>
                <w:b/>
                <w:lang w:eastAsia="en-NZ"/>
              </w:rPr>
            </w:pPr>
            <w:r w:rsidRPr="00885D52">
              <w:rPr>
                <w:b/>
                <w:lang w:eastAsia="en-NZ"/>
              </w:rPr>
              <w:t>Age group</w:t>
            </w:r>
          </w:p>
        </w:tc>
        <w:tc>
          <w:tcPr>
            <w:tcW w:w="4388" w:type="dxa"/>
            <w:gridSpan w:val="6"/>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0C0C7D">
            <w:pPr>
              <w:pStyle w:val="TableText"/>
              <w:keepNext/>
              <w:jc w:val="center"/>
              <w:rPr>
                <w:b/>
                <w:color w:val="000000"/>
                <w:lang w:eastAsia="en-NZ"/>
              </w:rPr>
            </w:pPr>
            <w:r w:rsidRPr="00885D52">
              <w:rPr>
                <w:b/>
                <w:color w:val="000000"/>
                <w:lang w:eastAsia="en-NZ"/>
              </w:rPr>
              <w:t>Percentage</w:t>
            </w:r>
          </w:p>
        </w:tc>
        <w:tc>
          <w:tcPr>
            <w:tcW w:w="4388" w:type="dxa"/>
            <w:gridSpan w:val="6"/>
            <w:tcBorders>
              <w:top w:val="single" w:sz="4" w:space="0" w:color="auto"/>
              <w:left w:val="nil"/>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Age-specific rate</w:t>
            </w:r>
          </w:p>
        </w:tc>
      </w:tr>
      <w:tr w:rsidR="00000384" w:rsidRPr="00885D52" w:rsidTr="000C0C7D">
        <w:trPr>
          <w:cantSplit/>
        </w:trPr>
        <w:tc>
          <w:tcPr>
            <w:tcW w:w="580" w:type="dxa"/>
            <w:vMerge/>
            <w:tcBorders>
              <w:bottom w:val="single" w:sz="4" w:space="0" w:color="auto"/>
              <w:right w:val="single" w:sz="4" w:space="0" w:color="auto"/>
            </w:tcBorders>
            <w:shd w:val="clear" w:color="auto" w:fill="auto"/>
            <w:noWrap/>
          </w:tcPr>
          <w:p w:rsidR="00000384" w:rsidRPr="00885D52" w:rsidRDefault="00000384" w:rsidP="000C0C7D">
            <w:pPr>
              <w:pStyle w:val="TableText"/>
              <w:keepNext/>
              <w:rPr>
                <w:b/>
                <w:color w:val="000000"/>
                <w:lang w:eastAsia="en-NZ"/>
              </w:rPr>
            </w:pPr>
          </w:p>
        </w:tc>
        <w:tc>
          <w:tcPr>
            <w:tcW w:w="2194" w:type="dxa"/>
            <w:gridSpan w:val="3"/>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0C0C7D">
            <w:pPr>
              <w:pStyle w:val="TableText"/>
              <w:keepNext/>
              <w:jc w:val="center"/>
              <w:rPr>
                <w:b/>
                <w:color w:val="000000"/>
                <w:lang w:eastAsia="en-NZ"/>
              </w:rPr>
            </w:pPr>
            <w:r w:rsidRPr="00885D52">
              <w:rPr>
                <w:b/>
                <w:color w:val="000000"/>
                <w:lang w:eastAsia="en-NZ"/>
              </w:rPr>
              <w:t>Māori</w:t>
            </w:r>
          </w:p>
        </w:tc>
        <w:tc>
          <w:tcPr>
            <w:tcW w:w="2194" w:type="dxa"/>
            <w:gridSpan w:val="3"/>
            <w:tcBorders>
              <w:top w:val="single" w:sz="4" w:space="0" w:color="auto"/>
              <w:left w:val="single" w:sz="4" w:space="0" w:color="A6A6A6"/>
              <w:bottom w:val="single" w:sz="4" w:space="0" w:color="auto"/>
              <w:right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Non-Māori</w:t>
            </w:r>
          </w:p>
        </w:tc>
        <w:tc>
          <w:tcPr>
            <w:tcW w:w="2194" w:type="dxa"/>
            <w:gridSpan w:val="3"/>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Māori</w:t>
            </w:r>
          </w:p>
        </w:tc>
        <w:tc>
          <w:tcPr>
            <w:tcW w:w="2194" w:type="dxa"/>
            <w:gridSpan w:val="3"/>
            <w:tcBorders>
              <w:top w:val="single" w:sz="4" w:space="0" w:color="auto"/>
              <w:left w:val="single" w:sz="4" w:space="0" w:color="A6A6A6"/>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Non-Māori</w:t>
            </w:r>
          </w:p>
        </w:tc>
      </w:tr>
      <w:tr w:rsidR="00000384" w:rsidRPr="00885D52" w:rsidTr="000C0C7D">
        <w:trPr>
          <w:cantSplit/>
        </w:trPr>
        <w:tc>
          <w:tcPr>
            <w:tcW w:w="580" w:type="dxa"/>
            <w:vMerge/>
            <w:tcBorders>
              <w:bottom w:val="single" w:sz="4" w:space="0" w:color="auto"/>
              <w:right w:val="single" w:sz="4" w:space="0" w:color="auto"/>
            </w:tcBorders>
            <w:shd w:val="clear" w:color="auto" w:fill="auto"/>
            <w:noWrap/>
          </w:tcPr>
          <w:p w:rsidR="00000384" w:rsidRPr="00885D52" w:rsidRDefault="00000384" w:rsidP="000C0C7D">
            <w:pPr>
              <w:pStyle w:val="TableText"/>
              <w:keepNext/>
              <w:rPr>
                <w:b/>
                <w:color w:val="000000"/>
                <w:lang w:eastAsia="en-NZ"/>
              </w:rPr>
            </w:pPr>
          </w:p>
        </w:tc>
        <w:tc>
          <w:tcPr>
            <w:tcW w:w="731" w:type="dxa"/>
            <w:tcBorders>
              <w:top w:val="single" w:sz="4" w:space="0" w:color="auto"/>
              <w:left w:val="single" w:sz="4" w:space="0" w:color="auto"/>
              <w:bottom w:val="single" w:sz="4" w:space="0" w:color="auto"/>
            </w:tcBorders>
            <w:shd w:val="clear" w:color="auto" w:fill="auto"/>
            <w:noWrap/>
            <w:hideMark/>
          </w:tcPr>
          <w:p w:rsidR="00000384" w:rsidRPr="00885D52" w:rsidRDefault="00000384" w:rsidP="000C0C7D">
            <w:pPr>
              <w:pStyle w:val="TableText"/>
              <w:keepNext/>
              <w:jc w:val="center"/>
              <w:rPr>
                <w:b/>
                <w:color w:val="000000"/>
                <w:lang w:eastAsia="en-NZ"/>
              </w:rPr>
            </w:pPr>
            <w:r w:rsidRPr="00885D52">
              <w:rPr>
                <w:b/>
                <w:color w:val="000000"/>
                <w:lang w:eastAsia="en-NZ"/>
              </w:rPr>
              <w:t>Male</w:t>
            </w:r>
          </w:p>
        </w:tc>
        <w:tc>
          <w:tcPr>
            <w:tcW w:w="731" w:type="dxa"/>
            <w:tcBorders>
              <w:top w:val="single" w:sz="4" w:space="0" w:color="auto"/>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Female</w:t>
            </w:r>
          </w:p>
        </w:tc>
        <w:tc>
          <w:tcPr>
            <w:tcW w:w="732" w:type="dxa"/>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Total</w:t>
            </w:r>
          </w:p>
        </w:tc>
        <w:tc>
          <w:tcPr>
            <w:tcW w:w="731" w:type="dxa"/>
            <w:tcBorders>
              <w:top w:val="single" w:sz="4" w:space="0" w:color="auto"/>
              <w:left w:val="single" w:sz="4" w:space="0" w:color="A6A6A6"/>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Male</w:t>
            </w:r>
          </w:p>
        </w:tc>
        <w:tc>
          <w:tcPr>
            <w:tcW w:w="731" w:type="dxa"/>
            <w:tcBorders>
              <w:top w:val="single" w:sz="4" w:space="0" w:color="auto"/>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Female</w:t>
            </w:r>
          </w:p>
        </w:tc>
        <w:tc>
          <w:tcPr>
            <w:tcW w:w="732" w:type="dxa"/>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Total</w:t>
            </w:r>
          </w:p>
        </w:tc>
        <w:tc>
          <w:tcPr>
            <w:tcW w:w="731" w:type="dxa"/>
            <w:tcBorders>
              <w:top w:val="single" w:sz="4" w:space="0" w:color="auto"/>
              <w:left w:val="single" w:sz="4" w:space="0" w:color="auto"/>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Male</w:t>
            </w:r>
          </w:p>
        </w:tc>
        <w:tc>
          <w:tcPr>
            <w:tcW w:w="731" w:type="dxa"/>
            <w:tcBorders>
              <w:top w:val="single" w:sz="4" w:space="0" w:color="auto"/>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Female</w:t>
            </w:r>
          </w:p>
        </w:tc>
        <w:tc>
          <w:tcPr>
            <w:tcW w:w="732" w:type="dxa"/>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Total</w:t>
            </w:r>
          </w:p>
        </w:tc>
        <w:tc>
          <w:tcPr>
            <w:tcW w:w="731" w:type="dxa"/>
            <w:tcBorders>
              <w:top w:val="single" w:sz="4" w:space="0" w:color="auto"/>
              <w:left w:val="single" w:sz="4" w:space="0" w:color="A6A6A6"/>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Male</w:t>
            </w:r>
          </w:p>
        </w:tc>
        <w:tc>
          <w:tcPr>
            <w:tcW w:w="731" w:type="dxa"/>
            <w:tcBorders>
              <w:top w:val="single" w:sz="4" w:space="0" w:color="auto"/>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Female</w:t>
            </w:r>
          </w:p>
        </w:tc>
        <w:tc>
          <w:tcPr>
            <w:tcW w:w="732" w:type="dxa"/>
            <w:tcBorders>
              <w:top w:val="single" w:sz="4" w:space="0" w:color="auto"/>
              <w:left w:val="nil"/>
              <w:bottom w:val="single" w:sz="4" w:space="0" w:color="auto"/>
            </w:tcBorders>
            <w:shd w:val="clear" w:color="auto" w:fill="auto"/>
            <w:noWrap/>
            <w:hideMark/>
          </w:tcPr>
          <w:p w:rsidR="00000384" w:rsidRPr="00885D52" w:rsidRDefault="00000384" w:rsidP="000C0C7D">
            <w:pPr>
              <w:pStyle w:val="TableText"/>
              <w:jc w:val="center"/>
              <w:rPr>
                <w:b/>
                <w:color w:val="000000"/>
                <w:lang w:eastAsia="en-NZ"/>
              </w:rPr>
            </w:pPr>
            <w:r w:rsidRPr="00885D52">
              <w:rPr>
                <w:b/>
                <w:color w:val="000000"/>
                <w:lang w:eastAsia="en-NZ"/>
              </w:rPr>
              <w:t>Total</w:t>
            </w:r>
          </w:p>
        </w:tc>
      </w:tr>
      <w:tr w:rsidR="00000384" w:rsidRPr="00885D52" w:rsidTr="000C0C7D">
        <w:trPr>
          <w:cantSplit/>
        </w:trPr>
        <w:tc>
          <w:tcPr>
            <w:tcW w:w="580" w:type="dxa"/>
            <w:tcBorders>
              <w:top w:val="single" w:sz="4" w:space="0" w:color="auto"/>
              <w:bottom w:val="nil"/>
              <w:right w:val="single" w:sz="4" w:space="0" w:color="auto"/>
            </w:tcBorders>
            <w:shd w:val="clear" w:color="auto" w:fill="F2F2F2"/>
            <w:noWrap/>
            <w:hideMark/>
          </w:tcPr>
          <w:p w:rsidR="00000384" w:rsidRPr="00885D52" w:rsidRDefault="00000384" w:rsidP="000C0C7D">
            <w:pPr>
              <w:pStyle w:val="TableText"/>
              <w:keepNext/>
              <w:rPr>
                <w:color w:val="000000"/>
                <w:lang w:eastAsia="en-NZ"/>
              </w:rPr>
            </w:pPr>
            <w:r w:rsidRPr="00885D52">
              <w:rPr>
                <w:color w:val="000000"/>
                <w:lang w:eastAsia="en-NZ"/>
              </w:rPr>
              <w:t>&lt;25</w:t>
            </w:r>
          </w:p>
        </w:tc>
        <w:tc>
          <w:tcPr>
            <w:tcW w:w="731" w:type="dxa"/>
            <w:tcBorders>
              <w:top w:val="single" w:sz="4" w:space="0" w:color="auto"/>
              <w:left w:val="nil"/>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2" w:type="dxa"/>
            <w:tcBorders>
              <w:top w:val="single" w:sz="4" w:space="0" w:color="auto"/>
              <w:left w:val="nil"/>
              <w:bottom w:val="nil"/>
              <w:right w:val="single" w:sz="4" w:space="0" w:color="A6A6A6"/>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left w:val="single" w:sz="4" w:space="0" w:color="A6A6A6"/>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2" w:type="dxa"/>
            <w:tcBorders>
              <w:top w:val="single" w:sz="4" w:space="0" w:color="auto"/>
              <w:left w:val="nil"/>
              <w:bottom w:val="nil"/>
              <w:right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left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2" w:type="dxa"/>
            <w:tcBorders>
              <w:top w:val="single" w:sz="4" w:space="0" w:color="auto"/>
              <w:left w:val="nil"/>
              <w:bottom w:val="nil"/>
              <w:right w:val="single" w:sz="4" w:space="0" w:color="A6A6A6"/>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c>
          <w:tcPr>
            <w:tcW w:w="731" w:type="dxa"/>
            <w:tcBorders>
              <w:top w:val="single" w:sz="4" w:space="0" w:color="auto"/>
              <w:left w:val="single" w:sz="4" w:space="0" w:color="A6A6A6"/>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0.1</w:t>
            </w:r>
          </w:p>
        </w:tc>
        <w:tc>
          <w:tcPr>
            <w:tcW w:w="731" w:type="dxa"/>
            <w:tcBorders>
              <w:top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0.2</w:t>
            </w:r>
          </w:p>
        </w:tc>
        <w:tc>
          <w:tcPr>
            <w:tcW w:w="732" w:type="dxa"/>
            <w:tcBorders>
              <w:top w:val="single" w:sz="4" w:space="0" w:color="auto"/>
              <w:left w:val="nil"/>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0.0</w:t>
            </w:r>
          </w:p>
        </w:tc>
      </w:tr>
      <w:tr w:rsidR="00000384" w:rsidRPr="00885D52" w:rsidTr="000C0C7D">
        <w:trPr>
          <w:cantSplit/>
        </w:trPr>
        <w:tc>
          <w:tcPr>
            <w:tcW w:w="580" w:type="dxa"/>
            <w:tcBorders>
              <w:right w:val="single" w:sz="4" w:space="0" w:color="auto"/>
            </w:tcBorders>
            <w:shd w:val="clear" w:color="auto" w:fill="auto"/>
            <w:noWrap/>
            <w:hideMark/>
          </w:tcPr>
          <w:p w:rsidR="00000384" w:rsidRPr="00885D52" w:rsidRDefault="00000384" w:rsidP="000C0C7D">
            <w:pPr>
              <w:pStyle w:val="TableText"/>
              <w:keepNext/>
              <w:rPr>
                <w:color w:val="000000"/>
                <w:lang w:eastAsia="en-NZ"/>
              </w:rPr>
            </w:pPr>
            <w:r w:rsidRPr="00885D52">
              <w:rPr>
                <w:color w:val="000000"/>
                <w:lang w:eastAsia="en-NZ"/>
              </w:rPr>
              <w:t>25–44</w:t>
            </w:r>
          </w:p>
        </w:tc>
        <w:tc>
          <w:tcPr>
            <w:tcW w:w="731" w:type="dxa"/>
            <w:tcBorders>
              <w:left w:val="nil"/>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4.3</w:t>
            </w:r>
          </w:p>
        </w:tc>
        <w:tc>
          <w:tcPr>
            <w:tcW w:w="731" w:type="dxa"/>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6.8</w:t>
            </w:r>
          </w:p>
        </w:tc>
        <w:tc>
          <w:tcPr>
            <w:tcW w:w="732" w:type="dxa"/>
            <w:tcBorders>
              <w:left w:val="nil"/>
              <w:righ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1.0</w:t>
            </w:r>
          </w:p>
        </w:tc>
        <w:tc>
          <w:tcPr>
            <w:tcW w:w="731" w:type="dxa"/>
            <w:tcBorders>
              <w:lef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0.8</w:t>
            </w:r>
          </w:p>
        </w:tc>
        <w:tc>
          <w:tcPr>
            <w:tcW w:w="731" w:type="dxa"/>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1.5</w:t>
            </w:r>
          </w:p>
        </w:tc>
        <w:tc>
          <w:tcPr>
            <w:tcW w:w="732" w:type="dxa"/>
            <w:tcBorders>
              <w:left w:val="nil"/>
              <w:right w:val="nil"/>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0.1</w:t>
            </w:r>
          </w:p>
        </w:tc>
        <w:tc>
          <w:tcPr>
            <w:tcW w:w="731" w:type="dxa"/>
            <w:tcBorders>
              <w:left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11.9</w:t>
            </w:r>
          </w:p>
        </w:tc>
        <w:tc>
          <w:tcPr>
            <w:tcW w:w="731" w:type="dxa"/>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22.9</w:t>
            </w:r>
          </w:p>
        </w:tc>
        <w:tc>
          <w:tcPr>
            <w:tcW w:w="732" w:type="dxa"/>
            <w:tcBorders>
              <w:left w:val="nil"/>
              <w:righ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2.2</w:t>
            </w:r>
          </w:p>
        </w:tc>
        <w:tc>
          <w:tcPr>
            <w:tcW w:w="731" w:type="dxa"/>
            <w:tcBorders>
              <w:lef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4.3</w:t>
            </w:r>
          </w:p>
        </w:tc>
        <w:tc>
          <w:tcPr>
            <w:tcW w:w="731" w:type="dxa"/>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8.2</w:t>
            </w:r>
          </w:p>
        </w:tc>
        <w:tc>
          <w:tcPr>
            <w:tcW w:w="732" w:type="dxa"/>
            <w:tcBorders>
              <w:left w:val="nil"/>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0.6</w:t>
            </w:r>
          </w:p>
        </w:tc>
      </w:tr>
      <w:tr w:rsidR="00000384" w:rsidRPr="00885D52" w:rsidTr="000C0C7D">
        <w:trPr>
          <w:cantSplit/>
        </w:trPr>
        <w:tc>
          <w:tcPr>
            <w:tcW w:w="580" w:type="dxa"/>
            <w:tcBorders>
              <w:bottom w:val="nil"/>
              <w:right w:val="single" w:sz="4" w:space="0" w:color="auto"/>
            </w:tcBorders>
            <w:shd w:val="clear" w:color="auto" w:fill="F2F2F2"/>
            <w:noWrap/>
            <w:hideMark/>
          </w:tcPr>
          <w:p w:rsidR="00000384" w:rsidRPr="00885D52" w:rsidRDefault="00000384" w:rsidP="000C0C7D">
            <w:pPr>
              <w:pStyle w:val="TableText"/>
              <w:keepNext/>
              <w:rPr>
                <w:color w:val="000000"/>
                <w:lang w:eastAsia="en-NZ"/>
              </w:rPr>
            </w:pPr>
            <w:r w:rsidRPr="00885D52">
              <w:rPr>
                <w:color w:val="000000"/>
                <w:lang w:eastAsia="en-NZ"/>
              </w:rPr>
              <w:t>45–64</w:t>
            </w:r>
          </w:p>
        </w:tc>
        <w:tc>
          <w:tcPr>
            <w:tcW w:w="731" w:type="dxa"/>
            <w:tcBorders>
              <w:left w:val="nil"/>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33.0</w:t>
            </w:r>
          </w:p>
        </w:tc>
        <w:tc>
          <w:tcPr>
            <w:tcW w:w="731" w:type="dxa"/>
            <w:tcBorders>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37.7</w:t>
            </w:r>
          </w:p>
        </w:tc>
        <w:tc>
          <w:tcPr>
            <w:tcW w:w="732" w:type="dxa"/>
            <w:tcBorders>
              <w:left w:val="nil"/>
              <w:bottom w:val="nil"/>
              <w:right w:val="single" w:sz="4" w:space="0" w:color="A6A6A6"/>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26.7</w:t>
            </w:r>
          </w:p>
        </w:tc>
        <w:tc>
          <w:tcPr>
            <w:tcW w:w="731" w:type="dxa"/>
            <w:tcBorders>
              <w:left w:val="single" w:sz="4" w:space="0" w:color="A6A6A6"/>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9.7</w:t>
            </w:r>
          </w:p>
        </w:tc>
        <w:tc>
          <w:tcPr>
            <w:tcW w:w="731" w:type="dxa"/>
            <w:tcBorders>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14.7</w:t>
            </w:r>
          </w:p>
        </w:tc>
        <w:tc>
          <w:tcPr>
            <w:tcW w:w="732" w:type="dxa"/>
            <w:tcBorders>
              <w:left w:val="nil"/>
              <w:bottom w:val="nil"/>
              <w:right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4.1</w:t>
            </w:r>
          </w:p>
        </w:tc>
        <w:tc>
          <w:tcPr>
            <w:tcW w:w="731" w:type="dxa"/>
            <w:tcBorders>
              <w:left w:val="single" w:sz="4" w:space="0" w:color="auto"/>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132.2</w:t>
            </w:r>
          </w:p>
        </w:tc>
        <w:tc>
          <w:tcPr>
            <w:tcW w:w="731" w:type="dxa"/>
            <w:tcBorders>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181.6</w:t>
            </w:r>
          </w:p>
        </w:tc>
        <w:tc>
          <w:tcPr>
            <w:tcW w:w="732" w:type="dxa"/>
            <w:tcBorders>
              <w:left w:val="nil"/>
              <w:bottom w:val="nil"/>
              <w:right w:val="single" w:sz="4" w:space="0" w:color="A6A6A6"/>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87.9</w:t>
            </w:r>
          </w:p>
        </w:tc>
        <w:tc>
          <w:tcPr>
            <w:tcW w:w="731" w:type="dxa"/>
            <w:tcBorders>
              <w:left w:val="single" w:sz="4" w:space="0" w:color="A6A6A6"/>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49.3</w:t>
            </w:r>
          </w:p>
        </w:tc>
        <w:tc>
          <w:tcPr>
            <w:tcW w:w="731" w:type="dxa"/>
            <w:tcBorders>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80.5</w:t>
            </w:r>
          </w:p>
        </w:tc>
        <w:tc>
          <w:tcPr>
            <w:tcW w:w="732" w:type="dxa"/>
            <w:tcBorders>
              <w:left w:val="nil"/>
              <w:bottom w:val="nil"/>
            </w:tcBorders>
            <w:shd w:val="clear" w:color="auto" w:fill="F2F2F2"/>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19.5</w:t>
            </w:r>
          </w:p>
        </w:tc>
      </w:tr>
      <w:tr w:rsidR="00000384" w:rsidRPr="00885D52" w:rsidTr="000C0C7D">
        <w:trPr>
          <w:cantSplit/>
        </w:trPr>
        <w:tc>
          <w:tcPr>
            <w:tcW w:w="580" w:type="dxa"/>
            <w:tcBorders>
              <w:bottom w:val="single" w:sz="4" w:space="0" w:color="auto"/>
              <w:right w:val="single" w:sz="4" w:space="0" w:color="auto"/>
            </w:tcBorders>
            <w:shd w:val="clear" w:color="auto" w:fill="auto"/>
            <w:noWrap/>
            <w:hideMark/>
          </w:tcPr>
          <w:p w:rsidR="00000384" w:rsidRPr="00885D52" w:rsidRDefault="00000384" w:rsidP="000C0C7D">
            <w:pPr>
              <w:pStyle w:val="TableText"/>
              <w:rPr>
                <w:color w:val="000000"/>
                <w:lang w:eastAsia="en-NZ"/>
              </w:rPr>
            </w:pPr>
            <w:r w:rsidRPr="00885D52">
              <w:rPr>
                <w:color w:val="000000"/>
                <w:lang w:eastAsia="en-NZ"/>
              </w:rPr>
              <w:t>65+</w:t>
            </w:r>
          </w:p>
        </w:tc>
        <w:tc>
          <w:tcPr>
            <w:tcW w:w="731" w:type="dxa"/>
            <w:tcBorders>
              <w:left w:val="nil"/>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62.7</w:t>
            </w:r>
          </w:p>
        </w:tc>
        <w:tc>
          <w:tcPr>
            <w:tcW w:w="731" w:type="dxa"/>
            <w:tcBorders>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55.5</w:t>
            </w:r>
          </w:p>
        </w:tc>
        <w:tc>
          <w:tcPr>
            <w:tcW w:w="732" w:type="dxa"/>
            <w:tcBorders>
              <w:left w:val="nil"/>
              <w:bottom w:val="single" w:sz="4" w:space="0" w:color="auto"/>
              <w:righ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72.3</w:t>
            </w:r>
          </w:p>
        </w:tc>
        <w:tc>
          <w:tcPr>
            <w:tcW w:w="731" w:type="dxa"/>
            <w:tcBorders>
              <w:left w:val="single" w:sz="4" w:space="0" w:color="A6A6A6"/>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89.4</w:t>
            </w:r>
          </w:p>
        </w:tc>
        <w:tc>
          <w:tcPr>
            <w:tcW w:w="731" w:type="dxa"/>
            <w:tcBorders>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83.8</w:t>
            </w:r>
          </w:p>
        </w:tc>
        <w:tc>
          <w:tcPr>
            <w:tcW w:w="732" w:type="dxa"/>
            <w:tcBorders>
              <w:left w:val="nil"/>
              <w:bottom w:val="single" w:sz="4" w:space="0" w:color="auto"/>
              <w:right w:val="nil"/>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95.7</w:t>
            </w:r>
          </w:p>
        </w:tc>
        <w:tc>
          <w:tcPr>
            <w:tcW w:w="731" w:type="dxa"/>
            <w:tcBorders>
              <w:left w:val="single" w:sz="4" w:space="0" w:color="auto"/>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902.6</w:t>
            </w:r>
          </w:p>
        </w:tc>
        <w:tc>
          <w:tcPr>
            <w:tcW w:w="731" w:type="dxa"/>
            <w:tcBorders>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990.6</w:t>
            </w:r>
          </w:p>
        </w:tc>
        <w:tc>
          <w:tcPr>
            <w:tcW w:w="732" w:type="dxa"/>
            <w:tcBorders>
              <w:left w:val="nil"/>
              <w:bottom w:val="single" w:sz="4" w:space="0" w:color="auto"/>
              <w:right w:val="single" w:sz="4" w:space="0" w:color="A6A6A6"/>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828.6</w:t>
            </w:r>
          </w:p>
        </w:tc>
        <w:tc>
          <w:tcPr>
            <w:tcW w:w="731" w:type="dxa"/>
            <w:tcBorders>
              <w:left w:val="single" w:sz="4" w:space="0" w:color="A6A6A6"/>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816.3</w:t>
            </w:r>
          </w:p>
        </w:tc>
        <w:tc>
          <w:tcPr>
            <w:tcW w:w="731" w:type="dxa"/>
            <w:tcBorders>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880.8</w:t>
            </w:r>
          </w:p>
        </w:tc>
        <w:tc>
          <w:tcPr>
            <w:tcW w:w="732" w:type="dxa"/>
            <w:tcBorders>
              <w:left w:val="nil"/>
              <w:bottom w:val="single" w:sz="4" w:space="0" w:color="auto"/>
            </w:tcBorders>
            <w:shd w:val="clear" w:color="auto" w:fill="auto"/>
            <w:noWrap/>
            <w:hideMark/>
          </w:tcPr>
          <w:p w:rsidR="00000384" w:rsidRPr="00885D52" w:rsidRDefault="00000384" w:rsidP="000C0C7D">
            <w:pPr>
              <w:pStyle w:val="TableText"/>
              <w:tabs>
                <w:tab w:val="decimal" w:pos="385"/>
              </w:tabs>
              <w:rPr>
                <w:color w:val="000000"/>
                <w:lang w:eastAsia="en-NZ"/>
              </w:rPr>
            </w:pPr>
            <w:r w:rsidRPr="00885D52">
              <w:rPr>
                <w:color w:val="000000"/>
                <w:lang w:eastAsia="en-NZ"/>
              </w:rPr>
              <w:t>761.7</w:t>
            </w:r>
          </w:p>
        </w:tc>
      </w:tr>
    </w:tbl>
    <w:p w:rsidR="00000384" w:rsidRPr="00885D52" w:rsidRDefault="00000384" w:rsidP="000C0C7D">
      <w:pPr>
        <w:pStyle w:val="Note"/>
        <w:ind w:right="0"/>
        <w:rPr>
          <w:color w:val="000000"/>
        </w:rPr>
      </w:pPr>
      <w:r w:rsidRPr="00885D52">
        <w:rPr>
          <w:color w:val="000000"/>
        </w:rPr>
        <w:t>Note: Rates per 100,000 population.</w:t>
      </w:r>
    </w:p>
    <w:p w:rsidR="00000384" w:rsidRPr="00885D52" w:rsidRDefault="00000384" w:rsidP="000C0C7D"/>
    <w:p w:rsidR="00000384" w:rsidRPr="00885D52" w:rsidRDefault="00000384" w:rsidP="000C0C7D">
      <w:r w:rsidRPr="00885D52">
        <w:t>The majority of ischaemic heart disease deaths occurred in the 65 years and over age group (81.2 percent of males and 93.9 percent of females). Deaths from ischaemic heart disease occurred at a younger age among Māori than non-Māori.</w:t>
      </w:r>
    </w:p>
    <w:p w:rsidR="00000384" w:rsidRPr="00885D52" w:rsidRDefault="00000384" w:rsidP="000C0C7D"/>
    <w:p w:rsidR="00000384" w:rsidRPr="00885D52" w:rsidRDefault="00000384" w:rsidP="0008616A">
      <w:pPr>
        <w:keepNext/>
      </w:pPr>
      <w:r w:rsidRPr="00885D52">
        <w:lastRenderedPageBreak/>
        <w:t>Figure 24 shows mortality rates from ischaemic heart disease for Māori and non-Māori between 1996 and 2011.</w:t>
      </w:r>
    </w:p>
    <w:p w:rsidR="00000384" w:rsidRPr="00885D52" w:rsidRDefault="00000384" w:rsidP="0008616A">
      <w:pPr>
        <w:keepNext/>
      </w:pPr>
    </w:p>
    <w:p w:rsidR="00000384" w:rsidRPr="00885D52" w:rsidRDefault="00000384" w:rsidP="000C0C7D">
      <w:pPr>
        <w:pStyle w:val="Figure"/>
      </w:pPr>
      <w:bookmarkStart w:id="489" w:name="_Toc400536123"/>
      <w:bookmarkStart w:id="490" w:name="_Toc403120598"/>
      <w:r w:rsidRPr="00885D52">
        <w:t>Figure 24: Age-standardised mortality rates from ischaemic heart disease, by sex and ethnicity, 1996–2011</w:t>
      </w:r>
      <w:bookmarkEnd w:id="489"/>
      <w:bookmarkEnd w:id="490"/>
    </w:p>
    <w:p w:rsidR="00000384" w:rsidRPr="00885D52" w:rsidRDefault="000C0C7D" w:rsidP="000C0C7D">
      <w:r w:rsidRPr="00885D52">
        <w:rPr>
          <w:noProof/>
          <w:lang w:eastAsia="en-NZ"/>
        </w:rPr>
        <w:drawing>
          <wp:inline distT="0" distB="0" distL="0" distR="0" wp14:anchorId="449BDF94" wp14:editId="2ADD0F54">
            <wp:extent cx="5137180" cy="3133899"/>
            <wp:effectExtent l="0" t="0" r="6350" b="9525"/>
            <wp:docPr id="16" name="Picture 16" title="Figure 24: Age-standardised mortality rates from ischaemic heart disease,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7615" cy="3134165"/>
                    </a:xfrm>
                    <a:prstGeom prst="rect">
                      <a:avLst/>
                    </a:prstGeom>
                  </pic:spPr>
                </pic:pic>
              </a:graphicData>
            </a:graphic>
          </wp:inline>
        </w:drawing>
      </w:r>
    </w:p>
    <w:p w:rsidR="00000384" w:rsidRPr="00885D52" w:rsidRDefault="00000384" w:rsidP="000C0C7D">
      <w:pPr>
        <w:pStyle w:val="Note"/>
      </w:pPr>
      <w:r w:rsidRPr="00885D52">
        <w:t>Note: Rates per 100,000 population, age-standardised to WHO World Standard Population.</w:t>
      </w:r>
    </w:p>
    <w:p w:rsidR="00000384" w:rsidRPr="00885D52" w:rsidRDefault="00000384" w:rsidP="000C0C7D"/>
    <w:p w:rsidR="00000384" w:rsidRPr="00885D52" w:rsidRDefault="00000384" w:rsidP="000C0C7D">
      <w:r w:rsidRPr="00885D52">
        <w:t>Of the four groups represented in Figure 24, the Māori male population had the highest age-standardised rate of ischaemic heart disease deaths in 2011. This rate was 1.7 times the rate for non-Māori males. The rate for Māori females was more than twice the rate for non-Māori females.</w:t>
      </w:r>
    </w:p>
    <w:p w:rsidR="00000384" w:rsidRPr="00885D52" w:rsidRDefault="00000384" w:rsidP="000C0C7D"/>
    <w:p w:rsidR="00000384" w:rsidRPr="00885D52" w:rsidRDefault="00000384" w:rsidP="000C0C7D">
      <w:r w:rsidRPr="00885D52">
        <w:t>Between 1996 and 2011, the age-standardised rate for Māori males was consistently higher than rates for all the other groups shown in Figure 24.</w:t>
      </w:r>
    </w:p>
    <w:p w:rsidR="00000384" w:rsidRPr="00885D52" w:rsidRDefault="00000384" w:rsidP="000C0C7D"/>
    <w:p w:rsidR="00000384" w:rsidRPr="00885D52" w:rsidRDefault="00000384" w:rsidP="000C0C7D">
      <w:r w:rsidRPr="00885D52">
        <w:t>The five conditions that make up the ischaemic heart disease ICD classification grouping for mortality coding are:</w:t>
      </w:r>
    </w:p>
    <w:p w:rsidR="00000384" w:rsidRPr="00885D52" w:rsidRDefault="00000384" w:rsidP="000C0C7D">
      <w:pPr>
        <w:pStyle w:val="Bullet"/>
      </w:pPr>
      <w:r w:rsidRPr="00885D52">
        <w:t>I20 angina pectoris</w:t>
      </w:r>
    </w:p>
    <w:p w:rsidR="00000384" w:rsidRPr="00885D52" w:rsidRDefault="00000384" w:rsidP="000C0C7D">
      <w:pPr>
        <w:pStyle w:val="Bullet"/>
      </w:pPr>
      <w:r w:rsidRPr="00885D52">
        <w:t>I21 acute myocardial infarction</w:t>
      </w:r>
    </w:p>
    <w:p w:rsidR="00000384" w:rsidRPr="00885D52" w:rsidRDefault="00000384" w:rsidP="000C0C7D">
      <w:pPr>
        <w:pStyle w:val="Bullet"/>
      </w:pPr>
      <w:r w:rsidRPr="00885D52">
        <w:t>I22 subsequent myocardial infarction</w:t>
      </w:r>
    </w:p>
    <w:p w:rsidR="00000384" w:rsidRPr="00885D52" w:rsidRDefault="00000384" w:rsidP="000C0C7D">
      <w:pPr>
        <w:pStyle w:val="Bullet"/>
      </w:pPr>
      <w:r w:rsidRPr="00885D52">
        <w:t>I24 other acute ischaemic heart diseases</w:t>
      </w:r>
    </w:p>
    <w:p w:rsidR="00000384" w:rsidRPr="00885D52" w:rsidRDefault="00000384" w:rsidP="000C0C7D">
      <w:pPr>
        <w:pStyle w:val="Bullet"/>
      </w:pPr>
      <w:r w:rsidRPr="00885D52">
        <w:t>I25 chronic ischaemic heart disease.</w:t>
      </w:r>
    </w:p>
    <w:p w:rsidR="00000384" w:rsidRPr="00885D52" w:rsidRDefault="00000384" w:rsidP="000C0C7D"/>
    <w:p w:rsidR="00000384" w:rsidRPr="00885D52" w:rsidRDefault="00000384" w:rsidP="000C0C7D">
      <w:r w:rsidRPr="00885D52">
        <w:t>Of these conditions, acute myocardial infarction (I21) and chronic ischaemic heart disease (I25) together account for the majority of the ischaemic heart disease deaths reported for 2011 (98.8 percent). Chronic ischaemic heart disease alone was responsible for 52.8 percent.</w:t>
      </w:r>
    </w:p>
    <w:p w:rsidR="00000384" w:rsidRPr="00885D52" w:rsidRDefault="00000384" w:rsidP="000C0C7D"/>
    <w:p w:rsidR="00000384" w:rsidRPr="00885D52" w:rsidRDefault="00000384" w:rsidP="0008616A">
      <w:pPr>
        <w:keepNext/>
      </w:pPr>
      <w:r w:rsidRPr="00885D52">
        <w:t xml:space="preserve">Figure 25 compares age-standardised mortality rates, by ethnicity and sex, of acute myocardial infarction and chronic ischaemic heart disease in 2011. The figure suggests the pattern of </w:t>
      </w:r>
      <w:r w:rsidRPr="00885D52">
        <w:lastRenderedPageBreak/>
        <w:t>mortality incidence for these two conditions is generally similar. Males had a higher age-standardised mortality rate (within the ethnic groups) for both conditions.</w:t>
      </w:r>
    </w:p>
    <w:p w:rsidR="00000384" w:rsidRPr="00885D52" w:rsidRDefault="00000384" w:rsidP="0008616A">
      <w:pPr>
        <w:keepNext/>
      </w:pPr>
    </w:p>
    <w:p w:rsidR="00000384" w:rsidRPr="00885D52" w:rsidRDefault="00000384" w:rsidP="000C0C7D">
      <w:pPr>
        <w:pStyle w:val="Figure"/>
      </w:pPr>
      <w:bookmarkStart w:id="491" w:name="_Toc352670691"/>
      <w:bookmarkStart w:id="492" w:name="_Toc400536124"/>
      <w:bookmarkStart w:id="493" w:name="_Toc403120599"/>
      <w:r w:rsidRPr="00885D52">
        <w:t>Figure 25: Age-standardised mortality rates from acute myocardial infarction (ICD I21) and chronic ischaemic heart disease (ICD I25), by sex and ethnicity, 201</w:t>
      </w:r>
      <w:bookmarkEnd w:id="491"/>
      <w:r w:rsidRPr="00885D52">
        <w:t>1</w:t>
      </w:r>
      <w:bookmarkEnd w:id="492"/>
      <w:bookmarkEnd w:id="493"/>
    </w:p>
    <w:p w:rsidR="00000384" w:rsidRPr="00885D52" w:rsidRDefault="00606408" w:rsidP="000C0C7D">
      <w:r w:rsidRPr="00885D52">
        <w:rPr>
          <w:noProof/>
          <w:lang w:eastAsia="en-NZ"/>
        </w:rPr>
        <w:drawing>
          <wp:inline distT="0" distB="0" distL="0" distR="0" wp14:anchorId="7DA1C5D4" wp14:editId="422F5EAF">
            <wp:extent cx="5859382" cy="3574473"/>
            <wp:effectExtent l="0" t="0" r="8255" b="6985"/>
            <wp:docPr id="44" name="Picture 44" title="Figure 25: Age-standardised mortality rates from acute myocardial infarction (ICD I21) and chronic ischaemic heart disease (ICD I25), by sex and ethnicit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58676" cy="3574042"/>
                    </a:xfrm>
                    <a:prstGeom prst="rect">
                      <a:avLst/>
                    </a:prstGeom>
                  </pic:spPr>
                </pic:pic>
              </a:graphicData>
            </a:graphic>
          </wp:inline>
        </w:drawing>
      </w:r>
    </w:p>
    <w:p w:rsidR="00000384" w:rsidRPr="00885D52" w:rsidRDefault="00000384" w:rsidP="00606408">
      <w:pPr>
        <w:pStyle w:val="Note"/>
        <w:ind w:left="0" w:firstLine="0"/>
      </w:pPr>
      <w:r w:rsidRPr="00885D52">
        <w:t>Note: Rates per 100,000 population, age-standardised to WHO World Standard Population; 95% confidence intervals.</w:t>
      </w:r>
    </w:p>
    <w:p w:rsidR="00000384" w:rsidRPr="00885D52" w:rsidRDefault="00000384" w:rsidP="000C0C7D"/>
    <w:p w:rsidR="00000384" w:rsidRPr="00885D52" w:rsidRDefault="00000384" w:rsidP="0008616A">
      <w:pPr>
        <w:keepNext/>
      </w:pPr>
      <w:r w:rsidRPr="00885D52">
        <w:lastRenderedPageBreak/>
        <w:t>Figure 26 shows age-standardised mortality rates for ischaemic heart disease by DHB region of residence for the total population in 2011.</w:t>
      </w:r>
    </w:p>
    <w:p w:rsidR="000C0C7D" w:rsidRPr="00885D52" w:rsidRDefault="000C0C7D" w:rsidP="0008616A">
      <w:pPr>
        <w:keepNext/>
      </w:pPr>
    </w:p>
    <w:p w:rsidR="00000384" w:rsidRPr="00885D52" w:rsidRDefault="00000384" w:rsidP="0008616A">
      <w:pPr>
        <w:keepNext/>
      </w:pPr>
      <w:r w:rsidRPr="00885D52">
        <w:t>Waitemata and Bay of Plenty DHB regions had an ischaemic heart disease death rate that was significantly lower than the New Zealand rate. No DHBs had a rate that was significantly higher.</w:t>
      </w:r>
    </w:p>
    <w:p w:rsidR="00000384" w:rsidRPr="00885D52" w:rsidRDefault="00000384" w:rsidP="0008616A">
      <w:pPr>
        <w:keepNext/>
      </w:pPr>
    </w:p>
    <w:p w:rsidR="00000384" w:rsidRPr="00885D52" w:rsidRDefault="00000384" w:rsidP="000C0C7D">
      <w:pPr>
        <w:pStyle w:val="Figure"/>
      </w:pPr>
      <w:bookmarkStart w:id="494" w:name="_Toc352670692"/>
      <w:bookmarkStart w:id="495" w:name="_Toc400536125"/>
      <w:bookmarkStart w:id="496" w:name="_Toc403120600"/>
      <w:r w:rsidRPr="00885D52">
        <w:t>Figure 26</w:t>
      </w:r>
      <w:r w:rsidRPr="00885D52">
        <w:rPr>
          <w:bCs/>
        </w:rPr>
        <w:t xml:space="preserve">: Age-standardised mortality rates for </w:t>
      </w:r>
      <w:r w:rsidRPr="00885D52">
        <w:t>ischaemic heart disease, by DHB region, total population, 201</w:t>
      </w:r>
      <w:bookmarkEnd w:id="494"/>
      <w:r w:rsidRPr="00885D52">
        <w:t>1</w:t>
      </w:r>
      <w:bookmarkEnd w:id="495"/>
      <w:bookmarkEnd w:id="496"/>
    </w:p>
    <w:p w:rsidR="00000384" w:rsidRPr="00885D52" w:rsidRDefault="000C0C7D" w:rsidP="000C0C7D">
      <w:pPr>
        <w:keepNext/>
      </w:pPr>
      <w:r w:rsidRPr="00885D52">
        <w:rPr>
          <w:noProof/>
          <w:lang w:eastAsia="en-NZ"/>
        </w:rPr>
        <w:drawing>
          <wp:inline distT="0" distB="0" distL="0" distR="0" wp14:anchorId="2E504567" wp14:editId="5883547D">
            <wp:extent cx="5287069" cy="3225338"/>
            <wp:effectExtent l="0" t="0" r="8890" b="0"/>
            <wp:docPr id="18" name="Picture 18" title="Figure 26: Age-standardised mortality rates for ischaemic heart disease, by DHB region, total populatio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87519" cy="3225612"/>
                    </a:xfrm>
                    <a:prstGeom prst="rect">
                      <a:avLst/>
                    </a:prstGeom>
                  </pic:spPr>
                </pic:pic>
              </a:graphicData>
            </a:graphic>
          </wp:inline>
        </w:drawing>
      </w:r>
    </w:p>
    <w:p w:rsidR="008D5D23" w:rsidRPr="00885D52" w:rsidRDefault="00000384" w:rsidP="000C0C7D">
      <w:pPr>
        <w:pStyle w:val="Note"/>
        <w:ind w:left="0" w:firstLine="0"/>
      </w:pPr>
      <w:r w:rsidRPr="00885D52">
        <w:t>Note 1: Rates per 100,000 population, age-standardised to WHO World Standard Population; 99% confidence intervals.</w:t>
      </w:r>
    </w:p>
    <w:p w:rsidR="00000384" w:rsidRPr="00885D52" w:rsidRDefault="00000384" w:rsidP="000C0C7D">
      <w:pPr>
        <w:pStyle w:val="Note"/>
        <w:ind w:left="0" w:firstLine="0"/>
      </w:pPr>
      <w:r w:rsidRPr="00885D52">
        <w:t>Note 2: This figure shows confidence intervals for DHB regions. Confidence intervals for the national rate are not shown but are included in the analysis.</w:t>
      </w:r>
    </w:p>
    <w:p w:rsidR="00000384" w:rsidRPr="00885D52" w:rsidRDefault="00000384" w:rsidP="000C0C7D"/>
    <w:p w:rsidR="0008616A" w:rsidRDefault="0008616A">
      <w:pPr>
        <w:spacing w:line="240" w:lineRule="auto"/>
        <w:rPr>
          <w:b/>
          <w:sz w:val="40"/>
        </w:rPr>
      </w:pPr>
      <w:bookmarkStart w:id="497" w:name="_Hlt437749021"/>
      <w:bookmarkStart w:id="498" w:name="_Toc437749003"/>
      <w:bookmarkStart w:id="499" w:name="_Toc167268834"/>
      <w:bookmarkStart w:id="500" w:name="_Toc236642214"/>
      <w:bookmarkStart w:id="501" w:name="_Toc262631093"/>
      <w:bookmarkStart w:id="502" w:name="_Toc316994476"/>
      <w:bookmarkStart w:id="503" w:name="_Toc352670633"/>
      <w:bookmarkStart w:id="504" w:name="_Toc400536189"/>
      <w:bookmarkStart w:id="505" w:name="_Toc403120529"/>
      <w:bookmarkEnd w:id="497"/>
      <w:r>
        <w:br w:type="page"/>
      </w:r>
    </w:p>
    <w:p w:rsidR="00000384" w:rsidRPr="00885D52" w:rsidRDefault="00000384" w:rsidP="0008616A">
      <w:pPr>
        <w:pStyle w:val="Heading2"/>
        <w:spacing w:before="0"/>
      </w:pPr>
      <w:r w:rsidRPr="00885D52">
        <w:lastRenderedPageBreak/>
        <w:t>Cerebrovascular disease</w:t>
      </w:r>
      <w:bookmarkEnd w:id="498"/>
      <w:r w:rsidRPr="00885D52">
        <w:t xml:space="preserve"> (I60–I69)</w:t>
      </w:r>
      <w:bookmarkEnd w:id="499"/>
      <w:bookmarkEnd w:id="500"/>
      <w:bookmarkEnd w:id="501"/>
      <w:bookmarkEnd w:id="502"/>
      <w:bookmarkEnd w:id="503"/>
      <w:bookmarkEnd w:id="504"/>
      <w:bookmarkEnd w:id="505"/>
    </w:p>
    <w:p w:rsidR="00000384" w:rsidRPr="00885D52" w:rsidRDefault="00000384" w:rsidP="000C0C7D">
      <w:r w:rsidRPr="00885D52">
        <w:t>Cerebrovascular disease is a general term that encompasses a variety of diseases affecting the arteries that supply the brain. This condition is commonly associated with stroke (ie, the sudden death of brain cells due to lack of oxygen when the blood flow to part of the brain is impaired by blockage or rupture of an artery in the brain). A stroke is sometimes called a cerebrovascular accident. Risk factors associated with the narrowing of the arteries (atherosclerosis) that characterises cerebrovascular disease include high blood cholesterol level, high blood pressure, smoking, diabetes and a family history of atherosclerotic disease. Atherosclerosis also occurs with ageing.</w:t>
      </w:r>
    </w:p>
    <w:p w:rsidR="00000384" w:rsidRPr="00885D52" w:rsidRDefault="00000384" w:rsidP="000C0C7D"/>
    <w:p w:rsidR="00000384" w:rsidRPr="00885D52" w:rsidRDefault="00000384" w:rsidP="000C0C7D">
      <w:r w:rsidRPr="00885D52">
        <w:t>Cerebrovascular disease was the third leading cause of death in the total population in 2011, after cancer and ischaemic heart disease.</w:t>
      </w:r>
    </w:p>
    <w:p w:rsidR="00000384" w:rsidRPr="00885D52" w:rsidRDefault="00000384" w:rsidP="000C0C7D"/>
    <w:p w:rsidR="00000384" w:rsidRPr="00885D52" w:rsidRDefault="00000384" w:rsidP="000C0C7D">
      <w:r w:rsidRPr="00885D52">
        <w:t>There were 2665 deaths from cerebrovascular disease in 2011, the majority of which (62.0 percent) were females.</w:t>
      </w:r>
    </w:p>
    <w:p w:rsidR="00000384" w:rsidRPr="00885D52" w:rsidRDefault="00000384" w:rsidP="000C0C7D"/>
    <w:p w:rsidR="00000384" w:rsidRPr="00885D52" w:rsidRDefault="00000384" w:rsidP="000C0C7D">
      <w:r w:rsidRPr="00885D52">
        <w:t>Table 18 shows the number of deaths and age-standardised mortality rates from cerebrovascular disease from 1980 to 2011. The mortality rate from cerebrovascular disease for males in 2011 was 70.3 percent lower than it was in 1980, and the female rate was 66.0 percent lower. Males and females had similar annual mortality rates over this period (see Figure 27).</w:t>
      </w:r>
    </w:p>
    <w:p w:rsidR="00000384" w:rsidRPr="00885D52" w:rsidRDefault="00000384" w:rsidP="000C0C7D"/>
    <w:p w:rsidR="00000384" w:rsidRPr="00885D52" w:rsidRDefault="00000384" w:rsidP="000C0C7D">
      <w:pPr>
        <w:pStyle w:val="Table"/>
      </w:pPr>
      <w:bookmarkStart w:id="506" w:name="_Ref132337779"/>
      <w:bookmarkStart w:id="507" w:name="_Toc167268867"/>
      <w:bookmarkStart w:id="508" w:name="_Toc236641658"/>
      <w:bookmarkStart w:id="509" w:name="_Toc262631242"/>
      <w:bookmarkStart w:id="510" w:name="_Toc316912735"/>
      <w:bookmarkStart w:id="511" w:name="_Toc352670667"/>
      <w:bookmarkStart w:id="512" w:name="_Toc400536158"/>
      <w:bookmarkStart w:id="513" w:name="_Toc403120563"/>
      <w:r w:rsidRPr="00885D52">
        <w:lastRenderedPageBreak/>
        <w:t>Table 18</w:t>
      </w:r>
      <w:bookmarkEnd w:id="506"/>
      <w:r w:rsidRPr="00885D52">
        <w:t>: Numbers and age-standardised mortality rates for cerebrovascular disease, by sex, 1980–20</w:t>
      </w:r>
      <w:bookmarkEnd w:id="507"/>
      <w:bookmarkEnd w:id="508"/>
      <w:bookmarkEnd w:id="509"/>
      <w:bookmarkEnd w:id="510"/>
      <w:r w:rsidRPr="00885D52">
        <w:t>1</w:t>
      </w:r>
      <w:bookmarkEnd w:id="511"/>
      <w:r w:rsidRPr="00885D52">
        <w:t>1</w:t>
      </w:r>
      <w:bookmarkEnd w:id="512"/>
      <w:bookmarkEnd w:id="513"/>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54"/>
        <w:gridCol w:w="1130"/>
        <w:gridCol w:w="1131"/>
        <w:gridCol w:w="1131"/>
        <w:gridCol w:w="1130"/>
        <w:gridCol w:w="1131"/>
        <w:gridCol w:w="1131"/>
      </w:tblGrid>
      <w:tr w:rsidR="00000384" w:rsidRPr="00885D52" w:rsidTr="00873D1E">
        <w:trPr>
          <w:cantSplit/>
        </w:trPr>
        <w:tc>
          <w:tcPr>
            <w:tcW w:w="1154" w:type="dxa"/>
            <w:vMerge w:val="restart"/>
            <w:tcBorders>
              <w:top w:val="single" w:sz="4" w:space="0" w:color="auto"/>
              <w:bottom w:val="single" w:sz="4" w:space="0" w:color="auto"/>
              <w:right w:val="single" w:sz="4" w:space="0" w:color="A6A6A6" w:themeColor="background1" w:themeShade="A6"/>
            </w:tcBorders>
            <w:shd w:val="clear" w:color="auto" w:fill="auto"/>
          </w:tcPr>
          <w:p w:rsidR="00000384" w:rsidRPr="00885D52" w:rsidRDefault="00000384" w:rsidP="00190A7F">
            <w:pPr>
              <w:pStyle w:val="TableText"/>
              <w:keepNext/>
              <w:jc w:val="center"/>
              <w:rPr>
                <w:b/>
                <w:color w:val="000000"/>
              </w:rPr>
            </w:pPr>
            <w:r w:rsidRPr="00885D52">
              <w:rPr>
                <w:b/>
                <w:color w:val="000000"/>
              </w:rPr>
              <w:t>Year</w:t>
            </w:r>
          </w:p>
        </w:tc>
        <w:tc>
          <w:tcPr>
            <w:tcW w:w="226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000384" w:rsidRPr="00885D52" w:rsidRDefault="00000384" w:rsidP="00190A7F">
            <w:pPr>
              <w:pStyle w:val="TableText"/>
              <w:keepNext/>
              <w:jc w:val="center"/>
              <w:rPr>
                <w:b/>
                <w:color w:val="000000"/>
              </w:rPr>
            </w:pPr>
            <w:r w:rsidRPr="00885D52">
              <w:rPr>
                <w:b/>
                <w:color w:val="000000"/>
              </w:rPr>
              <w:t>Male</w:t>
            </w:r>
          </w:p>
        </w:tc>
        <w:tc>
          <w:tcPr>
            <w:tcW w:w="2261"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rsidR="00000384" w:rsidRPr="00885D52" w:rsidRDefault="00000384" w:rsidP="00190A7F">
            <w:pPr>
              <w:pStyle w:val="TableText"/>
              <w:keepNext/>
              <w:jc w:val="center"/>
              <w:rPr>
                <w:b/>
                <w:color w:val="000000"/>
              </w:rPr>
            </w:pPr>
            <w:r w:rsidRPr="00885D52">
              <w:rPr>
                <w:b/>
                <w:color w:val="000000"/>
              </w:rPr>
              <w:t>Female</w:t>
            </w:r>
          </w:p>
        </w:tc>
        <w:tc>
          <w:tcPr>
            <w:tcW w:w="2262" w:type="dxa"/>
            <w:gridSpan w:val="2"/>
            <w:tcBorders>
              <w:top w:val="single" w:sz="4" w:space="0" w:color="auto"/>
              <w:left w:val="single" w:sz="4" w:space="0" w:color="A6A6A6" w:themeColor="background1" w:themeShade="A6"/>
              <w:bottom w:val="single" w:sz="4" w:space="0" w:color="auto"/>
            </w:tcBorders>
          </w:tcPr>
          <w:p w:rsidR="00000384" w:rsidRPr="00885D52" w:rsidRDefault="00000384" w:rsidP="00190A7F">
            <w:pPr>
              <w:pStyle w:val="TableText"/>
              <w:keepNext/>
              <w:jc w:val="center"/>
              <w:rPr>
                <w:b/>
                <w:color w:val="000000"/>
              </w:rPr>
            </w:pPr>
            <w:r w:rsidRPr="00885D52">
              <w:rPr>
                <w:b/>
                <w:color w:val="000000"/>
              </w:rPr>
              <w:t>Total</w:t>
            </w:r>
          </w:p>
        </w:tc>
      </w:tr>
      <w:tr w:rsidR="00000384" w:rsidRPr="00885D52" w:rsidTr="00873D1E">
        <w:trPr>
          <w:cantSplit/>
        </w:trPr>
        <w:tc>
          <w:tcPr>
            <w:tcW w:w="1154" w:type="dxa"/>
            <w:vMerge/>
            <w:tcBorders>
              <w:top w:val="single" w:sz="4" w:space="0" w:color="auto"/>
              <w:bottom w:val="single" w:sz="4" w:space="0" w:color="auto"/>
              <w:right w:val="single" w:sz="4" w:space="0" w:color="A6A6A6" w:themeColor="background1" w:themeShade="A6"/>
            </w:tcBorders>
            <w:shd w:val="clear" w:color="auto" w:fill="auto"/>
          </w:tcPr>
          <w:p w:rsidR="00000384" w:rsidRPr="00885D52" w:rsidRDefault="00000384" w:rsidP="00190A7F">
            <w:pPr>
              <w:pStyle w:val="TableText"/>
              <w:keepNext/>
              <w:jc w:val="center"/>
              <w:rPr>
                <w:b/>
                <w:color w:val="000000"/>
              </w:rPr>
            </w:pPr>
          </w:p>
        </w:tc>
        <w:tc>
          <w:tcPr>
            <w:tcW w:w="1130" w:type="dxa"/>
            <w:tcBorders>
              <w:top w:val="single" w:sz="4" w:space="0" w:color="auto"/>
              <w:left w:val="single" w:sz="4" w:space="0" w:color="A6A6A6" w:themeColor="background1" w:themeShade="A6"/>
              <w:bottom w:val="single" w:sz="4" w:space="0" w:color="auto"/>
              <w:right w:val="nil"/>
            </w:tcBorders>
            <w:shd w:val="clear" w:color="auto" w:fill="auto"/>
          </w:tcPr>
          <w:p w:rsidR="00000384" w:rsidRPr="00885D52" w:rsidRDefault="00000384" w:rsidP="00190A7F">
            <w:pPr>
              <w:pStyle w:val="TableText"/>
              <w:keepNext/>
              <w:jc w:val="center"/>
              <w:rPr>
                <w:b/>
                <w:color w:val="000000"/>
              </w:rPr>
            </w:pPr>
            <w:r w:rsidRPr="00885D52">
              <w:rPr>
                <w:b/>
                <w:color w:val="000000"/>
              </w:rPr>
              <w:t>No.</w:t>
            </w:r>
          </w:p>
        </w:tc>
        <w:tc>
          <w:tcPr>
            <w:tcW w:w="1131" w:type="dxa"/>
            <w:tcBorders>
              <w:top w:val="single" w:sz="4" w:space="0" w:color="auto"/>
              <w:left w:val="nil"/>
              <w:bottom w:val="single" w:sz="4" w:space="0" w:color="auto"/>
              <w:right w:val="single" w:sz="4" w:space="0" w:color="A6A6A6" w:themeColor="background1" w:themeShade="A6"/>
            </w:tcBorders>
            <w:shd w:val="clear" w:color="auto" w:fill="auto"/>
          </w:tcPr>
          <w:p w:rsidR="00000384" w:rsidRPr="00885D52" w:rsidRDefault="00000384" w:rsidP="00190A7F">
            <w:pPr>
              <w:pStyle w:val="TableText"/>
              <w:keepNext/>
              <w:jc w:val="center"/>
              <w:rPr>
                <w:b/>
                <w:color w:val="000000"/>
              </w:rPr>
            </w:pPr>
            <w:r w:rsidRPr="00885D52">
              <w:rPr>
                <w:b/>
                <w:color w:val="000000"/>
              </w:rPr>
              <w:t>Rate</w:t>
            </w:r>
          </w:p>
        </w:tc>
        <w:tc>
          <w:tcPr>
            <w:tcW w:w="1131" w:type="dxa"/>
            <w:tcBorders>
              <w:top w:val="single" w:sz="4" w:space="0" w:color="auto"/>
              <w:left w:val="single" w:sz="4" w:space="0" w:color="A6A6A6" w:themeColor="background1" w:themeShade="A6"/>
              <w:bottom w:val="single" w:sz="4" w:space="0" w:color="auto"/>
              <w:right w:val="nil"/>
            </w:tcBorders>
          </w:tcPr>
          <w:p w:rsidR="00000384" w:rsidRPr="00885D52" w:rsidRDefault="00000384" w:rsidP="00190A7F">
            <w:pPr>
              <w:pStyle w:val="TableText"/>
              <w:keepNext/>
              <w:jc w:val="center"/>
              <w:rPr>
                <w:b/>
                <w:color w:val="000000"/>
              </w:rPr>
            </w:pPr>
            <w:r w:rsidRPr="00885D52">
              <w:rPr>
                <w:b/>
                <w:color w:val="000000"/>
              </w:rPr>
              <w:t>No.</w:t>
            </w:r>
          </w:p>
        </w:tc>
        <w:tc>
          <w:tcPr>
            <w:tcW w:w="1130" w:type="dxa"/>
            <w:tcBorders>
              <w:top w:val="single" w:sz="4" w:space="0" w:color="auto"/>
              <w:left w:val="nil"/>
              <w:bottom w:val="single" w:sz="4" w:space="0" w:color="auto"/>
              <w:right w:val="single" w:sz="4" w:space="0" w:color="A6A6A6" w:themeColor="background1" w:themeShade="A6"/>
            </w:tcBorders>
          </w:tcPr>
          <w:p w:rsidR="00000384" w:rsidRPr="00885D52" w:rsidRDefault="00000384" w:rsidP="00190A7F">
            <w:pPr>
              <w:pStyle w:val="TableText"/>
              <w:keepNext/>
              <w:jc w:val="center"/>
              <w:rPr>
                <w:b/>
                <w:color w:val="000000"/>
              </w:rPr>
            </w:pPr>
            <w:r w:rsidRPr="00885D52">
              <w:rPr>
                <w:b/>
                <w:color w:val="000000"/>
              </w:rPr>
              <w:t>Rate</w:t>
            </w:r>
          </w:p>
        </w:tc>
        <w:tc>
          <w:tcPr>
            <w:tcW w:w="1131" w:type="dxa"/>
            <w:tcBorders>
              <w:top w:val="single" w:sz="4" w:space="0" w:color="auto"/>
              <w:left w:val="single" w:sz="4" w:space="0" w:color="A6A6A6" w:themeColor="background1" w:themeShade="A6"/>
              <w:bottom w:val="single" w:sz="4" w:space="0" w:color="auto"/>
              <w:right w:val="nil"/>
            </w:tcBorders>
            <w:shd w:val="clear" w:color="auto" w:fill="auto"/>
          </w:tcPr>
          <w:p w:rsidR="00000384" w:rsidRPr="00885D52" w:rsidRDefault="00000384" w:rsidP="00190A7F">
            <w:pPr>
              <w:pStyle w:val="TableText"/>
              <w:keepNext/>
              <w:jc w:val="center"/>
              <w:rPr>
                <w:b/>
                <w:color w:val="000000"/>
              </w:rPr>
            </w:pPr>
            <w:r w:rsidRPr="00885D52">
              <w:rPr>
                <w:b/>
                <w:color w:val="000000"/>
              </w:rPr>
              <w:t>No.</w:t>
            </w:r>
          </w:p>
        </w:tc>
        <w:tc>
          <w:tcPr>
            <w:tcW w:w="1131" w:type="dxa"/>
            <w:tcBorders>
              <w:top w:val="single" w:sz="4" w:space="0" w:color="auto"/>
              <w:left w:val="nil"/>
              <w:bottom w:val="single" w:sz="4" w:space="0" w:color="auto"/>
            </w:tcBorders>
            <w:shd w:val="clear" w:color="auto" w:fill="auto"/>
          </w:tcPr>
          <w:p w:rsidR="00000384" w:rsidRPr="00885D52" w:rsidRDefault="00000384" w:rsidP="00190A7F">
            <w:pPr>
              <w:pStyle w:val="TableText"/>
              <w:keepNext/>
              <w:jc w:val="center"/>
              <w:rPr>
                <w:b/>
                <w:color w:val="000000"/>
              </w:rPr>
            </w:pPr>
            <w:r w:rsidRPr="00885D52">
              <w:rPr>
                <w:b/>
                <w:color w:val="000000"/>
              </w:rPr>
              <w:t>Rate</w:t>
            </w:r>
          </w:p>
        </w:tc>
      </w:tr>
      <w:tr w:rsidR="00000384" w:rsidRPr="00885D52" w:rsidTr="00873D1E">
        <w:trPr>
          <w:cantSplit/>
        </w:trPr>
        <w:tc>
          <w:tcPr>
            <w:tcW w:w="1154" w:type="dxa"/>
            <w:tcBorders>
              <w:top w:val="single" w:sz="4" w:space="0" w:color="auto"/>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1980</w:t>
            </w:r>
          </w:p>
        </w:tc>
        <w:tc>
          <w:tcPr>
            <w:tcW w:w="1130"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1288</w:t>
            </w:r>
          </w:p>
        </w:tc>
        <w:tc>
          <w:tcPr>
            <w:tcW w:w="1131"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96.8</w:t>
            </w:r>
          </w:p>
        </w:tc>
        <w:tc>
          <w:tcPr>
            <w:tcW w:w="1131"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1870</w:t>
            </w:r>
          </w:p>
        </w:tc>
        <w:tc>
          <w:tcPr>
            <w:tcW w:w="1130"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90.0</w:t>
            </w:r>
          </w:p>
        </w:tc>
        <w:tc>
          <w:tcPr>
            <w:tcW w:w="1131"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3158</w:t>
            </w:r>
          </w:p>
        </w:tc>
        <w:tc>
          <w:tcPr>
            <w:tcW w:w="1131" w:type="dxa"/>
            <w:tcBorders>
              <w:top w:val="single" w:sz="4" w:space="0" w:color="auto"/>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92.8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1981</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1175</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84.4</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1745</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79.4</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2920</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82.3</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1982</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1155</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80.7</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1651</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72.6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2806</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76.6</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1983</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1229</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84.1</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1708</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73.5</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2937</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78.2</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1984</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1108</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74.5</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1703</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71.4</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2811</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73.0</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1985</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1160</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76.0</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1723</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69.7</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2883</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72.9</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1986</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1145</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70.5</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1710</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67.7</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2855</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69.8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1987</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1076</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66.3</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1675</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64.4</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2751</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65.8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1988</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1077</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64.8</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1616</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59.2</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2693</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62.5</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1989</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1072</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63.3</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1597</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58.3</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2669</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60.8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1990</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1021</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57.9</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1579</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56.6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2600</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57.9</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1991</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1036</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58.1</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1624</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56.0</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2660</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57.6</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1992</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1113</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60.5</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1621</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54.0</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2734</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56.8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1993</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1061</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55.9</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1727</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56.0</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2788</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56.4</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1994</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1096</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56.6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1631</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50.4</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2727</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53.4</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1995</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1070</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53.9</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1645</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49.0</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2715</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51.5</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1996</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1045</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51.3</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1614</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47.2</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2659</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49.1</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1997</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966</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44.9</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1600</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44.5</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2566</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45.1</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1998</w:t>
            </w:r>
          </w:p>
        </w:tc>
        <w:tc>
          <w:tcPr>
            <w:tcW w:w="1130"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tabs>
                <w:tab w:val="decimal" w:pos="632"/>
              </w:tabs>
              <w:rPr>
                <w:color w:val="000000"/>
              </w:rPr>
            </w:pPr>
            <w:r w:rsidRPr="00885D52">
              <w:rPr>
                <w:color w:val="000000"/>
              </w:rPr>
              <w:t>960</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43.5</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1532</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41.6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2492</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42.7</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1999</w:t>
            </w:r>
          </w:p>
        </w:tc>
        <w:tc>
          <w:tcPr>
            <w:tcW w:w="1130"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tabs>
                <w:tab w:val="decimal" w:pos="632"/>
              </w:tabs>
              <w:rPr>
                <w:color w:val="000000"/>
              </w:rPr>
            </w:pPr>
            <w:r w:rsidRPr="00885D52">
              <w:rPr>
                <w:color w:val="000000"/>
              </w:rPr>
              <w:t>1129</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49.3</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1706</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44.5</w:t>
            </w:r>
          </w:p>
        </w:tc>
        <w:tc>
          <w:tcPr>
            <w:tcW w:w="1131" w:type="dxa"/>
            <w:tcBorders>
              <w:top w:val="nil"/>
              <w:left w:val="single" w:sz="4" w:space="0" w:color="A6A6A6" w:themeColor="background1" w:themeShade="A6"/>
              <w:bottom w:val="nil"/>
              <w:right w:val="nil"/>
            </w:tcBorders>
            <w:shd w:val="clear" w:color="auto" w:fill="auto"/>
          </w:tcPr>
          <w:p w:rsidR="00000384" w:rsidRPr="00885D52" w:rsidRDefault="00000384" w:rsidP="00190A7F">
            <w:pPr>
              <w:pStyle w:val="TableText"/>
              <w:keepNext/>
              <w:jc w:val="center"/>
              <w:rPr>
                <w:color w:val="000000"/>
              </w:rPr>
            </w:pPr>
            <w:r w:rsidRPr="00885D52">
              <w:rPr>
                <w:color w:val="000000"/>
              </w:rPr>
              <w:t>2835</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47.0</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2000</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tabs>
                <w:tab w:val="decimal" w:pos="632"/>
              </w:tabs>
              <w:rPr>
                <w:color w:val="000000"/>
              </w:rPr>
            </w:pPr>
            <w:r w:rsidRPr="00885D52">
              <w:rPr>
                <w:color w:val="000000"/>
              </w:rPr>
              <w:t>1048</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44.6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1620</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jc w:val="center"/>
              <w:rPr>
                <w:color w:val="000000"/>
              </w:rPr>
            </w:pPr>
            <w:r w:rsidRPr="00885D52">
              <w:rPr>
                <w:color w:val="000000"/>
              </w:rPr>
              <w:t>41.4</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2668</w:t>
            </w:r>
          </w:p>
        </w:tc>
        <w:tc>
          <w:tcPr>
            <w:tcW w:w="1131" w:type="dxa"/>
            <w:tcBorders>
              <w:top w:val="nil"/>
              <w:left w:val="nil"/>
              <w:bottom w:val="nil"/>
            </w:tcBorders>
            <w:shd w:val="clear" w:color="auto" w:fill="F2F2F2"/>
          </w:tcPr>
          <w:p w:rsidR="00000384" w:rsidRPr="00885D52" w:rsidRDefault="00000384" w:rsidP="00190A7F">
            <w:pPr>
              <w:pStyle w:val="TableText"/>
              <w:keepNext/>
              <w:jc w:val="center"/>
              <w:rPr>
                <w:color w:val="000000"/>
              </w:rPr>
            </w:pPr>
            <w:r w:rsidRPr="00885D52">
              <w:rPr>
                <w:color w:val="000000"/>
              </w:rPr>
              <w:t>42.9</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2001</w:t>
            </w:r>
          </w:p>
        </w:tc>
        <w:tc>
          <w:tcPr>
            <w:tcW w:w="1130"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tabs>
                <w:tab w:val="decimal" w:pos="632"/>
              </w:tabs>
              <w:rPr>
                <w:color w:val="000000"/>
              </w:rPr>
            </w:pPr>
            <w:r w:rsidRPr="00885D52">
              <w:rPr>
                <w:color w:val="000000"/>
              </w:rPr>
              <w:t>1036</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190A7F">
            <w:pPr>
              <w:pStyle w:val="TableText"/>
              <w:keepNext/>
              <w:jc w:val="center"/>
              <w:rPr>
                <w:color w:val="000000"/>
              </w:rPr>
            </w:pPr>
            <w:r w:rsidRPr="00885D52">
              <w:rPr>
                <w:color w:val="000000"/>
              </w:rPr>
              <w:t>42.4</w:t>
            </w:r>
          </w:p>
        </w:tc>
        <w:tc>
          <w:tcPr>
            <w:tcW w:w="1131"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1748</w:t>
            </w:r>
          </w:p>
        </w:tc>
        <w:tc>
          <w:tcPr>
            <w:tcW w:w="1130" w:type="dxa"/>
            <w:tcBorders>
              <w:top w:val="nil"/>
              <w:left w:val="nil"/>
              <w:bottom w:val="nil"/>
              <w:right w:val="single" w:sz="4" w:space="0" w:color="A6A6A6" w:themeColor="background1" w:themeShade="A6"/>
            </w:tcBorders>
          </w:tcPr>
          <w:p w:rsidR="00000384" w:rsidRPr="00885D52" w:rsidRDefault="00000384" w:rsidP="00190A7F">
            <w:pPr>
              <w:pStyle w:val="TableText"/>
              <w:keepNext/>
              <w:jc w:val="center"/>
              <w:rPr>
                <w:color w:val="000000"/>
              </w:rPr>
            </w:pPr>
            <w:r w:rsidRPr="00885D52">
              <w:rPr>
                <w:color w:val="000000"/>
              </w:rPr>
              <w:t>42.7</w:t>
            </w:r>
          </w:p>
        </w:tc>
        <w:tc>
          <w:tcPr>
            <w:tcW w:w="1131"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2784</w:t>
            </w:r>
          </w:p>
        </w:tc>
        <w:tc>
          <w:tcPr>
            <w:tcW w:w="1131" w:type="dxa"/>
            <w:tcBorders>
              <w:top w:val="nil"/>
              <w:left w:val="nil"/>
              <w:bottom w:val="nil"/>
            </w:tcBorders>
            <w:shd w:val="clear" w:color="auto" w:fill="auto"/>
          </w:tcPr>
          <w:p w:rsidR="00000384" w:rsidRPr="00885D52" w:rsidRDefault="00000384" w:rsidP="00190A7F">
            <w:pPr>
              <w:pStyle w:val="TableText"/>
              <w:keepNext/>
              <w:jc w:val="center"/>
              <w:rPr>
                <w:color w:val="000000"/>
              </w:rPr>
            </w:pPr>
            <w:r w:rsidRPr="00885D52">
              <w:rPr>
                <w:color w:val="000000"/>
              </w:rPr>
              <w:t>43.1</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jc w:val="center"/>
              <w:rPr>
                <w:color w:val="000000"/>
              </w:rPr>
            </w:pPr>
            <w:r w:rsidRPr="00885D52">
              <w:rPr>
                <w:color w:val="000000"/>
              </w:rPr>
              <w:t>2002</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tabs>
                <w:tab w:val="decimal" w:pos="632"/>
              </w:tabs>
              <w:rPr>
                <w:color w:val="000000"/>
              </w:rPr>
            </w:pPr>
            <w:r w:rsidRPr="00885D52">
              <w:rPr>
                <w:color w:val="000000"/>
              </w:rPr>
              <w:t>1078</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42.7</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873D1E">
            <w:pPr>
              <w:pStyle w:val="TableText"/>
              <w:jc w:val="center"/>
              <w:rPr>
                <w:color w:val="000000"/>
              </w:rPr>
            </w:pPr>
            <w:r w:rsidRPr="00885D52">
              <w:rPr>
                <w:color w:val="000000"/>
              </w:rPr>
              <w:t>1751</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41.3</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jc w:val="center"/>
              <w:rPr>
                <w:color w:val="000000"/>
              </w:rPr>
            </w:pPr>
            <w:r w:rsidRPr="00885D52">
              <w:rPr>
                <w:color w:val="000000"/>
              </w:rPr>
              <w:t>2829</w:t>
            </w:r>
          </w:p>
        </w:tc>
        <w:tc>
          <w:tcPr>
            <w:tcW w:w="1131" w:type="dxa"/>
            <w:tcBorders>
              <w:top w:val="nil"/>
              <w:left w:val="nil"/>
              <w:bottom w:val="nil"/>
            </w:tcBorders>
            <w:shd w:val="clear" w:color="auto" w:fill="F2F2F2"/>
          </w:tcPr>
          <w:p w:rsidR="00000384" w:rsidRPr="00885D52" w:rsidRDefault="00000384" w:rsidP="00873D1E">
            <w:pPr>
              <w:pStyle w:val="TableText"/>
              <w:jc w:val="center"/>
              <w:rPr>
                <w:color w:val="000000"/>
              </w:rPr>
            </w:pPr>
            <w:r w:rsidRPr="00885D52">
              <w:rPr>
                <w:color w:val="000000"/>
              </w:rPr>
              <w:t>42.3</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jc w:val="center"/>
              <w:rPr>
                <w:color w:val="000000"/>
              </w:rPr>
            </w:pPr>
            <w:r w:rsidRPr="00885D52">
              <w:rPr>
                <w:color w:val="000000"/>
              </w:rPr>
              <w:t>2003</w:t>
            </w:r>
          </w:p>
        </w:tc>
        <w:tc>
          <w:tcPr>
            <w:tcW w:w="1130"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tabs>
                <w:tab w:val="decimal" w:pos="632"/>
              </w:tabs>
              <w:rPr>
                <w:color w:val="000000"/>
              </w:rPr>
            </w:pPr>
            <w:r w:rsidRPr="00885D52">
              <w:rPr>
                <w:color w:val="000000"/>
              </w:rPr>
              <w:t>969</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873D1E">
            <w:pPr>
              <w:pStyle w:val="TableText"/>
              <w:jc w:val="center"/>
              <w:rPr>
                <w:color w:val="000000"/>
              </w:rPr>
            </w:pPr>
            <w:r w:rsidRPr="00885D52">
              <w:rPr>
                <w:color w:val="000000"/>
              </w:rPr>
              <w:t>37.4</w:t>
            </w:r>
          </w:p>
        </w:tc>
        <w:tc>
          <w:tcPr>
            <w:tcW w:w="1131" w:type="dxa"/>
            <w:tcBorders>
              <w:top w:val="nil"/>
              <w:left w:val="single" w:sz="4" w:space="0" w:color="A6A6A6" w:themeColor="background1" w:themeShade="A6"/>
              <w:bottom w:val="nil"/>
              <w:right w:val="nil"/>
            </w:tcBorders>
          </w:tcPr>
          <w:p w:rsidR="00000384" w:rsidRPr="00885D52" w:rsidRDefault="00000384" w:rsidP="00873D1E">
            <w:pPr>
              <w:pStyle w:val="TableText"/>
              <w:jc w:val="center"/>
              <w:rPr>
                <w:color w:val="000000"/>
              </w:rPr>
            </w:pPr>
            <w:r w:rsidRPr="00885D52">
              <w:rPr>
                <w:color w:val="000000"/>
              </w:rPr>
              <w:t>1723</w:t>
            </w:r>
          </w:p>
        </w:tc>
        <w:tc>
          <w:tcPr>
            <w:tcW w:w="1130" w:type="dxa"/>
            <w:tcBorders>
              <w:top w:val="nil"/>
              <w:left w:val="nil"/>
              <w:bottom w:val="nil"/>
              <w:right w:val="single" w:sz="4" w:space="0" w:color="A6A6A6" w:themeColor="background1" w:themeShade="A6"/>
            </w:tcBorders>
          </w:tcPr>
          <w:p w:rsidR="00000384" w:rsidRPr="00885D52" w:rsidRDefault="00000384" w:rsidP="00873D1E">
            <w:pPr>
              <w:pStyle w:val="TableText"/>
              <w:jc w:val="center"/>
              <w:rPr>
                <w:color w:val="000000"/>
              </w:rPr>
            </w:pPr>
            <w:r w:rsidRPr="00885D52">
              <w:rPr>
                <w:color w:val="000000"/>
              </w:rPr>
              <w:t>39.8</w:t>
            </w:r>
          </w:p>
        </w:tc>
        <w:tc>
          <w:tcPr>
            <w:tcW w:w="1131"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jc w:val="center"/>
              <w:rPr>
                <w:color w:val="000000"/>
              </w:rPr>
            </w:pPr>
            <w:r w:rsidRPr="00885D52">
              <w:rPr>
                <w:color w:val="000000"/>
              </w:rPr>
              <w:t>2692</w:t>
            </w:r>
          </w:p>
        </w:tc>
        <w:tc>
          <w:tcPr>
            <w:tcW w:w="1131" w:type="dxa"/>
            <w:tcBorders>
              <w:top w:val="nil"/>
              <w:left w:val="nil"/>
              <w:bottom w:val="nil"/>
            </w:tcBorders>
            <w:shd w:val="clear" w:color="auto" w:fill="auto"/>
          </w:tcPr>
          <w:p w:rsidR="00000384" w:rsidRPr="00885D52" w:rsidRDefault="00000384" w:rsidP="00873D1E">
            <w:pPr>
              <w:pStyle w:val="TableText"/>
              <w:jc w:val="center"/>
              <w:rPr>
                <w:color w:val="000000"/>
              </w:rPr>
            </w:pPr>
            <w:r w:rsidRPr="00885D52">
              <w:rPr>
                <w:color w:val="000000"/>
              </w:rPr>
              <w:t>39.3</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jc w:val="center"/>
              <w:rPr>
                <w:color w:val="000000"/>
              </w:rPr>
            </w:pPr>
            <w:r w:rsidRPr="00885D52">
              <w:rPr>
                <w:color w:val="000000"/>
              </w:rPr>
              <w:t>2004</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tabs>
                <w:tab w:val="decimal" w:pos="632"/>
              </w:tabs>
              <w:rPr>
                <w:color w:val="000000"/>
              </w:rPr>
            </w:pPr>
            <w:r w:rsidRPr="00885D52">
              <w:rPr>
                <w:color w:val="000000"/>
              </w:rPr>
              <w:t>1050</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38.8</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873D1E">
            <w:pPr>
              <w:pStyle w:val="TableText"/>
              <w:jc w:val="center"/>
              <w:rPr>
                <w:color w:val="000000"/>
              </w:rPr>
            </w:pPr>
            <w:r w:rsidRPr="00885D52">
              <w:rPr>
                <w:color w:val="000000"/>
              </w:rPr>
              <w:t>1756</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38.9</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jc w:val="center"/>
              <w:rPr>
                <w:color w:val="000000"/>
              </w:rPr>
            </w:pPr>
            <w:r w:rsidRPr="00885D52">
              <w:rPr>
                <w:color w:val="000000"/>
              </w:rPr>
              <w:t>2806</w:t>
            </w:r>
          </w:p>
        </w:tc>
        <w:tc>
          <w:tcPr>
            <w:tcW w:w="1131" w:type="dxa"/>
            <w:tcBorders>
              <w:top w:val="nil"/>
              <w:left w:val="nil"/>
              <w:bottom w:val="nil"/>
            </w:tcBorders>
            <w:shd w:val="clear" w:color="auto" w:fill="F2F2F2"/>
          </w:tcPr>
          <w:p w:rsidR="00000384" w:rsidRPr="00885D52" w:rsidRDefault="00000384" w:rsidP="00873D1E">
            <w:pPr>
              <w:pStyle w:val="TableText"/>
              <w:jc w:val="center"/>
              <w:rPr>
                <w:color w:val="000000"/>
              </w:rPr>
            </w:pPr>
            <w:r w:rsidRPr="00885D52">
              <w:rPr>
                <w:color w:val="000000"/>
              </w:rPr>
              <w:t>39.4</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jc w:val="center"/>
              <w:rPr>
                <w:color w:val="000000"/>
              </w:rPr>
            </w:pPr>
            <w:r w:rsidRPr="00885D52">
              <w:rPr>
                <w:color w:val="000000"/>
              </w:rPr>
              <w:t>2005</w:t>
            </w:r>
          </w:p>
        </w:tc>
        <w:tc>
          <w:tcPr>
            <w:tcW w:w="1130"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tabs>
                <w:tab w:val="decimal" w:pos="632"/>
              </w:tabs>
              <w:rPr>
                <w:color w:val="000000"/>
              </w:rPr>
            </w:pPr>
            <w:r w:rsidRPr="00885D52">
              <w:rPr>
                <w:color w:val="000000"/>
              </w:rPr>
              <w:t>940</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873D1E">
            <w:pPr>
              <w:pStyle w:val="TableText"/>
              <w:jc w:val="center"/>
              <w:rPr>
                <w:color w:val="000000"/>
              </w:rPr>
            </w:pPr>
            <w:r w:rsidRPr="00885D52">
              <w:rPr>
                <w:color w:val="000000"/>
              </w:rPr>
              <w:t>33.7</w:t>
            </w:r>
          </w:p>
        </w:tc>
        <w:tc>
          <w:tcPr>
            <w:tcW w:w="1131" w:type="dxa"/>
            <w:tcBorders>
              <w:top w:val="nil"/>
              <w:left w:val="single" w:sz="4" w:space="0" w:color="A6A6A6" w:themeColor="background1" w:themeShade="A6"/>
              <w:bottom w:val="nil"/>
              <w:right w:val="nil"/>
            </w:tcBorders>
          </w:tcPr>
          <w:p w:rsidR="00000384" w:rsidRPr="00885D52" w:rsidRDefault="00000384" w:rsidP="00873D1E">
            <w:pPr>
              <w:pStyle w:val="TableText"/>
              <w:jc w:val="center"/>
              <w:rPr>
                <w:color w:val="000000"/>
              </w:rPr>
            </w:pPr>
            <w:r w:rsidRPr="00885D52">
              <w:rPr>
                <w:color w:val="000000"/>
              </w:rPr>
              <w:t>1647</w:t>
            </w:r>
          </w:p>
        </w:tc>
        <w:tc>
          <w:tcPr>
            <w:tcW w:w="1130" w:type="dxa"/>
            <w:tcBorders>
              <w:top w:val="nil"/>
              <w:left w:val="nil"/>
              <w:bottom w:val="nil"/>
              <w:right w:val="single" w:sz="4" w:space="0" w:color="A6A6A6" w:themeColor="background1" w:themeShade="A6"/>
            </w:tcBorders>
          </w:tcPr>
          <w:p w:rsidR="00000384" w:rsidRPr="00885D52" w:rsidRDefault="00000384" w:rsidP="00873D1E">
            <w:pPr>
              <w:pStyle w:val="TableText"/>
              <w:jc w:val="center"/>
              <w:rPr>
                <w:color w:val="000000"/>
              </w:rPr>
            </w:pPr>
            <w:r w:rsidRPr="00885D52">
              <w:rPr>
                <w:color w:val="000000"/>
              </w:rPr>
              <w:t>36.0</w:t>
            </w:r>
          </w:p>
        </w:tc>
        <w:tc>
          <w:tcPr>
            <w:tcW w:w="1131"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jc w:val="center"/>
              <w:rPr>
                <w:color w:val="000000"/>
              </w:rPr>
            </w:pPr>
            <w:r w:rsidRPr="00885D52">
              <w:rPr>
                <w:color w:val="000000"/>
              </w:rPr>
              <w:t>2587</w:t>
            </w:r>
          </w:p>
        </w:tc>
        <w:tc>
          <w:tcPr>
            <w:tcW w:w="1131" w:type="dxa"/>
            <w:tcBorders>
              <w:top w:val="nil"/>
              <w:left w:val="nil"/>
              <w:bottom w:val="nil"/>
            </w:tcBorders>
            <w:shd w:val="clear" w:color="auto" w:fill="auto"/>
          </w:tcPr>
          <w:p w:rsidR="00000384" w:rsidRPr="00885D52" w:rsidRDefault="00000384" w:rsidP="00873D1E">
            <w:pPr>
              <w:pStyle w:val="TableText"/>
              <w:jc w:val="center"/>
              <w:rPr>
                <w:color w:val="000000"/>
              </w:rPr>
            </w:pPr>
            <w:r w:rsidRPr="00885D52">
              <w:rPr>
                <w:color w:val="000000"/>
              </w:rPr>
              <w:t>35.5</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jc w:val="center"/>
              <w:rPr>
                <w:color w:val="000000"/>
              </w:rPr>
            </w:pPr>
            <w:r w:rsidRPr="00885D52">
              <w:rPr>
                <w:color w:val="000000"/>
              </w:rPr>
              <w:t>2006</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tabs>
                <w:tab w:val="decimal" w:pos="632"/>
              </w:tabs>
              <w:rPr>
                <w:color w:val="000000"/>
              </w:rPr>
            </w:pPr>
            <w:r w:rsidRPr="00885D52">
              <w:rPr>
                <w:color w:val="000000"/>
              </w:rPr>
              <w:t>1000</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34.6</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873D1E">
            <w:pPr>
              <w:pStyle w:val="TableText"/>
              <w:jc w:val="center"/>
              <w:rPr>
                <w:color w:val="000000"/>
              </w:rPr>
            </w:pPr>
            <w:r w:rsidRPr="00885D52">
              <w:rPr>
                <w:color w:val="000000"/>
              </w:rPr>
              <w:t>1673</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35.8</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jc w:val="center"/>
              <w:rPr>
                <w:color w:val="000000"/>
              </w:rPr>
            </w:pPr>
            <w:r w:rsidRPr="00885D52">
              <w:rPr>
                <w:color w:val="000000"/>
              </w:rPr>
              <w:t>2673</w:t>
            </w:r>
          </w:p>
        </w:tc>
        <w:tc>
          <w:tcPr>
            <w:tcW w:w="1131" w:type="dxa"/>
            <w:tcBorders>
              <w:top w:val="nil"/>
              <w:left w:val="nil"/>
              <w:bottom w:val="nil"/>
            </w:tcBorders>
            <w:shd w:val="clear" w:color="auto" w:fill="F2F2F2"/>
          </w:tcPr>
          <w:p w:rsidR="00000384" w:rsidRPr="00885D52" w:rsidRDefault="00000384" w:rsidP="00873D1E">
            <w:pPr>
              <w:pStyle w:val="TableText"/>
              <w:jc w:val="center"/>
              <w:rPr>
                <w:color w:val="000000"/>
              </w:rPr>
            </w:pPr>
            <w:r w:rsidRPr="00885D52">
              <w:rPr>
                <w:color w:val="000000"/>
              </w:rPr>
              <w:t>35.8</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jc w:val="center"/>
              <w:rPr>
                <w:color w:val="000000"/>
              </w:rPr>
            </w:pPr>
            <w:r w:rsidRPr="00885D52">
              <w:rPr>
                <w:color w:val="000000"/>
              </w:rPr>
              <w:t>2007</w:t>
            </w:r>
          </w:p>
        </w:tc>
        <w:tc>
          <w:tcPr>
            <w:tcW w:w="1130"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tabs>
                <w:tab w:val="decimal" w:pos="632"/>
              </w:tabs>
              <w:rPr>
                <w:color w:val="000000"/>
              </w:rPr>
            </w:pPr>
            <w:r w:rsidRPr="00885D52">
              <w:rPr>
                <w:color w:val="000000"/>
              </w:rPr>
              <w:t>987</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873D1E">
            <w:pPr>
              <w:pStyle w:val="TableText"/>
              <w:jc w:val="center"/>
              <w:rPr>
                <w:color w:val="000000"/>
              </w:rPr>
            </w:pPr>
            <w:r w:rsidRPr="00885D52">
              <w:rPr>
                <w:color w:val="000000"/>
              </w:rPr>
              <w:t>32.9</w:t>
            </w:r>
          </w:p>
        </w:tc>
        <w:tc>
          <w:tcPr>
            <w:tcW w:w="1131" w:type="dxa"/>
            <w:tcBorders>
              <w:top w:val="nil"/>
              <w:left w:val="single" w:sz="4" w:space="0" w:color="A6A6A6" w:themeColor="background1" w:themeShade="A6"/>
              <w:bottom w:val="nil"/>
              <w:right w:val="nil"/>
            </w:tcBorders>
          </w:tcPr>
          <w:p w:rsidR="00000384" w:rsidRPr="00885D52" w:rsidRDefault="00000384" w:rsidP="00873D1E">
            <w:pPr>
              <w:pStyle w:val="TableText"/>
              <w:jc w:val="center"/>
              <w:rPr>
                <w:color w:val="000000"/>
              </w:rPr>
            </w:pPr>
            <w:r w:rsidRPr="00885D52">
              <w:rPr>
                <w:color w:val="000000"/>
              </w:rPr>
              <w:t>1638</w:t>
            </w:r>
          </w:p>
        </w:tc>
        <w:tc>
          <w:tcPr>
            <w:tcW w:w="1130" w:type="dxa"/>
            <w:tcBorders>
              <w:top w:val="nil"/>
              <w:left w:val="nil"/>
              <w:bottom w:val="nil"/>
              <w:right w:val="single" w:sz="4" w:space="0" w:color="A6A6A6" w:themeColor="background1" w:themeShade="A6"/>
            </w:tcBorders>
          </w:tcPr>
          <w:p w:rsidR="00000384" w:rsidRPr="00885D52" w:rsidRDefault="00000384" w:rsidP="00873D1E">
            <w:pPr>
              <w:pStyle w:val="TableText"/>
              <w:jc w:val="center"/>
              <w:rPr>
                <w:color w:val="000000"/>
              </w:rPr>
            </w:pPr>
            <w:r w:rsidRPr="00885D52">
              <w:rPr>
                <w:color w:val="000000"/>
              </w:rPr>
              <w:t>33.4</w:t>
            </w:r>
          </w:p>
        </w:tc>
        <w:tc>
          <w:tcPr>
            <w:tcW w:w="1131"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jc w:val="center"/>
              <w:rPr>
                <w:color w:val="000000"/>
              </w:rPr>
            </w:pPr>
            <w:r w:rsidRPr="00885D52">
              <w:rPr>
                <w:color w:val="000000"/>
              </w:rPr>
              <w:t>2625</w:t>
            </w:r>
          </w:p>
        </w:tc>
        <w:tc>
          <w:tcPr>
            <w:tcW w:w="1131" w:type="dxa"/>
            <w:tcBorders>
              <w:top w:val="nil"/>
              <w:left w:val="nil"/>
              <w:bottom w:val="nil"/>
            </w:tcBorders>
            <w:shd w:val="clear" w:color="auto" w:fill="auto"/>
          </w:tcPr>
          <w:p w:rsidR="00000384" w:rsidRPr="00885D52" w:rsidRDefault="00000384" w:rsidP="00873D1E">
            <w:pPr>
              <w:pStyle w:val="TableText"/>
              <w:jc w:val="center"/>
              <w:rPr>
                <w:color w:val="000000"/>
              </w:rPr>
            </w:pPr>
            <w:r w:rsidRPr="00885D52">
              <w:rPr>
                <w:color w:val="000000"/>
              </w:rPr>
              <w:t>33.7</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jc w:val="center"/>
              <w:rPr>
                <w:color w:val="000000"/>
              </w:rPr>
            </w:pPr>
            <w:r w:rsidRPr="00885D52">
              <w:rPr>
                <w:color w:val="000000"/>
              </w:rPr>
              <w:t>2008</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tabs>
                <w:tab w:val="decimal" w:pos="632"/>
              </w:tabs>
              <w:rPr>
                <w:color w:val="000000"/>
              </w:rPr>
            </w:pPr>
            <w:r w:rsidRPr="00885D52">
              <w:rPr>
                <w:color w:val="000000"/>
              </w:rPr>
              <w:t>970</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30.9</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873D1E">
            <w:pPr>
              <w:pStyle w:val="TableText"/>
              <w:jc w:val="center"/>
              <w:rPr>
                <w:color w:val="000000"/>
              </w:rPr>
            </w:pPr>
            <w:r w:rsidRPr="00885D52">
              <w:rPr>
                <w:color w:val="000000"/>
              </w:rPr>
              <w:t>1641</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32.9</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jc w:val="center"/>
              <w:rPr>
                <w:color w:val="000000"/>
              </w:rPr>
            </w:pPr>
            <w:r w:rsidRPr="00885D52">
              <w:rPr>
                <w:color w:val="000000"/>
              </w:rPr>
              <w:t>2611</w:t>
            </w:r>
          </w:p>
        </w:tc>
        <w:tc>
          <w:tcPr>
            <w:tcW w:w="1131" w:type="dxa"/>
            <w:tcBorders>
              <w:top w:val="nil"/>
              <w:left w:val="nil"/>
              <w:bottom w:val="nil"/>
            </w:tcBorders>
            <w:shd w:val="clear" w:color="auto" w:fill="F2F2F2"/>
          </w:tcPr>
          <w:p w:rsidR="00000384" w:rsidRPr="00885D52" w:rsidRDefault="00000384" w:rsidP="00873D1E">
            <w:pPr>
              <w:pStyle w:val="TableText"/>
              <w:jc w:val="center"/>
              <w:rPr>
                <w:color w:val="000000"/>
              </w:rPr>
            </w:pPr>
            <w:r w:rsidRPr="00885D52">
              <w:rPr>
                <w:color w:val="000000"/>
              </w:rPr>
              <w:t>32.4</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jc w:val="center"/>
              <w:rPr>
                <w:color w:val="000000"/>
              </w:rPr>
            </w:pPr>
            <w:r w:rsidRPr="00885D52">
              <w:rPr>
                <w:color w:val="000000"/>
              </w:rPr>
              <w:t>2009</w:t>
            </w:r>
          </w:p>
        </w:tc>
        <w:tc>
          <w:tcPr>
            <w:tcW w:w="1130"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tabs>
                <w:tab w:val="decimal" w:pos="632"/>
              </w:tabs>
              <w:rPr>
                <w:color w:val="000000"/>
              </w:rPr>
            </w:pPr>
            <w:r w:rsidRPr="00885D52">
              <w:rPr>
                <w:color w:val="000000"/>
              </w:rPr>
              <w:t>937</w:t>
            </w:r>
          </w:p>
        </w:tc>
        <w:tc>
          <w:tcPr>
            <w:tcW w:w="1131" w:type="dxa"/>
            <w:tcBorders>
              <w:top w:val="nil"/>
              <w:left w:val="nil"/>
              <w:bottom w:val="nil"/>
              <w:right w:val="single" w:sz="4" w:space="0" w:color="A6A6A6" w:themeColor="background1" w:themeShade="A6"/>
            </w:tcBorders>
            <w:shd w:val="clear" w:color="auto" w:fill="auto"/>
          </w:tcPr>
          <w:p w:rsidR="00000384" w:rsidRPr="00885D52" w:rsidRDefault="00000384" w:rsidP="00873D1E">
            <w:pPr>
              <w:pStyle w:val="TableText"/>
              <w:jc w:val="center"/>
              <w:rPr>
                <w:color w:val="000000"/>
              </w:rPr>
            </w:pPr>
            <w:r w:rsidRPr="00885D52">
              <w:rPr>
                <w:color w:val="000000"/>
              </w:rPr>
              <w:t>29.0</w:t>
            </w:r>
          </w:p>
        </w:tc>
        <w:tc>
          <w:tcPr>
            <w:tcW w:w="1131" w:type="dxa"/>
            <w:tcBorders>
              <w:top w:val="nil"/>
              <w:left w:val="single" w:sz="4" w:space="0" w:color="A6A6A6" w:themeColor="background1" w:themeShade="A6"/>
              <w:bottom w:val="nil"/>
              <w:right w:val="nil"/>
            </w:tcBorders>
          </w:tcPr>
          <w:p w:rsidR="00000384" w:rsidRPr="00885D52" w:rsidRDefault="00000384" w:rsidP="00873D1E">
            <w:pPr>
              <w:pStyle w:val="TableText"/>
              <w:jc w:val="center"/>
              <w:rPr>
                <w:color w:val="000000"/>
              </w:rPr>
            </w:pPr>
            <w:r w:rsidRPr="00885D52">
              <w:rPr>
                <w:color w:val="000000"/>
              </w:rPr>
              <w:t>1551</w:t>
            </w:r>
          </w:p>
        </w:tc>
        <w:tc>
          <w:tcPr>
            <w:tcW w:w="1130" w:type="dxa"/>
            <w:tcBorders>
              <w:top w:val="nil"/>
              <w:left w:val="nil"/>
              <w:bottom w:val="nil"/>
              <w:right w:val="single" w:sz="4" w:space="0" w:color="A6A6A6" w:themeColor="background1" w:themeShade="A6"/>
            </w:tcBorders>
          </w:tcPr>
          <w:p w:rsidR="00000384" w:rsidRPr="00885D52" w:rsidRDefault="00000384" w:rsidP="00873D1E">
            <w:pPr>
              <w:pStyle w:val="TableText"/>
              <w:jc w:val="center"/>
              <w:rPr>
                <w:color w:val="000000"/>
              </w:rPr>
            </w:pPr>
            <w:r w:rsidRPr="00885D52">
              <w:rPr>
                <w:color w:val="000000"/>
              </w:rPr>
              <w:t>30.7</w:t>
            </w:r>
          </w:p>
        </w:tc>
        <w:tc>
          <w:tcPr>
            <w:tcW w:w="1131" w:type="dxa"/>
            <w:tcBorders>
              <w:top w:val="nil"/>
              <w:left w:val="single" w:sz="4" w:space="0" w:color="A6A6A6" w:themeColor="background1" w:themeShade="A6"/>
              <w:bottom w:val="nil"/>
              <w:right w:val="nil"/>
            </w:tcBorders>
            <w:shd w:val="clear" w:color="auto" w:fill="auto"/>
            <w:noWrap/>
          </w:tcPr>
          <w:p w:rsidR="00000384" w:rsidRPr="00885D52" w:rsidRDefault="00000384" w:rsidP="00873D1E">
            <w:pPr>
              <w:pStyle w:val="TableText"/>
              <w:jc w:val="center"/>
              <w:rPr>
                <w:color w:val="000000"/>
              </w:rPr>
            </w:pPr>
            <w:r w:rsidRPr="00885D52">
              <w:rPr>
                <w:color w:val="000000"/>
              </w:rPr>
              <w:t>2488</w:t>
            </w:r>
          </w:p>
        </w:tc>
        <w:tc>
          <w:tcPr>
            <w:tcW w:w="1131" w:type="dxa"/>
            <w:tcBorders>
              <w:top w:val="nil"/>
              <w:left w:val="nil"/>
              <w:bottom w:val="nil"/>
            </w:tcBorders>
            <w:shd w:val="clear" w:color="auto" w:fill="auto"/>
          </w:tcPr>
          <w:p w:rsidR="00000384" w:rsidRPr="00885D52" w:rsidRDefault="00000384" w:rsidP="00873D1E">
            <w:pPr>
              <w:pStyle w:val="TableText"/>
              <w:jc w:val="center"/>
              <w:rPr>
                <w:color w:val="000000"/>
              </w:rPr>
            </w:pPr>
            <w:r w:rsidRPr="00885D52">
              <w:rPr>
                <w:color w:val="000000"/>
              </w:rPr>
              <w:t>30.4</w:t>
            </w:r>
          </w:p>
        </w:tc>
      </w:tr>
      <w:tr w:rsidR="00000384" w:rsidRPr="00885D52" w:rsidTr="00873D1E">
        <w:trPr>
          <w:cantSplit/>
        </w:trPr>
        <w:tc>
          <w:tcPr>
            <w:tcW w:w="1154"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jc w:val="center"/>
              <w:rPr>
                <w:color w:val="000000"/>
              </w:rPr>
            </w:pPr>
            <w:r w:rsidRPr="00885D52">
              <w:rPr>
                <w:color w:val="000000"/>
              </w:rPr>
              <w:t>2010</w:t>
            </w:r>
          </w:p>
        </w:tc>
        <w:tc>
          <w:tcPr>
            <w:tcW w:w="1130"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tabs>
                <w:tab w:val="decimal" w:pos="632"/>
              </w:tabs>
              <w:rPr>
                <w:color w:val="000000"/>
              </w:rPr>
            </w:pPr>
            <w:r w:rsidRPr="00885D52">
              <w:rPr>
                <w:color w:val="000000"/>
              </w:rPr>
              <w:t>945</w:t>
            </w:r>
          </w:p>
        </w:tc>
        <w:tc>
          <w:tcPr>
            <w:tcW w:w="1131"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28.1</w:t>
            </w:r>
          </w:p>
        </w:tc>
        <w:tc>
          <w:tcPr>
            <w:tcW w:w="1131" w:type="dxa"/>
            <w:tcBorders>
              <w:top w:val="nil"/>
              <w:left w:val="single" w:sz="4" w:space="0" w:color="A6A6A6" w:themeColor="background1" w:themeShade="A6"/>
              <w:bottom w:val="nil"/>
              <w:right w:val="nil"/>
            </w:tcBorders>
            <w:shd w:val="clear" w:color="auto" w:fill="F2F2F2"/>
          </w:tcPr>
          <w:p w:rsidR="00000384" w:rsidRPr="00885D52" w:rsidRDefault="00000384" w:rsidP="00873D1E">
            <w:pPr>
              <w:pStyle w:val="TableText"/>
              <w:jc w:val="center"/>
              <w:rPr>
                <w:color w:val="000000"/>
              </w:rPr>
            </w:pPr>
            <w:r w:rsidRPr="00885D52">
              <w:rPr>
                <w:color w:val="000000"/>
              </w:rPr>
              <w:t>1522</w:t>
            </w:r>
          </w:p>
        </w:tc>
        <w:tc>
          <w:tcPr>
            <w:tcW w:w="1130" w:type="dxa"/>
            <w:tcBorders>
              <w:top w:val="nil"/>
              <w:left w:val="nil"/>
              <w:bottom w:val="nil"/>
              <w:right w:val="single" w:sz="4" w:space="0" w:color="A6A6A6" w:themeColor="background1" w:themeShade="A6"/>
            </w:tcBorders>
            <w:shd w:val="clear" w:color="auto" w:fill="F2F2F2"/>
          </w:tcPr>
          <w:p w:rsidR="00000384" w:rsidRPr="00885D52" w:rsidRDefault="00000384" w:rsidP="00873D1E">
            <w:pPr>
              <w:pStyle w:val="TableText"/>
              <w:jc w:val="center"/>
              <w:rPr>
                <w:color w:val="000000"/>
              </w:rPr>
            </w:pPr>
            <w:r w:rsidRPr="00885D52">
              <w:rPr>
                <w:color w:val="000000"/>
              </w:rPr>
              <w:t>29.2</w:t>
            </w:r>
          </w:p>
        </w:tc>
        <w:tc>
          <w:tcPr>
            <w:tcW w:w="1131" w:type="dxa"/>
            <w:tcBorders>
              <w:top w:val="nil"/>
              <w:left w:val="single" w:sz="4" w:space="0" w:color="A6A6A6" w:themeColor="background1" w:themeShade="A6"/>
              <w:bottom w:val="nil"/>
              <w:right w:val="nil"/>
            </w:tcBorders>
            <w:shd w:val="clear" w:color="auto" w:fill="F2F2F2"/>
            <w:noWrap/>
          </w:tcPr>
          <w:p w:rsidR="00000384" w:rsidRPr="00885D52" w:rsidRDefault="00000384" w:rsidP="00873D1E">
            <w:pPr>
              <w:pStyle w:val="TableText"/>
              <w:jc w:val="center"/>
              <w:rPr>
                <w:color w:val="000000"/>
              </w:rPr>
            </w:pPr>
            <w:r w:rsidRPr="00885D52">
              <w:rPr>
                <w:color w:val="000000"/>
              </w:rPr>
              <w:t>2467</w:t>
            </w:r>
          </w:p>
        </w:tc>
        <w:tc>
          <w:tcPr>
            <w:tcW w:w="1131" w:type="dxa"/>
            <w:tcBorders>
              <w:top w:val="nil"/>
              <w:left w:val="nil"/>
              <w:bottom w:val="nil"/>
            </w:tcBorders>
            <w:shd w:val="clear" w:color="auto" w:fill="F2F2F2"/>
          </w:tcPr>
          <w:p w:rsidR="00000384" w:rsidRPr="00885D52" w:rsidRDefault="00000384" w:rsidP="00873D1E">
            <w:pPr>
              <w:pStyle w:val="TableText"/>
              <w:jc w:val="center"/>
              <w:rPr>
                <w:color w:val="000000"/>
              </w:rPr>
            </w:pPr>
            <w:r w:rsidRPr="00885D52">
              <w:rPr>
                <w:color w:val="000000"/>
              </w:rPr>
              <w:t>29.1</w:t>
            </w:r>
          </w:p>
        </w:tc>
      </w:tr>
      <w:tr w:rsidR="00000384" w:rsidRPr="00885D52" w:rsidTr="00873D1E">
        <w:trPr>
          <w:cantSplit/>
        </w:trPr>
        <w:tc>
          <w:tcPr>
            <w:tcW w:w="1154"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jc w:val="center"/>
              <w:rPr>
                <w:color w:val="000000"/>
              </w:rPr>
            </w:pPr>
            <w:r w:rsidRPr="00885D52">
              <w:rPr>
                <w:color w:val="000000"/>
              </w:rPr>
              <w:t>2011</w:t>
            </w:r>
          </w:p>
        </w:tc>
        <w:tc>
          <w:tcPr>
            <w:tcW w:w="1130"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873D1E">
            <w:pPr>
              <w:pStyle w:val="TableText"/>
              <w:tabs>
                <w:tab w:val="decimal" w:pos="632"/>
              </w:tabs>
              <w:rPr>
                <w:color w:val="000000"/>
              </w:rPr>
            </w:pPr>
            <w:r w:rsidRPr="00885D52">
              <w:rPr>
                <w:color w:val="000000"/>
              </w:rPr>
              <w:t>1012</w:t>
            </w:r>
          </w:p>
        </w:tc>
        <w:tc>
          <w:tcPr>
            <w:tcW w:w="1131" w:type="dxa"/>
            <w:tcBorders>
              <w:top w:val="nil"/>
              <w:left w:val="nil"/>
              <w:bottom w:val="single" w:sz="4" w:space="0" w:color="auto"/>
              <w:right w:val="single" w:sz="4" w:space="0" w:color="A6A6A6" w:themeColor="background1" w:themeShade="A6"/>
            </w:tcBorders>
            <w:shd w:val="clear" w:color="auto" w:fill="auto"/>
          </w:tcPr>
          <w:p w:rsidR="00000384" w:rsidRPr="00885D52" w:rsidRDefault="00000384" w:rsidP="00873D1E">
            <w:pPr>
              <w:pStyle w:val="TableText"/>
              <w:jc w:val="center"/>
              <w:rPr>
                <w:color w:val="000000"/>
              </w:rPr>
            </w:pPr>
            <w:r w:rsidRPr="00885D52">
              <w:rPr>
                <w:color w:val="000000"/>
              </w:rPr>
              <w:t>28.7</w:t>
            </w:r>
          </w:p>
        </w:tc>
        <w:tc>
          <w:tcPr>
            <w:tcW w:w="1131" w:type="dxa"/>
            <w:tcBorders>
              <w:top w:val="nil"/>
              <w:left w:val="single" w:sz="4" w:space="0" w:color="A6A6A6" w:themeColor="background1" w:themeShade="A6"/>
              <w:bottom w:val="single" w:sz="4" w:space="0" w:color="auto"/>
              <w:right w:val="nil"/>
            </w:tcBorders>
          </w:tcPr>
          <w:p w:rsidR="00000384" w:rsidRPr="00885D52" w:rsidRDefault="00000384" w:rsidP="00873D1E">
            <w:pPr>
              <w:pStyle w:val="TableText"/>
              <w:jc w:val="center"/>
              <w:rPr>
                <w:color w:val="000000"/>
              </w:rPr>
            </w:pPr>
            <w:r w:rsidRPr="00885D52">
              <w:rPr>
                <w:color w:val="000000"/>
              </w:rPr>
              <w:t>1653</w:t>
            </w:r>
          </w:p>
        </w:tc>
        <w:tc>
          <w:tcPr>
            <w:tcW w:w="1130" w:type="dxa"/>
            <w:tcBorders>
              <w:top w:val="nil"/>
              <w:left w:val="nil"/>
              <w:bottom w:val="single" w:sz="4" w:space="0" w:color="auto"/>
              <w:right w:val="single" w:sz="4" w:space="0" w:color="A6A6A6" w:themeColor="background1" w:themeShade="A6"/>
            </w:tcBorders>
          </w:tcPr>
          <w:p w:rsidR="00000384" w:rsidRPr="00885D52" w:rsidRDefault="00000384" w:rsidP="00873D1E">
            <w:pPr>
              <w:pStyle w:val="TableText"/>
              <w:jc w:val="center"/>
              <w:rPr>
                <w:color w:val="000000"/>
              </w:rPr>
            </w:pPr>
            <w:r w:rsidRPr="00885D52">
              <w:rPr>
                <w:color w:val="000000"/>
              </w:rPr>
              <w:t>30.6</w:t>
            </w:r>
          </w:p>
        </w:tc>
        <w:tc>
          <w:tcPr>
            <w:tcW w:w="1131"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873D1E">
            <w:pPr>
              <w:pStyle w:val="TableText"/>
              <w:jc w:val="center"/>
              <w:rPr>
                <w:color w:val="000000"/>
              </w:rPr>
            </w:pPr>
            <w:r w:rsidRPr="00885D52">
              <w:rPr>
                <w:color w:val="000000"/>
              </w:rPr>
              <w:t>2665</w:t>
            </w:r>
          </w:p>
        </w:tc>
        <w:tc>
          <w:tcPr>
            <w:tcW w:w="1131" w:type="dxa"/>
            <w:tcBorders>
              <w:top w:val="nil"/>
              <w:left w:val="nil"/>
              <w:bottom w:val="single" w:sz="4" w:space="0" w:color="auto"/>
            </w:tcBorders>
            <w:shd w:val="clear" w:color="auto" w:fill="auto"/>
          </w:tcPr>
          <w:p w:rsidR="00000384" w:rsidRPr="00885D52" w:rsidRDefault="00000384" w:rsidP="00873D1E">
            <w:pPr>
              <w:pStyle w:val="TableText"/>
              <w:jc w:val="center"/>
              <w:rPr>
                <w:color w:val="000000"/>
              </w:rPr>
            </w:pPr>
            <w:r w:rsidRPr="00885D52">
              <w:rPr>
                <w:color w:val="000000"/>
              </w:rPr>
              <w:t>30.2</w:t>
            </w:r>
          </w:p>
        </w:tc>
      </w:tr>
    </w:tbl>
    <w:p w:rsidR="00000384" w:rsidRPr="00885D52" w:rsidRDefault="00000384" w:rsidP="00873D1E">
      <w:pPr>
        <w:pStyle w:val="Note"/>
      </w:pPr>
      <w:r w:rsidRPr="00885D52">
        <w:t>Note: Rates per 100,000 population, age-standardised to WHO World Standard Population.</w:t>
      </w:r>
    </w:p>
    <w:p w:rsidR="00000384" w:rsidRPr="00885D52" w:rsidRDefault="00000384" w:rsidP="00000384">
      <w:pPr>
        <w:rPr>
          <w:color w:val="000000"/>
        </w:rPr>
      </w:pPr>
    </w:p>
    <w:p w:rsidR="00000384" w:rsidRPr="00885D52" w:rsidRDefault="00000384" w:rsidP="00190A7F">
      <w:pPr>
        <w:keepNext/>
      </w:pPr>
      <w:r w:rsidRPr="00885D52">
        <w:lastRenderedPageBreak/>
        <w:t>Figure 27 shows the trend in male and female deaths (numbers and rates) from cerebrovascular disease between 1950 and 2011.</w:t>
      </w:r>
    </w:p>
    <w:p w:rsidR="00000384" w:rsidRPr="00885D52" w:rsidRDefault="00000384" w:rsidP="00190A7F">
      <w:pPr>
        <w:keepNext/>
      </w:pPr>
    </w:p>
    <w:p w:rsidR="00000384" w:rsidRPr="00885D52" w:rsidRDefault="00000384" w:rsidP="00873D1E">
      <w:pPr>
        <w:pStyle w:val="Figure"/>
      </w:pPr>
      <w:bookmarkStart w:id="514" w:name="_Toc352670693"/>
      <w:bookmarkStart w:id="515" w:name="_Toc400536126"/>
      <w:bookmarkStart w:id="516" w:name="_Toc403120601"/>
      <w:r w:rsidRPr="00885D52">
        <w:t>Figure 27: Numbers and age-standardised mortality rates for cerebrovascular disease, by sex, 1950–201</w:t>
      </w:r>
      <w:bookmarkEnd w:id="514"/>
      <w:r w:rsidRPr="00885D52">
        <w:t>1</w:t>
      </w:r>
      <w:bookmarkEnd w:id="515"/>
      <w:bookmarkEnd w:id="516"/>
    </w:p>
    <w:p w:rsidR="00000384" w:rsidRPr="00885D52" w:rsidRDefault="00873D1E" w:rsidP="00873D1E">
      <w:r w:rsidRPr="00885D52">
        <w:rPr>
          <w:noProof/>
          <w:lang w:eastAsia="en-NZ"/>
        </w:rPr>
        <w:drawing>
          <wp:inline distT="0" distB="0" distL="0" distR="0" wp14:anchorId="414D119B" wp14:editId="44A94B1D">
            <wp:extent cx="5037513" cy="3069869"/>
            <wp:effectExtent l="0" t="0" r="0" b="0"/>
            <wp:docPr id="19" name="Picture 19" title="Figure 27: Numbers and age-standardised mortality rates for cerebrovascular disease,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43180" cy="3073323"/>
                    </a:xfrm>
                    <a:prstGeom prst="rect">
                      <a:avLst/>
                    </a:prstGeom>
                  </pic:spPr>
                </pic:pic>
              </a:graphicData>
            </a:graphic>
          </wp:inline>
        </w:drawing>
      </w:r>
    </w:p>
    <w:p w:rsidR="00000384" w:rsidRPr="00885D52" w:rsidRDefault="00000384" w:rsidP="00873D1E">
      <w:pPr>
        <w:pStyle w:val="Note"/>
      </w:pPr>
      <w:r w:rsidRPr="00885D52">
        <w:t>Note: Rates per 100,000 population, age-standardised to WHO World Standard Population.</w:t>
      </w:r>
    </w:p>
    <w:p w:rsidR="00000384" w:rsidRPr="00885D52" w:rsidRDefault="00000384" w:rsidP="00873D1E"/>
    <w:p w:rsidR="00000384" w:rsidRPr="00885D52" w:rsidRDefault="00000384" w:rsidP="00873D1E">
      <w:r w:rsidRPr="00885D52">
        <w:t>The mortality rates from cerebrovascular disease were similar and on the decline for both males and females between the early 1970s and 2011.</w:t>
      </w:r>
    </w:p>
    <w:p w:rsidR="00000384" w:rsidRPr="00885D52" w:rsidRDefault="00000384" w:rsidP="00873D1E"/>
    <w:p w:rsidR="00000384" w:rsidRPr="00885D52" w:rsidRDefault="00000384" w:rsidP="00873D1E">
      <w:r w:rsidRPr="00885D52">
        <w:t>Table 19 shows the 2011 percentage distribution of deaths and age-specific mortality rates from cerebrovascular disease for four age groupings for Māori and non-Māori.</w:t>
      </w:r>
    </w:p>
    <w:p w:rsidR="00000384" w:rsidRPr="00885D52" w:rsidRDefault="00000384" w:rsidP="00873D1E"/>
    <w:p w:rsidR="00000384" w:rsidRPr="00885D52" w:rsidRDefault="00000384" w:rsidP="00873D1E">
      <w:pPr>
        <w:pStyle w:val="Table"/>
      </w:pPr>
      <w:bookmarkStart w:id="517" w:name="_Ref132102153"/>
      <w:bookmarkStart w:id="518" w:name="_Toc167268868"/>
      <w:bookmarkStart w:id="519" w:name="_Toc236641659"/>
      <w:bookmarkStart w:id="520" w:name="_Toc262631243"/>
      <w:bookmarkStart w:id="521" w:name="_Toc316912736"/>
      <w:bookmarkStart w:id="522" w:name="_Toc352670668"/>
      <w:bookmarkStart w:id="523" w:name="_Toc400536159"/>
      <w:bookmarkStart w:id="524" w:name="_Toc403120564"/>
      <w:r w:rsidRPr="00885D52">
        <w:t>Table 19</w:t>
      </w:r>
      <w:bookmarkEnd w:id="517"/>
      <w:r w:rsidRPr="00885D52">
        <w:t xml:space="preserve">: </w:t>
      </w:r>
      <w:bookmarkEnd w:id="518"/>
      <w:bookmarkEnd w:id="519"/>
      <w:bookmarkEnd w:id="520"/>
      <w:r w:rsidRPr="00885D52">
        <w:t>Age distribution of deaths from cerebrovascular disease, percentages and age-specific rates, by ethnicity and sex, 20</w:t>
      </w:r>
      <w:bookmarkEnd w:id="521"/>
      <w:r w:rsidRPr="00885D52">
        <w:t>1</w:t>
      </w:r>
      <w:bookmarkEnd w:id="522"/>
      <w:r w:rsidRPr="00885D52">
        <w:t>1</w:t>
      </w:r>
      <w:bookmarkEnd w:id="523"/>
      <w:bookmarkEnd w:id="524"/>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9"/>
        <w:gridCol w:w="638"/>
        <w:gridCol w:w="638"/>
        <w:gridCol w:w="885"/>
        <w:gridCol w:w="691"/>
        <w:gridCol w:w="692"/>
        <w:gridCol w:w="779"/>
        <w:gridCol w:w="673"/>
        <w:gridCol w:w="674"/>
        <w:gridCol w:w="815"/>
        <w:gridCol w:w="655"/>
        <w:gridCol w:w="656"/>
        <w:gridCol w:w="851"/>
      </w:tblGrid>
      <w:tr w:rsidR="00000384" w:rsidRPr="00885D52" w:rsidTr="00873D1E">
        <w:trPr>
          <w:cantSplit/>
        </w:trPr>
        <w:tc>
          <w:tcPr>
            <w:tcW w:w="709" w:type="dxa"/>
            <w:vMerge w:val="restart"/>
            <w:tcBorders>
              <w:top w:val="single" w:sz="4" w:space="0" w:color="auto"/>
              <w:bottom w:val="single" w:sz="4" w:space="0" w:color="auto"/>
            </w:tcBorders>
            <w:shd w:val="clear" w:color="auto" w:fill="auto"/>
            <w:noWrap/>
          </w:tcPr>
          <w:p w:rsidR="00000384" w:rsidRPr="00885D52" w:rsidRDefault="00000384" w:rsidP="00873D1E">
            <w:pPr>
              <w:pStyle w:val="TableText"/>
              <w:jc w:val="center"/>
              <w:rPr>
                <w:b/>
                <w:lang w:eastAsia="en-NZ"/>
              </w:rPr>
            </w:pPr>
            <w:r w:rsidRPr="00885D52">
              <w:rPr>
                <w:b/>
                <w:lang w:eastAsia="en-NZ"/>
              </w:rPr>
              <w:t>Age group</w:t>
            </w:r>
          </w:p>
        </w:tc>
        <w:tc>
          <w:tcPr>
            <w:tcW w:w="4323" w:type="dxa"/>
            <w:gridSpan w:val="6"/>
            <w:tcBorders>
              <w:top w:val="single" w:sz="4" w:space="0" w:color="auto"/>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Percentage</w:t>
            </w:r>
          </w:p>
        </w:tc>
        <w:tc>
          <w:tcPr>
            <w:tcW w:w="4324" w:type="dxa"/>
            <w:gridSpan w:val="6"/>
            <w:tcBorders>
              <w:top w:val="single" w:sz="4" w:space="0" w:color="auto"/>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Age-specific rate</w:t>
            </w:r>
          </w:p>
        </w:tc>
      </w:tr>
      <w:tr w:rsidR="00000384" w:rsidRPr="00885D52" w:rsidTr="00873D1E">
        <w:trPr>
          <w:cantSplit/>
        </w:trPr>
        <w:tc>
          <w:tcPr>
            <w:tcW w:w="709" w:type="dxa"/>
            <w:vMerge/>
            <w:tcBorders>
              <w:top w:val="single" w:sz="4" w:space="0" w:color="auto"/>
              <w:bottom w:val="single" w:sz="4" w:space="0" w:color="auto"/>
            </w:tcBorders>
            <w:shd w:val="clear" w:color="auto" w:fill="auto"/>
          </w:tcPr>
          <w:p w:rsidR="00000384" w:rsidRPr="00885D52" w:rsidRDefault="00000384" w:rsidP="00873D1E">
            <w:pPr>
              <w:pStyle w:val="TableText"/>
              <w:jc w:val="center"/>
              <w:rPr>
                <w:b/>
                <w:color w:val="000000"/>
                <w:lang w:eastAsia="en-NZ"/>
              </w:rPr>
            </w:pPr>
          </w:p>
        </w:tc>
        <w:tc>
          <w:tcPr>
            <w:tcW w:w="2161"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873D1E">
            <w:pPr>
              <w:pStyle w:val="TableText"/>
              <w:jc w:val="center"/>
              <w:rPr>
                <w:b/>
                <w:color w:val="000000"/>
              </w:rPr>
            </w:pPr>
            <w:r w:rsidRPr="00885D52">
              <w:rPr>
                <w:b/>
                <w:color w:val="000000"/>
              </w:rPr>
              <w:t>Māori</w:t>
            </w:r>
          </w:p>
        </w:tc>
        <w:tc>
          <w:tcPr>
            <w:tcW w:w="2162"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Non-Māori</w:t>
            </w:r>
          </w:p>
        </w:tc>
        <w:tc>
          <w:tcPr>
            <w:tcW w:w="2162"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873D1E">
            <w:pPr>
              <w:pStyle w:val="TableText"/>
              <w:jc w:val="center"/>
              <w:rPr>
                <w:b/>
                <w:color w:val="000000"/>
              </w:rPr>
            </w:pPr>
            <w:r w:rsidRPr="00885D52">
              <w:rPr>
                <w:b/>
                <w:color w:val="000000"/>
              </w:rPr>
              <w:t>Māori</w:t>
            </w:r>
          </w:p>
        </w:tc>
        <w:tc>
          <w:tcPr>
            <w:tcW w:w="2162"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Non-Māori</w:t>
            </w:r>
          </w:p>
        </w:tc>
      </w:tr>
      <w:tr w:rsidR="00000384" w:rsidRPr="00885D52" w:rsidTr="00873D1E">
        <w:trPr>
          <w:cantSplit/>
        </w:trPr>
        <w:tc>
          <w:tcPr>
            <w:tcW w:w="709" w:type="dxa"/>
            <w:vMerge/>
            <w:tcBorders>
              <w:top w:val="single" w:sz="4" w:space="0" w:color="auto"/>
              <w:bottom w:val="single" w:sz="4" w:space="0" w:color="auto"/>
            </w:tcBorders>
            <w:shd w:val="clear" w:color="auto" w:fill="auto"/>
          </w:tcPr>
          <w:p w:rsidR="00000384" w:rsidRPr="00885D52" w:rsidRDefault="00000384" w:rsidP="00873D1E">
            <w:pPr>
              <w:pStyle w:val="TableText"/>
              <w:jc w:val="center"/>
              <w:rPr>
                <w:b/>
                <w:color w:val="000000"/>
                <w:lang w:eastAsia="en-NZ"/>
              </w:rPr>
            </w:pPr>
          </w:p>
        </w:tc>
        <w:tc>
          <w:tcPr>
            <w:tcW w:w="638" w:type="dxa"/>
            <w:tcBorders>
              <w:top w:val="single" w:sz="4" w:space="0" w:color="auto"/>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Total</w:t>
            </w:r>
          </w:p>
        </w:tc>
        <w:tc>
          <w:tcPr>
            <w:tcW w:w="638" w:type="dxa"/>
            <w:tcBorders>
              <w:top w:val="single" w:sz="4" w:space="0" w:color="auto"/>
              <w:left w:val="nil"/>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Male</w:t>
            </w:r>
          </w:p>
        </w:tc>
        <w:tc>
          <w:tcPr>
            <w:tcW w:w="885"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873D1E">
            <w:pPr>
              <w:pStyle w:val="TableText"/>
              <w:jc w:val="center"/>
              <w:rPr>
                <w:b/>
                <w:color w:val="000000"/>
              </w:rPr>
            </w:pPr>
            <w:r w:rsidRPr="00885D52">
              <w:rPr>
                <w:b/>
                <w:color w:val="000000"/>
              </w:rPr>
              <w:t>Female</w:t>
            </w:r>
          </w:p>
        </w:tc>
        <w:tc>
          <w:tcPr>
            <w:tcW w:w="691"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Total</w:t>
            </w:r>
          </w:p>
        </w:tc>
        <w:tc>
          <w:tcPr>
            <w:tcW w:w="692" w:type="dxa"/>
            <w:tcBorders>
              <w:top w:val="single" w:sz="4" w:space="0" w:color="auto"/>
              <w:left w:val="nil"/>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Male</w:t>
            </w:r>
          </w:p>
        </w:tc>
        <w:tc>
          <w:tcPr>
            <w:tcW w:w="779" w:type="dxa"/>
            <w:tcBorders>
              <w:top w:val="single" w:sz="4" w:space="0" w:color="auto"/>
              <w:left w:val="nil"/>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Female</w:t>
            </w:r>
          </w:p>
        </w:tc>
        <w:tc>
          <w:tcPr>
            <w:tcW w:w="673" w:type="dxa"/>
            <w:tcBorders>
              <w:top w:val="single" w:sz="4" w:space="0" w:color="auto"/>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Total</w:t>
            </w:r>
          </w:p>
        </w:tc>
        <w:tc>
          <w:tcPr>
            <w:tcW w:w="674" w:type="dxa"/>
            <w:tcBorders>
              <w:top w:val="single" w:sz="4" w:space="0" w:color="auto"/>
              <w:left w:val="nil"/>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Male</w:t>
            </w:r>
          </w:p>
        </w:tc>
        <w:tc>
          <w:tcPr>
            <w:tcW w:w="815"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873D1E">
            <w:pPr>
              <w:pStyle w:val="TableText"/>
              <w:jc w:val="center"/>
              <w:rPr>
                <w:b/>
                <w:color w:val="000000"/>
              </w:rPr>
            </w:pPr>
            <w:r w:rsidRPr="00885D52">
              <w:rPr>
                <w:b/>
                <w:color w:val="000000"/>
              </w:rPr>
              <w:t>Female</w:t>
            </w:r>
          </w:p>
        </w:tc>
        <w:tc>
          <w:tcPr>
            <w:tcW w:w="655"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Total</w:t>
            </w:r>
          </w:p>
        </w:tc>
        <w:tc>
          <w:tcPr>
            <w:tcW w:w="656" w:type="dxa"/>
            <w:tcBorders>
              <w:top w:val="single" w:sz="4" w:space="0" w:color="auto"/>
              <w:left w:val="nil"/>
              <w:bottom w:val="single" w:sz="4" w:space="0" w:color="auto"/>
              <w:right w:val="nil"/>
            </w:tcBorders>
            <w:shd w:val="clear" w:color="auto" w:fill="auto"/>
            <w:noWrap/>
          </w:tcPr>
          <w:p w:rsidR="00000384" w:rsidRPr="00885D52" w:rsidRDefault="00000384" w:rsidP="00873D1E">
            <w:pPr>
              <w:pStyle w:val="TableText"/>
              <w:jc w:val="center"/>
              <w:rPr>
                <w:b/>
                <w:color w:val="000000"/>
              </w:rPr>
            </w:pPr>
            <w:r w:rsidRPr="00885D52">
              <w:rPr>
                <w:b/>
                <w:color w:val="000000"/>
              </w:rPr>
              <w:t>Male</w:t>
            </w:r>
          </w:p>
        </w:tc>
        <w:tc>
          <w:tcPr>
            <w:tcW w:w="851" w:type="dxa"/>
            <w:tcBorders>
              <w:top w:val="single" w:sz="4" w:space="0" w:color="auto"/>
              <w:left w:val="nil"/>
              <w:bottom w:val="single" w:sz="4" w:space="0" w:color="auto"/>
            </w:tcBorders>
            <w:shd w:val="clear" w:color="auto" w:fill="auto"/>
            <w:noWrap/>
          </w:tcPr>
          <w:p w:rsidR="00000384" w:rsidRPr="00885D52" w:rsidRDefault="00000384" w:rsidP="00873D1E">
            <w:pPr>
              <w:pStyle w:val="TableText"/>
              <w:jc w:val="center"/>
              <w:rPr>
                <w:b/>
                <w:color w:val="000000"/>
              </w:rPr>
            </w:pPr>
            <w:r w:rsidRPr="00885D52">
              <w:rPr>
                <w:b/>
                <w:color w:val="000000"/>
              </w:rPr>
              <w:t>Female</w:t>
            </w:r>
          </w:p>
        </w:tc>
      </w:tr>
      <w:tr w:rsidR="00000384" w:rsidRPr="00885D52" w:rsidTr="00873D1E">
        <w:trPr>
          <w:cantSplit/>
        </w:trPr>
        <w:tc>
          <w:tcPr>
            <w:tcW w:w="709" w:type="dxa"/>
            <w:tcBorders>
              <w:top w:val="single" w:sz="4" w:space="0" w:color="auto"/>
              <w:bottom w:val="nil"/>
            </w:tcBorders>
            <w:shd w:val="clear" w:color="auto" w:fill="F2F2F2"/>
            <w:noWrap/>
          </w:tcPr>
          <w:p w:rsidR="00000384" w:rsidRPr="00885D52" w:rsidRDefault="00000384" w:rsidP="00873D1E">
            <w:pPr>
              <w:pStyle w:val="TableText"/>
              <w:rPr>
                <w:color w:val="000000"/>
              </w:rPr>
            </w:pPr>
            <w:r w:rsidRPr="00885D52">
              <w:rPr>
                <w:color w:val="000000"/>
              </w:rPr>
              <w:t>&lt;25</w:t>
            </w:r>
          </w:p>
        </w:tc>
        <w:tc>
          <w:tcPr>
            <w:tcW w:w="638" w:type="dxa"/>
            <w:tcBorders>
              <w:top w:val="single" w:sz="4" w:space="0" w:color="auto"/>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0.7</w:t>
            </w:r>
          </w:p>
        </w:tc>
        <w:tc>
          <w:tcPr>
            <w:tcW w:w="638" w:type="dxa"/>
            <w:tcBorders>
              <w:top w:val="single" w:sz="4" w:space="0" w:color="auto"/>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0.0</w:t>
            </w:r>
          </w:p>
        </w:tc>
        <w:tc>
          <w:tcPr>
            <w:tcW w:w="885" w:type="dxa"/>
            <w:tcBorders>
              <w:top w:val="single" w:sz="4" w:space="0" w:color="auto"/>
              <w:left w:val="nil"/>
              <w:bottom w:val="nil"/>
              <w:right w:val="single" w:sz="4" w:space="0" w:color="A6A6A6"/>
            </w:tcBorders>
            <w:shd w:val="clear" w:color="auto" w:fill="F2F2F2"/>
            <w:noWrap/>
          </w:tcPr>
          <w:p w:rsidR="00000384" w:rsidRPr="00885D52" w:rsidRDefault="00000384" w:rsidP="00873D1E">
            <w:pPr>
              <w:pStyle w:val="TableText"/>
              <w:tabs>
                <w:tab w:val="decimal" w:pos="510"/>
              </w:tabs>
              <w:rPr>
                <w:color w:val="000000"/>
              </w:rPr>
            </w:pPr>
            <w:r w:rsidRPr="00885D52">
              <w:rPr>
                <w:color w:val="000000"/>
              </w:rPr>
              <w:t>1.1</w:t>
            </w:r>
          </w:p>
        </w:tc>
        <w:tc>
          <w:tcPr>
            <w:tcW w:w="691" w:type="dxa"/>
            <w:tcBorders>
              <w:top w:val="single" w:sz="4" w:space="0" w:color="auto"/>
              <w:left w:val="single" w:sz="4" w:space="0" w:color="A6A6A6"/>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0.1</w:t>
            </w:r>
          </w:p>
        </w:tc>
        <w:tc>
          <w:tcPr>
            <w:tcW w:w="692" w:type="dxa"/>
            <w:tcBorders>
              <w:top w:val="single" w:sz="4" w:space="0" w:color="auto"/>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0.2</w:t>
            </w:r>
          </w:p>
        </w:tc>
        <w:tc>
          <w:tcPr>
            <w:tcW w:w="779" w:type="dxa"/>
            <w:tcBorders>
              <w:top w:val="single" w:sz="4" w:space="0" w:color="auto"/>
              <w:left w:val="nil"/>
              <w:bottom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0.1</w:t>
            </w:r>
          </w:p>
        </w:tc>
        <w:tc>
          <w:tcPr>
            <w:tcW w:w="673" w:type="dxa"/>
            <w:tcBorders>
              <w:top w:val="single" w:sz="4" w:space="0" w:color="auto"/>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0.3</w:t>
            </w:r>
          </w:p>
        </w:tc>
        <w:tc>
          <w:tcPr>
            <w:tcW w:w="674" w:type="dxa"/>
            <w:tcBorders>
              <w:top w:val="single" w:sz="4" w:space="0" w:color="auto"/>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0.0</w:t>
            </w:r>
          </w:p>
        </w:tc>
        <w:tc>
          <w:tcPr>
            <w:tcW w:w="815" w:type="dxa"/>
            <w:tcBorders>
              <w:top w:val="single" w:sz="4" w:space="0" w:color="auto"/>
              <w:left w:val="nil"/>
              <w:bottom w:val="nil"/>
              <w:right w:val="single" w:sz="4" w:space="0" w:color="A6A6A6"/>
            </w:tcBorders>
            <w:shd w:val="clear" w:color="auto" w:fill="F2F2F2"/>
            <w:noWrap/>
          </w:tcPr>
          <w:p w:rsidR="00000384" w:rsidRPr="00885D52" w:rsidRDefault="00000384" w:rsidP="00873D1E">
            <w:pPr>
              <w:pStyle w:val="TableText"/>
              <w:tabs>
                <w:tab w:val="decimal" w:pos="454"/>
              </w:tabs>
              <w:rPr>
                <w:color w:val="000000"/>
              </w:rPr>
            </w:pPr>
            <w:r w:rsidRPr="00885D52">
              <w:rPr>
                <w:color w:val="000000"/>
              </w:rPr>
              <w:t>0.6</w:t>
            </w:r>
          </w:p>
        </w:tc>
        <w:tc>
          <w:tcPr>
            <w:tcW w:w="655" w:type="dxa"/>
            <w:tcBorders>
              <w:top w:val="single" w:sz="4" w:space="0" w:color="auto"/>
              <w:left w:val="single" w:sz="4" w:space="0" w:color="A6A6A6"/>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0.3</w:t>
            </w:r>
          </w:p>
        </w:tc>
        <w:tc>
          <w:tcPr>
            <w:tcW w:w="656" w:type="dxa"/>
            <w:tcBorders>
              <w:top w:val="single" w:sz="4" w:space="0" w:color="auto"/>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0.3</w:t>
            </w:r>
          </w:p>
        </w:tc>
        <w:tc>
          <w:tcPr>
            <w:tcW w:w="851" w:type="dxa"/>
            <w:tcBorders>
              <w:top w:val="single" w:sz="4" w:space="0" w:color="auto"/>
              <w:left w:val="nil"/>
              <w:bottom w:val="nil"/>
            </w:tcBorders>
            <w:shd w:val="clear" w:color="auto" w:fill="F2F2F2"/>
            <w:noWrap/>
          </w:tcPr>
          <w:p w:rsidR="00000384" w:rsidRPr="00885D52" w:rsidRDefault="00000384" w:rsidP="00873D1E">
            <w:pPr>
              <w:pStyle w:val="TableText"/>
              <w:tabs>
                <w:tab w:val="decimal" w:pos="454"/>
              </w:tabs>
              <w:rPr>
                <w:color w:val="000000"/>
              </w:rPr>
            </w:pPr>
            <w:r w:rsidRPr="00885D52">
              <w:rPr>
                <w:color w:val="000000"/>
              </w:rPr>
              <w:t>0.2</w:t>
            </w:r>
          </w:p>
        </w:tc>
      </w:tr>
      <w:tr w:rsidR="00000384" w:rsidRPr="00885D52" w:rsidTr="00873D1E">
        <w:trPr>
          <w:cantSplit/>
        </w:trPr>
        <w:tc>
          <w:tcPr>
            <w:tcW w:w="709" w:type="dxa"/>
            <w:tcBorders>
              <w:top w:val="nil"/>
              <w:bottom w:val="nil"/>
            </w:tcBorders>
            <w:shd w:val="clear" w:color="auto" w:fill="auto"/>
            <w:noWrap/>
          </w:tcPr>
          <w:p w:rsidR="00000384" w:rsidRPr="00885D52" w:rsidRDefault="00000384" w:rsidP="00873D1E">
            <w:pPr>
              <w:pStyle w:val="TableText"/>
              <w:rPr>
                <w:color w:val="000000"/>
              </w:rPr>
            </w:pPr>
            <w:r w:rsidRPr="00885D52">
              <w:rPr>
                <w:color w:val="000000"/>
              </w:rPr>
              <w:t>25–44</w:t>
            </w:r>
          </w:p>
        </w:tc>
        <w:tc>
          <w:tcPr>
            <w:tcW w:w="638" w:type="dxa"/>
            <w:tcBorders>
              <w:top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11.6</w:t>
            </w:r>
          </w:p>
        </w:tc>
        <w:tc>
          <w:tcPr>
            <w:tcW w:w="638" w:type="dxa"/>
            <w:tcBorders>
              <w:top w:val="nil"/>
              <w:left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13.6</w:t>
            </w:r>
          </w:p>
        </w:tc>
        <w:tc>
          <w:tcPr>
            <w:tcW w:w="885" w:type="dxa"/>
            <w:tcBorders>
              <w:top w:val="nil"/>
              <w:left w:val="nil"/>
              <w:bottom w:val="nil"/>
              <w:right w:val="single" w:sz="4" w:space="0" w:color="A6A6A6"/>
            </w:tcBorders>
            <w:shd w:val="clear" w:color="auto" w:fill="auto"/>
            <w:noWrap/>
          </w:tcPr>
          <w:p w:rsidR="00000384" w:rsidRPr="00885D52" w:rsidRDefault="00000384" w:rsidP="00873D1E">
            <w:pPr>
              <w:pStyle w:val="TableText"/>
              <w:tabs>
                <w:tab w:val="decimal" w:pos="510"/>
              </w:tabs>
              <w:rPr>
                <w:color w:val="000000"/>
              </w:rPr>
            </w:pPr>
            <w:r w:rsidRPr="00885D52">
              <w:rPr>
                <w:color w:val="000000"/>
              </w:rPr>
              <w:t>10.2</w:t>
            </w:r>
          </w:p>
        </w:tc>
        <w:tc>
          <w:tcPr>
            <w:tcW w:w="691" w:type="dxa"/>
            <w:tcBorders>
              <w:top w:val="nil"/>
              <w:left w:val="single" w:sz="4" w:space="0" w:color="A6A6A6"/>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0.5</w:t>
            </w:r>
          </w:p>
        </w:tc>
        <w:tc>
          <w:tcPr>
            <w:tcW w:w="692" w:type="dxa"/>
            <w:tcBorders>
              <w:top w:val="nil"/>
              <w:left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0.8</w:t>
            </w:r>
          </w:p>
        </w:tc>
        <w:tc>
          <w:tcPr>
            <w:tcW w:w="779" w:type="dxa"/>
            <w:tcBorders>
              <w:top w:val="nil"/>
              <w:left w:val="nil"/>
              <w:bottom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0.3</w:t>
            </w:r>
          </w:p>
        </w:tc>
        <w:tc>
          <w:tcPr>
            <w:tcW w:w="673" w:type="dxa"/>
            <w:tcBorders>
              <w:top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10.2</w:t>
            </w:r>
          </w:p>
        </w:tc>
        <w:tc>
          <w:tcPr>
            <w:tcW w:w="674" w:type="dxa"/>
            <w:tcBorders>
              <w:top w:val="nil"/>
              <w:left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10.2</w:t>
            </w:r>
          </w:p>
        </w:tc>
        <w:tc>
          <w:tcPr>
            <w:tcW w:w="815" w:type="dxa"/>
            <w:tcBorders>
              <w:top w:val="nil"/>
              <w:left w:val="nil"/>
              <w:bottom w:val="nil"/>
              <w:right w:val="single" w:sz="4" w:space="0" w:color="A6A6A6"/>
            </w:tcBorders>
            <w:shd w:val="clear" w:color="auto" w:fill="auto"/>
            <w:noWrap/>
          </w:tcPr>
          <w:p w:rsidR="00000384" w:rsidRPr="00885D52" w:rsidRDefault="00000384" w:rsidP="00873D1E">
            <w:pPr>
              <w:pStyle w:val="TableText"/>
              <w:tabs>
                <w:tab w:val="decimal" w:pos="454"/>
              </w:tabs>
              <w:rPr>
                <w:color w:val="000000"/>
              </w:rPr>
            </w:pPr>
            <w:r w:rsidRPr="00885D52">
              <w:rPr>
                <w:color w:val="000000"/>
              </w:rPr>
              <w:t>10.1</w:t>
            </w:r>
          </w:p>
        </w:tc>
        <w:tc>
          <w:tcPr>
            <w:tcW w:w="655" w:type="dxa"/>
            <w:tcBorders>
              <w:top w:val="nil"/>
              <w:left w:val="single" w:sz="4" w:space="0" w:color="A6A6A6"/>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1.3</w:t>
            </w:r>
          </w:p>
        </w:tc>
        <w:tc>
          <w:tcPr>
            <w:tcW w:w="656" w:type="dxa"/>
            <w:tcBorders>
              <w:top w:val="nil"/>
              <w:left w:val="nil"/>
              <w:bottom w:val="nil"/>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1.6</w:t>
            </w:r>
          </w:p>
        </w:tc>
        <w:tc>
          <w:tcPr>
            <w:tcW w:w="851" w:type="dxa"/>
            <w:tcBorders>
              <w:top w:val="nil"/>
              <w:left w:val="nil"/>
              <w:bottom w:val="nil"/>
            </w:tcBorders>
            <w:shd w:val="clear" w:color="auto" w:fill="auto"/>
            <w:noWrap/>
          </w:tcPr>
          <w:p w:rsidR="00000384" w:rsidRPr="00885D52" w:rsidRDefault="00000384" w:rsidP="00873D1E">
            <w:pPr>
              <w:pStyle w:val="TableText"/>
              <w:tabs>
                <w:tab w:val="decimal" w:pos="454"/>
              </w:tabs>
              <w:rPr>
                <w:color w:val="000000"/>
              </w:rPr>
            </w:pPr>
            <w:r w:rsidRPr="00885D52">
              <w:rPr>
                <w:color w:val="000000"/>
              </w:rPr>
              <w:t>1.0</w:t>
            </w:r>
          </w:p>
        </w:tc>
      </w:tr>
      <w:tr w:rsidR="00000384" w:rsidRPr="00885D52" w:rsidTr="00873D1E">
        <w:trPr>
          <w:cantSplit/>
        </w:trPr>
        <w:tc>
          <w:tcPr>
            <w:tcW w:w="709" w:type="dxa"/>
            <w:tcBorders>
              <w:top w:val="nil"/>
              <w:bottom w:val="nil"/>
              <w:right w:val="single" w:sz="4" w:space="0" w:color="auto"/>
            </w:tcBorders>
            <w:shd w:val="clear" w:color="auto" w:fill="F2F2F2"/>
            <w:noWrap/>
          </w:tcPr>
          <w:p w:rsidR="00000384" w:rsidRPr="00885D52" w:rsidRDefault="00000384" w:rsidP="00873D1E">
            <w:pPr>
              <w:pStyle w:val="TableText"/>
              <w:rPr>
                <w:color w:val="000000"/>
              </w:rPr>
            </w:pPr>
            <w:r w:rsidRPr="00885D52">
              <w:rPr>
                <w:color w:val="000000"/>
              </w:rPr>
              <w:t>45–64</w:t>
            </w:r>
          </w:p>
        </w:tc>
        <w:tc>
          <w:tcPr>
            <w:tcW w:w="638" w:type="dxa"/>
            <w:tcBorders>
              <w:top w:val="nil"/>
              <w:left w:val="single" w:sz="4" w:space="0" w:color="auto"/>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31.3</w:t>
            </w:r>
          </w:p>
        </w:tc>
        <w:tc>
          <w:tcPr>
            <w:tcW w:w="638" w:type="dxa"/>
            <w:tcBorders>
              <w:top w:val="nil"/>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30.5</w:t>
            </w:r>
          </w:p>
        </w:tc>
        <w:tc>
          <w:tcPr>
            <w:tcW w:w="885" w:type="dxa"/>
            <w:tcBorders>
              <w:top w:val="nil"/>
              <w:left w:val="nil"/>
              <w:bottom w:val="nil"/>
              <w:right w:val="single" w:sz="4" w:space="0" w:color="A6A6A6"/>
            </w:tcBorders>
            <w:shd w:val="clear" w:color="auto" w:fill="F2F2F2"/>
            <w:noWrap/>
          </w:tcPr>
          <w:p w:rsidR="00000384" w:rsidRPr="00885D52" w:rsidRDefault="00000384" w:rsidP="00873D1E">
            <w:pPr>
              <w:pStyle w:val="TableText"/>
              <w:tabs>
                <w:tab w:val="decimal" w:pos="510"/>
              </w:tabs>
              <w:rPr>
                <w:color w:val="000000"/>
              </w:rPr>
            </w:pPr>
            <w:r w:rsidRPr="00885D52">
              <w:rPr>
                <w:color w:val="000000"/>
              </w:rPr>
              <w:t>31.8</w:t>
            </w:r>
          </w:p>
        </w:tc>
        <w:tc>
          <w:tcPr>
            <w:tcW w:w="691" w:type="dxa"/>
            <w:tcBorders>
              <w:top w:val="nil"/>
              <w:left w:val="single" w:sz="4" w:space="0" w:color="A6A6A6"/>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6.4</w:t>
            </w:r>
          </w:p>
        </w:tc>
        <w:tc>
          <w:tcPr>
            <w:tcW w:w="692" w:type="dxa"/>
            <w:tcBorders>
              <w:top w:val="nil"/>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8.3</w:t>
            </w:r>
          </w:p>
        </w:tc>
        <w:tc>
          <w:tcPr>
            <w:tcW w:w="779" w:type="dxa"/>
            <w:tcBorders>
              <w:top w:val="nil"/>
              <w:left w:val="nil"/>
              <w:bottom w:val="nil"/>
              <w:right w:val="single" w:sz="4" w:space="0" w:color="auto"/>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5.2</w:t>
            </w:r>
          </w:p>
        </w:tc>
        <w:tc>
          <w:tcPr>
            <w:tcW w:w="673" w:type="dxa"/>
            <w:tcBorders>
              <w:top w:val="nil"/>
              <w:left w:val="single" w:sz="4" w:space="0" w:color="auto"/>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39.5</w:t>
            </w:r>
          </w:p>
        </w:tc>
        <w:tc>
          <w:tcPr>
            <w:tcW w:w="674" w:type="dxa"/>
            <w:tcBorders>
              <w:top w:val="nil"/>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32.7</w:t>
            </w:r>
          </w:p>
        </w:tc>
        <w:tc>
          <w:tcPr>
            <w:tcW w:w="815" w:type="dxa"/>
            <w:tcBorders>
              <w:top w:val="nil"/>
              <w:left w:val="nil"/>
              <w:bottom w:val="nil"/>
              <w:right w:val="single" w:sz="4" w:space="0" w:color="A6A6A6"/>
            </w:tcBorders>
            <w:shd w:val="clear" w:color="auto" w:fill="F2F2F2"/>
            <w:noWrap/>
          </w:tcPr>
          <w:p w:rsidR="00000384" w:rsidRPr="00885D52" w:rsidRDefault="00000384" w:rsidP="00873D1E">
            <w:pPr>
              <w:pStyle w:val="TableText"/>
              <w:tabs>
                <w:tab w:val="decimal" w:pos="454"/>
              </w:tabs>
              <w:rPr>
                <w:color w:val="000000"/>
              </w:rPr>
            </w:pPr>
            <w:r w:rsidRPr="00885D52">
              <w:rPr>
                <w:color w:val="000000"/>
              </w:rPr>
              <w:t>45.6</w:t>
            </w:r>
          </w:p>
        </w:tc>
        <w:tc>
          <w:tcPr>
            <w:tcW w:w="655" w:type="dxa"/>
            <w:tcBorders>
              <w:top w:val="nil"/>
              <w:left w:val="single" w:sz="4" w:space="0" w:color="A6A6A6"/>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16.2</w:t>
            </w:r>
          </w:p>
        </w:tc>
        <w:tc>
          <w:tcPr>
            <w:tcW w:w="656" w:type="dxa"/>
            <w:tcBorders>
              <w:top w:val="nil"/>
              <w:left w:val="nil"/>
              <w:bottom w:val="nil"/>
              <w:right w:val="nil"/>
            </w:tcBorders>
            <w:shd w:val="clear" w:color="auto" w:fill="F2F2F2"/>
            <w:noWrap/>
          </w:tcPr>
          <w:p w:rsidR="00000384" w:rsidRPr="00885D52" w:rsidRDefault="00000384" w:rsidP="00873D1E">
            <w:pPr>
              <w:pStyle w:val="TableText"/>
              <w:tabs>
                <w:tab w:val="decimal" w:pos="340"/>
              </w:tabs>
              <w:rPr>
                <w:color w:val="000000"/>
              </w:rPr>
            </w:pPr>
            <w:r w:rsidRPr="00885D52">
              <w:rPr>
                <w:color w:val="000000"/>
              </w:rPr>
              <w:t>16.2</w:t>
            </w:r>
          </w:p>
        </w:tc>
        <w:tc>
          <w:tcPr>
            <w:tcW w:w="851" w:type="dxa"/>
            <w:tcBorders>
              <w:top w:val="nil"/>
              <w:left w:val="nil"/>
              <w:bottom w:val="nil"/>
            </w:tcBorders>
            <w:shd w:val="clear" w:color="auto" w:fill="F2F2F2"/>
            <w:noWrap/>
          </w:tcPr>
          <w:p w:rsidR="00000384" w:rsidRPr="00885D52" w:rsidRDefault="00000384" w:rsidP="00873D1E">
            <w:pPr>
              <w:pStyle w:val="TableText"/>
              <w:tabs>
                <w:tab w:val="decimal" w:pos="454"/>
              </w:tabs>
              <w:rPr>
                <w:color w:val="000000"/>
              </w:rPr>
            </w:pPr>
            <w:r w:rsidRPr="00885D52">
              <w:rPr>
                <w:color w:val="000000"/>
              </w:rPr>
              <w:t>16.1</w:t>
            </w:r>
          </w:p>
        </w:tc>
      </w:tr>
      <w:tr w:rsidR="00000384" w:rsidRPr="00885D52" w:rsidTr="00873D1E">
        <w:trPr>
          <w:cantSplit/>
        </w:trPr>
        <w:tc>
          <w:tcPr>
            <w:tcW w:w="709" w:type="dxa"/>
            <w:tcBorders>
              <w:top w:val="nil"/>
              <w:bottom w:val="single" w:sz="4" w:space="0" w:color="auto"/>
            </w:tcBorders>
            <w:shd w:val="clear" w:color="auto" w:fill="auto"/>
            <w:noWrap/>
          </w:tcPr>
          <w:p w:rsidR="00000384" w:rsidRPr="00885D52" w:rsidRDefault="00000384" w:rsidP="00873D1E">
            <w:pPr>
              <w:pStyle w:val="TableText"/>
              <w:rPr>
                <w:color w:val="000000"/>
              </w:rPr>
            </w:pPr>
            <w:r w:rsidRPr="00885D52">
              <w:rPr>
                <w:color w:val="000000"/>
              </w:rPr>
              <w:t>65+</w:t>
            </w:r>
          </w:p>
        </w:tc>
        <w:tc>
          <w:tcPr>
            <w:tcW w:w="638" w:type="dxa"/>
            <w:tcBorders>
              <w:top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56.5</w:t>
            </w:r>
          </w:p>
        </w:tc>
        <w:tc>
          <w:tcPr>
            <w:tcW w:w="638" w:type="dxa"/>
            <w:tcBorders>
              <w:top w:val="nil"/>
              <w:left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55.9</w:t>
            </w:r>
          </w:p>
        </w:tc>
        <w:tc>
          <w:tcPr>
            <w:tcW w:w="885" w:type="dxa"/>
            <w:tcBorders>
              <w:top w:val="nil"/>
              <w:left w:val="nil"/>
              <w:bottom w:val="single" w:sz="4" w:space="0" w:color="auto"/>
              <w:right w:val="single" w:sz="4" w:space="0" w:color="A6A6A6"/>
            </w:tcBorders>
            <w:shd w:val="clear" w:color="auto" w:fill="auto"/>
            <w:noWrap/>
          </w:tcPr>
          <w:p w:rsidR="00000384" w:rsidRPr="00885D52" w:rsidRDefault="00000384" w:rsidP="00873D1E">
            <w:pPr>
              <w:pStyle w:val="TableText"/>
              <w:tabs>
                <w:tab w:val="decimal" w:pos="510"/>
              </w:tabs>
              <w:rPr>
                <w:color w:val="000000"/>
              </w:rPr>
            </w:pPr>
            <w:r w:rsidRPr="00885D52">
              <w:rPr>
                <w:color w:val="000000"/>
              </w:rPr>
              <w:t>56.8</w:t>
            </w:r>
          </w:p>
        </w:tc>
        <w:tc>
          <w:tcPr>
            <w:tcW w:w="691" w:type="dxa"/>
            <w:tcBorders>
              <w:top w:val="nil"/>
              <w:left w:val="single" w:sz="4" w:space="0" w:color="A6A6A6"/>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93.0</w:t>
            </w:r>
          </w:p>
        </w:tc>
        <w:tc>
          <w:tcPr>
            <w:tcW w:w="692" w:type="dxa"/>
            <w:tcBorders>
              <w:top w:val="nil"/>
              <w:left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90.7</w:t>
            </w:r>
          </w:p>
        </w:tc>
        <w:tc>
          <w:tcPr>
            <w:tcW w:w="779" w:type="dxa"/>
            <w:tcBorders>
              <w:top w:val="nil"/>
              <w:left w:val="nil"/>
              <w:bottom w:val="single" w:sz="4" w:space="0" w:color="auto"/>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94.4</w:t>
            </w:r>
          </w:p>
        </w:tc>
        <w:tc>
          <w:tcPr>
            <w:tcW w:w="673" w:type="dxa"/>
            <w:tcBorders>
              <w:top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255.7</w:t>
            </w:r>
          </w:p>
        </w:tc>
        <w:tc>
          <w:tcPr>
            <w:tcW w:w="674" w:type="dxa"/>
            <w:tcBorders>
              <w:top w:val="nil"/>
              <w:left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222.4</w:t>
            </w:r>
          </w:p>
        </w:tc>
        <w:tc>
          <w:tcPr>
            <w:tcW w:w="815" w:type="dxa"/>
            <w:tcBorders>
              <w:top w:val="nil"/>
              <w:left w:val="nil"/>
              <w:bottom w:val="single" w:sz="4" w:space="0" w:color="auto"/>
              <w:right w:val="single" w:sz="4" w:space="0" w:color="A6A6A6"/>
            </w:tcBorders>
            <w:shd w:val="clear" w:color="auto" w:fill="auto"/>
            <w:noWrap/>
          </w:tcPr>
          <w:p w:rsidR="00000384" w:rsidRPr="00885D52" w:rsidRDefault="00000384" w:rsidP="00873D1E">
            <w:pPr>
              <w:pStyle w:val="TableText"/>
              <w:tabs>
                <w:tab w:val="decimal" w:pos="454"/>
              </w:tabs>
              <w:rPr>
                <w:color w:val="000000"/>
              </w:rPr>
            </w:pPr>
            <w:r w:rsidRPr="00885D52">
              <w:rPr>
                <w:color w:val="000000"/>
              </w:rPr>
              <w:t>283.8</w:t>
            </w:r>
          </w:p>
        </w:tc>
        <w:tc>
          <w:tcPr>
            <w:tcW w:w="655" w:type="dxa"/>
            <w:tcBorders>
              <w:top w:val="nil"/>
              <w:left w:val="single" w:sz="4" w:space="0" w:color="A6A6A6"/>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421.6</w:t>
            </w:r>
          </w:p>
        </w:tc>
        <w:tc>
          <w:tcPr>
            <w:tcW w:w="656" w:type="dxa"/>
            <w:tcBorders>
              <w:top w:val="nil"/>
              <w:left w:val="nil"/>
              <w:bottom w:val="single" w:sz="4" w:space="0" w:color="auto"/>
              <w:right w:val="nil"/>
            </w:tcBorders>
            <w:shd w:val="clear" w:color="auto" w:fill="auto"/>
            <w:noWrap/>
          </w:tcPr>
          <w:p w:rsidR="00000384" w:rsidRPr="00885D52" w:rsidRDefault="00000384" w:rsidP="00873D1E">
            <w:pPr>
              <w:pStyle w:val="TableText"/>
              <w:tabs>
                <w:tab w:val="decimal" w:pos="340"/>
              </w:tabs>
              <w:rPr>
                <w:color w:val="000000"/>
              </w:rPr>
            </w:pPr>
            <w:r w:rsidRPr="00885D52">
              <w:rPr>
                <w:color w:val="000000"/>
              </w:rPr>
              <w:t>340.4</w:t>
            </w:r>
          </w:p>
        </w:tc>
        <w:tc>
          <w:tcPr>
            <w:tcW w:w="851" w:type="dxa"/>
            <w:tcBorders>
              <w:top w:val="nil"/>
              <w:left w:val="nil"/>
              <w:bottom w:val="single" w:sz="4" w:space="0" w:color="auto"/>
            </w:tcBorders>
            <w:shd w:val="clear" w:color="auto" w:fill="auto"/>
            <w:noWrap/>
          </w:tcPr>
          <w:p w:rsidR="00000384" w:rsidRPr="00885D52" w:rsidRDefault="00000384" w:rsidP="00873D1E">
            <w:pPr>
              <w:pStyle w:val="TableText"/>
              <w:tabs>
                <w:tab w:val="decimal" w:pos="454"/>
              </w:tabs>
              <w:rPr>
                <w:color w:val="000000"/>
              </w:rPr>
            </w:pPr>
            <w:r w:rsidRPr="00885D52">
              <w:rPr>
                <w:color w:val="000000"/>
              </w:rPr>
              <w:t>490.0</w:t>
            </w:r>
          </w:p>
        </w:tc>
      </w:tr>
    </w:tbl>
    <w:p w:rsidR="00000384" w:rsidRPr="00885D52" w:rsidRDefault="00000384" w:rsidP="00873D1E">
      <w:pPr>
        <w:pStyle w:val="Note"/>
        <w:ind w:right="0"/>
      </w:pPr>
      <w:r w:rsidRPr="00885D52">
        <w:t>Note: Rates per 100,000 population.</w:t>
      </w:r>
    </w:p>
    <w:p w:rsidR="00000384" w:rsidRPr="00885D52" w:rsidRDefault="00000384" w:rsidP="00873D1E"/>
    <w:p w:rsidR="00000384" w:rsidRPr="00885D52" w:rsidRDefault="00000384" w:rsidP="00873D1E">
      <w:r w:rsidRPr="00885D52">
        <w:t>Among non-Māori, 93.0 percent of deaths from cerebrovascular disease occurred in those aged 65</w:t>
      </w:r>
      <w:r w:rsidR="00873D1E" w:rsidRPr="00885D52">
        <w:t> </w:t>
      </w:r>
      <w:r w:rsidRPr="00885D52">
        <w:t>years and over in 2011. Among Māori, however, a greater proportion of deaths occurred in younger age groups. The percentage of Māori deaths from cerebrovascular disease that occurred below the age of 65 was 43.5; the equivalent figure for non-Māori was 7.0 percent.</w:t>
      </w:r>
    </w:p>
    <w:p w:rsidR="00000384" w:rsidRPr="00885D52" w:rsidRDefault="00000384" w:rsidP="00873D1E"/>
    <w:p w:rsidR="00000384" w:rsidRPr="00885D52" w:rsidRDefault="00000384" w:rsidP="00190A7F">
      <w:pPr>
        <w:keepNext/>
      </w:pPr>
      <w:r w:rsidRPr="00885D52">
        <w:lastRenderedPageBreak/>
        <w:t>Figure 28 shows numbers and age-standardised mortality rates from cerebrovascular disease, by sex and ethnicity, between 1996 and 2011.</w:t>
      </w:r>
    </w:p>
    <w:p w:rsidR="00000384" w:rsidRPr="00885D52" w:rsidRDefault="00000384" w:rsidP="00190A7F">
      <w:pPr>
        <w:keepNext/>
      </w:pPr>
    </w:p>
    <w:p w:rsidR="00000384" w:rsidRPr="00885D52" w:rsidRDefault="00000384" w:rsidP="00873D1E">
      <w:pPr>
        <w:pStyle w:val="Figure"/>
      </w:pPr>
      <w:bookmarkStart w:id="525" w:name="_Toc352670694"/>
      <w:bookmarkStart w:id="526" w:name="_Toc400536127"/>
      <w:bookmarkStart w:id="527" w:name="_Toc403120602"/>
      <w:r w:rsidRPr="00885D52">
        <w:t>Figure 28: Numbers and age-standardised mortality rates for cerebrovascular disease, by sex and ethnicity, 1996–201</w:t>
      </w:r>
      <w:bookmarkEnd w:id="525"/>
      <w:r w:rsidRPr="00885D52">
        <w:t>1</w:t>
      </w:r>
      <w:bookmarkEnd w:id="526"/>
      <w:bookmarkEnd w:id="527"/>
    </w:p>
    <w:p w:rsidR="00000384" w:rsidRPr="00885D52" w:rsidRDefault="008A5292" w:rsidP="008A5292">
      <w:r w:rsidRPr="00885D52">
        <w:rPr>
          <w:noProof/>
          <w:lang w:eastAsia="en-NZ"/>
        </w:rPr>
        <w:drawing>
          <wp:inline distT="0" distB="0" distL="0" distR="0" wp14:anchorId="2DB36F47" wp14:editId="57C0C52B">
            <wp:extent cx="5137180" cy="3133899"/>
            <wp:effectExtent l="0" t="0" r="6350" b="9525"/>
            <wp:docPr id="33" name="Picture 33" title="Figure 28: Numbers and age-standardised mortality rates for cerebrovascular disease,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7615" cy="3134165"/>
                    </a:xfrm>
                    <a:prstGeom prst="rect">
                      <a:avLst/>
                    </a:prstGeom>
                  </pic:spPr>
                </pic:pic>
              </a:graphicData>
            </a:graphic>
          </wp:inline>
        </w:drawing>
      </w:r>
    </w:p>
    <w:p w:rsidR="00000384" w:rsidRPr="00885D52" w:rsidRDefault="00000384" w:rsidP="008A5292">
      <w:pPr>
        <w:pStyle w:val="Note"/>
      </w:pPr>
      <w:r w:rsidRPr="00885D52">
        <w:t>Note: Rates per 100,000 population, age-standardised to WHO World Standard Population.</w:t>
      </w:r>
    </w:p>
    <w:p w:rsidR="00000384" w:rsidRPr="00885D52" w:rsidRDefault="00000384" w:rsidP="008A5292"/>
    <w:p w:rsidR="00000384" w:rsidRPr="00885D52" w:rsidRDefault="00000384" w:rsidP="008A5292">
      <w:r w:rsidRPr="00885D52">
        <w:t>Of the four population groups shown in Figure 28, Māori females had the highest age-standardised mortality rate for cerebrovascular disease in 2011, followed by Māori males. The mortality rate for Māori females was 31.1 percent higher than for non-Māori females, and the equivalent rate was slightly higher for Māori males than for non-Māori males (8.9 percent).</w:t>
      </w:r>
    </w:p>
    <w:p w:rsidR="00000384" w:rsidRPr="00885D52" w:rsidRDefault="00000384" w:rsidP="008A5292"/>
    <w:p w:rsidR="00000384" w:rsidRPr="00885D52" w:rsidRDefault="00000384" w:rsidP="008A5292">
      <w:r w:rsidRPr="00885D52">
        <w:t xml:space="preserve">Compared </w:t>
      </w:r>
      <w:r w:rsidR="00491B19">
        <w:t>with</w:t>
      </w:r>
      <w:r w:rsidRPr="00885D52">
        <w:t xml:space="preserve"> 2010, rates for non-Māori males and females increased in 2011, while rates for Māori males and females decreased.</w:t>
      </w:r>
    </w:p>
    <w:p w:rsidR="00000384" w:rsidRPr="00885D52" w:rsidRDefault="00000384" w:rsidP="008A5292"/>
    <w:p w:rsidR="00000384" w:rsidRPr="00885D52" w:rsidRDefault="00000384" w:rsidP="008A5292">
      <w:r w:rsidRPr="00885D52">
        <w:t>The seven codes that make up the cerebrovascular disease ICD classification grouping for mortality coding are:</w:t>
      </w:r>
    </w:p>
    <w:p w:rsidR="00000384" w:rsidRPr="00885D52" w:rsidRDefault="00000384" w:rsidP="008A5292">
      <w:pPr>
        <w:pStyle w:val="Bullet"/>
      </w:pPr>
      <w:r w:rsidRPr="00885D52">
        <w:t>I60 subarachnoid haemorrhage</w:t>
      </w:r>
    </w:p>
    <w:p w:rsidR="00000384" w:rsidRPr="00885D52" w:rsidRDefault="00000384" w:rsidP="008A5292">
      <w:pPr>
        <w:pStyle w:val="Bullet"/>
      </w:pPr>
      <w:r w:rsidRPr="00885D52">
        <w:t>I61 intracerebral haemorrhage</w:t>
      </w:r>
    </w:p>
    <w:p w:rsidR="00000384" w:rsidRPr="00885D52" w:rsidRDefault="00000384" w:rsidP="008A5292">
      <w:pPr>
        <w:pStyle w:val="Bullet"/>
      </w:pPr>
      <w:r w:rsidRPr="00885D52">
        <w:t>I62 other non-traumatic intracranial haemorrhage</w:t>
      </w:r>
    </w:p>
    <w:p w:rsidR="00000384" w:rsidRPr="00885D52" w:rsidRDefault="00000384" w:rsidP="008A5292">
      <w:pPr>
        <w:pStyle w:val="Bullet"/>
      </w:pPr>
      <w:r w:rsidRPr="00885D52">
        <w:t>I63 cerebral infarction</w:t>
      </w:r>
    </w:p>
    <w:p w:rsidR="00000384" w:rsidRPr="00885D52" w:rsidRDefault="00000384" w:rsidP="008A5292">
      <w:pPr>
        <w:pStyle w:val="Bullet"/>
      </w:pPr>
      <w:r w:rsidRPr="00885D52">
        <w:t>I64 stroke, not specified as haemorrhage or infarction</w:t>
      </w:r>
    </w:p>
    <w:p w:rsidR="00000384" w:rsidRPr="00885D52" w:rsidRDefault="00000384" w:rsidP="008A5292">
      <w:pPr>
        <w:pStyle w:val="Bullet"/>
      </w:pPr>
      <w:r w:rsidRPr="00885D52">
        <w:t>I67 other cerebrovascular diseases</w:t>
      </w:r>
    </w:p>
    <w:p w:rsidR="00000384" w:rsidRPr="00885D52" w:rsidRDefault="00000384" w:rsidP="008A5292">
      <w:pPr>
        <w:pStyle w:val="Bullet"/>
      </w:pPr>
      <w:r w:rsidRPr="00885D52">
        <w:t>I69 sequelae</w:t>
      </w:r>
      <w:r w:rsidRPr="00885D52">
        <w:rPr>
          <w:rStyle w:val="FootnoteReference"/>
        </w:rPr>
        <w:footnoteReference w:id="8"/>
      </w:r>
      <w:r w:rsidRPr="00885D52">
        <w:t xml:space="preserve"> of cerebrovascular disease.</w:t>
      </w:r>
    </w:p>
    <w:p w:rsidR="00000384" w:rsidRPr="00885D52" w:rsidRDefault="00000384" w:rsidP="008A5292"/>
    <w:p w:rsidR="00000384" w:rsidRPr="00885D52" w:rsidRDefault="00000384" w:rsidP="00190A7F">
      <w:pPr>
        <w:keepNext/>
      </w:pPr>
      <w:r w:rsidRPr="00885D52">
        <w:lastRenderedPageBreak/>
        <w:t>Figure 29 shows mortality rates for the total population for these codes, by sex, in 2011.</w:t>
      </w:r>
    </w:p>
    <w:p w:rsidR="00000384" w:rsidRPr="00885D52" w:rsidRDefault="00000384" w:rsidP="00190A7F">
      <w:pPr>
        <w:keepNext/>
      </w:pPr>
    </w:p>
    <w:p w:rsidR="00000384" w:rsidRPr="00885D52" w:rsidRDefault="00000384" w:rsidP="008A5292">
      <w:pPr>
        <w:pStyle w:val="Figure"/>
      </w:pPr>
      <w:bookmarkStart w:id="528" w:name="_Toc352670695"/>
      <w:bookmarkStart w:id="529" w:name="_Toc400536128"/>
      <w:bookmarkStart w:id="530" w:name="_Toc403120603"/>
      <w:r w:rsidRPr="00885D52">
        <w:t>Figure 29: Age-standardised mortality rates for cerebrovascular disease, by specific disease classification and sex, 201</w:t>
      </w:r>
      <w:bookmarkEnd w:id="528"/>
      <w:r w:rsidRPr="00885D52">
        <w:t>1</w:t>
      </w:r>
      <w:bookmarkEnd w:id="529"/>
      <w:bookmarkEnd w:id="530"/>
    </w:p>
    <w:p w:rsidR="008D5D23" w:rsidRPr="00885D52" w:rsidRDefault="008A5292" w:rsidP="008A5292">
      <w:r w:rsidRPr="00885D52">
        <w:rPr>
          <w:noProof/>
          <w:lang w:eastAsia="en-NZ"/>
        </w:rPr>
        <w:drawing>
          <wp:inline distT="0" distB="0" distL="0" distR="0" wp14:anchorId="1958DC50" wp14:editId="0108ACCD">
            <wp:extent cx="5886636" cy="3591099"/>
            <wp:effectExtent l="0" t="0" r="0" b="9525"/>
            <wp:docPr id="39" name="Picture 39" title="Figure 29: Age-standardised mortality rates for cerebrovascular disease, by specific disease classification and sex,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85926" cy="3590666"/>
                    </a:xfrm>
                    <a:prstGeom prst="rect">
                      <a:avLst/>
                    </a:prstGeom>
                  </pic:spPr>
                </pic:pic>
              </a:graphicData>
            </a:graphic>
          </wp:inline>
        </w:drawing>
      </w:r>
    </w:p>
    <w:p w:rsidR="00000384" w:rsidRPr="00885D52" w:rsidRDefault="00000384" w:rsidP="00075F0A">
      <w:pPr>
        <w:pStyle w:val="Note"/>
        <w:ind w:left="0" w:firstLine="0"/>
      </w:pPr>
      <w:r w:rsidRPr="00885D52">
        <w:t>Note: Rates per 100,000 population, age-standardised to WHO World Standard Population; 95% confidence intervals.</w:t>
      </w:r>
    </w:p>
    <w:p w:rsidR="00000384" w:rsidRPr="00885D52" w:rsidRDefault="00000384" w:rsidP="00075F0A"/>
    <w:p w:rsidR="00000384" w:rsidRPr="00885D52" w:rsidRDefault="00885D52" w:rsidP="00075F0A">
      <w:r w:rsidRPr="00885D52">
        <w:t>‘</w:t>
      </w:r>
      <w:r w:rsidR="00000384" w:rsidRPr="00885D52">
        <w:t>Stroke, not specified as haemorrhage or infarction</w:t>
      </w:r>
      <w:r w:rsidRPr="00885D52">
        <w:t>’</w:t>
      </w:r>
      <w:r w:rsidR="00000384" w:rsidRPr="00885D52">
        <w:t xml:space="preserve"> (I64) accounted for 40.7 percent of cerebrovascular disease-related mortality in 2011.</w:t>
      </w:r>
    </w:p>
    <w:p w:rsidR="00000384" w:rsidRPr="00885D52" w:rsidRDefault="00000384" w:rsidP="00075F0A"/>
    <w:p w:rsidR="00000384" w:rsidRPr="00885D52" w:rsidRDefault="00000384" w:rsidP="00075F0A">
      <w:r w:rsidRPr="00885D52">
        <w:t>The three other major causes of cerebrovascular d</w:t>
      </w:r>
      <w:r w:rsidR="00307A7D">
        <w:t>isease-related mortality in 2011</w:t>
      </w:r>
      <w:r w:rsidRPr="00885D52">
        <w:t xml:space="preserve"> were:</w:t>
      </w:r>
    </w:p>
    <w:p w:rsidR="00000384" w:rsidRPr="00885D52" w:rsidRDefault="00000384" w:rsidP="00075F0A">
      <w:pPr>
        <w:pStyle w:val="Bullet"/>
      </w:pPr>
      <w:r w:rsidRPr="00885D52">
        <w:t>I69 sequelae of cerebrovascular disease (16.8 percent)</w:t>
      </w:r>
    </w:p>
    <w:p w:rsidR="008D5D23" w:rsidRPr="00885D52" w:rsidRDefault="00000384" w:rsidP="00075F0A">
      <w:pPr>
        <w:pStyle w:val="Bullet"/>
      </w:pPr>
      <w:r w:rsidRPr="00885D52">
        <w:t>I63 cerebral infarction (15.6 percent)</w:t>
      </w:r>
    </w:p>
    <w:p w:rsidR="00000384" w:rsidRPr="00885D52" w:rsidRDefault="00000384" w:rsidP="00075F0A">
      <w:pPr>
        <w:pStyle w:val="Bullet"/>
      </w:pPr>
      <w:r w:rsidRPr="00885D52">
        <w:t>I61 intracerebral haemorrhage (13.2 percent).</w:t>
      </w:r>
    </w:p>
    <w:p w:rsidR="00000384" w:rsidRPr="00885D52" w:rsidRDefault="00000384" w:rsidP="00075F0A"/>
    <w:p w:rsidR="00000384" w:rsidRPr="00885D52" w:rsidRDefault="00000384" w:rsidP="00075F0A">
      <w:r w:rsidRPr="00885D52">
        <w:t>Together, these four conditions accounted for 86.2 percent of mortality from cerebrovascular disease in 2011.</w:t>
      </w:r>
    </w:p>
    <w:p w:rsidR="00000384" w:rsidRPr="00885D52" w:rsidRDefault="00000384" w:rsidP="00075F0A"/>
    <w:p w:rsidR="00000384" w:rsidRPr="00885D52" w:rsidRDefault="00000384" w:rsidP="00075F0A">
      <w:r w:rsidRPr="00885D52">
        <w:t>Females had significantly higher rates of stroke (I64), while males had higher rates of sequelae of cerebrovascular disease (I69).</w:t>
      </w:r>
    </w:p>
    <w:p w:rsidR="00000384" w:rsidRPr="00885D52" w:rsidRDefault="00000384" w:rsidP="00075F0A"/>
    <w:p w:rsidR="008D5D23" w:rsidRPr="00885D52" w:rsidRDefault="00000384" w:rsidP="00190A7F">
      <w:pPr>
        <w:keepNext/>
      </w:pPr>
      <w:r w:rsidRPr="00885D52">
        <w:lastRenderedPageBreak/>
        <w:t>Figure 30 shows cerebrovascular disease age-standardised death rates by DHB region of residence for the total population in 2011. No DHB regions had rates that were significantly different to the national rate.</w:t>
      </w:r>
    </w:p>
    <w:p w:rsidR="00000384" w:rsidRPr="00885D52" w:rsidRDefault="00000384" w:rsidP="00190A7F">
      <w:pPr>
        <w:keepNext/>
      </w:pPr>
    </w:p>
    <w:p w:rsidR="00000384" w:rsidRPr="00885D52" w:rsidRDefault="00000384" w:rsidP="00075F0A">
      <w:pPr>
        <w:pStyle w:val="Figure"/>
      </w:pPr>
      <w:bookmarkStart w:id="531" w:name="_Toc400536129"/>
      <w:bookmarkStart w:id="532" w:name="_Toc403120604"/>
      <w:r w:rsidRPr="00885D52">
        <w:t>Figure 30</w:t>
      </w:r>
      <w:r w:rsidRPr="00885D52">
        <w:rPr>
          <w:bCs/>
        </w:rPr>
        <w:t xml:space="preserve">: Age-standardised mortality rates for </w:t>
      </w:r>
      <w:r w:rsidRPr="00885D52">
        <w:t>cerebrovascular disease, by DHB region, total population, 2011</w:t>
      </w:r>
      <w:bookmarkEnd w:id="531"/>
      <w:bookmarkEnd w:id="532"/>
    </w:p>
    <w:p w:rsidR="008D5D23" w:rsidRPr="00885D52" w:rsidRDefault="00575AF9" w:rsidP="00575AF9">
      <w:r w:rsidRPr="00885D52">
        <w:rPr>
          <w:noProof/>
          <w:lang w:eastAsia="en-NZ"/>
        </w:rPr>
        <w:drawing>
          <wp:inline distT="0" distB="0" distL="0" distR="0" wp14:anchorId="44D9EFBE" wp14:editId="77CF197F">
            <wp:extent cx="5314324" cy="3241964"/>
            <wp:effectExtent l="0" t="0" r="635" b="0"/>
            <wp:docPr id="40" name="Picture 40" title="Figure 30: Age-standardised mortality rates for cerebrovascular disease, by DHB region, total populatio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13684" cy="3241573"/>
                    </a:xfrm>
                    <a:prstGeom prst="rect">
                      <a:avLst/>
                    </a:prstGeom>
                  </pic:spPr>
                </pic:pic>
              </a:graphicData>
            </a:graphic>
          </wp:inline>
        </w:drawing>
      </w:r>
    </w:p>
    <w:p w:rsidR="008D5D23" w:rsidRPr="00885D52" w:rsidRDefault="00000384" w:rsidP="00575AF9">
      <w:pPr>
        <w:pStyle w:val="Note"/>
        <w:ind w:left="0" w:firstLine="0"/>
      </w:pPr>
      <w:r w:rsidRPr="00885D52">
        <w:t>Note 1: Rates per 100,000 population, age-standardised to WHO World Standard Population; 99% confidence intervals.</w:t>
      </w:r>
    </w:p>
    <w:p w:rsidR="00000384" w:rsidRPr="00885D52" w:rsidRDefault="00000384" w:rsidP="00575AF9">
      <w:pPr>
        <w:pStyle w:val="Note"/>
        <w:ind w:left="0" w:firstLine="0"/>
      </w:pPr>
      <w:r w:rsidRPr="00885D52">
        <w:t>Note 2: This figure shows confidence intervals for DHB regions. Confidence intervals for the national rate are not shown but are included in the analysis.</w:t>
      </w:r>
    </w:p>
    <w:p w:rsidR="00000384" w:rsidRPr="00885D52" w:rsidRDefault="00000384" w:rsidP="00575AF9"/>
    <w:p w:rsidR="00190A7F" w:rsidRDefault="00190A7F">
      <w:pPr>
        <w:spacing w:line="240" w:lineRule="auto"/>
        <w:rPr>
          <w:b/>
          <w:sz w:val="40"/>
        </w:rPr>
      </w:pPr>
      <w:bookmarkStart w:id="533" w:name="_Toc167268835"/>
      <w:bookmarkStart w:id="534" w:name="_Toc236642215"/>
      <w:bookmarkStart w:id="535" w:name="_Toc262631094"/>
      <w:bookmarkStart w:id="536" w:name="_Toc316994477"/>
      <w:bookmarkStart w:id="537" w:name="_Toc352670634"/>
      <w:bookmarkStart w:id="538" w:name="_Toc400536190"/>
      <w:bookmarkStart w:id="539" w:name="_Toc403120530"/>
      <w:r>
        <w:br w:type="page"/>
      </w:r>
    </w:p>
    <w:p w:rsidR="00000384" w:rsidRPr="00885D52" w:rsidRDefault="00000384" w:rsidP="00190A7F">
      <w:pPr>
        <w:pStyle w:val="Heading2"/>
        <w:keepNext w:val="0"/>
      </w:pPr>
      <w:r w:rsidRPr="00885D52">
        <w:lastRenderedPageBreak/>
        <w:t>Diabetes mellitus (E10–E14)</w:t>
      </w:r>
      <w:bookmarkEnd w:id="533"/>
      <w:bookmarkEnd w:id="534"/>
      <w:bookmarkEnd w:id="535"/>
      <w:bookmarkEnd w:id="536"/>
      <w:bookmarkEnd w:id="537"/>
      <w:bookmarkEnd w:id="538"/>
      <w:bookmarkEnd w:id="539"/>
    </w:p>
    <w:p w:rsidR="00000384" w:rsidRPr="00885D52" w:rsidRDefault="00000384" w:rsidP="00111E77">
      <w:r w:rsidRPr="00885D52">
        <w:t>Diabetes mellitus, commonly known as diabetes, is a chronic disease associated with abnormally high levels of glucose in the blood (hyperglycaemia). There are two main types of diabetes: Type 1 (insulin-dependent diabetes mellitus) and Type 2 (adult-onset diabetes). Type 2 diabetes is much more common than Type 1.</w:t>
      </w:r>
    </w:p>
    <w:p w:rsidR="00000384" w:rsidRPr="00885D52" w:rsidRDefault="00000384" w:rsidP="00111E77"/>
    <w:p w:rsidR="00000384" w:rsidRPr="00885D52" w:rsidRDefault="00000384" w:rsidP="00111E77">
      <w:r w:rsidRPr="00885D52">
        <w:t>A person with Type 1 diabetes does not produce sufficient insulin – they might make only a little, or none at all. Type 1 diabetes usually starts in the teenage years or when puberty begins, although onset can occur later in life.</w:t>
      </w:r>
    </w:p>
    <w:p w:rsidR="00000384" w:rsidRPr="00885D52" w:rsidRDefault="00000384" w:rsidP="00111E77"/>
    <w:p w:rsidR="00000384" w:rsidRPr="00885D52" w:rsidRDefault="00000384" w:rsidP="00111E77">
      <w:r w:rsidRPr="00885D52">
        <w:t>A person with Type 2 diabetes produces insulin, but the cells upon which the insulin should act are not sufficiently sensitive to its action. Type 2 diabetes commonly starts later in life (typically in people over 30 years of age). Common risk factors include: genetic predisposition (eg, ethnicity or a family history of Type 2 diabetes), obesity, lack of exercise and lower socioeconomic status. People suffering from Type 2 diabetes can become insulin-dependent as the disease progresses.</w:t>
      </w:r>
    </w:p>
    <w:p w:rsidR="00000384" w:rsidRPr="00885D52" w:rsidRDefault="00000384" w:rsidP="00111E77"/>
    <w:p w:rsidR="00000384" w:rsidRPr="00885D52" w:rsidRDefault="00000384" w:rsidP="00111E77">
      <w:r w:rsidRPr="00885D52">
        <w:t>There were 835 deaths from diabetes mellitus in 2011. Males accounted for 52.5 percent of these.</w:t>
      </w:r>
    </w:p>
    <w:p w:rsidR="00111E77" w:rsidRPr="00885D52" w:rsidRDefault="00111E77" w:rsidP="00111E77"/>
    <w:p w:rsidR="00000384" w:rsidRPr="00885D52" w:rsidRDefault="00000384" w:rsidP="00111E77">
      <w:r w:rsidRPr="00885D52">
        <w:t>Table 20 shows the number of deaths and age-standardised mortality rates for diabetes mellitus from 1980 to 2011.</w:t>
      </w:r>
    </w:p>
    <w:p w:rsidR="00000384" w:rsidRPr="00885D52" w:rsidRDefault="00000384" w:rsidP="00111E77"/>
    <w:p w:rsidR="00000384" w:rsidRPr="00885D52" w:rsidRDefault="00000384" w:rsidP="00000384">
      <w:pPr>
        <w:pStyle w:val="Table"/>
        <w:rPr>
          <w:color w:val="000000"/>
        </w:rPr>
      </w:pPr>
      <w:bookmarkStart w:id="540" w:name="_Ref132179871"/>
      <w:bookmarkStart w:id="541" w:name="_Toc167268869"/>
      <w:bookmarkStart w:id="542" w:name="_Toc236641660"/>
      <w:bookmarkStart w:id="543" w:name="_Toc262631244"/>
      <w:bookmarkStart w:id="544" w:name="_Toc316912737"/>
      <w:bookmarkStart w:id="545" w:name="_Toc352670669"/>
      <w:bookmarkStart w:id="546" w:name="_Toc400536160"/>
      <w:bookmarkStart w:id="547" w:name="_Toc403120565"/>
      <w:r w:rsidRPr="00885D52">
        <w:rPr>
          <w:color w:val="000000"/>
        </w:rPr>
        <w:lastRenderedPageBreak/>
        <w:t>Table 20:</w:t>
      </w:r>
      <w:bookmarkEnd w:id="540"/>
      <w:r w:rsidRPr="00885D52">
        <w:rPr>
          <w:color w:val="000000"/>
        </w:rPr>
        <w:t xml:space="preserve"> Numbers and age-standardised mortality rates for diabetes mellitus, by sex, 1980–20</w:t>
      </w:r>
      <w:bookmarkEnd w:id="541"/>
      <w:bookmarkEnd w:id="542"/>
      <w:bookmarkEnd w:id="543"/>
      <w:bookmarkEnd w:id="544"/>
      <w:r w:rsidRPr="00885D52">
        <w:rPr>
          <w:color w:val="000000"/>
        </w:rPr>
        <w:t>1</w:t>
      </w:r>
      <w:bookmarkEnd w:id="545"/>
      <w:r w:rsidRPr="00885D52">
        <w:rPr>
          <w:color w:val="000000"/>
        </w:rPr>
        <w:t>1</w:t>
      </w:r>
      <w:bookmarkEnd w:id="546"/>
      <w:bookmarkEnd w:id="547"/>
    </w:p>
    <w:tbl>
      <w:tblPr>
        <w:tblW w:w="7938" w:type="dxa"/>
        <w:tblInd w:w="57"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5"/>
        <w:gridCol w:w="1157"/>
        <w:gridCol w:w="1157"/>
        <w:gridCol w:w="1157"/>
        <w:gridCol w:w="1157"/>
        <w:gridCol w:w="1157"/>
        <w:gridCol w:w="1098"/>
      </w:tblGrid>
      <w:tr w:rsidR="00000384" w:rsidRPr="00885D52" w:rsidTr="00111E77">
        <w:trPr>
          <w:cantSplit/>
        </w:trPr>
        <w:tc>
          <w:tcPr>
            <w:tcW w:w="1055" w:type="dxa"/>
            <w:vMerge w:val="restart"/>
            <w:tcBorders>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keepNext/>
              <w:jc w:val="center"/>
              <w:rPr>
                <w:b/>
                <w:color w:val="000000"/>
              </w:rPr>
            </w:pPr>
            <w:r w:rsidRPr="00885D52">
              <w:rPr>
                <w:b/>
                <w:color w:val="000000"/>
              </w:rPr>
              <w:t>Year</w:t>
            </w:r>
          </w:p>
        </w:tc>
        <w:tc>
          <w:tcPr>
            <w:tcW w:w="2314" w:type="dxa"/>
            <w:gridSpan w:val="2"/>
            <w:tcBorders>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keepNext/>
              <w:jc w:val="center"/>
              <w:rPr>
                <w:b/>
                <w:color w:val="000000"/>
              </w:rPr>
            </w:pPr>
            <w:r w:rsidRPr="00885D52">
              <w:rPr>
                <w:b/>
                <w:color w:val="000000"/>
              </w:rPr>
              <w:t>Male</w:t>
            </w:r>
          </w:p>
        </w:tc>
        <w:tc>
          <w:tcPr>
            <w:tcW w:w="2314" w:type="dxa"/>
            <w:gridSpan w:val="2"/>
            <w:tcBorders>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keepNext/>
              <w:jc w:val="center"/>
              <w:rPr>
                <w:b/>
                <w:color w:val="000000"/>
              </w:rPr>
            </w:pPr>
            <w:r w:rsidRPr="00885D52">
              <w:rPr>
                <w:b/>
                <w:color w:val="000000"/>
              </w:rPr>
              <w:t>Female</w:t>
            </w:r>
          </w:p>
        </w:tc>
        <w:tc>
          <w:tcPr>
            <w:tcW w:w="2255" w:type="dxa"/>
            <w:gridSpan w:val="2"/>
            <w:tcBorders>
              <w:left w:val="single" w:sz="4" w:space="0" w:color="A6A6A6" w:themeColor="background1" w:themeShade="A6"/>
              <w:bottom w:val="single" w:sz="4" w:space="0" w:color="auto"/>
            </w:tcBorders>
          </w:tcPr>
          <w:p w:rsidR="00000384" w:rsidRPr="00885D52" w:rsidRDefault="00000384" w:rsidP="00190A7F">
            <w:pPr>
              <w:pStyle w:val="TableText"/>
              <w:keepNext/>
              <w:jc w:val="center"/>
              <w:rPr>
                <w:b/>
                <w:color w:val="000000"/>
              </w:rPr>
            </w:pPr>
            <w:r w:rsidRPr="00885D52">
              <w:rPr>
                <w:b/>
                <w:color w:val="000000"/>
              </w:rPr>
              <w:t>Total</w:t>
            </w:r>
          </w:p>
        </w:tc>
      </w:tr>
      <w:tr w:rsidR="00000384" w:rsidRPr="00885D52" w:rsidTr="00111E77">
        <w:trPr>
          <w:cantSplit/>
        </w:trPr>
        <w:tc>
          <w:tcPr>
            <w:tcW w:w="1055" w:type="dxa"/>
            <w:vMerge/>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keepNext/>
              <w:jc w:val="center"/>
              <w:rPr>
                <w:b/>
                <w:color w:val="000000"/>
              </w:rPr>
            </w:pP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rsidR="00000384" w:rsidRPr="00885D52" w:rsidRDefault="00000384" w:rsidP="00190A7F">
            <w:pPr>
              <w:pStyle w:val="TableText"/>
              <w:keepNext/>
              <w:jc w:val="center"/>
              <w:rPr>
                <w:b/>
                <w:color w:val="000000"/>
              </w:rPr>
            </w:pPr>
            <w:r w:rsidRPr="00885D52">
              <w:rPr>
                <w:b/>
                <w:color w:val="000000"/>
              </w:rPr>
              <w:t>No.</w:t>
            </w:r>
          </w:p>
        </w:tc>
        <w:tc>
          <w:tcPr>
            <w:tcW w:w="1157" w:type="dxa"/>
            <w:tcBorders>
              <w:top w:val="single" w:sz="4" w:space="0" w:color="auto"/>
              <w:left w:val="nil"/>
              <w:bottom w:val="single" w:sz="4" w:space="0" w:color="auto"/>
              <w:right w:val="single" w:sz="4" w:space="0" w:color="A6A6A6" w:themeColor="background1" w:themeShade="A6"/>
            </w:tcBorders>
            <w:shd w:val="clear" w:color="auto" w:fill="auto"/>
            <w:noWrap/>
          </w:tcPr>
          <w:p w:rsidR="00000384" w:rsidRPr="00885D52" w:rsidRDefault="00000384" w:rsidP="00190A7F">
            <w:pPr>
              <w:pStyle w:val="TableText"/>
              <w:keepNext/>
              <w:jc w:val="center"/>
              <w:rPr>
                <w:b/>
                <w:color w:val="000000"/>
              </w:rPr>
            </w:pPr>
            <w:r w:rsidRPr="00885D52">
              <w:rPr>
                <w:b/>
                <w:color w:val="000000"/>
              </w:rPr>
              <w:t>Rate</w:t>
            </w:r>
          </w:p>
        </w:tc>
        <w:tc>
          <w:tcPr>
            <w:tcW w:w="1157" w:type="dxa"/>
            <w:tcBorders>
              <w:top w:val="single" w:sz="4" w:space="0" w:color="auto"/>
              <w:left w:val="single" w:sz="4" w:space="0" w:color="A6A6A6" w:themeColor="background1" w:themeShade="A6"/>
              <w:bottom w:val="single" w:sz="4" w:space="0" w:color="auto"/>
              <w:right w:val="nil"/>
            </w:tcBorders>
          </w:tcPr>
          <w:p w:rsidR="00000384" w:rsidRPr="00885D52" w:rsidRDefault="00000384" w:rsidP="00190A7F">
            <w:pPr>
              <w:pStyle w:val="TableText"/>
              <w:keepNext/>
              <w:jc w:val="center"/>
              <w:rPr>
                <w:b/>
                <w:color w:val="000000"/>
              </w:rPr>
            </w:pPr>
            <w:r w:rsidRPr="00885D52">
              <w:rPr>
                <w:b/>
                <w:color w:val="000000"/>
              </w:rPr>
              <w:t>No.</w:t>
            </w:r>
          </w:p>
        </w:tc>
        <w:tc>
          <w:tcPr>
            <w:tcW w:w="1157" w:type="dxa"/>
            <w:tcBorders>
              <w:top w:val="single" w:sz="4" w:space="0" w:color="auto"/>
              <w:left w:val="nil"/>
              <w:bottom w:val="single" w:sz="4" w:space="0" w:color="auto"/>
              <w:right w:val="single" w:sz="4" w:space="0" w:color="A6A6A6" w:themeColor="background1" w:themeShade="A6"/>
            </w:tcBorders>
          </w:tcPr>
          <w:p w:rsidR="00000384" w:rsidRPr="00885D52" w:rsidRDefault="00000384" w:rsidP="00190A7F">
            <w:pPr>
              <w:pStyle w:val="TableText"/>
              <w:keepNext/>
              <w:jc w:val="center"/>
              <w:rPr>
                <w:b/>
                <w:color w:val="000000"/>
              </w:rPr>
            </w:pPr>
            <w:r w:rsidRPr="00885D52">
              <w:rPr>
                <w:b/>
                <w:color w:val="000000"/>
              </w:rPr>
              <w:t>Rate</w:t>
            </w: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rsidR="00000384" w:rsidRPr="00885D52" w:rsidRDefault="00000384" w:rsidP="00190A7F">
            <w:pPr>
              <w:pStyle w:val="TableText"/>
              <w:keepNext/>
              <w:jc w:val="center"/>
              <w:rPr>
                <w:b/>
                <w:color w:val="000000"/>
              </w:rPr>
            </w:pPr>
            <w:r w:rsidRPr="00885D52">
              <w:rPr>
                <w:b/>
                <w:color w:val="000000"/>
              </w:rPr>
              <w:t>No.</w:t>
            </w:r>
          </w:p>
        </w:tc>
        <w:tc>
          <w:tcPr>
            <w:tcW w:w="1098" w:type="dxa"/>
            <w:tcBorders>
              <w:top w:val="single" w:sz="4" w:space="0" w:color="auto"/>
              <w:left w:val="nil"/>
              <w:bottom w:val="single" w:sz="4" w:space="0" w:color="auto"/>
            </w:tcBorders>
            <w:shd w:val="clear" w:color="auto" w:fill="auto"/>
            <w:noWrap/>
          </w:tcPr>
          <w:p w:rsidR="00000384" w:rsidRPr="00885D52" w:rsidRDefault="00000384" w:rsidP="00190A7F">
            <w:pPr>
              <w:pStyle w:val="TableText"/>
              <w:keepNext/>
              <w:jc w:val="center"/>
              <w:rPr>
                <w:b/>
                <w:color w:val="000000"/>
              </w:rPr>
            </w:pPr>
            <w:r w:rsidRPr="00885D52">
              <w:rPr>
                <w:b/>
                <w:color w:val="000000"/>
              </w:rPr>
              <w:t>Rate</w:t>
            </w:r>
          </w:p>
        </w:tc>
      </w:tr>
      <w:tr w:rsidR="00000384" w:rsidRPr="00885D52" w:rsidTr="00111E77">
        <w:trPr>
          <w:cantSplit/>
        </w:trPr>
        <w:tc>
          <w:tcPr>
            <w:tcW w:w="1055" w:type="dxa"/>
            <w:tcBorders>
              <w:top w:val="single" w:sz="4" w:space="0" w:color="auto"/>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1980</w:t>
            </w:r>
          </w:p>
        </w:tc>
        <w:tc>
          <w:tcPr>
            <w:tcW w:w="1157"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198</w:t>
            </w:r>
          </w:p>
        </w:tc>
        <w:tc>
          <w:tcPr>
            <w:tcW w:w="1157" w:type="dxa"/>
            <w:tcBorders>
              <w:top w:val="single" w:sz="4" w:space="0" w:color="auto"/>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13.8</w:t>
            </w:r>
          </w:p>
        </w:tc>
        <w:tc>
          <w:tcPr>
            <w:tcW w:w="1157"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248</w:t>
            </w:r>
          </w:p>
        </w:tc>
        <w:tc>
          <w:tcPr>
            <w:tcW w:w="1157"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12.4</w:t>
            </w:r>
          </w:p>
        </w:tc>
        <w:tc>
          <w:tcPr>
            <w:tcW w:w="1157" w:type="dxa"/>
            <w:tcBorders>
              <w:top w:val="single" w:sz="4" w:space="0" w:color="auto"/>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446</w:t>
            </w:r>
          </w:p>
        </w:tc>
        <w:tc>
          <w:tcPr>
            <w:tcW w:w="1098" w:type="dxa"/>
            <w:tcBorders>
              <w:top w:val="single" w:sz="4" w:space="0" w:color="auto"/>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13.1</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1981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201</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13.8</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187</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9.6</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388</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11.2</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1982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184</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12.0</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190</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9.2</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374</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10.4</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1983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197</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13.0</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172</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8.0</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369</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10.1</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1984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149</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10.0</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192</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8.9</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341</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9.2</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1985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204</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12.5</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193</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8.7</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397</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10.3</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1986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202</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11.9</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207</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9.6</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409</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10.5</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1987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184</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11.0</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189</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8.5</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373</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9.6</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1988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192</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11.3</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205</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8.9</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397</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10.0</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1989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196</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11.5</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209</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9.0</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405</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10.0</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1990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203</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11.4</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211</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9.3</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414</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10.1</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1991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226</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12.3</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177</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7.4</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403</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9.6</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1992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220</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11.6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238</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9.7</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458</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10.5</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1993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228</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12.0</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231</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9.4</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459</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10.6</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1994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228</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11.8</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258</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10.1</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486</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10.7</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1995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255</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13.0</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253</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10.0</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508</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11.2</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1996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306</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15.0</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289</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10.5</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595</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12.4</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1997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316</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14.8</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317</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10.6</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633</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12.5</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1998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90A7F">
            <w:pPr>
              <w:pStyle w:val="TableText"/>
              <w:keepNext/>
              <w:jc w:val="center"/>
              <w:rPr>
                <w:color w:val="000000"/>
              </w:rPr>
            </w:pPr>
            <w:r w:rsidRPr="00885D52">
              <w:rPr>
                <w:color w:val="000000"/>
              </w:rPr>
              <w:t>387</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90A7F">
            <w:pPr>
              <w:pStyle w:val="TableText"/>
              <w:keepNext/>
              <w:jc w:val="center"/>
              <w:rPr>
                <w:color w:val="000000"/>
              </w:rPr>
            </w:pPr>
            <w:r w:rsidRPr="00885D52">
              <w:rPr>
                <w:color w:val="000000"/>
              </w:rPr>
              <w:t>17.8</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90A7F">
            <w:pPr>
              <w:pStyle w:val="TableText"/>
              <w:keepNext/>
              <w:jc w:val="center"/>
              <w:rPr>
                <w:color w:val="000000"/>
              </w:rPr>
            </w:pPr>
            <w:r w:rsidRPr="00885D52">
              <w:rPr>
                <w:color w:val="000000"/>
              </w:rPr>
              <w:t>343</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90A7F">
            <w:pPr>
              <w:pStyle w:val="TableText"/>
              <w:keepNext/>
              <w:tabs>
                <w:tab w:val="decimal" w:pos="539"/>
              </w:tabs>
              <w:rPr>
                <w:color w:val="000000"/>
              </w:rPr>
            </w:pPr>
            <w:r w:rsidRPr="00885D52">
              <w:rPr>
                <w:color w:val="000000"/>
              </w:rPr>
              <w:t>11.3</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730</w:t>
            </w:r>
          </w:p>
        </w:tc>
        <w:tc>
          <w:tcPr>
            <w:tcW w:w="1098" w:type="dxa"/>
            <w:tcBorders>
              <w:top w:val="nil"/>
              <w:left w:val="nil"/>
              <w:bottom w:val="nil"/>
            </w:tcBorders>
            <w:shd w:val="clear" w:color="auto" w:fill="F2F2F2"/>
            <w:noWrap/>
            <w:vAlign w:val="bottom"/>
          </w:tcPr>
          <w:p w:rsidR="00000384" w:rsidRPr="00885D52" w:rsidRDefault="00000384" w:rsidP="00190A7F">
            <w:pPr>
              <w:pStyle w:val="TableText"/>
              <w:keepNext/>
              <w:jc w:val="center"/>
              <w:rPr>
                <w:color w:val="000000"/>
              </w:rPr>
            </w:pPr>
            <w:r w:rsidRPr="00885D52">
              <w:rPr>
                <w:color w:val="000000"/>
              </w:rPr>
              <w:t>14.2</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1999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90A7F">
            <w:pPr>
              <w:pStyle w:val="TableText"/>
              <w:keepNext/>
              <w:jc w:val="center"/>
              <w:rPr>
                <w:color w:val="000000"/>
              </w:rPr>
            </w:pPr>
            <w:r w:rsidRPr="00885D52">
              <w:rPr>
                <w:color w:val="000000"/>
              </w:rPr>
              <w:t>385</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90A7F">
            <w:pPr>
              <w:pStyle w:val="TableText"/>
              <w:keepNext/>
              <w:jc w:val="center"/>
              <w:rPr>
                <w:color w:val="000000"/>
              </w:rPr>
            </w:pPr>
            <w:r w:rsidRPr="00885D52">
              <w:rPr>
                <w:color w:val="000000"/>
              </w:rPr>
              <w:t>17.3</w:t>
            </w:r>
          </w:p>
        </w:tc>
        <w:tc>
          <w:tcPr>
            <w:tcW w:w="1157" w:type="dxa"/>
            <w:tcBorders>
              <w:top w:val="nil"/>
              <w:left w:val="single" w:sz="4" w:space="0" w:color="A6A6A6" w:themeColor="background1" w:themeShade="A6"/>
              <w:bottom w:val="nil"/>
              <w:right w:val="nil"/>
            </w:tcBorders>
          </w:tcPr>
          <w:p w:rsidR="00000384" w:rsidRPr="00885D52" w:rsidRDefault="00000384" w:rsidP="00190A7F">
            <w:pPr>
              <w:pStyle w:val="TableText"/>
              <w:keepNext/>
              <w:jc w:val="center"/>
              <w:rPr>
                <w:color w:val="000000"/>
              </w:rPr>
            </w:pPr>
            <w:r w:rsidRPr="00885D52">
              <w:rPr>
                <w:color w:val="000000"/>
              </w:rPr>
              <w:t>355</w:t>
            </w:r>
          </w:p>
        </w:tc>
        <w:tc>
          <w:tcPr>
            <w:tcW w:w="1157" w:type="dxa"/>
            <w:tcBorders>
              <w:top w:val="nil"/>
              <w:left w:val="nil"/>
              <w:bottom w:val="nil"/>
              <w:right w:val="single" w:sz="4" w:space="0" w:color="A6A6A6" w:themeColor="background1" w:themeShade="A6"/>
            </w:tcBorders>
          </w:tcPr>
          <w:p w:rsidR="00000384" w:rsidRPr="00885D52" w:rsidRDefault="00000384" w:rsidP="00190A7F">
            <w:pPr>
              <w:pStyle w:val="TableText"/>
              <w:keepNext/>
              <w:tabs>
                <w:tab w:val="decimal" w:pos="539"/>
              </w:tabs>
              <w:rPr>
                <w:color w:val="000000"/>
              </w:rPr>
            </w:pPr>
            <w:r w:rsidRPr="00885D52">
              <w:rPr>
                <w:color w:val="000000"/>
              </w:rPr>
              <w:t>11.5</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740</w:t>
            </w:r>
          </w:p>
        </w:tc>
        <w:tc>
          <w:tcPr>
            <w:tcW w:w="1098" w:type="dxa"/>
            <w:tcBorders>
              <w:top w:val="nil"/>
              <w:left w:val="nil"/>
              <w:bottom w:val="nil"/>
            </w:tcBorders>
            <w:shd w:val="clear" w:color="auto" w:fill="auto"/>
            <w:noWrap/>
            <w:vAlign w:val="bottom"/>
          </w:tcPr>
          <w:p w:rsidR="00000384" w:rsidRPr="00885D52" w:rsidRDefault="00000384" w:rsidP="00190A7F">
            <w:pPr>
              <w:pStyle w:val="TableText"/>
              <w:keepNext/>
              <w:jc w:val="center"/>
              <w:rPr>
                <w:color w:val="000000"/>
              </w:rPr>
            </w:pPr>
            <w:r w:rsidRPr="00885D52">
              <w:rPr>
                <w:color w:val="000000"/>
              </w:rPr>
              <w:t>14.1</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2000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408</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17.6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394</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12.3</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802</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14.6</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2001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11E77">
            <w:pPr>
              <w:pStyle w:val="TableText"/>
              <w:jc w:val="center"/>
              <w:rPr>
                <w:color w:val="000000"/>
              </w:rPr>
            </w:pPr>
            <w:r w:rsidRPr="00885D52">
              <w:rPr>
                <w:color w:val="000000"/>
              </w:rPr>
              <w:t>405</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17.1</w:t>
            </w:r>
          </w:p>
        </w:tc>
        <w:tc>
          <w:tcPr>
            <w:tcW w:w="1157" w:type="dxa"/>
            <w:tcBorders>
              <w:top w:val="nil"/>
              <w:left w:val="single" w:sz="4" w:space="0" w:color="A6A6A6" w:themeColor="background1" w:themeShade="A6"/>
              <w:bottom w:val="nil"/>
              <w:right w:val="nil"/>
            </w:tcBorders>
          </w:tcPr>
          <w:p w:rsidR="00000384" w:rsidRPr="00885D52" w:rsidRDefault="00000384" w:rsidP="00111E77">
            <w:pPr>
              <w:pStyle w:val="TableText"/>
              <w:jc w:val="center"/>
              <w:rPr>
                <w:color w:val="000000"/>
              </w:rPr>
            </w:pPr>
            <w:r w:rsidRPr="00885D52">
              <w:rPr>
                <w:color w:val="000000"/>
              </w:rPr>
              <w:t>377</w:t>
            </w:r>
          </w:p>
        </w:tc>
        <w:tc>
          <w:tcPr>
            <w:tcW w:w="1157" w:type="dxa"/>
            <w:tcBorders>
              <w:top w:val="nil"/>
              <w:left w:val="nil"/>
              <w:bottom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11.4</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782</w:t>
            </w:r>
          </w:p>
        </w:tc>
        <w:tc>
          <w:tcPr>
            <w:tcW w:w="1098" w:type="dxa"/>
            <w:tcBorders>
              <w:top w:val="nil"/>
              <w:left w:val="nil"/>
              <w:bottom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13.9</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2002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427</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17.2</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378</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11.1</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805</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13.8</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2003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11E77">
            <w:pPr>
              <w:pStyle w:val="TableText"/>
              <w:jc w:val="center"/>
              <w:rPr>
                <w:color w:val="000000"/>
              </w:rPr>
            </w:pPr>
            <w:r w:rsidRPr="00885D52">
              <w:rPr>
                <w:color w:val="000000"/>
              </w:rPr>
              <w:t>436</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17.2</w:t>
            </w:r>
          </w:p>
        </w:tc>
        <w:tc>
          <w:tcPr>
            <w:tcW w:w="1157" w:type="dxa"/>
            <w:tcBorders>
              <w:top w:val="nil"/>
              <w:left w:val="single" w:sz="4" w:space="0" w:color="A6A6A6" w:themeColor="background1" w:themeShade="A6"/>
              <w:bottom w:val="nil"/>
              <w:right w:val="nil"/>
            </w:tcBorders>
          </w:tcPr>
          <w:p w:rsidR="00000384" w:rsidRPr="00885D52" w:rsidRDefault="00000384" w:rsidP="00111E77">
            <w:pPr>
              <w:pStyle w:val="TableText"/>
              <w:jc w:val="center"/>
              <w:rPr>
                <w:color w:val="000000"/>
              </w:rPr>
            </w:pPr>
            <w:r w:rsidRPr="00885D52">
              <w:rPr>
                <w:color w:val="000000"/>
              </w:rPr>
              <w:t>411</w:t>
            </w:r>
          </w:p>
        </w:tc>
        <w:tc>
          <w:tcPr>
            <w:tcW w:w="1157" w:type="dxa"/>
            <w:tcBorders>
              <w:top w:val="nil"/>
              <w:left w:val="nil"/>
              <w:bottom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11.9</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847</w:t>
            </w:r>
          </w:p>
        </w:tc>
        <w:tc>
          <w:tcPr>
            <w:tcW w:w="1098" w:type="dxa"/>
            <w:tcBorders>
              <w:top w:val="nil"/>
              <w:left w:val="nil"/>
              <w:bottom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14.3</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2004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438</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16.9</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405</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11.2</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843</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13.7</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2005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11E77">
            <w:pPr>
              <w:pStyle w:val="TableText"/>
              <w:jc w:val="center"/>
              <w:rPr>
                <w:color w:val="000000"/>
              </w:rPr>
            </w:pPr>
            <w:r w:rsidRPr="00885D52">
              <w:rPr>
                <w:color w:val="000000"/>
              </w:rPr>
              <w:t>447</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16.7</w:t>
            </w:r>
          </w:p>
        </w:tc>
        <w:tc>
          <w:tcPr>
            <w:tcW w:w="1157" w:type="dxa"/>
            <w:tcBorders>
              <w:top w:val="nil"/>
              <w:left w:val="single" w:sz="4" w:space="0" w:color="A6A6A6" w:themeColor="background1" w:themeShade="A6"/>
              <w:bottom w:val="nil"/>
              <w:right w:val="nil"/>
            </w:tcBorders>
          </w:tcPr>
          <w:p w:rsidR="00000384" w:rsidRPr="00885D52" w:rsidRDefault="00000384" w:rsidP="00111E77">
            <w:pPr>
              <w:pStyle w:val="TableText"/>
              <w:jc w:val="center"/>
              <w:rPr>
                <w:color w:val="000000"/>
              </w:rPr>
            </w:pPr>
            <w:r w:rsidRPr="00885D52">
              <w:rPr>
                <w:color w:val="000000"/>
              </w:rPr>
              <w:t>392</w:t>
            </w:r>
          </w:p>
        </w:tc>
        <w:tc>
          <w:tcPr>
            <w:tcW w:w="1157" w:type="dxa"/>
            <w:tcBorders>
              <w:top w:val="nil"/>
              <w:left w:val="nil"/>
              <w:bottom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10.8</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839</w:t>
            </w:r>
          </w:p>
        </w:tc>
        <w:tc>
          <w:tcPr>
            <w:tcW w:w="1098" w:type="dxa"/>
            <w:tcBorders>
              <w:top w:val="nil"/>
              <w:left w:val="nil"/>
              <w:bottom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13.4</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2006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447</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16.1</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413</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11.2</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860</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13.4</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2007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11E77">
            <w:pPr>
              <w:pStyle w:val="TableText"/>
              <w:jc w:val="center"/>
              <w:rPr>
                <w:color w:val="000000"/>
              </w:rPr>
            </w:pPr>
            <w:r w:rsidRPr="00885D52">
              <w:rPr>
                <w:color w:val="000000"/>
              </w:rPr>
              <w:t>440</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15.5</w:t>
            </w:r>
          </w:p>
        </w:tc>
        <w:tc>
          <w:tcPr>
            <w:tcW w:w="1157" w:type="dxa"/>
            <w:tcBorders>
              <w:top w:val="nil"/>
              <w:left w:val="single" w:sz="4" w:space="0" w:color="A6A6A6" w:themeColor="background1" w:themeShade="A6"/>
              <w:bottom w:val="nil"/>
              <w:right w:val="nil"/>
            </w:tcBorders>
          </w:tcPr>
          <w:p w:rsidR="00000384" w:rsidRPr="00885D52" w:rsidRDefault="00000384" w:rsidP="00111E77">
            <w:pPr>
              <w:pStyle w:val="TableText"/>
              <w:jc w:val="center"/>
              <w:rPr>
                <w:color w:val="000000"/>
              </w:rPr>
            </w:pPr>
            <w:r w:rsidRPr="00885D52">
              <w:rPr>
                <w:color w:val="000000"/>
              </w:rPr>
              <w:t>407</w:t>
            </w:r>
          </w:p>
        </w:tc>
        <w:tc>
          <w:tcPr>
            <w:tcW w:w="1157" w:type="dxa"/>
            <w:tcBorders>
              <w:top w:val="nil"/>
              <w:left w:val="nil"/>
              <w:bottom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10.5</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847</w:t>
            </w:r>
          </w:p>
        </w:tc>
        <w:tc>
          <w:tcPr>
            <w:tcW w:w="1098" w:type="dxa"/>
            <w:tcBorders>
              <w:top w:val="nil"/>
              <w:left w:val="nil"/>
              <w:bottom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12.9</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2008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463</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15.6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414</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10.6</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877</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12.9</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2009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111E77">
            <w:pPr>
              <w:pStyle w:val="TableText"/>
              <w:jc w:val="center"/>
              <w:rPr>
                <w:color w:val="000000"/>
              </w:rPr>
            </w:pPr>
            <w:r w:rsidRPr="00885D52">
              <w:rPr>
                <w:color w:val="000000"/>
              </w:rPr>
              <w:t>482</w:t>
            </w:r>
          </w:p>
        </w:tc>
        <w:tc>
          <w:tcPr>
            <w:tcW w:w="1157" w:type="dxa"/>
            <w:tcBorders>
              <w:top w:val="nil"/>
              <w:left w:val="nil"/>
              <w:bottom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15.8</w:t>
            </w:r>
          </w:p>
        </w:tc>
        <w:tc>
          <w:tcPr>
            <w:tcW w:w="1157" w:type="dxa"/>
            <w:tcBorders>
              <w:top w:val="nil"/>
              <w:left w:val="single" w:sz="4" w:space="0" w:color="A6A6A6" w:themeColor="background1" w:themeShade="A6"/>
              <w:bottom w:val="nil"/>
              <w:right w:val="nil"/>
            </w:tcBorders>
          </w:tcPr>
          <w:p w:rsidR="00000384" w:rsidRPr="00885D52" w:rsidRDefault="00000384" w:rsidP="00111E77">
            <w:pPr>
              <w:pStyle w:val="TableText"/>
              <w:jc w:val="center"/>
              <w:rPr>
                <w:color w:val="000000"/>
              </w:rPr>
            </w:pPr>
            <w:r w:rsidRPr="00885D52">
              <w:rPr>
                <w:color w:val="000000"/>
              </w:rPr>
              <w:t>387</w:t>
            </w:r>
          </w:p>
        </w:tc>
        <w:tc>
          <w:tcPr>
            <w:tcW w:w="1157" w:type="dxa"/>
            <w:tcBorders>
              <w:top w:val="nil"/>
              <w:left w:val="nil"/>
              <w:bottom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9.3</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869</w:t>
            </w:r>
          </w:p>
        </w:tc>
        <w:tc>
          <w:tcPr>
            <w:tcW w:w="1098" w:type="dxa"/>
            <w:tcBorders>
              <w:top w:val="nil"/>
              <w:left w:val="nil"/>
              <w:bottom w:val="nil"/>
            </w:tcBorders>
            <w:shd w:val="clear" w:color="auto" w:fill="auto"/>
            <w:noWrap/>
            <w:vAlign w:val="bottom"/>
          </w:tcPr>
          <w:p w:rsidR="00000384" w:rsidRPr="00885D52" w:rsidRDefault="00000384" w:rsidP="00111E77">
            <w:pPr>
              <w:pStyle w:val="TableText"/>
              <w:jc w:val="center"/>
              <w:rPr>
                <w:color w:val="000000"/>
              </w:rPr>
            </w:pPr>
            <w:r w:rsidRPr="00885D52">
              <w:rPr>
                <w:color w:val="000000"/>
              </w:rPr>
              <w:t>12.3</w:t>
            </w:r>
          </w:p>
        </w:tc>
      </w:tr>
      <w:tr w:rsidR="00000384" w:rsidRPr="00885D52" w:rsidTr="00111E77">
        <w:trPr>
          <w:cantSplit/>
        </w:trPr>
        <w:tc>
          <w:tcPr>
            <w:tcW w:w="1055" w:type="dxa"/>
            <w:tcBorders>
              <w:top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2010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111E77">
            <w:pPr>
              <w:pStyle w:val="TableText"/>
              <w:jc w:val="center"/>
              <w:rPr>
                <w:color w:val="000000"/>
              </w:rPr>
            </w:pPr>
            <w:r w:rsidRPr="00885D52">
              <w:rPr>
                <w:color w:val="000000"/>
              </w:rPr>
              <w:t>391</w:t>
            </w:r>
          </w:p>
        </w:tc>
        <w:tc>
          <w:tcPr>
            <w:tcW w:w="1157" w:type="dxa"/>
            <w:tcBorders>
              <w:top w:val="nil"/>
              <w:left w:val="nil"/>
              <w:bottom w:val="nil"/>
              <w:right w:val="single" w:sz="4" w:space="0" w:color="A6A6A6" w:themeColor="background1" w:themeShade="A6"/>
            </w:tcBorders>
            <w:shd w:val="clear" w:color="auto" w:fill="F2F2F2"/>
            <w:noWrap/>
          </w:tcPr>
          <w:p w:rsidR="00000384" w:rsidRPr="00885D52" w:rsidRDefault="00000384" w:rsidP="00111E77">
            <w:pPr>
              <w:pStyle w:val="TableText"/>
              <w:jc w:val="center"/>
              <w:rPr>
                <w:color w:val="000000"/>
              </w:rPr>
            </w:pPr>
            <w:r w:rsidRPr="00885D52">
              <w:rPr>
                <w:color w:val="000000"/>
              </w:rPr>
              <w:t>12.5</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111E77">
            <w:pPr>
              <w:pStyle w:val="TableText"/>
              <w:jc w:val="center"/>
              <w:rPr>
                <w:color w:val="000000"/>
              </w:rPr>
            </w:pPr>
            <w:r w:rsidRPr="00885D52">
              <w:rPr>
                <w:color w:val="000000"/>
              </w:rPr>
              <w:t>377</w:t>
            </w:r>
          </w:p>
        </w:tc>
        <w:tc>
          <w:tcPr>
            <w:tcW w:w="1157" w:type="dxa"/>
            <w:tcBorders>
              <w:top w:val="nil"/>
              <w:left w:val="nil"/>
              <w:bottom w:val="nil"/>
              <w:right w:val="single" w:sz="4" w:space="0" w:color="A6A6A6" w:themeColor="background1" w:themeShade="A6"/>
            </w:tcBorders>
            <w:shd w:val="clear" w:color="auto" w:fill="F2F2F2"/>
          </w:tcPr>
          <w:p w:rsidR="00000384" w:rsidRPr="00885D52" w:rsidRDefault="00000384" w:rsidP="00111E77">
            <w:pPr>
              <w:pStyle w:val="TableText"/>
              <w:tabs>
                <w:tab w:val="decimal" w:pos="539"/>
              </w:tabs>
              <w:rPr>
                <w:color w:val="000000"/>
              </w:rPr>
            </w:pPr>
            <w:r w:rsidRPr="00885D52">
              <w:rPr>
                <w:color w:val="000000"/>
              </w:rPr>
              <w:t>9.0</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768</w:t>
            </w:r>
          </w:p>
        </w:tc>
        <w:tc>
          <w:tcPr>
            <w:tcW w:w="1098" w:type="dxa"/>
            <w:tcBorders>
              <w:top w:val="nil"/>
              <w:left w:val="nil"/>
              <w:bottom w:val="nil"/>
            </w:tcBorders>
            <w:shd w:val="clear" w:color="auto" w:fill="F2F2F2"/>
            <w:noWrap/>
            <w:vAlign w:val="bottom"/>
          </w:tcPr>
          <w:p w:rsidR="00000384" w:rsidRPr="00885D52" w:rsidRDefault="00000384" w:rsidP="00111E77">
            <w:pPr>
              <w:pStyle w:val="TableText"/>
              <w:jc w:val="center"/>
              <w:rPr>
                <w:color w:val="000000"/>
              </w:rPr>
            </w:pPr>
            <w:r w:rsidRPr="00885D52">
              <w:rPr>
                <w:color w:val="000000"/>
              </w:rPr>
              <w:t>10.7</w:t>
            </w:r>
          </w:p>
        </w:tc>
      </w:tr>
      <w:tr w:rsidR="00000384" w:rsidRPr="00885D52" w:rsidTr="00111E77">
        <w:trPr>
          <w:cantSplit/>
        </w:trPr>
        <w:tc>
          <w:tcPr>
            <w:tcW w:w="1055" w:type="dxa"/>
            <w:tcBorders>
              <w:top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2011</w:t>
            </w:r>
          </w:p>
        </w:tc>
        <w:tc>
          <w:tcPr>
            <w:tcW w:w="1157" w:type="dxa"/>
            <w:tcBorders>
              <w:top w:val="nil"/>
              <w:left w:val="single" w:sz="4" w:space="0" w:color="A6A6A6" w:themeColor="background1" w:themeShade="A6"/>
              <w:right w:val="nil"/>
            </w:tcBorders>
            <w:shd w:val="clear" w:color="auto" w:fill="auto"/>
            <w:noWrap/>
          </w:tcPr>
          <w:p w:rsidR="00000384" w:rsidRPr="00885D52" w:rsidRDefault="00000384" w:rsidP="00111E77">
            <w:pPr>
              <w:pStyle w:val="TableText"/>
              <w:jc w:val="center"/>
              <w:rPr>
                <w:color w:val="000000"/>
              </w:rPr>
            </w:pPr>
            <w:r w:rsidRPr="00885D52">
              <w:rPr>
                <w:color w:val="000000"/>
              </w:rPr>
              <w:t>438</w:t>
            </w:r>
          </w:p>
        </w:tc>
        <w:tc>
          <w:tcPr>
            <w:tcW w:w="1157" w:type="dxa"/>
            <w:tcBorders>
              <w:top w:val="nil"/>
              <w:left w:val="nil"/>
              <w:right w:val="single" w:sz="4" w:space="0" w:color="A6A6A6" w:themeColor="background1" w:themeShade="A6"/>
            </w:tcBorders>
            <w:shd w:val="clear" w:color="auto" w:fill="auto"/>
            <w:noWrap/>
          </w:tcPr>
          <w:p w:rsidR="00000384" w:rsidRPr="00885D52" w:rsidRDefault="00000384" w:rsidP="00111E77">
            <w:pPr>
              <w:pStyle w:val="TableText"/>
              <w:jc w:val="center"/>
              <w:rPr>
                <w:color w:val="000000"/>
              </w:rPr>
            </w:pPr>
            <w:r w:rsidRPr="00885D52">
              <w:rPr>
                <w:color w:val="000000"/>
              </w:rPr>
              <w:t>13.7</w:t>
            </w:r>
          </w:p>
        </w:tc>
        <w:tc>
          <w:tcPr>
            <w:tcW w:w="1157" w:type="dxa"/>
            <w:tcBorders>
              <w:top w:val="nil"/>
              <w:left w:val="single" w:sz="4" w:space="0" w:color="A6A6A6" w:themeColor="background1" w:themeShade="A6"/>
              <w:right w:val="nil"/>
            </w:tcBorders>
          </w:tcPr>
          <w:p w:rsidR="00000384" w:rsidRPr="00885D52" w:rsidRDefault="00000384" w:rsidP="00111E77">
            <w:pPr>
              <w:pStyle w:val="TableText"/>
              <w:jc w:val="center"/>
              <w:rPr>
                <w:color w:val="000000"/>
              </w:rPr>
            </w:pPr>
            <w:r w:rsidRPr="00885D52">
              <w:rPr>
                <w:color w:val="000000"/>
              </w:rPr>
              <w:t>397</w:t>
            </w:r>
          </w:p>
        </w:tc>
        <w:tc>
          <w:tcPr>
            <w:tcW w:w="1157" w:type="dxa"/>
            <w:tcBorders>
              <w:top w:val="nil"/>
              <w:left w:val="nil"/>
              <w:right w:val="single" w:sz="4" w:space="0" w:color="A6A6A6" w:themeColor="background1" w:themeShade="A6"/>
            </w:tcBorders>
          </w:tcPr>
          <w:p w:rsidR="00000384" w:rsidRPr="00885D52" w:rsidRDefault="00000384" w:rsidP="00111E77">
            <w:pPr>
              <w:pStyle w:val="TableText"/>
              <w:tabs>
                <w:tab w:val="decimal" w:pos="539"/>
              </w:tabs>
              <w:rPr>
                <w:color w:val="000000"/>
              </w:rPr>
            </w:pPr>
            <w:r w:rsidRPr="00885D52">
              <w:rPr>
                <w:color w:val="000000"/>
              </w:rPr>
              <w:t>9.4</w:t>
            </w:r>
          </w:p>
        </w:tc>
        <w:tc>
          <w:tcPr>
            <w:tcW w:w="1157" w:type="dxa"/>
            <w:tcBorders>
              <w:top w:val="nil"/>
              <w:left w:val="single" w:sz="4" w:space="0" w:color="A6A6A6" w:themeColor="background1" w:themeShade="A6"/>
              <w:right w:val="nil"/>
            </w:tcBorders>
            <w:shd w:val="clear" w:color="auto" w:fill="auto"/>
            <w:noWrap/>
          </w:tcPr>
          <w:p w:rsidR="00000384" w:rsidRPr="00885D52" w:rsidRDefault="00000384" w:rsidP="00111E77">
            <w:pPr>
              <w:pStyle w:val="TableText"/>
              <w:jc w:val="center"/>
              <w:rPr>
                <w:color w:val="000000"/>
              </w:rPr>
            </w:pPr>
            <w:r w:rsidRPr="00885D52">
              <w:rPr>
                <w:color w:val="000000"/>
              </w:rPr>
              <w:t>835</w:t>
            </w:r>
          </w:p>
        </w:tc>
        <w:tc>
          <w:tcPr>
            <w:tcW w:w="1098" w:type="dxa"/>
            <w:tcBorders>
              <w:top w:val="nil"/>
              <w:left w:val="nil"/>
            </w:tcBorders>
            <w:shd w:val="clear" w:color="auto" w:fill="auto"/>
            <w:noWrap/>
          </w:tcPr>
          <w:p w:rsidR="00000384" w:rsidRPr="00885D52" w:rsidRDefault="00000384" w:rsidP="00111E77">
            <w:pPr>
              <w:pStyle w:val="TableText"/>
              <w:jc w:val="center"/>
              <w:rPr>
                <w:color w:val="000000"/>
              </w:rPr>
            </w:pPr>
            <w:r w:rsidRPr="00885D52">
              <w:rPr>
                <w:color w:val="000000"/>
              </w:rPr>
              <w:t>11.5</w:t>
            </w:r>
          </w:p>
        </w:tc>
      </w:tr>
    </w:tbl>
    <w:p w:rsidR="00000384" w:rsidRPr="00885D52" w:rsidRDefault="00000384" w:rsidP="00111E77">
      <w:pPr>
        <w:pStyle w:val="Note"/>
      </w:pPr>
      <w:r w:rsidRPr="00885D52">
        <w:t>Note: Rates per 100,000 population, age-standardised to WHO World Standard Population.</w:t>
      </w:r>
    </w:p>
    <w:p w:rsidR="00000384" w:rsidRPr="00885D52" w:rsidRDefault="00000384" w:rsidP="00111E77"/>
    <w:p w:rsidR="00000384" w:rsidRPr="00885D52" w:rsidRDefault="00000384" w:rsidP="00111E77">
      <w:bookmarkStart w:id="548" w:name="_Ref132179891"/>
      <w:bookmarkStart w:id="549" w:name="_Toc167268891"/>
      <w:bookmarkStart w:id="550" w:name="_Toc236641313"/>
      <w:bookmarkStart w:id="551" w:name="_Toc262631290"/>
      <w:r w:rsidRPr="00885D52">
        <w:t>Figure 31 shows numbers and mortality rates from diabetes mellitus between 1950 and 2011.</w:t>
      </w:r>
    </w:p>
    <w:p w:rsidR="00000384" w:rsidRPr="00885D52" w:rsidRDefault="00000384" w:rsidP="00111E77"/>
    <w:p w:rsidR="00000384" w:rsidRPr="00885D52" w:rsidRDefault="00000384" w:rsidP="00111E77">
      <w:r w:rsidRPr="00885D52">
        <w:t>The mortality rate for males was generally lower than that of females until the early 1970s, after which the male rate was consistently higher than the female rate (in 2011 it was 45.3 percent higher).</w:t>
      </w:r>
    </w:p>
    <w:p w:rsidR="00000384" w:rsidRPr="00885D52" w:rsidRDefault="00000384" w:rsidP="00111E77"/>
    <w:p w:rsidR="00000384" w:rsidRPr="00885D52" w:rsidRDefault="00000384" w:rsidP="00111E77">
      <w:pPr>
        <w:pStyle w:val="Figure"/>
      </w:pPr>
      <w:bookmarkStart w:id="552" w:name="_Toc352670696"/>
      <w:bookmarkStart w:id="553" w:name="_Toc400536130"/>
      <w:bookmarkStart w:id="554" w:name="_Toc403120605"/>
      <w:bookmarkEnd w:id="548"/>
      <w:bookmarkEnd w:id="549"/>
      <w:bookmarkEnd w:id="550"/>
      <w:bookmarkEnd w:id="551"/>
      <w:r w:rsidRPr="00885D52">
        <w:lastRenderedPageBreak/>
        <w:t>Figure 31: Numbers and age-standardised mortality rates for diabetes mellitus, by sex, 1950–201</w:t>
      </w:r>
      <w:bookmarkEnd w:id="552"/>
      <w:r w:rsidRPr="00885D52">
        <w:t>1</w:t>
      </w:r>
      <w:bookmarkEnd w:id="553"/>
      <w:bookmarkEnd w:id="554"/>
    </w:p>
    <w:p w:rsidR="00000384" w:rsidRPr="00885D52" w:rsidRDefault="00111E77" w:rsidP="00111E77">
      <w:r w:rsidRPr="00885D52">
        <w:rPr>
          <w:noProof/>
          <w:lang w:eastAsia="en-NZ"/>
        </w:rPr>
        <w:drawing>
          <wp:inline distT="0" distB="0" distL="0" distR="0" wp14:anchorId="5F1221C2" wp14:editId="55A5FCA5">
            <wp:extent cx="5037512" cy="3069868"/>
            <wp:effectExtent l="0" t="0" r="0" b="0"/>
            <wp:docPr id="56" name="Picture 56" title="Figure 31: Numbers and age-standardised mortality rates for diabetes mellitus,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3179" cy="3073322"/>
                    </a:xfrm>
                    <a:prstGeom prst="rect">
                      <a:avLst/>
                    </a:prstGeom>
                  </pic:spPr>
                </pic:pic>
              </a:graphicData>
            </a:graphic>
          </wp:inline>
        </w:drawing>
      </w:r>
    </w:p>
    <w:p w:rsidR="00000384" w:rsidRPr="00885D52" w:rsidRDefault="00000384" w:rsidP="00000384">
      <w:pPr>
        <w:pStyle w:val="Note"/>
        <w:rPr>
          <w:color w:val="000000"/>
        </w:rPr>
      </w:pPr>
      <w:r w:rsidRPr="00885D52">
        <w:rPr>
          <w:color w:val="000000"/>
        </w:rPr>
        <w:t>Note: Rates per 100,000 population, age-standardised to WHO World Standard Population.</w:t>
      </w:r>
    </w:p>
    <w:p w:rsidR="00000384" w:rsidRPr="00885D52" w:rsidRDefault="00000384" w:rsidP="00111E77"/>
    <w:p w:rsidR="00000384" w:rsidRPr="00885D52" w:rsidRDefault="00000384" w:rsidP="00111E77">
      <w:r w:rsidRPr="00885D52">
        <w:t>Table 21 shows the 2011 percentage distribution of deaths and age-specific mortality rates from diabetes mellitus for four age groupings for Māori and non-Māori.</w:t>
      </w:r>
    </w:p>
    <w:p w:rsidR="00000384" w:rsidRPr="00885D52" w:rsidRDefault="00000384" w:rsidP="00111E77"/>
    <w:p w:rsidR="00000384" w:rsidRPr="00885D52" w:rsidRDefault="00000384" w:rsidP="00111E77">
      <w:pPr>
        <w:pStyle w:val="Table"/>
      </w:pPr>
      <w:bookmarkStart w:id="555" w:name="_Ref132102342"/>
      <w:bookmarkStart w:id="556" w:name="_Toc167268870"/>
      <w:bookmarkStart w:id="557" w:name="_Toc236641661"/>
      <w:bookmarkStart w:id="558" w:name="_Toc262631245"/>
      <w:bookmarkStart w:id="559" w:name="_Toc316912738"/>
      <w:bookmarkStart w:id="560" w:name="_Toc352670670"/>
      <w:bookmarkStart w:id="561" w:name="_Toc400536161"/>
      <w:bookmarkStart w:id="562" w:name="_Toc403120566"/>
      <w:r w:rsidRPr="00885D52">
        <w:rPr>
          <w:bCs/>
        </w:rPr>
        <w:t>Table 21</w:t>
      </w:r>
      <w:bookmarkEnd w:id="555"/>
      <w:r w:rsidRPr="00885D52">
        <w:rPr>
          <w:bCs/>
        </w:rPr>
        <w:t xml:space="preserve">: </w:t>
      </w:r>
      <w:bookmarkEnd w:id="556"/>
      <w:bookmarkEnd w:id="557"/>
      <w:bookmarkEnd w:id="558"/>
      <w:r w:rsidRPr="00885D52">
        <w:t>Age distribution of deaths from diabetes mellitus, percentages and age-specific rates, by ethnicity and sex, 20</w:t>
      </w:r>
      <w:bookmarkEnd w:id="559"/>
      <w:r w:rsidRPr="00885D52">
        <w:t>1</w:t>
      </w:r>
      <w:bookmarkEnd w:id="560"/>
      <w:r w:rsidRPr="00885D52">
        <w:t>1</w:t>
      </w:r>
      <w:bookmarkEnd w:id="561"/>
      <w:bookmarkEnd w:id="56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708"/>
        <w:gridCol w:w="568"/>
        <w:gridCol w:w="850"/>
        <w:gridCol w:w="709"/>
        <w:gridCol w:w="567"/>
        <w:gridCol w:w="850"/>
        <w:gridCol w:w="709"/>
        <w:gridCol w:w="567"/>
        <w:gridCol w:w="850"/>
        <w:gridCol w:w="709"/>
        <w:gridCol w:w="567"/>
        <w:gridCol w:w="851"/>
      </w:tblGrid>
      <w:tr w:rsidR="00000384" w:rsidRPr="00885D52" w:rsidTr="00111E77">
        <w:trPr>
          <w:cantSplit/>
        </w:trPr>
        <w:tc>
          <w:tcPr>
            <w:tcW w:w="851" w:type="dxa"/>
            <w:vMerge w:val="restart"/>
            <w:tcBorders>
              <w:top w:val="single" w:sz="4" w:space="0" w:color="auto"/>
              <w:bottom w:val="single" w:sz="4" w:space="0" w:color="auto"/>
            </w:tcBorders>
            <w:shd w:val="clear" w:color="auto" w:fill="auto"/>
            <w:noWrap/>
          </w:tcPr>
          <w:p w:rsidR="00000384" w:rsidRPr="00885D52" w:rsidRDefault="00000384" w:rsidP="00111E77">
            <w:pPr>
              <w:pStyle w:val="TableText"/>
              <w:rPr>
                <w:b/>
                <w:lang w:eastAsia="en-NZ"/>
              </w:rPr>
            </w:pPr>
            <w:r w:rsidRPr="00885D52">
              <w:rPr>
                <w:b/>
                <w:lang w:eastAsia="en-NZ"/>
              </w:rPr>
              <w:t>Age group</w:t>
            </w:r>
          </w:p>
        </w:tc>
        <w:tc>
          <w:tcPr>
            <w:tcW w:w="4252" w:type="dxa"/>
            <w:gridSpan w:val="6"/>
            <w:tcBorders>
              <w:top w:val="single" w:sz="4" w:space="0" w:color="auto"/>
              <w:bottom w:val="single" w:sz="4" w:space="0" w:color="auto"/>
            </w:tcBorders>
            <w:shd w:val="clear" w:color="auto" w:fill="auto"/>
            <w:noWrap/>
          </w:tcPr>
          <w:p w:rsidR="00000384" w:rsidRPr="00885D52" w:rsidRDefault="00000384" w:rsidP="00111E77">
            <w:pPr>
              <w:pStyle w:val="TableText"/>
              <w:jc w:val="center"/>
              <w:rPr>
                <w:b/>
              </w:rPr>
            </w:pPr>
            <w:r w:rsidRPr="00885D52">
              <w:rPr>
                <w:b/>
              </w:rPr>
              <w:t>Percentage</w:t>
            </w:r>
          </w:p>
        </w:tc>
        <w:tc>
          <w:tcPr>
            <w:tcW w:w="4253" w:type="dxa"/>
            <w:gridSpan w:val="6"/>
            <w:tcBorders>
              <w:top w:val="single" w:sz="4" w:space="0" w:color="auto"/>
              <w:bottom w:val="single" w:sz="4" w:space="0" w:color="auto"/>
            </w:tcBorders>
            <w:shd w:val="clear" w:color="auto" w:fill="auto"/>
            <w:noWrap/>
          </w:tcPr>
          <w:p w:rsidR="00000384" w:rsidRPr="00885D52" w:rsidRDefault="00000384" w:rsidP="00111E77">
            <w:pPr>
              <w:pStyle w:val="TableText"/>
              <w:jc w:val="center"/>
              <w:rPr>
                <w:b/>
              </w:rPr>
            </w:pPr>
            <w:r w:rsidRPr="00885D52">
              <w:rPr>
                <w:b/>
              </w:rPr>
              <w:t>Age-specific rate</w:t>
            </w:r>
          </w:p>
        </w:tc>
      </w:tr>
      <w:tr w:rsidR="00000384" w:rsidRPr="00885D52" w:rsidTr="007E73A8">
        <w:trPr>
          <w:cantSplit/>
        </w:trPr>
        <w:tc>
          <w:tcPr>
            <w:tcW w:w="851" w:type="dxa"/>
            <w:vMerge/>
            <w:tcBorders>
              <w:top w:val="single" w:sz="4" w:space="0" w:color="auto"/>
              <w:bottom w:val="single" w:sz="4" w:space="0" w:color="auto"/>
            </w:tcBorders>
            <w:shd w:val="clear" w:color="auto" w:fill="auto"/>
          </w:tcPr>
          <w:p w:rsidR="00000384" w:rsidRPr="00885D52" w:rsidRDefault="00000384" w:rsidP="00111E77">
            <w:pPr>
              <w:pStyle w:val="TableText"/>
              <w:rPr>
                <w:lang w:eastAsia="en-NZ"/>
              </w:rPr>
            </w:pPr>
          </w:p>
        </w:tc>
        <w:tc>
          <w:tcPr>
            <w:tcW w:w="2126"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111E77">
            <w:pPr>
              <w:pStyle w:val="TableText"/>
              <w:jc w:val="center"/>
              <w:rPr>
                <w:b/>
              </w:rPr>
            </w:pPr>
            <w:r w:rsidRPr="00885D52">
              <w:rPr>
                <w:b/>
              </w:rPr>
              <w:t>Māori</w:t>
            </w:r>
          </w:p>
        </w:tc>
        <w:tc>
          <w:tcPr>
            <w:tcW w:w="2126"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111E77">
            <w:pPr>
              <w:pStyle w:val="TableText"/>
              <w:jc w:val="center"/>
              <w:rPr>
                <w:b/>
              </w:rPr>
            </w:pPr>
            <w:r w:rsidRPr="00885D52">
              <w:rPr>
                <w:b/>
              </w:rPr>
              <w:t>Non-Māori</w:t>
            </w:r>
          </w:p>
        </w:tc>
        <w:tc>
          <w:tcPr>
            <w:tcW w:w="2126"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111E77">
            <w:pPr>
              <w:pStyle w:val="TableText"/>
              <w:jc w:val="center"/>
              <w:rPr>
                <w:b/>
              </w:rPr>
            </w:pPr>
            <w:r w:rsidRPr="00885D52">
              <w:rPr>
                <w:b/>
              </w:rPr>
              <w:t>Māori</w:t>
            </w:r>
          </w:p>
        </w:tc>
        <w:tc>
          <w:tcPr>
            <w:tcW w:w="2127"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111E77">
            <w:pPr>
              <w:pStyle w:val="TableText"/>
              <w:jc w:val="center"/>
              <w:rPr>
                <w:b/>
              </w:rPr>
            </w:pPr>
            <w:r w:rsidRPr="00885D52">
              <w:rPr>
                <w:b/>
              </w:rPr>
              <w:t>Non-Māori</w:t>
            </w:r>
          </w:p>
        </w:tc>
      </w:tr>
      <w:tr w:rsidR="00000384" w:rsidRPr="00885D52" w:rsidTr="007E73A8">
        <w:trPr>
          <w:cantSplit/>
        </w:trPr>
        <w:tc>
          <w:tcPr>
            <w:tcW w:w="851" w:type="dxa"/>
            <w:vMerge/>
            <w:tcBorders>
              <w:top w:val="single" w:sz="4" w:space="0" w:color="auto"/>
              <w:bottom w:val="single" w:sz="4" w:space="0" w:color="auto"/>
            </w:tcBorders>
            <w:shd w:val="clear" w:color="auto" w:fill="auto"/>
          </w:tcPr>
          <w:p w:rsidR="00000384" w:rsidRPr="00885D52" w:rsidRDefault="00000384" w:rsidP="00111E77">
            <w:pPr>
              <w:pStyle w:val="TableText"/>
              <w:rPr>
                <w:lang w:eastAsia="en-NZ"/>
              </w:rPr>
            </w:pPr>
          </w:p>
        </w:tc>
        <w:tc>
          <w:tcPr>
            <w:tcW w:w="708" w:type="dxa"/>
            <w:tcBorders>
              <w:top w:val="single" w:sz="4" w:space="0" w:color="auto"/>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Total</w:t>
            </w:r>
          </w:p>
        </w:tc>
        <w:tc>
          <w:tcPr>
            <w:tcW w:w="568" w:type="dxa"/>
            <w:tcBorders>
              <w:top w:val="single" w:sz="4" w:space="0" w:color="auto"/>
              <w:left w:val="nil"/>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Male</w:t>
            </w:r>
          </w:p>
        </w:tc>
        <w:tc>
          <w:tcPr>
            <w:tcW w:w="850"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111E77">
            <w:pPr>
              <w:pStyle w:val="TableText"/>
              <w:jc w:val="center"/>
              <w:rPr>
                <w:b/>
              </w:rPr>
            </w:pPr>
            <w:r w:rsidRPr="00885D52">
              <w:rPr>
                <w:b/>
              </w:rPr>
              <w:t>Female</w:t>
            </w:r>
          </w:p>
        </w:tc>
        <w:tc>
          <w:tcPr>
            <w:tcW w:w="709"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Total</w:t>
            </w:r>
          </w:p>
        </w:tc>
        <w:tc>
          <w:tcPr>
            <w:tcW w:w="567" w:type="dxa"/>
            <w:tcBorders>
              <w:top w:val="single" w:sz="4" w:space="0" w:color="auto"/>
              <w:left w:val="nil"/>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Male</w:t>
            </w:r>
          </w:p>
        </w:tc>
        <w:tc>
          <w:tcPr>
            <w:tcW w:w="850" w:type="dxa"/>
            <w:tcBorders>
              <w:top w:val="single" w:sz="4" w:space="0" w:color="auto"/>
              <w:left w:val="nil"/>
              <w:bottom w:val="single" w:sz="4" w:space="0" w:color="auto"/>
            </w:tcBorders>
            <w:shd w:val="clear" w:color="auto" w:fill="auto"/>
            <w:noWrap/>
          </w:tcPr>
          <w:p w:rsidR="00000384" w:rsidRPr="00885D52" w:rsidRDefault="00000384" w:rsidP="00111E77">
            <w:pPr>
              <w:pStyle w:val="TableText"/>
              <w:jc w:val="center"/>
              <w:rPr>
                <w:b/>
              </w:rPr>
            </w:pPr>
            <w:r w:rsidRPr="00885D52">
              <w:rPr>
                <w:b/>
              </w:rPr>
              <w:t>Female</w:t>
            </w:r>
          </w:p>
        </w:tc>
        <w:tc>
          <w:tcPr>
            <w:tcW w:w="709" w:type="dxa"/>
            <w:tcBorders>
              <w:top w:val="single" w:sz="4" w:space="0" w:color="auto"/>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Total</w:t>
            </w:r>
          </w:p>
        </w:tc>
        <w:tc>
          <w:tcPr>
            <w:tcW w:w="567" w:type="dxa"/>
            <w:tcBorders>
              <w:top w:val="single" w:sz="4" w:space="0" w:color="auto"/>
              <w:left w:val="nil"/>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Male</w:t>
            </w:r>
          </w:p>
        </w:tc>
        <w:tc>
          <w:tcPr>
            <w:tcW w:w="850"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111E77">
            <w:pPr>
              <w:pStyle w:val="TableText"/>
              <w:jc w:val="center"/>
              <w:rPr>
                <w:b/>
              </w:rPr>
            </w:pPr>
            <w:r w:rsidRPr="00885D52">
              <w:rPr>
                <w:b/>
              </w:rPr>
              <w:t>Female</w:t>
            </w:r>
          </w:p>
        </w:tc>
        <w:tc>
          <w:tcPr>
            <w:tcW w:w="709"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Total</w:t>
            </w:r>
          </w:p>
        </w:tc>
        <w:tc>
          <w:tcPr>
            <w:tcW w:w="567" w:type="dxa"/>
            <w:tcBorders>
              <w:top w:val="single" w:sz="4" w:space="0" w:color="auto"/>
              <w:left w:val="nil"/>
              <w:bottom w:val="single" w:sz="4" w:space="0" w:color="auto"/>
              <w:right w:val="nil"/>
            </w:tcBorders>
            <w:shd w:val="clear" w:color="auto" w:fill="auto"/>
            <w:noWrap/>
          </w:tcPr>
          <w:p w:rsidR="00000384" w:rsidRPr="00885D52" w:rsidRDefault="00000384" w:rsidP="00111E77">
            <w:pPr>
              <w:pStyle w:val="TableText"/>
              <w:jc w:val="center"/>
              <w:rPr>
                <w:b/>
              </w:rPr>
            </w:pPr>
            <w:r w:rsidRPr="00885D52">
              <w:rPr>
                <w:b/>
              </w:rPr>
              <w:t>Male</w:t>
            </w:r>
          </w:p>
        </w:tc>
        <w:tc>
          <w:tcPr>
            <w:tcW w:w="851" w:type="dxa"/>
            <w:tcBorders>
              <w:top w:val="single" w:sz="4" w:space="0" w:color="auto"/>
              <w:left w:val="nil"/>
              <w:bottom w:val="single" w:sz="4" w:space="0" w:color="auto"/>
            </w:tcBorders>
            <w:shd w:val="clear" w:color="auto" w:fill="auto"/>
            <w:noWrap/>
          </w:tcPr>
          <w:p w:rsidR="00000384" w:rsidRPr="00885D52" w:rsidRDefault="00000384" w:rsidP="00111E77">
            <w:pPr>
              <w:pStyle w:val="TableText"/>
              <w:jc w:val="center"/>
              <w:rPr>
                <w:b/>
              </w:rPr>
            </w:pPr>
            <w:r w:rsidRPr="00885D52">
              <w:rPr>
                <w:b/>
              </w:rPr>
              <w:t>Female</w:t>
            </w:r>
          </w:p>
        </w:tc>
      </w:tr>
      <w:tr w:rsidR="00000384" w:rsidRPr="00885D52" w:rsidTr="00111E77">
        <w:trPr>
          <w:cantSplit/>
        </w:trPr>
        <w:tc>
          <w:tcPr>
            <w:tcW w:w="851" w:type="dxa"/>
            <w:tcBorders>
              <w:top w:val="single" w:sz="4" w:space="0" w:color="auto"/>
              <w:bottom w:val="nil"/>
            </w:tcBorders>
            <w:shd w:val="clear" w:color="auto" w:fill="F2F2F2"/>
            <w:noWrap/>
          </w:tcPr>
          <w:p w:rsidR="00000384" w:rsidRPr="00885D52" w:rsidRDefault="00000384" w:rsidP="00111E77">
            <w:pPr>
              <w:pStyle w:val="TableText"/>
            </w:pPr>
            <w:r w:rsidRPr="00885D52">
              <w:t>&lt;25</w:t>
            </w:r>
          </w:p>
        </w:tc>
        <w:tc>
          <w:tcPr>
            <w:tcW w:w="708" w:type="dxa"/>
            <w:tcBorders>
              <w:top w:val="single" w:sz="4" w:space="0" w:color="auto"/>
              <w:bottom w:val="nil"/>
              <w:right w:val="nil"/>
            </w:tcBorders>
            <w:shd w:val="clear" w:color="auto" w:fill="F2F2F2"/>
            <w:noWrap/>
          </w:tcPr>
          <w:p w:rsidR="00000384" w:rsidRPr="00885D52" w:rsidRDefault="00000384" w:rsidP="00111E77">
            <w:pPr>
              <w:pStyle w:val="TableText"/>
              <w:tabs>
                <w:tab w:val="decimal" w:pos="368"/>
              </w:tabs>
            </w:pPr>
            <w:r w:rsidRPr="00885D52">
              <w:t>0.0</w:t>
            </w:r>
          </w:p>
        </w:tc>
        <w:tc>
          <w:tcPr>
            <w:tcW w:w="568" w:type="dxa"/>
            <w:tcBorders>
              <w:top w:val="single" w:sz="4" w:space="0" w:color="auto"/>
              <w:left w:val="nil"/>
              <w:bottom w:val="nil"/>
              <w:right w:val="nil"/>
            </w:tcBorders>
            <w:shd w:val="clear" w:color="auto" w:fill="F2F2F2"/>
            <w:noWrap/>
          </w:tcPr>
          <w:p w:rsidR="00000384" w:rsidRPr="00885D52" w:rsidRDefault="00000384" w:rsidP="00111E77">
            <w:pPr>
              <w:pStyle w:val="TableText"/>
              <w:tabs>
                <w:tab w:val="decimal" w:pos="425"/>
              </w:tabs>
            </w:pPr>
            <w:r w:rsidRPr="00885D52">
              <w:t>0.0</w:t>
            </w:r>
          </w:p>
        </w:tc>
        <w:tc>
          <w:tcPr>
            <w:tcW w:w="850" w:type="dxa"/>
            <w:tcBorders>
              <w:top w:val="single" w:sz="4" w:space="0" w:color="auto"/>
              <w:left w:val="nil"/>
              <w:bottom w:val="nil"/>
              <w:right w:val="single" w:sz="4" w:space="0" w:color="A6A6A6"/>
            </w:tcBorders>
            <w:shd w:val="clear" w:color="auto" w:fill="F2F2F2"/>
            <w:noWrap/>
          </w:tcPr>
          <w:p w:rsidR="00000384" w:rsidRPr="00885D52" w:rsidRDefault="00000384" w:rsidP="00111E77">
            <w:pPr>
              <w:pStyle w:val="TableText"/>
              <w:tabs>
                <w:tab w:val="decimal" w:pos="425"/>
              </w:tabs>
            </w:pPr>
            <w:r w:rsidRPr="00885D52">
              <w:t>0.0</w:t>
            </w:r>
          </w:p>
        </w:tc>
        <w:tc>
          <w:tcPr>
            <w:tcW w:w="709" w:type="dxa"/>
            <w:tcBorders>
              <w:top w:val="single" w:sz="4" w:space="0" w:color="auto"/>
              <w:left w:val="single" w:sz="4" w:space="0" w:color="A6A6A6"/>
              <w:bottom w:val="nil"/>
              <w:right w:val="nil"/>
            </w:tcBorders>
            <w:shd w:val="clear" w:color="auto" w:fill="F2F2F2"/>
            <w:noWrap/>
          </w:tcPr>
          <w:p w:rsidR="00000384" w:rsidRPr="00885D52" w:rsidRDefault="00000384" w:rsidP="00111E77">
            <w:pPr>
              <w:pStyle w:val="TableText"/>
              <w:tabs>
                <w:tab w:val="decimal" w:pos="368"/>
              </w:tabs>
            </w:pPr>
            <w:r w:rsidRPr="00885D52">
              <w:t>0.6</w:t>
            </w:r>
          </w:p>
        </w:tc>
        <w:tc>
          <w:tcPr>
            <w:tcW w:w="567" w:type="dxa"/>
            <w:tcBorders>
              <w:top w:val="single" w:sz="4" w:space="0" w:color="auto"/>
              <w:left w:val="nil"/>
              <w:bottom w:val="nil"/>
              <w:right w:val="nil"/>
            </w:tcBorders>
            <w:shd w:val="clear" w:color="auto" w:fill="F2F2F2"/>
            <w:noWrap/>
          </w:tcPr>
          <w:p w:rsidR="00000384" w:rsidRPr="00885D52" w:rsidRDefault="00000384" w:rsidP="00111E77">
            <w:pPr>
              <w:pStyle w:val="TableText"/>
              <w:tabs>
                <w:tab w:val="decimal" w:pos="425"/>
              </w:tabs>
            </w:pPr>
            <w:r w:rsidRPr="00885D52">
              <w:t>1.2</w:t>
            </w:r>
          </w:p>
        </w:tc>
        <w:tc>
          <w:tcPr>
            <w:tcW w:w="850" w:type="dxa"/>
            <w:tcBorders>
              <w:top w:val="single" w:sz="4" w:space="0" w:color="auto"/>
              <w:left w:val="nil"/>
              <w:bottom w:val="nil"/>
            </w:tcBorders>
            <w:shd w:val="clear" w:color="auto" w:fill="F2F2F2"/>
            <w:noWrap/>
          </w:tcPr>
          <w:p w:rsidR="00000384" w:rsidRPr="00885D52" w:rsidRDefault="00000384" w:rsidP="00111E77">
            <w:pPr>
              <w:pStyle w:val="TableText"/>
              <w:tabs>
                <w:tab w:val="decimal" w:pos="425"/>
              </w:tabs>
            </w:pPr>
            <w:r w:rsidRPr="00885D52">
              <w:t>0.0</w:t>
            </w:r>
          </w:p>
        </w:tc>
        <w:tc>
          <w:tcPr>
            <w:tcW w:w="709" w:type="dxa"/>
            <w:tcBorders>
              <w:top w:val="single" w:sz="4" w:space="0" w:color="auto"/>
              <w:bottom w:val="nil"/>
              <w:right w:val="nil"/>
            </w:tcBorders>
            <w:shd w:val="clear" w:color="auto" w:fill="F2F2F2"/>
            <w:noWrap/>
          </w:tcPr>
          <w:p w:rsidR="00000384" w:rsidRPr="00885D52" w:rsidRDefault="00000384" w:rsidP="00111E77">
            <w:pPr>
              <w:pStyle w:val="TableText"/>
              <w:tabs>
                <w:tab w:val="decimal" w:pos="425"/>
              </w:tabs>
            </w:pPr>
            <w:r w:rsidRPr="00885D52">
              <w:t>0.0</w:t>
            </w:r>
          </w:p>
        </w:tc>
        <w:tc>
          <w:tcPr>
            <w:tcW w:w="567" w:type="dxa"/>
            <w:tcBorders>
              <w:top w:val="single" w:sz="4" w:space="0" w:color="auto"/>
              <w:left w:val="nil"/>
              <w:bottom w:val="nil"/>
              <w:right w:val="nil"/>
            </w:tcBorders>
            <w:shd w:val="clear" w:color="auto" w:fill="F2F2F2"/>
            <w:noWrap/>
          </w:tcPr>
          <w:p w:rsidR="00000384" w:rsidRPr="00885D52" w:rsidRDefault="00000384" w:rsidP="00111E77">
            <w:pPr>
              <w:pStyle w:val="TableText"/>
              <w:tabs>
                <w:tab w:val="decimal" w:pos="425"/>
              </w:tabs>
            </w:pPr>
            <w:r w:rsidRPr="00885D52">
              <w:t>0.0</w:t>
            </w:r>
          </w:p>
        </w:tc>
        <w:tc>
          <w:tcPr>
            <w:tcW w:w="850" w:type="dxa"/>
            <w:tcBorders>
              <w:top w:val="single" w:sz="4" w:space="0" w:color="auto"/>
              <w:left w:val="nil"/>
              <w:bottom w:val="nil"/>
              <w:right w:val="single" w:sz="4" w:space="0" w:color="A6A6A6"/>
            </w:tcBorders>
            <w:shd w:val="clear" w:color="auto" w:fill="F2F2F2"/>
            <w:noWrap/>
          </w:tcPr>
          <w:p w:rsidR="00000384" w:rsidRPr="00885D52" w:rsidRDefault="00000384" w:rsidP="00111E77">
            <w:pPr>
              <w:pStyle w:val="TableText"/>
              <w:tabs>
                <w:tab w:val="decimal" w:pos="425"/>
              </w:tabs>
            </w:pPr>
            <w:r w:rsidRPr="00885D52">
              <w:t>0.0</w:t>
            </w:r>
          </w:p>
        </w:tc>
        <w:tc>
          <w:tcPr>
            <w:tcW w:w="709" w:type="dxa"/>
            <w:tcBorders>
              <w:top w:val="single" w:sz="4" w:space="0" w:color="auto"/>
              <w:left w:val="single" w:sz="4" w:space="0" w:color="A6A6A6"/>
              <w:bottom w:val="nil"/>
              <w:right w:val="nil"/>
            </w:tcBorders>
            <w:shd w:val="clear" w:color="auto" w:fill="F2F2F2"/>
            <w:noWrap/>
          </w:tcPr>
          <w:p w:rsidR="00000384" w:rsidRPr="00885D52" w:rsidRDefault="00000384" w:rsidP="00111E77">
            <w:pPr>
              <w:pStyle w:val="TableText"/>
              <w:tabs>
                <w:tab w:val="decimal" w:pos="369"/>
              </w:tabs>
            </w:pPr>
            <w:r w:rsidRPr="00885D52">
              <w:t>0.3</w:t>
            </w:r>
          </w:p>
        </w:tc>
        <w:tc>
          <w:tcPr>
            <w:tcW w:w="567" w:type="dxa"/>
            <w:tcBorders>
              <w:top w:val="single" w:sz="4" w:space="0" w:color="auto"/>
              <w:left w:val="nil"/>
              <w:bottom w:val="nil"/>
              <w:right w:val="nil"/>
            </w:tcBorders>
            <w:shd w:val="clear" w:color="auto" w:fill="F2F2F2"/>
            <w:noWrap/>
          </w:tcPr>
          <w:p w:rsidR="00000384" w:rsidRPr="00885D52" w:rsidRDefault="00000384" w:rsidP="00111E77">
            <w:pPr>
              <w:pStyle w:val="TableText"/>
              <w:tabs>
                <w:tab w:val="decimal" w:pos="425"/>
              </w:tabs>
            </w:pPr>
            <w:r w:rsidRPr="00885D52">
              <w:t>0.7</w:t>
            </w:r>
          </w:p>
        </w:tc>
        <w:tc>
          <w:tcPr>
            <w:tcW w:w="851" w:type="dxa"/>
            <w:tcBorders>
              <w:top w:val="single" w:sz="4" w:space="0" w:color="auto"/>
              <w:left w:val="nil"/>
              <w:bottom w:val="nil"/>
            </w:tcBorders>
            <w:shd w:val="clear" w:color="auto" w:fill="F2F2F2"/>
            <w:noWrap/>
          </w:tcPr>
          <w:p w:rsidR="00000384" w:rsidRPr="00885D52" w:rsidRDefault="00000384" w:rsidP="00111E77">
            <w:pPr>
              <w:pStyle w:val="TableText"/>
              <w:tabs>
                <w:tab w:val="decimal" w:pos="425"/>
              </w:tabs>
            </w:pPr>
            <w:r w:rsidRPr="00885D52">
              <w:t>0.0</w:t>
            </w:r>
          </w:p>
        </w:tc>
      </w:tr>
      <w:tr w:rsidR="00000384" w:rsidRPr="00885D52" w:rsidTr="00111E77">
        <w:trPr>
          <w:cantSplit/>
        </w:trPr>
        <w:tc>
          <w:tcPr>
            <w:tcW w:w="851" w:type="dxa"/>
            <w:tcBorders>
              <w:top w:val="nil"/>
              <w:bottom w:val="nil"/>
            </w:tcBorders>
            <w:shd w:val="clear" w:color="auto" w:fill="auto"/>
            <w:noWrap/>
          </w:tcPr>
          <w:p w:rsidR="00000384" w:rsidRPr="00885D52" w:rsidRDefault="00000384" w:rsidP="00111E77">
            <w:pPr>
              <w:pStyle w:val="TableText"/>
            </w:pPr>
            <w:r w:rsidRPr="00885D52">
              <w:t>25–44</w:t>
            </w:r>
          </w:p>
        </w:tc>
        <w:tc>
          <w:tcPr>
            <w:tcW w:w="708" w:type="dxa"/>
            <w:tcBorders>
              <w:top w:val="nil"/>
              <w:bottom w:val="nil"/>
              <w:right w:val="nil"/>
            </w:tcBorders>
            <w:shd w:val="clear" w:color="auto" w:fill="auto"/>
            <w:noWrap/>
          </w:tcPr>
          <w:p w:rsidR="00000384" w:rsidRPr="00885D52" w:rsidRDefault="00000384" w:rsidP="00111E77">
            <w:pPr>
              <w:pStyle w:val="TableText"/>
              <w:tabs>
                <w:tab w:val="decimal" w:pos="368"/>
              </w:tabs>
            </w:pPr>
            <w:r w:rsidRPr="00885D52">
              <w:t>5.1</w:t>
            </w:r>
          </w:p>
        </w:tc>
        <w:tc>
          <w:tcPr>
            <w:tcW w:w="568" w:type="dxa"/>
            <w:tcBorders>
              <w:top w:val="nil"/>
              <w:left w:val="nil"/>
              <w:bottom w:val="nil"/>
              <w:right w:val="nil"/>
            </w:tcBorders>
            <w:shd w:val="clear" w:color="auto" w:fill="auto"/>
            <w:noWrap/>
          </w:tcPr>
          <w:p w:rsidR="00000384" w:rsidRPr="00885D52" w:rsidRDefault="00000384" w:rsidP="00111E77">
            <w:pPr>
              <w:pStyle w:val="TableText"/>
              <w:tabs>
                <w:tab w:val="decimal" w:pos="425"/>
              </w:tabs>
            </w:pPr>
            <w:r w:rsidRPr="00885D52">
              <w:t>5.2</w:t>
            </w:r>
          </w:p>
        </w:tc>
        <w:tc>
          <w:tcPr>
            <w:tcW w:w="850" w:type="dxa"/>
            <w:tcBorders>
              <w:top w:val="nil"/>
              <w:left w:val="nil"/>
              <w:bottom w:val="nil"/>
              <w:right w:val="single" w:sz="4" w:space="0" w:color="A6A6A6"/>
            </w:tcBorders>
            <w:shd w:val="clear" w:color="auto" w:fill="auto"/>
            <w:noWrap/>
          </w:tcPr>
          <w:p w:rsidR="00000384" w:rsidRPr="00885D52" w:rsidRDefault="00000384" w:rsidP="00111E77">
            <w:pPr>
              <w:pStyle w:val="TableText"/>
              <w:tabs>
                <w:tab w:val="decimal" w:pos="425"/>
              </w:tabs>
            </w:pPr>
            <w:r w:rsidRPr="00885D52">
              <w:t>4.9</w:t>
            </w:r>
          </w:p>
        </w:tc>
        <w:tc>
          <w:tcPr>
            <w:tcW w:w="709" w:type="dxa"/>
            <w:tcBorders>
              <w:top w:val="nil"/>
              <w:left w:val="single" w:sz="4" w:space="0" w:color="A6A6A6"/>
              <w:bottom w:val="nil"/>
              <w:right w:val="nil"/>
            </w:tcBorders>
            <w:shd w:val="clear" w:color="auto" w:fill="auto"/>
            <w:noWrap/>
          </w:tcPr>
          <w:p w:rsidR="00000384" w:rsidRPr="00885D52" w:rsidRDefault="00000384" w:rsidP="00111E77">
            <w:pPr>
              <w:pStyle w:val="TableText"/>
              <w:tabs>
                <w:tab w:val="decimal" w:pos="368"/>
              </w:tabs>
            </w:pPr>
            <w:r w:rsidRPr="00885D52">
              <w:t>2.2</w:t>
            </w:r>
          </w:p>
        </w:tc>
        <w:tc>
          <w:tcPr>
            <w:tcW w:w="567" w:type="dxa"/>
            <w:tcBorders>
              <w:top w:val="nil"/>
              <w:left w:val="nil"/>
              <w:bottom w:val="nil"/>
              <w:right w:val="nil"/>
            </w:tcBorders>
            <w:shd w:val="clear" w:color="auto" w:fill="auto"/>
            <w:noWrap/>
          </w:tcPr>
          <w:p w:rsidR="00000384" w:rsidRPr="00885D52" w:rsidRDefault="00000384" w:rsidP="00111E77">
            <w:pPr>
              <w:pStyle w:val="TableText"/>
              <w:tabs>
                <w:tab w:val="decimal" w:pos="425"/>
              </w:tabs>
            </w:pPr>
            <w:r w:rsidRPr="00885D52">
              <w:t>1.9</w:t>
            </w:r>
          </w:p>
        </w:tc>
        <w:tc>
          <w:tcPr>
            <w:tcW w:w="850" w:type="dxa"/>
            <w:tcBorders>
              <w:top w:val="nil"/>
              <w:left w:val="nil"/>
              <w:bottom w:val="nil"/>
            </w:tcBorders>
            <w:shd w:val="clear" w:color="auto" w:fill="auto"/>
            <w:noWrap/>
          </w:tcPr>
          <w:p w:rsidR="00000384" w:rsidRPr="00885D52" w:rsidRDefault="00000384" w:rsidP="00111E77">
            <w:pPr>
              <w:pStyle w:val="TableText"/>
              <w:tabs>
                <w:tab w:val="decimal" w:pos="425"/>
              </w:tabs>
            </w:pPr>
            <w:r w:rsidRPr="00885D52">
              <w:t>2.5</w:t>
            </w:r>
          </w:p>
        </w:tc>
        <w:tc>
          <w:tcPr>
            <w:tcW w:w="709" w:type="dxa"/>
            <w:tcBorders>
              <w:top w:val="nil"/>
              <w:bottom w:val="nil"/>
              <w:right w:val="nil"/>
            </w:tcBorders>
            <w:shd w:val="clear" w:color="auto" w:fill="auto"/>
            <w:noWrap/>
          </w:tcPr>
          <w:p w:rsidR="00000384" w:rsidRPr="00885D52" w:rsidRDefault="00000384" w:rsidP="00111E77">
            <w:pPr>
              <w:pStyle w:val="TableText"/>
              <w:tabs>
                <w:tab w:val="decimal" w:pos="425"/>
              </w:tabs>
            </w:pPr>
            <w:r w:rsidRPr="00885D52">
              <w:t>6.0</w:t>
            </w:r>
          </w:p>
        </w:tc>
        <w:tc>
          <w:tcPr>
            <w:tcW w:w="567" w:type="dxa"/>
            <w:tcBorders>
              <w:top w:val="nil"/>
              <w:left w:val="nil"/>
              <w:bottom w:val="nil"/>
              <w:right w:val="nil"/>
            </w:tcBorders>
            <w:shd w:val="clear" w:color="auto" w:fill="auto"/>
            <w:noWrap/>
          </w:tcPr>
          <w:p w:rsidR="00000384" w:rsidRPr="00885D52" w:rsidRDefault="00000384" w:rsidP="00111E77">
            <w:pPr>
              <w:pStyle w:val="TableText"/>
              <w:tabs>
                <w:tab w:val="decimal" w:pos="425"/>
              </w:tabs>
            </w:pPr>
            <w:r w:rsidRPr="00885D52">
              <w:t>7.6</w:t>
            </w:r>
          </w:p>
        </w:tc>
        <w:tc>
          <w:tcPr>
            <w:tcW w:w="850" w:type="dxa"/>
            <w:tcBorders>
              <w:top w:val="nil"/>
              <w:left w:val="nil"/>
              <w:bottom w:val="nil"/>
              <w:right w:val="single" w:sz="4" w:space="0" w:color="A6A6A6"/>
            </w:tcBorders>
            <w:shd w:val="clear" w:color="auto" w:fill="auto"/>
            <w:noWrap/>
          </w:tcPr>
          <w:p w:rsidR="00000384" w:rsidRPr="00885D52" w:rsidRDefault="00000384" w:rsidP="00111E77">
            <w:pPr>
              <w:pStyle w:val="TableText"/>
              <w:tabs>
                <w:tab w:val="decimal" w:pos="425"/>
              </w:tabs>
            </w:pPr>
            <w:r w:rsidRPr="00885D52">
              <w:t>4.5</w:t>
            </w:r>
          </w:p>
        </w:tc>
        <w:tc>
          <w:tcPr>
            <w:tcW w:w="709" w:type="dxa"/>
            <w:tcBorders>
              <w:top w:val="nil"/>
              <w:left w:val="single" w:sz="4" w:space="0" w:color="A6A6A6"/>
              <w:bottom w:val="nil"/>
              <w:right w:val="nil"/>
            </w:tcBorders>
            <w:shd w:val="clear" w:color="auto" w:fill="auto"/>
            <w:noWrap/>
          </w:tcPr>
          <w:p w:rsidR="00000384" w:rsidRPr="00885D52" w:rsidRDefault="00000384" w:rsidP="00111E77">
            <w:pPr>
              <w:pStyle w:val="TableText"/>
              <w:tabs>
                <w:tab w:val="decimal" w:pos="369"/>
              </w:tabs>
            </w:pPr>
            <w:r w:rsidRPr="00885D52">
              <w:t>1.4</w:t>
            </w:r>
          </w:p>
        </w:tc>
        <w:tc>
          <w:tcPr>
            <w:tcW w:w="567" w:type="dxa"/>
            <w:tcBorders>
              <w:top w:val="nil"/>
              <w:left w:val="nil"/>
              <w:bottom w:val="nil"/>
              <w:right w:val="nil"/>
            </w:tcBorders>
            <w:shd w:val="clear" w:color="auto" w:fill="auto"/>
            <w:noWrap/>
          </w:tcPr>
          <w:p w:rsidR="00000384" w:rsidRPr="00885D52" w:rsidRDefault="00000384" w:rsidP="00111E77">
            <w:pPr>
              <w:pStyle w:val="TableText"/>
              <w:tabs>
                <w:tab w:val="decimal" w:pos="425"/>
              </w:tabs>
            </w:pPr>
            <w:r w:rsidRPr="00885D52">
              <w:t>1.2</w:t>
            </w:r>
          </w:p>
        </w:tc>
        <w:tc>
          <w:tcPr>
            <w:tcW w:w="851" w:type="dxa"/>
            <w:tcBorders>
              <w:top w:val="nil"/>
              <w:left w:val="nil"/>
              <w:bottom w:val="nil"/>
            </w:tcBorders>
            <w:shd w:val="clear" w:color="auto" w:fill="auto"/>
            <w:noWrap/>
          </w:tcPr>
          <w:p w:rsidR="00000384" w:rsidRPr="00885D52" w:rsidRDefault="00000384" w:rsidP="00111E77">
            <w:pPr>
              <w:pStyle w:val="TableText"/>
              <w:tabs>
                <w:tab w:val="decimal" w:pos="425"/>
              </w:tabs>
            </w:pPr>
            <w:r w:rsidRPr="00885D52">
              <w:t>1.6</w:t>
            </w:r>
          </w:p>
        </w:tc>
      </w:tr>
      <w:tr w:rsidR="00000384" w:rsidRPr="00885D52" w:rsidTr="00111E77">
        <w:trPr>
          <w:cantSplit/>
        </w:trPr>
        <w:tc>
          <w:tcPr>
            <w:tcW w:w="851" w:type="dxa"/>
            <w:tcBorders>
              <w:top w:val="nil"/>
              <w:bottom w:val="nil"/>
              <w:right w:val="single" w:sz="4" w:space="0" w:color="auto"/>
            </w:tcBorders>
            <w:shd w:val="clear" w:color="auto" w:fill="F2F2F2"/>
            <w:noWrap/>
          </w:tcPr>
          <w:p w:rsidR="00000384" w:rsidRPr="00885D52" w:rsidRDefault="00000384" w:rsidP="00111E77">
            <w:pPr>
              <w:pStyle w:val="TableText"/>
            </w:pPr>
            <w:r w:rsidRPr="00885D52">
              <w:t>45–64</w:t>
            </w:r>
          </w:p>
        </w:tc>
        <w:tc>
          <w:tcPr>
            <w:tcW w:w="708" w:type="dxa"/>
            <w:tcBorders>
              <w:top w:val="nil"/>
              <w:left w:val="single" w:sz="4" w:space="0" w:color="auto"/>
              <w:bottom w:val="nil"/>
              <w:right w:val="nil"/>
            </w:tcBorders>
            <w:shd w:val="clear" w:color="auto" w:fill="F2F2F2"/>
            <w:noWrap/>
          </w:tcPr>
          <w:p w:rsidR="00000384" w:rsidRPr="00885D52" w:rsidRDefault="00000384" w:rsidP="00111E77">
            <w:pPr>
              <w:pStyle w:val="TableText"/>
              <w:tabs>
                <w:tab w:val="decimal" w:pos="368"/>
              </w:tabs>
            </w:pPr>
            <w:r w:rsidRPr="00885D52">
              <w:t>31.6</w:t>
            </w:r>
          </w:p>
        </w:tc>
        <w:tc>
          <w:tcPr>
            <w:tcW w:w="568" w:type="dxa"/>
            <w:tcBorders>
              <w:top w:val="nil"/>
              <w:left w:val="nil"/>
              <w:bottom w:val="nil"/>
              <w:right w:val="nil"/>
            </w:tcBorders>
            <w:shd w:val="clear" w:color="auto" w:fill="F2F2F2"/>
            <w:noWrap/>
          </w:tcPr>
          <w:p w:rsidR="00000384" w:rsidRPr="00885D52" w:rsidRDefault="00000384" w:rsidP="00111E77">
            <w:pPr>
              <w:pStyle w:val="TableText"/>
              <w:tabs>
                <w:tab w:val="decimal" w:pos="425"/>
              </w:tabs>
            </w:pPr>
            <w:r w:rsidRPr="00885D52">
              <w:t>37.4</w:t>
            </w:r>
          </w:p>
        </w:tc>
        <w:tc>
          <w:tcPr>
            <w:tcW w:w="850" w:type="dxa"/>
            <w:tcBorders>
              <w:top w:val="nil"/>
              <w:left w:val="nil"/>
              <w:bottom w:val="nil"/>
              <w:right w:val="single" w:sz="4" w:space="0" w:color="A6A6A6"/>
            </w:tcBorders>
            <w:shd w:val="clear" w:color="auto" w:fill="F2F2F2"/>
            <w:noWrap/>
          </w:tcPr>
          <w:p w:rsidR="00000384" w:rsidRPr="00885D52" w:rsidRDefault="00000384" w:rsidP="00111E77">
            <w:pPr>
              <w:pStyle w:val="TableText"/>
              <w:tabs>
                <w:tab w:val="decimal" w:pos="425"/>
              </w:tabs>
            </w:pPr>
            <w:r w:rsidRPr="00885D52">
              <w:t>23.5</w:t>
            </w:r>
          </w:p>
        </w:tc>
        <w:tc>
          <w:tcPr>
            <w:tcW w:w="709" w:type="dxa"/>
            <w:tcBorders>
              <w:top w:val="nil"/>
              <w:left w:val="single" w:sz="4" w:space="0" w:color="A6A6A6"/>
              <w:bottom w:val="nil"/>
              <w:right w:val="nil"/>
            </w:tcBorders>
            <w:shd w:val="clear" w:color="auto" w:fill="F2F2F2"/>
            <w:noWrap/>
          </w:tcPr>
          <w:p w:rsidR="00000384" w:rsidRPr="00885D52" w:rsidRDefault="00000384" w:rsidP="00111E77">
            <w:pPr>
              <w:pStyle w:val="TableText"/>
              <w:tabs>
                <w:tab w:val="decimal" w:pos="368"/>
              </w:tabs>
            </w:pPr>
            <w:r w:rsidRPr="00885D52">
              <w:t>13.0</w:t>
            </w:r>
          </w:p>
        </w:tc>
        <w:tc>
          <w:tcPr>
            <w:tcW w:w="567" w:type="dxa"/>
            <w:tcBorders>
              <w:top w:val="nil"/>
              <w:left w:val="nil"/>
              <w:bottom w:val="nil"/>
              <w:right w:val="nil"/>
            </w:tcBorders>
            <w:shd w:val="clear" w:color="auto" w:fill="F2F2F2"/>
            <w:noWrap/>
          </w:tcPr>
          <w:p w:rsidR="00000384" w:rsidRPr="00885D52" w:rsidRDefault="00000384" w:rsidP="00111E77">
            <w:pPr>
              <w:pStyle w:val="TableText"/>
              <w:tabs>
                <w:tab w:val="decimal" w:pos="425"/>
              </w:tabs>
            </w:pPr>
            <w:r w:rsidRPr="00885D52">
              <w:t>16.7</w:t>
            </w:r>
          </w:p>
        </w:tc>
        <w:tc>
          <w:tcPr>
            <w:tcW w:w="850" w:type="dxa"/>
            <w:tcBorders>
              <w:top w:val="nil"/>
              <w:left w:val="nil"/>
              <w:bottom w:val="nil"/>
              <w:right w:val="single" w:sz="4" w:space="0" w:color="auto"/>
            </w:tcBorders>
            <w:shd w:val="clear" w:color="auto" w:fill="F2F2F2"/>
            <w:noWrap/>
          </w:tcPr>
          <w:p w:rsidR="00000384" w:rsidRPr="00885D52" w:rsidRDefault="00000384" w:rsidP="00111E77">
            <w:pPr>
              <w:pStyle w:val="TableText"/>
              <w:tabs>
                <w:tab w:val="decimal" w:pos="425"/>
              </w:tabs>
            </w:pPr>
            <w:r w:rsidRPr="00885D52">
              <w:t>9.2</w:t>
            </w:r>
          </w:p>
        </w:tc>
        <w:tc>
          <w:tcPr>
            <w:tcW w:w="709" w:type="dxa"/>
            <w:tcBorders>
              <w:top w:val="nil"/>
              <w:left w:val="single" w:sz="4" w:space="0" w:color="auto"/>
              <w:bottom w:val="nil"/>
              <w:right w:val="nil"/>
            </w:tcBorders>
            <w:shd w:val="clear" w:color="auto" w:fill="F2F2F2"/>
            <w:noWrap/>
          </w:tcPr>
          <w:p w:rsidR="00000384" w:rsidRPr="00885D52" w:rsidRDefault="00000384" w:rsidP="00111E77">
            <w:pPr>
              <w:pStyle w:val="TableText"/>
              <w:tabs>
                <w:tab w:val="decimal" w:pos="425"/>
              </w:tabs>
            </w:pPr>
            <w:r w:rsidRPr="00885D52">
              <w:t>53.2</w:t>
            </w:r>
          </w:p>
        </w:tc>
        <w:tc>
          <w:tcPr>
            <w:tcW w:w="567" w:type="dxa"/>
            <w:tcBorders>
              <w:top w:val="nil"/>
              <w:left w:val="nil"/>
              <w:bottom w:val="nil"/>
              <w:right w:val="nil"/>
            </w:tcBorders>
            <w:shd w:val="clear" w:color="auto" w:fill="F2F2F2"/>
            <w:noWrap/>
          </w:tcPr>
          <w:p w:rsidR="00000384" w:rsidRPr="00885D52" w:rsidRDefault="00000384" w:rsidP="00111E77">
            <w:pPr>
              <w:pStyle w:val="TableText"/>
              <w:tabs>
                <w:tab w:val="decimal" w:pos="425"/>
              </w:tabs>
            </w:pPr>
            <w:r w:rsidRPr="00885D52">
              <w:t>78.1</w:t>
            </w:r>
          </w:p>
        </w:tc>
        <w:tc>
          <w:tcPr>
            <w:tcW w:w="850" w:type="dxa"/>
            <w:tcBorders>
              <w:top w:val="nil"/>
              <w:left w:val="nil"/>
              <w:bottom w:val="nil"/>
              <w:right w:val="single" w:sz="4" w:space="0" w:color="A6A6A6"/>
            </w:tcBorders>
            <w:shd w:val="clear" w:color="auto" w:fill="F2F2F2"/>
            <w:noWrap/>
          </w:tcPr>
          <w:p w:rsidR="00000384" w:rsidRPr="00885D52" w:rsidRDefault="00000384" w:rsidP="00111E77">
            <w:pPr>
              <w:pStyle w:val="TableText"/>
              <w:tabs>
                <w:tab w:val="decimal" w:pos="425"/>
              </w:tabs>
            </w:pPr>
            <w:r w:rsidRPr="00885D52">
              <w:t>30.9</w:t>
            </w:r>
          </w:p>
        </w:tc>
        <w:tc>
          <w:tcPr>
            <w:tcW w:w="709" w:type="dxa"/>
            <w:tcBorders>
              <w:top w:val="nil"/>
              <w:left w:val="single" w:sz="4" w:space="0" w:color="A6A6A6"/>
              <w:bottom w:val="nil"/>
              <w:right w:val="nil"/>
            </w:tcBorders>
            <w:shd w:val="clear" w:color="auto" w:fill="F2F2F2"/>
            <w:noWrap/>
          </w:tcPr>
          <w:p w:rsidR="00000384" w:rsidRPr="00885D52" w:rsidRDefault="00000384" w:rsidP="00111E77">
            <w:pPr>
              <w:pStyle w:val="TableText"/>
              <w:tabs>
                <w:tab w:val="decimal" w:pos="369"/>
              </w:tabs>
            </w:pPr>
            <w:r w:rsidRPr="00885D52">
              <w:t>8.3</w:t>
            </w:r>
          </w:p>
        </w:tc>
        <w:tc>
          <w:tcPr>
            <w:tcW w:w="567" w:type="dxa"/>
            <w:tcBorders>
              <w:top w:val="nil"/>
              <w:left w:val="nil"/>
              <w:bottom w:val="nil"/>
              <w:right w:val="nil"/>
            </w:tcBorders>
            <w:shd w:val="clear" w:color="auto" w:fill="F2F2F2"/>
            <w:noWrap/>
          </w:tcPr>
          <w:p w:rsidR="00000384" w:rsidRPr="00885D52" w:rsidRDefault="00000384" w:rsidP="00111E77">
            <w:pPr>
              <w:pStyle w:val="TableText"/>
              <w:tabs>
                <w:tab w:val="decimal" w:pos="425"/>
              </w:tabs>
            </w:pPr>
            <w:r w:rsidRPr="00885D52">
              <w:t>11.1</w:t>
            </w:r>
          </w:p>
        </w:tc>
        <w:tc>
          <w:tcPr>
            <w:tcW w:w="851" w:type="dxa"/>
            <w:tcBorders>
              <w:top w:val="nil"/>
              <w:left w:val="nil"/>
              <w:bottom w:val="nil"/>
            </w:tcBorders>
            <w:shd w:val="clear" w:color="auto" w:fill="F2F2F2"/>
            <w:noWrap/>
          </w:tcPr>
          <w:p w:rsidR="00000384" w:rsidRPr="00885D52" w:rsidRDefault="00000384" w:rsidP="00111E77">
            <w:pPr>
              <w:pStyle w:val="TableText"/>
              <w:tabs>
                <w:tab w:val="decimal" w:pos="425"/>
              </w:tabs>
            </w:pPr>
            <w:r w:rsidRPr="00885D52">
              <w:t>5.7</w:t>
            </w:r>
          </w:p>
        </w:tc>
      </w:tr>
      <w:tr w:rsidR="00000384" w:rsidRPr="00885D52" w:rsidTr="00111E77">
        <w:trPr>
          <w:cantSplit/>
        </w:trPr>
        <w:tc>
          <w:tcPr>
            <w:tcW w:w="851" w:type="dxa"/>
            <w:tcBorders>
              <w:top w:val="nil"/>
              <w:bottom w:val="single" w:sz="4" w:space="0" w:color="auto"/>
            </w:tcBorders>
            <w:shd w:val="clear" w:color="auto" w:fill="auto"/>
            <w:noWrap/>
          </w:tcPr>
          <w:p w:rsidR="00000384" w:rsidRPr="00885D52" w:rsidRDefault="00000384" w:rsidP="00111E77">
            <w:pPr>
              <w:pStyle w:val="TableText"/>
            </w:pPr>
            <w:r w:rsidRPr="00885D52">
              <w:t>65+</w:t>
            </w:r>
          </w:p>
        </w:tc>
        <w:tc>
          <w:tcPr>
            <w:tcW w:w="708" w:type="dxa"/>
            <w:tcBorders>
              <w:top w:val="nil"/>
              <w:bottom w:val="single" w:sz="4" w:space="0" w:color="auto"/>
              <w:right w:val="nil"/>
            </w:tcBorders>
            <w:shd w:val="clear" w:color="auto" w:fill="auto"/>
            <w:noWrap/>
          </w:tcPr>
          <w:p w:rsidR="00000384" w:rsidRPr="00885D52" w:rsidRDefault="00000384" w:rsidP="00111E77">
            <w:pPr>
              <w:pStyle w:val="TableText"/>
              <w:tabs>
                <w:tab w:val="decimal" w:pos="368"/>
              </w:tabs>
            </w:pPr>
            <w:r w:rsidRPr="00885D52">
              <w:t>63.3</w:t>
            </w:r>
          </w:p>
        </w:tc>
        <w:tc>
          <w:tcPr>
            <w:tcW w:w="568" w:type="dxa"/>
            <w:tcBorders>
              <w:top w:val="nil"/>
              <w:left w:val="nil"/>
              <w:bottom w:val="single" w:sz="4" w:space="0" w:color="auto"/>
              <w:right w:val="nil"/>
            </w:tcBorders>
            <w:shd w:val="clear" w:color="auto" w:fill="auto"/>
            <w:noWrap/>
          </w:tcPr>
          <w:p w:rsidR="00000384" w:rsidRPr="00885D52" w:rsidRDefault="00000384" w:rsidP="00111E77">
            <w:pPr>
              <w:pStyle w:val="TableText"/>
              <w:tabs>
                <w:tab w:val="decimal" w:pos="425"/>
              </w:tabs>
            </w:pPr>
            <w:r w:rsidRPr="00885D52">
              <w:t>57.4</w:t>
            </w:r>
          </w:p>
        </w:tc>
        <w:tc>
          <w:tcPr>
            <w:tcW w:w="850" w:type="dxa"/>
            <w:tcBorders>
              <w:top w:val="nil"/>
              <w:left w:val="nil"/>
              <w:bottom w:val="single" w:sz="4" w:space="0" w:color="auto"/>
              <w:right w:val="single" w:sz="4" w:space="0" w:color="A6A6A6"/>
            </w:tcBorders>
            <w:shd w:val="clear" w:color="auto" w:fill="auto"/>
            <w:noWrap/>
          </w:tcPr>
          <w:p w:rsidR="00000384" w:rsidRPr="00885D52" w:rsidRDefault="00000384" w:rsidP="00111E77">
            <w:pPr>
              <w:pStyle w:val="TableText"/>
              <w:tabs>
                <w:tab w:val="decimal" w:pos="425"/>
              </w:tabs>
            </w:pPr>
            <w:r w:rsidRPr="00885D52">
              <w:t>71.6</w:t>
            </w:r>
          </w:p>
        </w:tc>
        <w:tc>
          <w:tcPr>
            <w:tcW w:w="709" w:type="dxa"/>
            <w:tcBorders>
              <w:top w:val="nil"/>
              <w:left w:val="single" w:sz="4" w:space="0" w:color="A6A6A6"/>
              <w:bottom w:val="single" w:sz="4" w:space="0" w:color="auto"/>
              <w:right w:val="nil"/>
            </w:tcBorders>
            <w:shd w:val="clear" w:color="auto" w:fill="auto"/>
            <w:noWrap/>
          </w:tcPr>
          <w:p w:rsidR="00000384" w:rsidRPr="00885D52" w:rsidRDefault="00000384" w:rsidP="00111E77">
            <w:pPr>
              <w:pStyle w:val="TableText"/>
              <w:tabs>
                <w:tab w:val="decimal" w:pos="368"/>
              </w:tabs>
            </w:pPr>
            <w:r w:rsidRPr="00885D52">
              <w:t>84.2</w:t>
            </w:r>
          </w:p>
        </w:tc>
        <w:tc>
          <w:tcPr>
            <w:tcW w:w="567" w:type="dxa"/>
            <w:tcBorders>
              <w:top w:val="nil"/>
              <w:left w:val="nil"/>
              <w:bottom w:val="single" w:sz="4" w:space="0" w:color="auto"/>
              <w:right w:val="nil"/>
            </w:tcBorders>
            <w:shd w:val="clear" w:color="auto" w:fill="auto"/>
            <w:noWrap/>
          </w:tcPr>
          <w:p w:rsidR="00000384" w:rsidRPr="00885D52" w:rsidRDefault="00000384" w:rsidP="00111E77">
            <w:pPr>
              <w:pStyle w:val="TableText"/>
              <w:tabs>
                <w:tab w:val="decimal" w:pos="425"/>
              </w:tabs>
            </w:pPr>
            <w:r w:rsidRPr="00885D52">
              <w:t>80.2</w:t>
            </w:r>
          </w:p>
        </w:tc>
        <w:tc>
          <w:tcPr>
            <w:tcW w:w="850" w:type="dxa"/>
            <w:tcBorders>
              <w:top w:val="nil"/>
              <w:left w:val="nil"/>
              <w:bottom w:val="single" w:sz="4" w:space="0" w:color="auto"/>
            </w:tcBorders>
            <w:shd w:val="clear" w:color="auto" w:fill="auto"/>
            <w:noWrap/>
          </w:tcPr>
          <w:p w:rsidR="00000384" w:rsidRPr="00885D52" w:rsidRDefault="00000384" w:rsidP="00111E77">
            <w:pPr>
              <w:pStyle w:val="TableText"/>
              <w:tabs>
                <w:tab w:val="decimal" w:pos="425"/>
              </w:tabs>
            </w:pPr>
            <w:r w:rsidRPr="00885D52">
              <w:t>88.3</w:t>
            </w:r>
          </w:p>
        </w:tc>
        <w:tc>
          <w:tcPr>
            <w:tcW w:w="709" w:type="dxa"/>
            <w:tcBorders>
              <w:top w:val="nil"/>
              <w:bottom w:val="single" w:sz="4" w:space="0" w:color="auto"/>
              <w:right w:val="nil"/>
            </w:tcBorders>
            <w:shd w:val="clear" w:color="auto" w:fill="auto"/>
            <w:noWrap/>
          </w:tcPr>
          <w:p w:rsidR="00000384" w:rsidRPr="00885D52" w:rsidRDefault="00000384" w:rsidP="00111E77">
            <w:pPr>
              <w:pStyle w:val="TableText"/>
              <w:tabs>
                <w:tab w:val="decimal" w:pos="425"/>
              </w:tabs>
            </w:pPr>
            <w:r w:rsidRPr="00885D52">
              <w:t>382.0</w:t>
            </w:r>
          </w:p>
        </w:tc>
        <w:tc>
          <w:tcPr>
            <w:tcW w:w="567" w:type="dxa"/>
            <w:tcBorders>
              <w:top w:val="nil"/>
              <w:left w:val="nil"/>
              <w:bottom w:val="single" w:sz="4" w:space="0" w:color="auto"/>
              <w:right w:val="nil"/>
            </w:tcBorders>
            <w:shd w:val="clear" w:color="auto" w:fill="auto"/>
            <w:noWrap/>
          </w:tcPr>
          <w:p w:rsidR="00000384" w:rsidRPr="00885D52" w:rsidRDefault="00000384" w:rsidP="00111E77">
            <w:pPr>
              <w:pStyle w:val="TableText"/>
              <w:tabs>
                <w:tab w:val="decimal" w:pos="425"/>
              </w:tabs>
            </w:pPr>
            <w:r w:rsidRPr="00885D52">
              <w:t>444.7</w:t>
            </w:r>
          </w:p>
        </w:tc>
        <w:tc>
          <w:tcPr>
            <w:tcW w:w="850" w:type="dxa"/>
            <w:tcBorders>
              <w:top w:val="nil"/>
              <w:left w:val="nil"/>
              <w:bottom w:val="single" w:sz="4" w:space="0" w:color="auto"/>
              <w:right w:val="single" w:sz="4" w:space="0" w:color="A6A6A6"/>
            </w:tcBorders>
            <w:shd w:val="clear" w:color="auto" w:fill="auto"/>
            <w:noWrap/>
          </w:tcPr>
          <w:p w:rsidR="00000384" w:rsidRPr="00885D52" w:rsidRDefault="00000384" w:rsidP="00111E77">
            <w:pPr>
              <w:pStyle w:val="TableText"/>
              <w:tabs>
                <w:tab w:val="decimal" w:pos="425"/>
              </w:tabs>
            </w:pPr>
            <w:r w:rsidRPr="00885D52">
              <w:t>329.2</w:t>
            </w:r>
          </w:p>
        </w:tc>
        <w:tc>
          <w:tcPr>
            <w:tcW w:w="709" w:type="dxa"/>
            <w:tcBorders>
              <w:top w:val="nil"/>
              <w:left w:val="single" w:sz="4" w:space="0" w:color="A6A6A6"/>
              <w:bottom w:val="single" w:sz="4" w:space="0" w:color="auto"/>
              <w:right w:val="nil"/>
            </w:tcBorders>
            <w:shd w:val="clear" w:color="auto" w:fill="auto"/>
            <w:noWrap/>
          </w:tcPr>
          <w:p w:rsidR="00000384" w:rsidRPr="00885D52" w:rsidRDefault="00000384" w:rsidP="00111E77">
            <w:pPr>
              <w:pStyle w:val="TableText"/>
              <w:tabs>
                <w:tab w:val="decimal" w:pos="369"/>
              </w:tabs>
            </w:pPr>
            <w:r w:rsidRPr="00885D52">
              <w:t>96.9</w:t>
            </w:r>
          </w:p>
        </w:tc>
        <w:tc>
          <w:tcPr>
            <w:tcW w:w="567" w:type="dxa"/>
            <w:tcBorders>
              <w:top w:val="nil"/>
              <w:left w:val="nil"/>
              <w:bottom w:val="single" w:sz="4" w:space="0" w:color="auto"/>
              <w:right w:val="nil"/>
            </w:tcBorders>
            <w:shd w:val="clear" w:color="auto" w:fill="auto"/>
            <w:noWrap/>
          </w:tcPr>
          <w:p w:rsidR="00000384" w:rsidRPr="00885D52" w:rsidRDefault="00000384" w:rsidP="00111E77">
            <w:pPr>
              <w:pStyle w:val="TableText"/>
              <w:tabs>
                <w:tab w:val="decimal" w:pos="425"/>
              </w:tabs>
            </w:pPr>
            <w:r w:rsidRPr="00885D52">
              <w:t>102.0</w:t>
            </w:r>
          </w:p>
        </w:tc>
        <w:tc>
          <w:tcPr>
            <w:tcW w:w="851" w:type="dxa"/>
            <w:tcBorders>
              <w:top w:val="nil"/>
              <w:left w:val="nil"/>
              <w:bottom w:val="single" w:sz="4" w:space="0" w:color="auto"/>
            </w:tcBorders>
            <w:shd w:val="clear" w:color="auto" w:fill="auto"/>
            <w:noWrap/>
          </w:tcPr>
          <w:p w:rsidR="00000384" w:rsidRPr="00885D52" w:rsidRDefault="00000384" w:rsidP="00111E77">
            <w:pPr>
              <w:pStyle w:val="TableText"/>
              <w:tabs>
                <w:tab w:val="decimal" w:pos="425"/>
              </w:tabs>
            </w:pPr>
            <w:r w:rsidRPr="00885D52">
              <w:t>92.6</w:t>
            </w:r>
          </w:p>
        </w:tc>
      </w:tr>
    </w:tbl>
    <w:p w:rsidR="00000384" w:rsidRPr="00885D52" w:rsidRDefault="00000384" w:rsidP="00111E77">
      <w:pPr>
        <w:pStyle w:val="Note"/>
        <w:ind w:right="0"/>
      </w:pPr>
      <w:r w:rsidRPr="00885D52">
        <w:t>Note: Rates per 100,000 population.</w:t>
      </w:r>
    </w:p>
    <w:p w:rsidR="00000384" w:rsidRPr="00885D52" w:rsidRDefault="00000384" w:rsidP="00111E77"/>
    <w:p w:rsidR="00000384" w:rsidRPr="00885D52" w:rsidRDefault="00000384" w:rsidP="00111E77">
      <w:r w:rsidRPr="00885D52">
        <w:t>Diabetes mortality in 2011 was largely confined to those aged 45 years and older; only a small proportion of deaths occurred below this age. There were a greater proportion of deaths among M</w:t>
      </w:r>
      <w:r w:rsidR="00111E77" w:rsidRPr="00885D52">
        <w:t>ā</w:t>
      </w:r>
      <w:r w:rsidRPr="00885D52">
        <w:t>ori in the 45–64 year age group than among non-Mā</w:t>
      </w:r>
      <w:r w:rsidR="005319DC">
        <w:t>ori in this age group</w:t>
      </w:r>
      <w:r w:rsidRPr="00885D52">
        <w:t>.</w:t>
      </w:r>
    </w:p>
    <w:p w:rsidR="00000384" w:rsidRPr="00885D52" w:rsidRDefault="00000384" w:rsidP="00111E77"/>
    <w:p w:rsidR="00000384" w:rsidRPr="00885D52" w:rsidRDefault="00000384" w:rsidP="00456766">
      <w:pPr>
        <w:keepNext/>
      </w:pPr>
      <w:r w:rsidRPr="00885D52">
        <w:lastRenderedPageBreak/>
        <w:t>Figure 32 shows age-standardised mortality rates from diabetes mellitus by sex and ethnicity between 1996 and 2011.</w:t>
      </w:r>
    </w:p>
    <w:p w:rsidR="00000384" w:rsidRPr="00885D52" w:rsidRDefault="00000384" w:rsidP="00456766">
      <w:pPr>
        <w:keepNext/>
      </w:pPr>
    </w:p>
    <w:p w:rsidR="00000384" w:rsidRPr="00885D52" w:rsidRDefault="00000384" w:rsidP="00111E77">
      <w:pPr>
        <w:pStyle w:val="Figure"/>
      </w:pPr>
      <w:bookmarkStart w:id="563" w:name="_Toc352670697"/>
      <w:bookmarkStart w:id="564" w:name="_Toc400536131"/>
      <w:bookmarkStart w:id="565" w:name="_Toc403120606"/>
      <w:r w:rsidRPr="00885D52">
        <w:t>Figure 32: Age-standardised mortality rates for diabetes mellitus, by sex and ethnicity, 1996–201</w:t>
      </w:r>
      <w:bookmarkEnd w:id="563"/>
      <w:r w:rsidRPr="00885D52">
        <w:t>1</w:t>
      </w:r>
      <w:bookmarkEnd w:id="564"/>
      <w:bookmarkEnd w:id="565"/>
    </w:p>
    <w:p w:rsidR="00000384" w:rsidRPr="00885D52" w:rsidRDefault="001326B3" w:rsidP="00111E77">
      <w:r>
        <w:rPr>
          <w:noProof/>
          <w:lang w:eastAsia="en-NZ"/>
        </w:rPr>
        <w:drawing>
          <wp:inline distT="0" distB="0" distL="0" distR="0" wp14:anchorId="5BDA38BB" wp14:editId="5DBF4243">
            <wp:extent cx="5122800" cy="3125872"/>
            <wp:effectExtent l="0" t="0" r="1905" b="0"/>
            <wp:docPr id="8" name="Picture 8" descr="Figure 32: Age-standardised mortality rates for diabetes mellitus, by sex and ethnicity, 1996–2011" title="Figure 32: Age-standardised mortality rates for diabetes mellitus,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22800" cy="3125872"/>
                    </a:xfrm>
                    <a:prstGeom prst="rect">
                      <a:avLst/>
                    </a:prstGeom>
                    <a:noFill/>
                  </pic:spPr>
                </pic:pic>
              </a:graphicData>
            </a:graphic>
          </wp:inline>
        </w:drawing>
      </w:r>
    </w:p>
    <w:p w:rsidR="00000384" w:rsidRPr="00885D52" w:rsidRDefault="00000384" w:rsidP="00000384">
      <w:pPr>
        <w:pStyle w:val="Note"/>
      </w:pPr>
      <w:r w:rsidRPr="00885D52">
        <w:t>Note: Rates per 100,000 population, age-standardised to WHO World Standard Population.</w:t>
      </w:r>
    </w:p>
    <w:p w:rsidR="00000384" w:rsidRPr="00885D52" w:rsidRDefault="00000384" w:rsidP="0065514E"/>
    <w:p w:rsidR="00000384" w:rsidRPr="00885D52" w:rsidRDefault="00000384" w:rsidP="0065514E">
      <w:r w:rsidRPr="00885D52">
        <w:t>Of the four population groups represented in Figure 32, Māori males had the highest age-standardised mortality rate for diabetes mellitus, followed by Māori females. The age-standardised rate for Māori was five times higher than for non-Māori in 2011.</w:t>
      </w:r>
    </w:p>
    <w:p w:rsidR="00000384" w:rsidRPr="00885D52" w:rsidRDefault="00000384" w:rsidP="0065514E"/>
    <w:p w:rsidR="00000384" w:rsidRPr="00885D52" w:rsidRDefault="00000384" w:rsidP="0065514E">
      <w:r w:rsidRPr="00885D52">
        <w:t>The four codes that make up the diabetes mellitus ICD classification grouping are:</w:t>
      </w:r>
    </w:p>
    <w:p w:rsidR="00000384" w:rsidRPr="00885D52" w:rsidRDefault="00000384" w:rsidP="0065514E">
      <w:pPr>
        <w:pStyle w:val="Bullet"/>
      </w:pPr>
      <w:r w:rsidRPr="00885D52">
        <w:t>E10 Type 1 diabetes mellitus</w:t>
      </w:r>
    </w:p>
    <w:p w:rsidR="00000384" w:rsidRPr="00885D52" w:rsidRDefault="00000384" w:rsidP="0065514E">
      <w:pPr>
        <w:pStyle w:val="Bullet"/>
      </w:pPr>
      <w:r w:rsidRPr="00885D52">
        <w:t>E11 Type 2 diabetes mellitus</w:t>
      </w:r>
    </w:p>
    <w:p w:rsidR="00000384" w:rsidRPr="00885D52" w:rsidRDefault="00000384" w:rsidP="0065514E">
      <w:pPr>
        <w:pStyle w:val="Bullet"/>
      </w:pPr>
      <w:r w:rsidRPr="00885D52">
        <w:t>E13 other specified diabetes mellitus</w:t>
      </w:r>
    </w:p>
    <w:p w:rsidR="00000384" w:rsidRPr="00885D52" w:rsidRDefault="00000384" w:rsidP="0065514E">
      <w:pPr>
        <w:pStyle w:val="Bullet"/>
      </w:pPr>
      <w:r w:rsidRPr="00885D52">
        <w:t>E14 unspecified diabetes mellitus.</w:t>
      </w:r>
    </w:p>
    <w:p w:rsidR="00000384" w:rsidRPr="00885D52" w:rsidRDefault="00000384" w:rsidP="0065514E"/>
    <w:p w:rsidR="00000384" w:rsidRPr="00885D52" w:rsidRDefault="00000384" w:rsidP="00456766">
      <w:pPr>
        <w:keepNext/>
      </w:pPr>
      <w:r w:rsidRPr="00885D52">
        <w:lastRenderedPageBreak/>
        <w:t>Figure 33 shows age-standardised death rates for Type 1 (E10) and Type 2 (E11) diabetes mellitus by sex in 2011.</w:t>
      </w:r>
    </w:p>
    <w:p w:rsidR="00000384" w:rsidRPr="00885D52" w:rsidRDefault="00000384" w:rsidP="00456766">
      <w:pPr>
        <w:keepNext/>
      </w:pPr>
    </w:p>
    <w:p w:rsidR="00000384" w:rsidRPr="00885D52" w:rsidRDefault="00000384" w:rsidP="0065514E">
      <w:pPr>
        <w:pStyle w:val="Figure"/>
      </w:pPr>
      <w:bookmarkStart w:id="566" w:name="_Toc352670698"/>
      <w:bookmarkStart w:id="567" w:name="_Toc400536132"/>
      <w:bookmarkStart w:id="568" w:name="_Toc403120607"/>
      <w:r w:rsidRPr="00885D52">
        <w:t>Figure 33: Age-standardised mortality rates for diabetes mellitus, by diabetes type and sex, 201</w:t>
      </w:r>
      <w:bookmarkEnd w:id="566"/>
      <w:r w:rsidRPr="00885D52">
        <w:t>1</w:t>
      </w:r>
      <w:bookmarkEnd w:id="567"/>
      <w:bookmarkEnd w:id="568"/>
    </w:p>
    <w:p w:rsidR="008D5D23" w:rsidRPr="00885D52" w:rsidRDefault="0065514E" w:rsidP="0065514E">
      <w:r w:rsidRPr="00885D52">
        <w:rPr>
          <w:noProof/>
          <w:lang w:eastAsia="en-NZ"/>
        </w:rPr>
        <w:drawing>
          <wp:inline distT="0" distB="0" distL="0" distR="0" wp14:anchorId="0D5DE680" wp14:editId="66606E07">
            <wp:extent cx="5902036" cy="3600493"/>
            <wp:effectExtent l="0" t="0" r="3810" b="0"/>
            <wp:docPr id="58" name="Picture 58" title="Figure 33: Age-standardised mortality rates for diabetes mellitus, by diabetes type and sex,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01325" cy="3600059"/>
                    </a:xfrm>
                    <a:prstGeom prst="rect">
                      <a:avLst/>
                    </a:prstGeom>
                  </pic:spPr>
                </pic:pic>
              </a:graphicData>
            </a:graphic>
          </wp:inline>
        </w:drawing>
      </w:r>
    </w:p>
    <w:p w:rsidR="00000384" w:rsidRPr="00885D52" w:rsidRDefault="00000384" w:rsidP="0065514E">
      <w:pPr>
        <w:pStyle w:val="Note"/>
        <w:ind w:left="0" w:firstLine="0"/>
      </w:pPr>
      <w:r w:rsidRPr="00885D52">
        <w:t>Note: Rates per 100,000 population, age-standardised to WHO World Standard Population; 95% confidence intervals.</w:t>
      </w:r>
    </w:p>
    <w:p w:rsidR="00000384" w:rsidRPr="00885D52" w:rsidRDefault="00000384" w:rsidP="0065514E"/>
    <w:p w:rsidR="00000384" w:rsidRPr="00885D52" w:rsidRDefault="00000384" w:rsidP="0065514E">
      <w:r w:rsidRPr="00885D52">
        <w:t>Type 2 diabetes mellitus accounted for 92.1 percent of diabetes mortality in 2011. Very few cases (n=10) were classified as unspecified diabetes mellitus (E14).</w:t>
      </w:r>
    </w:p>
    <w:p w:rsidR="00000384" w:rsidRPr="00885D52" w:rsidRDefault="00000384" w:rsidP="0065514E"/>
    <w:p w:rsidR="00000384" w:rsidRPr="00885D52" w:rsidRDefault="00000384" w:rsidP="0065514E">
      <w:r w:rsidRPr="00885D52">
        <w:t>Males had a significantly higher rate of Type 2 diabetes mortality than females in 2011.</w:t>
      </w:r>
    </w:p>
    <w:p w:rsidR="00000384" w:rsidRPr="00885D52" w:rsidRDefault="00000384" w:rsidP="0065514E"/>
    <w:p w:rsidR="00456766" w:rsidRDefault="00456766">
      <w:pPr>
        <w:spacing w:line="240" w:lineRule="auto"/>
        <w:rPr>
          <w:b/>
          <w:sz w:val="40"/>
        </w:rPr>
      </w:pPr>
      <w:bookmarkStart w:id="569" w:name="_Toc262631095"/>
      <w:bookmarkStart w:id="570" w:name="_Toc316994478"/>
      <w:bookmarkStart w:id="571" w:name="_Toc352670635"/>
      <w:bookmarkStart w:id="572" w:name="_Toc400536191"/>
      <w:bookmarkStart w:id="573" w:name="_Toc403120531"/>
      <w:r>
        <w:br w:type="page"/>
      </w:r>
    </w:p>
    <w:p w:rsidR="00000384" w:rsidRPr="00885D52" w:rsidRDefault="00000384" w:rsidP="00456766">
      <w:pPr>
        <w:pStyle w:val="Heading2"/>
        <w:spacing w:before="0"/>
      </w:pPr>
      <w:r w:rsidRPr="00885D52">
        <w:lastRenderedPageBreak/>
        <w:t>Motor vehicle accidents (selected codes: V02–V89)</w:t>
      </w:r>
      <w:bookmarkEnd w:id="569"/>
      <w:bookmarkEnd w:id="570"/>
      <w:bookmarkEnd w:id="571"/>
      <w:bookmarkEnd w:id="572"/>
      <w:bookmarkEnd w:id="573"/>
    </w:p>
    <w:p w:rsidR="00000384" w:rsidRPr="00885D52" w:rsidRDefault="00000384" w:rsidP="00456445">
      <w:r w:rsidRPr="00885D52">
        <w:t xml:space="preserve">The classification </w:t>
      </w:r>
      <w:r w:rsidR="00885D52" w:rsidRPr="00885D52">
        <w:t>‘</w:t>
      </w:r>
      <w:r w:rsidRPr="00885D52">
        <w:t>motor vehicle accidents</w:t>
      </w:r>
      <w:r w:rsidR="00885D52" w:rsidRPr="00885D52">
        <w:t>’</w:t>
      </w:r>
      <w:r w:rsidRPr="00885D52">
        <w:t xml:space="preserve"> primarily covers accidents associated with motorised transport (both on-road and off-road), including cars, two- or three-wheeler vehicles and heavy transport vehicles. It also includes pedestrians or cyclists involved in accidents with motor vehicles. The classification excludes road traffic accidents that did not include some form of motorised transport; for example, a collision between a pedestrian and a pedal cyclist, or a collision between a pedal cyclist and a railway train. It also excludes accidents involving watercraft and aircraft. The codes from the V02–V89 range discussed here therefore exclude those that do not meet these criteria.</w:t>
      </w:r>
    </w:p>
    <w:p w:rsidR="00000384" w:rsidRPr="00885D52" w:rsidRDefault="00000384" w:rsidP="00456445"/>
    <w:p w:rsidR="00000384" w:rsidRPr="00885D52" w:rsidRDefault="00000384" w:rsidP="00456445">
      <w:r w:rsidRPr="00885D52">
        <w:t>Motor vehicle accidents are a major cause of mortality in New Zealand and other industrialised countries. The first recorded motor vehicle accident fatality in New Zealand was in Christchurch in 1908. For most of the 20th century, the motor vehicle accident rate rose in concert with the increasing number of vehicles on New Zealand roads. Since the late 1980s this trend has reversed, and there has been a steady decline in deaths from motor vehicle accidents. This decline may be related to a variety of factors, including a greater societal awareness of the dangers of drink driving, excessive speed and driver fatigue; a rise in seatbelt use; better trauma treatment; and the increasing safety of roads and modern motor vehicles. The open road speed limit in New Zealand has varied over the years from 80 km/h (set in 1948 and again in 1974) to 100 km/h (the current limit, set in 1985). Blood alcohol and breath testing procedures were introduced in New Zealand in 1969, and seatbelt use became compulsory in 1975. Speed cameras were introduced in 1993.</w:t>
      </w:r>
    </w:p>
    <w:p w:rsidR="00456445" w:rsidRPr="00885D52" w:rsidRDefault="00456445" w:rsidP="00456445"/>
    <w:p w:rsidR="00000384" w:rsidRPr="00885D52" w:rsidRDefault="00000384" w:rsidP="00456445">
      <w:r w:rsidRPr="00885D52">
        <w:t>Table 22 shows numbers and age-standardised rates of motor vehicle accident deaths between 1980 and 2011.</w:t>
      </w:r>
    </w:p>
    <w:p w:rsidR="00000384" w:rsidRPr="00885D52" w:rsidRDefault="00000384" w:rsidP="00456445"/>
    <w:p w:rsidR="00000384" w:rsidRPr="00885D52" w:rsidRDefault="00000384" w:rsidP="00456445">
      <w:r w:rsidRPr="00885D52">
        <w:t xml:space="preserve">The rate of motor vehicle accident deaths showed a downward trend after the late 1980s, decreasing by 64.4 percent among males and 70.7 percent among females between 1980 and 2011. Males had a higher age-standardised rate of motor vehicle accident deaths over </w:t>
      </w:r>
      <w:r w:rsidRPr="00885D52">
        <w:rPr>
          <w:rFonts w:cs="Arial"/>
        </w:rPr>
        <w:t>this time</w:t>
      </w:r>
      <w:r w:rsidRPr="00885D52">
        <w:t xml:space="preserve">; in 2011 the male rate was three times that of the female rate. Compared </w:t>
      </w:r>
      <w:r w:rsidR="00491B19">
        <w:t>with</w:t>
      </w:r>
      <w:r w:rsidRPr="00885D52">
        <w:t xml:space="preserve"> 2010, the number and rate of motor vehicle accidents deaths in 2011 was substantially lower for males and females.</w:t>
      </w:r>
    </w:p>
    <w:p w:rsidR="00000384" w:rsidRPr="00885D52" w:rsidRDefault="00000384" w:rsidP="00456445"/>
    <w:p w:rsidR="00000384" w:rsidRPr="00885D52" w:rsidRDefault="00000384" w:rsidP="00456445">
      <w:pPr>
        <w:pStyle w:val="Table"/>
      </w:pPr>
      <w:bookmarkStart w:id="574" w:name="_Toc262631246"/>
      <w:bookmarkStart w:id="575" w:name="_Toc316912739"/>
      <w:bookmarkStart w:id="576" w:name="_Toc352670671"/>
      <w:bookmarkStart w:id="577" w:name="_Toc400536162"/>
      <w:bookmarkStart w:id="578" w:name="_Toc403120567"/>
      <w:r w:rsidRPr="00885D52">
        <w:lastRenderedPageBreak/>
        <w:t>Table 22: Numbers and age-standardised mortality rates for motor vehicle accidents, by sex, 1980–20</w:t>
      </w:r>
      <w:bookmarkEnd w:id="574"/>
      <w:bookmarkEnd w:id="575"/>
      <w:r w:rsidRPr="00885D52">
        <w:t>1</w:t>
      </w:r>
      <w:bookmarkEnd w:id="576"/>
      <w:r w:rsidRPr="00885D52">
        <w:t>1</w:t>
      </w:r>
      <w:bookmarkEnd w:id="577"/>
      <w:bookmarkEnd w:id="578"/>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157"/>
        <w:gridCol w:w="1158"/>
        <w:gridCol w:w="1157"/>
        <w:gridCol w:w="1158"/>
        <w:gridCol w:w="1157"/>
        <w:gridCol w:w="1158"/>
      </w:tblGrid>
      <w:tr w:rsidR="00000384" w:rsidRPr="00885D52" w:rsidTr="00C25EFD">
        <w:trPr>
          <w:cantSplit/>
        </w:trPr>
        <w:tc>
          <w:tcPr>
            <w:tcW w:w="993" w:type="dxa"/>
            <w:vMerge w:val="restart"/>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keepNext/>
              <w:jc w:val="center"/>
              <w:rPr>
                <w:b/>
              </w:rPr>
            </w:pPr>
            <w:bookmarkStart w:id="579" w:name="OLE_LINK7"/>
            <w:r w:rsidRPr="00885D52">
              <w:rPr>
                <w:b/>
              </w:rPr>
              <w:t>Year</w:t>
            </w:r>
          </w:p>
        </w:tc>
        <w:tc>
          <w:tcPr>
            <w:tcW w:w="23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keepNext/>
              <w:jc w:val="center"/>
              <w:rPr>
                <w:b/>
              </w:rPr>
            </w:pPr>
            <w:r w:rsidRPr="00885D52">
              <w:rPr>
                <w:b/>
              </w:rPr>
              <w:t>Male</w:t>
            </w:r>
          </w:p>
        </w:tc>
        <w:tc>
          <w:tcPr>
            <w:tcW w:w="2315"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keepNext/>
              <w:jc w:val="center"/>
              <w:rPr>
                <w:b/>
              </w:rPr>
            </w:pPr>
            <w:r w:rsidRPr="00885D52">
              <w:rPr>
                <w:b/>
              </w:rPr>
              <w:t>Female</w:t>
            </w:r>
          </w:p>
        </w:tc>
        <w:tc>
          <w:tcPr>
            <w:tcW w:w="2315" w:type="dxa"/>
            <w:gridSpan w:val="2"/>
            <w:tcBorders>
              <w:top w:val="single" w:sz="4" w:space="0" w:color="auto"/>
              <w:left w:val="single" w:sz="4" w:space="0" w:color="A6A6A6" w:themeColor="background1" w:themeShade="A6"/>
              <w:bottom w:val="single" w:sz="4" w:space="0" w:color="auto"/>
            </w:tcBorders>
          </w:tcPr>
          <w:p w:rsidR="00000384" w:rsidRPr="00885D52" w:rsidRDefault="00000384" w:rsidP="00456445">
            <w:pPr>
              <w:pStyle w:val="TableText"/>
              <w:keepNext/>
              <w:jc w:val="center"/>
              <w:rPr>
                <w:b/>
              </w:rPr>
            </w:pPr>
            <w:r w:rsidRPr="00885D52">
              <w:rPr>
                <w:b/>
              </w:rPr>
              <w:t>Total</w:t>
            </w:r>
          </w:p>
        </w:tc>
      </w:tr>
      <w:tr w:rsidR="00000384" w:rsidRPr="00885D52" w:rsidTr="00C25EFD">
        <w:trPr>
          <w:cantSplit/>
        </w:trPr>
        <w:tc>
          <w:tcPr>
            <w:tcW w:w="993" w:type="dxa"/>
            <w:vMerge/>
            <w:tcBorders>
              <w:top w:val="single" w:sz="4" w:space="0" w:color="auto"/>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keepNext/>
              <w:jc w:val="center"/>
            </w:pP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rsidR="00000384" w:rsidRPr="00885D52" w:rsidRDefault="00000384" w:rsidP="00456445">
            <w:pPr>
              <w:pStyle w:val="TableText"/>
              <w:keepNext/>
              <w:jc w:val="center"/>
              <w:rPr>
                <w:b/>
              </w:rPr>
            </w:pPr>
            <w:r w:rsidRPr="00885D52">
              <w:rPr>
                <w:b/>
              </w:rPr>
              <w:t>No.</w:t>
            </w:r>
          </w:p>
        </w:tc>
        <w:tc>
          <w:tcPr>
            <w:tcW w:w="1158" w:type="dxa"/>
            <w:tcBorders>
              <w:top w:val="single" w:sz="4" w:space="0" w:color="auto"/>
              <w:left w:val="nil"/>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keepNext/>
              <w:jc w:val="center"/>
              <w:rPr>
                <w:b/>
              </w:rPr>
            </w:pPr>
            <w:r w:rsidRPr="00885D52">
              <w:rPr>
                <w:b/>
              </w:rPr>
              <w:t>Rate</w:t>
            </w:r>
          </w:p>
        </w:tc>
        <w:tc>
          <w:tcPr>
            <w:tcW w:w="1157" w:type="dxa"/>
            <w:tcBorders>
              <w:top w:val="single" w:sz="4" w:space="0" w:color="auto"/>
              <w:left w:val="single" w:sz="4" w:space="0" w:color="A6A6A6" w:themeColor="background1" w:themeShade="A6"/>
              <w:bottom w:val="single" w:sz="4" w:space="0" w:color="auto"/>
              <w:right w:val="nil"/>
            </w:tcBorders>
          </w:tcPr>
          <w:p w:rsidR="00000384" w:rsidRPr="00885D52" w:rsidRDefault="00000384" w:rsidP="00456445">
            <w:pPr>
              <w:pStyle w:val="TableText"/>
              <w:keepNext/>
              <w:jc w:val="center"/>
              <w:rPr>
                <w:b/>
              </w:rPr>
            </w:pPr>
            <w:r w:rsidRPr="00885D52">
              <w:rPr>
                <w:b/>
              </w:rPr>
              <w:t>No.</w:t>
            </w:r>
          </w:p>
        </w:tc>
        <w:tc>
          <w:tcPr>
            <w:tcW w:w="1158" w:type="dxa"/>
            <w:tcBorders>
              <w:top w:val="single" w:sz="4" w:space="0" w:color="auto"/>
              <w:left w:val="nil"/>
              <w:bottom w:val="single" w:sz="4" w:space="0" w:color="auto"/>
              <w:right w:val="single" w:sz="4" w:space="0" w:color="A6A6A6" w:themeColor="background1" w:themeShade="A6"/>
            </w:tcBorders>
          </w:tcPr>
          <w:p w:rsidR="00000384" w:rsidRPr="00885D52" w:rsidRDefault="00000384" w:rsidP="00456445">
            <w:pPr>
              <w:pStyle w:val="TableText"/>
              <w:keepNext/>
              <w:jc w:val="center"/>
              <w:rPr>
                <w:b/>
              </w:rPr>
            </w:pPr>
            <w:r w:rsidRPr="00885D52">
              <w:rPr>
                <w:b/>
              </w:rPr>
              <w:t>Rate</w:t>
            </w:r>
          </w:p>
        </w:tc>
        <w:tc>
          <w:tcPr>
            <w:tcW w:w="1157" w:type="dxa"/>
            <w:tcBorders>
              <w:top w:val="single" w:sz="4" w:space="0" w:color="auto"/>
              <w:left w:val="single" w:sz="4" w:space="0" w:color="A6A6A6" w:themeColor="background1" w:themeShade="A6"/>
              <w:bottom w:val="single" w:sz="4" w:space="0" w:color="auto"/>
              <w:right w:val="nil"/>
            </w:tcBorders>
            <w:shd w:val="clear" w:color="auto" w:fill="auto"/>
            <w:noWrap/>
          </w:tcPr>
          <w:p w:rsidR="00000384" w:rsidRPr="00885D52" w:rsidRDefault="00000384" w:rsidP="00456445">
            <w:pPr>
              <w:pStyle w:val="TableText"/>
              <w:keepNext/>
              <w:jc w:val="center"/>
              <w:rPr>
                <w:b/>
              </w:rPr>
            </w:pPr>
            <w:r w:rsidRPr="00885D52">
              <w:rPr>
                <w:b/>
              </w:rPr>
              <w:t>No.</w:t>
            </w:r>
          </w:p>
        </w:tc>
        <w:tc>
          <w:tcPr>
            <w:tcW w:w="1158" w:type="dxa"/>
            <w:tcBorders>
              <w:top w:val="single" w:sz="4" w:space="0" w:color="auto"/>
              <w:left w:val="nil"/>
              <w:bottom w:val="single" w:sz="4" w:space="0" w:color="auto"/>
            </w:tcBorders>
            <w:shd w:val="clear" w:color="auto" w:fill="auto"/>
            <w:noWrap/>
          </w:tcPr>
          <w:p w:rsidR="00000384" w:rsidRPr="00885D52" w:rsidRDefault="00000384" w:rsidP="00456445">
            <w:pPr>
              <w:pStyle w:val="TableText"/>
              <w:keepNext/>
              <w:jc w:val="center"/>
              <w:rPr>
                <w:b/>
              </w:rPr>
            </w:pPr>
            <w:r w:rsidRPr="00885D52">
              <w:rPr>
                <w:b/>
              </w:rPr>
              <w:t>Rate</w:t>
            </w:r>
          </w:p>
        </w:tc>
      </w:tr>
      <w:tr w:rsidR="00000384" w:rsidRPr="00885D52" w:rsidTr="00C25EFD">
        <w:trPr>
          <w:cantSplit/>
        </w:trPr>
        <w:tc>
          <w:tcPr>
            <w:tcW w:w="993" w:type="dxa"/>
            <w:tcBorders>
              <w:top w:val="single" w:sz="4" w:space="0" w:color="auto"/>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1980</w:t>
            </w:r>
          </w:p>
        </w:tc>
        <w:tc>
          <w:tcPr>
            <w:tcW w:w="1157"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438</w:t>
            </w:r>
          </w:p>
        </w:tc>
        <w:tc>
          <w:tcPr>
            <w:tcW w:w="1158" w:type="dxa"/>
            <w:tcBorders>
              <w:top w:val="single" w:sz="4" w:space="0" w:color="auto"/>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27.4</w:t>
            </w:r>
          </w:p>
        </w:tc>
        <w:tc>
          <w:tcPr>
            <w:tcW w:w="1157" w:type="dxa"/>
            <w:tcBorders>
              <w:top w:val="single" w:sz="4" w:space="0" w:color="auto"/>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184</w:t>
            </w:r>
          </w:p>
        </w:tc>
        <w:tc>
          <w:tcPr>
            <w:tcW w:w="1158" w:type="dxa"/>
            <w:tcBorders>
              <w:top w:val="single" w:sz="4" w:space="0" w:color="auto"/>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11.3</w:t>
            </w:r>
          </w:p>
        </w:tc>
        <w:tc>
          <w:tcPr>
            <w:tcW w:w="1157" w:type="dxa"/>
            <w:tcBorders>
              <w:top w:val="single" w:sz="4" w:space="0" w:color="auto"/>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622</w:t>
            </w:r>
          </w:p>
        </w:tc>
        <w:tc>
          <w:tcPr>
            <w:tcW w:w="1158" w:type="dxa"/>
            <w:tcBorders>
              <w:top w:val="single" w:sz="4" w:space="0" w:color="auto"/>
              <w:left w:val="nil"/>
              <w:bottom w:val="nil"/>
            </w:tcBorders>
            <w:shd w:val="clear" w:color="auto" w:fill="F2F2F2"/>
            <w:noWrap/>
          </w:tcPr>
          <w:p w:rsidR="00000384" w:rsidRPr="00885D52" w:rsidRDefault="00000384" w:rsidP="00C25EFD">
            <w:pPr>
              <w:pStyle w:val="TableText"/>
              <w:keepNext/>
              <w:tabs>
                <w:tab w:val="decimal" w:pos="567"/>
              </w:tabs>
            </w:pPr>
            <w:r w:rsidRPr="00885D52">
              <w:t>19.3</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1981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476</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29.6</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231</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13.6</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707</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21.6</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1982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538</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33.0</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192</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11.6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730</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22.2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1983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461</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27.6</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186</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10.8</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647</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19.2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1984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517</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30.8</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193</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11.1</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710</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21.0</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1985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516</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30.4</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231</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13.4</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747</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21.8</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1986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567</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33.7</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215</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12.4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782</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23.0</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1987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570</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33.4</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265</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15.0</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835</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24.2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1988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537</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31.6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206</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11.5</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743</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21.5</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1989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557</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32.5</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242</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13.8</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799</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23.1</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1990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545</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31.7</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219</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12.2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764</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22.0</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1991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471</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27.8</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210</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11.7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681</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19.7</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1992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462</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27.1</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194</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10.9</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656</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18.8</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1993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438</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25.3</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179</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10.0</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617</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17.6</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1994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419</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24.0</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183</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10.0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602</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16.9</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1995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407</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23.4</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205</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10.9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612</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17.1</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1996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381</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21.9</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156</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8.5</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537</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15.1</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1997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383</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20.8</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167</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8.6</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550</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14.5</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1998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358</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19.4</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171</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8.7</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529</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14.0</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1999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349</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18.7</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184</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9.1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533</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13.8</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2000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322</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17.3</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157</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7.7</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479</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12.5</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2001</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318</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17.2</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151</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7.2</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469</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12.1</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2002</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314</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16.2</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142</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6.8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456</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11.4</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2003</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336</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17.2</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158</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7.4</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494</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12.3</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2004</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314</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15.6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149</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7.1</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463</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11.2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2005</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307</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15.2</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127</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6.0</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434</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10.6</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2006</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283</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13.6</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120</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5.1</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403</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9.2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keepNext/>
              <w:jc w:val="center"/>
            </w:pPr>
            <w:r w:rsidRPr="00885D52">
              <w:t>2007</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300</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keepNext/>
              <w:tabs>
                <w:tab w:val="decimal" w:pos="567"/>
              </w:tabs>
            </w:pPr>
            <w:r w:rsidRPr="00885D52">
              <w:t>14.7</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keepNext/>
              <w:tabs>
                <w:tab w:val="decimal" w:pos="604"/>
              </w:tabs>
            </w:pPr>
            <w:r w:rsidRPr="00885D52">
              <w:t>150</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keepNext/>
              <w:tabs>
                <w:tab w:val="decimal" w:pos="567"/>
              </w:tabs>
            </w:pPr>
            <w:r w:rsidRPr="00885D52">
              <w:t>6.6</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keepNext/>
              <w:jc w:val="center"/>
            </w:pPr>
            <w:r w:rsidRPr="00885D52">
              <w:t>450</w:t>
            </w:r>
          </w:p>
        </w:tc>
        <w:tc>
          <w:tcPr>
            <w:tcW w:w="1158" w:type="dxa"/>
            <w:tcBorders>
              <w:top w:val="nil"/>
              <w:left w:val="nil"/>
              <w:bottom w:val="nil"/>
            </w:tcBorders>
            <w:shd w:val="clear" w:color="auto" w:fill="auto"/>
            <w:noWrap/>
          </w:tcPr>
          <w:p w:rsidR="00000384" w:rsidRPr="00885D52" w:rsidRDefault="00000384" w:rsidP="00C25EFD">
            <w:pPr>
              <w:pStyle w:val="TableText"/>
              <w:keepNext/>
              <w:tabs>
                <w:tab w:val="decimal" w:pos="567"/>
              </w:tabs>
            </w:pPr>
            <w:r w:rsidRPr="00885D52">
              <w:t>10.6</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keepNext/>
              <w:jc w:val="center"/>
            </w:pPr>
            <w:r w:rsidRPr="00885D52">
              <w:t>2008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261</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keepNext/>
              <w:tabs>
                <w:tab w:val="decimal" w:pos="567"/>
              </w:tabs>
            </w:pPr>
            <w:r w:rsidRPr="00885D52">
              <w:t>12.7</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keepNext/>
              <w:tabs>
                <w:tab w:val="decimal" w:pos="604"/>
              </w:tabs>
            </w:pPr>
            <w:r w:rsidRPr="00885D52">
              <w:t>135</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keepNext/>
              <w:tabs>
                <w:tab w:val="decimal" w:pos="567"/>
              </w:tabs>
            </w:pPr>
            <w:r w:rsidRPr="00885D52">
              <w:t>5.8</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keepNext/>
              <w:jc w:val="center"/>
            </w:pPr>
            <w:r w:rsidRPr="00885D52">
              <w:t>396</w:t>
            </w:r>
          </w:p>
        </w:tc>
        <w:tc>
          <w:tcPr>
            <w:tcW w:w="1158" w:type="dxa"/>
            <w:tcBorders>
              <w:top w:val="nil"/>
              <w:left w:val="nil"/>
              <w:bottom w:val="nil"/>
            </w:tcBorders>
            <w:shd w:val="clear" w:color="auto" w:fill="F2F2F2"/>
            <w:noWrap/>
          </w:tcPr>
          <w:p w:rsidR="00000384" w:rsidRPr="00885D52" w:rsidRDefault="00000384" w:rsidP="00C25EFD">
            <w:pPr>
              <w:pStyle w:val="TableText"/>
              <w:keepNext/>
              <w:tabs>
                <w:tab w:val="decimal" w:pos="567"/>
              </w:tabs>
            </w:pPr>
            <w:r w:rsidRPr="00885D52">
              <w:t>9.2</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auto"/>
            <w:noWrap/>
          </w:tcPr>
          <w:p w:rsidR="00000384" w:rsidRPr="00885D52" w:rsidRDefault="00000384" w:rsidP="00456445">
            <w:pPr>
              <w:pStyle w:val="TableText"/>
              <w:jc w:val="center"/>
            </w:pPr>
            <w:r w:rsidRPr="00885D52">
              <w:t>2009</w:t>
            </w:r>
          </w:p>
        </w:tc>
        <w:tc>
          <w:tcPr>
            <w:tcW w:w="1157" w:type="dxa"/>
            <w:tcBorders>
              <w:top w:val="nil"/>
              <w:left w:val="single" w:sz="4" w:space="0" w:color="A6A6A6" w:themeColor="background1" w:themeShade="A6"/>
              <w:bottom w:val="nil"/>
              <w:right w:val="nil"/>
            </w:tcBorders>
            <w:shd w:val="clear" w:color="auto" w:fill="auto"/>
            <w:noWrap/>
          </w:tcPr>
          <w:p w:rsidR="00000384" w:rsidRPr="00885D52" w:rsidRDefault="00000384" w:rsidP="00456445">
            <w:pPr>
              <w:pStyle w:val="TableText"/>
              <w:jc w:val="center"/>
            </w:pPr>
            <w:r w:rsidRPr="00885D52">
              <w:t>286</w:t>
            </w:r>
          </w:p>
        </w:tc>
        <w:tc>
          <w:tcPr>
            <w:tcW w:w="1158" w:type="dxa"/>
            <w:tcBorders>
              <w:top w:val="nil"/>
              <w:left w:val="nil"/>
              <w:bottom w:val="nil"/>
              <w:right w:val="single" w:sz="4" w:space="0" w:color="A6A6A6" w:themeColor="background1" w:themeShade="A6"/>
            </w:tcBorders>
            <w:shd w:val="clear" w:color="auto" w:fill="auto"/>
            <w:noWrap/>
          </w:tcPr>
          <w:p w:rsidR="00000384" w:rsidRPr="00885D52" w:rsidRDefault="00000384" w:rsidP="00C25EFD">
            <w:pPr>
              <w:pStyle w:val="TableText"/>
              <w:tabs>
                <w:tab w:val="decimal" w:pos="567"/>
              </w:tabs>
            </w:pPr>
            <w:r w:rsidRPr="00885D52">
              <w:t>13.5</w:t>
            </w:r>
          </w:p>
        </w:tc>
        <w:tc>
          <w:tcPr>
            <w:tcW w:w="1157" w:type="dxa"/>
            <w:tcBorders>
              <w:top w:val="nil"/>
              <w:left w:val="single" w:sz="4" w:space="0" w:color="A6A6A6" w:themeColor="background1" w:themeShade="A6"/>
              <w:bottom w:val="nil"/>
              <w:right w:val="nil"/>
            </w:tcBorders>
          </w:tcPr>
          <w:p w:rsidR="00000384" w:rsidRPr="00885D52" w:rsidRDefault="00000384" w:rsidP="00C25EFD">
            <w:pPr>
              <w:pStyle w:val="TableText"/>
              <w:tabs>
                <w:tab w:val="decimal" w:pos="604"/>
              </w:tabs>
            </w:pPr>
            <w:r w:rsidRPr="00885D52">
              <w:t>134</w:t>
            </w:r>
          </w:p>
        </w:tc>
        <w:tc>
          <w:tcPr>
            <w:tcW w:w="1158" w:type="dxa"/>
            <w:tcBorders>
              <w:top w:val="nil"/>
              <w:left w:val="nil"/>
              <w:bottom w:val="nil"/>
              <w:right w:val="single" w:sz="4" w:space="0" w:color="A6A6A6" w:themeColor="background1" w:themeShade="A6"/>
            </w:tcBorders>
          </w:tcPr>
          <w:p w:rsidR="00000384" w:rsidRPr="00885D52" w:rsidRDefault="00000384" w:rsidP="00C25EFD">
            <w:pPr>
              <w:pStyle w:val="TableText"/>
              <w:tabs>
                <w:tab w:val="decimal" w:pos="567"/>
              </w:tabs>
            </w:pPr>
            <w:r w:rsidRPr="00885D52">
              <w:t>5.7</w:t>
            </w:r>
          </w:p>
        </w:tc>
        <w:tc>
          <w:tcPr>
            <w:tcW w:w="1157" w:type="dxa"/>
            <w:tcBorders>
              <w:top w:val="nil"/>
              <w:left w:val="single" w:sz="4" w:space="0" w:color="A6A6A6" w:themeColor="background1" w:themeShade="A6"/>
              <w:bottom w:val="nil"/>
              <w:right w:val="nil"/>
            </w:tcBorders>
            <w:shd w:val="clear" w:color="auto" w:fill="auto"/>
            <w:noWrap/>
            <w:vAlign w:val="bottom"/>
          </w:tcPr>
          <w:p w:rsidR="00000384" w:rsidRPr="00885D52" w:rsidRDefault="00000384" w:rsidP="00456445">
            <w:pPr>
              <w:pStyle w:val="TableText"/>
              <w:jc w:val="center"/>
            </w:pPr>
            <w:r w:rsidRPr="00885D52">
              <w:t>420</w:t>
            </w:r>
          </w:p>
        </w:tc>
        <w:tc>
          <w:tcPr>
            <w:tcW w:w="1158" w:type="dxa"/>
            <w:tcBorders>
              <w:top w:val="nil"/>
              <w:left w:val="nil"/>
              <w:bottom w:val="nil"/>
            </w:tcBorders>
            <w:shd w:val="clear" w:color="auto" w:fill="auto"/>
            <w:noWrap/>
            <w:vAlign w:val="bottom"/>
          </w:tcPr>
          <w:p w:rsidR="00000384" w:rsidRPr="00885D52" w:rsidRDefault="00000384" w:rsidP="00C25EFD">
            <w:pPr>
              <w:pStyle w:val="TableText"/>
              <w:tabs>
                <w:tab w:val="decimal" w:pos="567"/>
              </w:tabs>
            </w:pPr>
            <w:r w:rsidRPr="00885D52">
              <w:t>9.5</w:t>
            </w:r>
          </w:p>
        </w:tc>
      </w:tr>
      <w:tr w:rsidR="00000384" w:rsidRPr="00885D52" w:rsidTr="00C25EFD">
        <w:trPr>
          <w:cantSplit/>
        </w:trPr>
        <w:tc>
          <w:tcPr>
            <w:tcW w:w="993" w:type="dxa"/>
            <w:tcBorders>
              <w:top w:val="nil"/>
              <w:bottom w:val="nil"/>
              <w:right w:val="single" w:sz="4" w:space="0" w:color="A6A6A6" w:themeColor="background1" w:themeShade="A6"/>
            </w:tcBorders>
            <w:shd w:val="clear" w:color="auto" w:fill="F2F2F2"/>
            <w:noWrap/>
          </w:tcPr>
          <w:p w:rsidR="00000384" w:rsidRPr="00885D52" w:rsidRDefault="00000384" w:rsidP="00456445">
            <w:pPr>
              <w:pStyle w:val="TableText"/>
              <w:jc w:val="center"/>
            </w:pPr>
            <w:r w:rsidRPr="00885D52">
              <w:t>2010</w:t>
            </w:r>
          </w:p>
        </w:tc>
        <w:tc>
          <w:tcPr>
            <w:tcW w:w="1157" w:type="dxa"/>
            <w:tcBorders>
              <w:top w:val="nil"/>
              <w:left w:val="single" w:sz="4" w:space="0" w:color="A6A6A6" w:themeColor="background1" w:themeShade="A6"/>
              <w:bottom w:val="nil"/>
              <w:right w:val="nil"/>
            </w:tcBorders>
            <w:shd w:val="clear" w:color="auto" w:fill="F2F2F2"/>
            <w:noWrap/>
          </w:tcPr>
          <w:p w:rsidR="00000384" w:rsidRPr="00885D52" w:rsidRDefault="00000384" w:rsidP="00456445">
            <w:pPr>
              <w:pStyle w:val="TableText"/>
              <w:jc w:val="center"/>
            </w:pPr>
            <w:r w:rsidRPr="00885D52">
              <w:t>296</w:t>
            </w:r>
          </w:p>
        </w:tc>
        <w:tc>
          <w:tcPr>
            <w:tcW w:w="1158" w:type="dxa"/>
            <w:tcBorders>
              <w:top w:val="nil"/>
              <w:left w:val="nil"/>
              <w:bottom w:val="nil"/>
              <w:right w:val="single" w:sz="4" w:space="0" w:color="A6A6A6" w:themeColor="background1" w:themeShade="A6"/>
            </w:tcBorders>
            <w:shd w:val="clear" w:color="auto" w:fill="F2F2F2"/>
            <w:noWrap/>
          </w:tcPr>
          <w:p w:rsidR="00000384" w:rsidRPr="00885D52" w:rsidRDefault="00000384" w:rsidP="00C25EFD">
            <w:pPr>
              <w:pStyle w:val="TableText"/>
              <w:tabs>
                <w:tab w:val="decimal" w:pos="567"/>
              </w:tabs>
            </w:pPr>
            <w:r w:rsidRPr="00885D52">
              <w:t>13.4</w:t>
            </w:r>
          </w:p>
        </w:tc>
        <w:tc>
          <w:tcPr>
            <w:tcW w:w="1157" w:type="dxa"/>
            <w:tcBorders>
              <w:top w:val="nil"/>
              <w:left w:val="single" w:sz="4" w:space="0" w:color="A6A6A6" w:themeColor="background1" w:themeShade="A6"/>
              <w:bottom w:val="nil"/>
              <w:right w:val="nil"/>
            </w:tcBorders>
            <w:shd w:val="clear" w:color="auto" w:fill="F2F2F2"/>
          </w:tcPr>
          <w:p w:rsidR="00000384" w:rsidRPr="00885D52" w:rsidRDefault="00000384" w:rsidP="00C25EFD">
            <w:pPr>
              <w:pStyle w:val="TableText"/>
              <w:tabs>
                <w:tab w:val="decimal" w:pos="604"/>
              </w:tabs>
            </w:pPr>
            <w:r w:rsidRPr="00885D52">
              <w:t>120</w:t>
            </w:r>
          </w:p>
        </w:tc>
        <w:tc>
          <w:tcPr>
            <w:tcW w:w="1158" w:type="dxa"/>
            <w:tcBorders>
              <w:top w:val="nil"/>
              <w:left w:val="nil"/>
              <w:bottom w:val="nil"/>
              <w:right w:val="single" w:sz="4" w:space="0" w:color="A6A6A6" w:themeColor="background1" w:themeShade="A6"/>
            </w:tcBorders>
            <w:shd w:val="clear" w:color="auto" w:fill="F2F2F2"/>
          </w:tcPr>
          <w:p w:rsidR="00000384" w:rsidRPr="00885D52" w:rsidRDefault="00000384" w:rsidP="00C25EFD">
            <w:pPr>
              <w:pStyle w:val="TableText"/>
              <w:tabs>
                <w:tab w:val="decimal" w:pos="567"/>
              </w:tabs>
            </w:pPr>
            <w:r w:rsidRPr="00885D52">
              <w:t>4.9</w:t>
            </w:r>
          </w:p>
        </w:tc>
        <w:tc>
          <w:tcPr>
            <w:tcW w:w="1157" w:type="dxa"/>
            <w:tcBorders>
              <w:top w:val="nil"/>
              <w:left w:val="single" w:sz="4" w:space="0" w:color="A6A6A6" w:themeColor="background1" w:themeShade="A6"/>
              <w:bottom w:val="nil"/>
              <w:right w:val="nil"/>
            </w:tcBorders>
            <w:shd w:val="clear" w:color="auto" w:fill="F2F2F2"/>
            <w:noWrap/>
            <w:vAlign w:val="bottom"/>
          </w:tcPr>
          <w:p w:rsidR="00000384" w:rsidRPr="00885D52" w:rsidRDefault="00000384" w:rsidP="00456445">
            <w:pPr>
              <w:pStyle w:val="TableText"/>
              <w:jc w:val="center"/>
            </w:pPr>
            <w:r w:rsidRPr="00885D52">
              <w:t>416</w:t>
            </w:r>
          </w:p>
        </w:tc>
        <w:tc>
          <w:tcPr>
            <w:tcW w:w="1158" w:type="dxa"/>
            <w:tcBorders>
              <w:top w:val="nil"/>
              <w:left w:val="nil"/>
              <w:bottom w:val="nil"/>
            </w:tcBorders>
            <w:shd w:val="clear" w:color="auto" w:fill="F2F2F2"/>
            <w:noWrap/>
            <w:vAlign w:val="bottom"/>
          </w:tcPr>
          <w:p w:rsidR="00000384" w:rsidRPr="00885D52" w:rsidRDefault="00000384" w:rsidP="00C25EFD">
            <w:pPr>
              <w:pStyle w:val="TableText"/>
              <w:tabs>
                <w:tab w:val="decimal" w:pos="567"/>
              </w:tabs>
            </w:pPr>
            <w:r w:rsidRPr="00885D52">
              <w:t>9.1</w:t>
            </w:r>
          </w:p>
        </w:tc>
      </w:tr>
      <w:tr w:rsidR="00000384" w:rsidRPr="00885D52" w:rsidTr="00C25EFD">
        <w:trPr>
          <w:cantSplit/>
        </w:trPr>
        <w:tc>
          <w:tcPr>
            <w:tcW w:w="993" w:type="dxa"/>
            <w:tcBorders>
              <w:top w:val="nil"/>
              <w:bottom w:val="single" w:sz="4" w:space="0" w:color="auto"/>
              <w:right w:val="single" w:sz="4" w:space="0" w:color="A6A6A6" w:themeColor="background1" w:themeShade="A6"/>
            </w:tcBorders>
            <w:shd w:val="clear" w:color="auto" w:fill="auto"/>
            <w:noWrap/>
          </w:tcPr>
          <w:p w:rsidR="00000384" w:rsidRPr="00885D52" w:rsidRDefault="00000384" w:rsidP="00456445">
            <w:pPr>
              <w:pStyle w:val="TableText"/>
              <w:jc w:val="center"/>
            </w:pPr>
            <w:r w:rsidRPr="00885D52">
              <w:t>2011</w:t>
            </w:r>
          </w:p>
        </w:tc>
        <w:tc>
          <w:tcPr>
            <w:tcW w:w="1157"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456445">
            <w:pPr>
              <w:pStyle w:val="TableText"/>
              <w:jc w:val="center"/>
            </w:pPr>
            <w:r w:rsidRPr="00885D52">
              <w:t>221</w:t>
            </w:r>
          </w:p>
        </w:tc>
        <w:tc>
          <w:tcPr>
            <w:tcW w:w="1158" w:type="dxa"/>
            <w:tcBorders>
              <w:top w:val="nil"/>
              <w:left w:val="nil"/>
              <w:bottom w:val="single" w:sz="4" w:space="0" w:color="auto"/>
              <w:right w:val="single" w:sz="4" w:space="0" w:color="A6A6A6" w:themeColor="background1" w:themeShade="A6"/>
            </w:tcBorders>
            <w:shd w:val="clear" w:color="auto" w:fill="auto"/>
            <w:noWrap/>
          </w:tcPr>
          <w:p w:rsidR="00000384" w:rsidRPr="00885D52" w:rsidRDefault="00000384" w:rsidP="00C25EFD">
            <w:pPr>
              <w:pStyle w:val="TableText"/>
              <w:tabs>
                <w:tab w:val="decimal" w:pos="567"/>
              </w:tabs>
            </w:pPr>
            <w:r w:rsidRPr="00885D52">
              <w:t>9.8</w:t>
            </w:r>
          </w:p>
        </w:tc>
        <w:tc>
          <w:tcPr>
            <w:tcW w:w="1157" w:type="dxa"/>
            <w:tcBorders>
              <w:top w:val="nil"/>
              <w:left w:val="single" w:sz="4" w:space="0" w:color="A6A6A6" w:themeColor="background1" w:themeShade="A6"/>
              <w:bottom w:val="single" w:sz="4" w:space="0" w:color="auto"/>
              <w:right w:val="nil"/>
            </w:tcBorders>
            <w:shd w:val="clear" w:color="auto" w:fill="auto"/>
          </w:tcPr>
          <w:p w:rsidR="00000384" w:rsidRPr="00885D52" w:rsidRDefault="00000384" w:rsidP="00C25EFD">
            <w:pPr>
              <w:pStyle w:val="TableText"/>
              <w:tabs>
                <w:tab w:val="decimal" w:pos="604"/>
              </w:tabs>
            </w:pPr>
            <w:r w:rsidRPr="00885D52">
              <w:t>84</w:t>
            </w:r>
          </w:p>
        </w:tc>
        <w:tc>
          <w:tcPr>
            <w:tcW w:w="1158" w:type="dxa"/>
            <w:tcBorders>
              <w:top w:val="nil"/>
              <w:left w:val="nil"/>
              <w:bottom w:val="single" w:sz="4" w:space="0" w:color="auto"/>
              <w:right w:val="single" w:sz="4" w:space="0" w:color="A6A6A6" w:themeColor="background1" w:themeShade="A6"/>
            </w:tcBorders>
            <w:shd w:val="clear" w:color="auto" w:fill="auto"/>
          </w:tcPr>
          <w:p w:rsidR="00000384" w:rsidRPr="00885D52" w:rsidRDefault="00000384" w:rsidP="00C25EFD">
            <w:pPr>
              <w:pStyle w:val="TableText"/>
              <w:tabs>
                <w:tab w:val="decimal" w:pos="567"/>
              </w:tabs>
            </w:pPr>
            <w:r w:rsidRPr="00885D52">
              <w:t>3.3</w:t>
            </w:r>
          </w:p>
        </w:tc>
        <w:tc>
          <w:tcPr>
            <w:tcW w:w="1157" w:type="dxa"/>
            <w:tcBorders>
              <w:top w:val="nil"/>
              <w:left w:val="single" w:sz="4" w:space="0" w:color="A6A6A6" w:themeColor="background1" w:themeShade="A6"/>
              <w:bottom w:val="single" w:sz="4" w:space="0" w:color="auto"/>
              <w:right w:val="nil"/>
            </w:tcBorders>
            <w:shd w:val="clear" w:color="auto" w:fill="auto"/>
            <w:noWrap/>
          </w:tcPr>
          <w:p w:rsidR="00000384" w:rsidRPr="00885D52" w:rsidRDefault="00000384" w:rsidP="00456445">
            <w:pPr>
              <w:pStyle w:val="TableText"/>
              <w:jc w:val="center"/>
            </w:pPr>
            <w:r w:rsidRPr="00885D52">
              <w:t>305</w:t>
            </w:r>
          </w:p>
        </w:tc>
        <w:tc>
          <w:tcPr>
            <w:tcW w:w="1158" w:type="dxa"/>
            <w:tcBorders>
              <w:top w:val="nil"/>
              <w:left w:val="nil"/>
              <w:bottom w:val="single" w:sz="4" w:space="0" w:color="auto"/>
            </w:tcBorders>
            <w:shd w:val="clear" w:color="auto" w:fill="auto"/>
            <w:noWrap/>
          </w:tcPr>
          <w:p w:rsidR="00000384" w:rsidRPr="00885D52" w:rsidRDefault="00000384" w:rsidP="00C25EFD">
            <w:pPr>
              <w:pStyle w:val="TableText"/>
              <w:tabs>
                <w:tab w:val="decimal" w:pos="567"/>
              </w:tabs>
            </w:pPr>
            <w:r w:rsidRPr="00885D52">
              <w:t>6.5</w:t>
            </w:r>
          </w:p>
        </w:tc>
      </w:tr>
    </w:tbl>
    <w:bookmarkEnd w:id="579"/>
    <w:p w:rsidR="00000384" w:rsidRPr="00885D52" w:rsidRDefault="00000384" w:rsidP="00C25EFD">
      <w:pPr>
        <w:pStyle w:val="Note"/>
      </w:pPr>
      <w:r w:rsidRPr="00885D52">
        <w:t>Note: Rates per 100,000 population, age-standardised to WHO World Standard Population.</w:t>
      </w:r>
    </w:p>
    <w:p w:rsidR="00000384" w:rsidRPr="00885D52" w:rsidRDefault="00000384" w:rsidP="00C25EFD"/>
    <w:p w:rsidR="00000384" w:rsidRPr="00885D52" w:rsidRDefault="00000384" w:rsidP="00456766">
      <w:pPr>
        <w:keepNext/>
      </w:pPr>
      <w:r w:rsidRPr="00885D52">
        <w:lastRenderedPageBreak/>
        <w:t>Figure 34 shows numbers and rates of deaths from motor vehicle accidents between 1950 and 2011. Mortality rates in 2011 were the lowest of all years shown for both sexes (9.8 per 100,000 for males and 3.3 per 100,000 for females).</w:t>
      </w:r>
    </w:p>
    <w:p w:rsidR="00000384" w:rsidRPr="00885D52" w:rsidRDefault="00000384" w:rsidP="00456766">
      <w:pPr>
        <w:keepNext/>
      </w:pPr>
    </w:p>
    <w:p w:rsidR="00000384" w:rsidRPr="00885D52" w:rsidRDefault="00000384" w:rsidP="00C25EFD">
      <w:pPr>
        <w:pStyle w:val="Figure"/>
      </w:pPr>
      <w:bookmarkStart w:id="580" w:name="_Toc400536133"/>
      <w:bookmarkStart w:id="581" w:name="_Toc403120608"/>
      <w:r w:rsidRPr="00885D52">
        <w:t>Figure 34: Numbers and age-standardised mortality rates for motor vehicle accidents, by sex, 1950–2011</w:t>
      </w:r>
      <w:bookmarkEnd w:id="580"/>
      <w:bookmarkEnd w:id="581"/>
    </w:p>
    <w:p w:rsidR="00000384" w:rsidRPr="00885D52" w:rsidRDefault="00DC509C" w:rsidP="00DC509C">
      <w:r w:rsidRPr="00885D52">
        <w:rPr>
          <w:noProof/>
          <w:lang w:eastAsia="en-NZ"/>
        </w:rPr>
        <w:drawing>
          <wp:inline distT="0" distB="0" distL="0" distR="0" wp14:anchorId="1C69DEDB" wp14:editId="24974902">
            <wp:extent cx="5029200" cy="3064803"/>
            <wp:effectExtent l="0" t="0" r="0" b="2540"/>
            <wp:docPr id="59" name="Picture 59" title="Figure 34: Numbers and age-standardised mortality rates for motor vehicle accidents,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34858" cy="3068251"/>
                    </a:xfrm>
                    <a:prstGeom prst="rect">
                      <a:avLst/>
                    </a:prstGeom>
                  </pic:spPr>
                </pic:pic>
              </a:graphicData>
            </a:graphic>
          </wp:inline>
        </w:drawing>
      </w:r>
    </w:p>
    <w:p w:rsidR="00000384" w:rsidRPr="00885D52" w:rsidRDefault="00000384" w:rsidP="00DC509C">
      <w:pPr>
        <w:pStyle w:val="Note"/>
      </w:pPr>
      <w:r w:rsidRPr="00885D52">
        <w:t>Note: Rates per 100,000 population, age-standardised to WHO World Standard Population.</w:t>
      </w:r>
    </w:p>
    <w:p w:rsidR="00000384" w:rsidRPr="00885D52" w:rsidRDefault="00000384" w:rsidP="00DC509C"/>
    <w:p w:rsidR="00000384" w:rsidRPr="00885D52" w:rsidRDefault="00000384" w:rsidP="00DC509C">
      <w:r w:rsidRPr="00885D52">
        <w:t>Table 23 shows the 2011 percentage distribution of deaths and age-specific mortality rates from motor vehicle accidents for four age groupings for Māori and non-Māori.</w:t>
      </w:r>
    </w:p>
    <w:p w:rsidR="00000384" w:rsidRPr="00885D52" w:rsidRDefault="00000384" w:rsidP="00DC509C"/>
    <w:p w:rsidR="00000384" w:rsidRPr="00885D52" w:rsidRDefault="00000384" w:rsidP="00DC509C">
      <w:pPr>
        <w:pStyle w:val="Table"/>
      </w:pPr>
      <w:bookmarkStart w:id="582" w:name="_Toc262631247"/>
      <w:bookmarkStart w:id="583" w:name="_Toc316912740"/>
      <w:bookmarkStart w:id="584" w:name="_Toc352670672"/>
      <w:bookmarkStart w:id="585" w:name="_Toc400536163"/>
      <w:bookmarkStart w:id="586" w:name="_Toc403120568"/>
      <w:r w:rsidRPr="00885D52">
        <w:t xml:space="preserve">Table 23: </w:t>
      </w:r>
      <w:bookmarkEnd w:id="582"/>
      <w:r w:rsidRPr="00885D52">
        <w:t>Age distribution of deaths from motor vehicle accidents, percentages and age-specific rates, by ethnicity and sex, 20</w:t>
      </w:r>
      <w:bookmarkEnd w:id="583"/>
      <w:r w:rsidRPr="00885D52">
        <w:t>1</w:t>
      </w:r>
      <w:bookmarkEnd w:id="584"/>
      <w:r w:rsidRPr="00885D52">
        <w:t>1</w:t>
      </w:r>
      <w:bookmarkEnd w:id="585"/>
      <w:bookmarkEnd w:id="586"/>
    </w:p>
    <w:tbl>
      <w:tblPr>
        <w:tblW w:w="9356" w:type="dxa"/>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720"/>
        <w:gridCol w:w="721"/>
        <w:gridCol w:w="720"/>
        <w:gridCol w:w="721"/>
        <w:gridCol w:w="720"/>
        <w:gridCol w:w="721"/>
        <w:gridCol w:w="721"/>
        <w:gridCol w:w="720"/>
        <w:gridCol w:w="721"/>
        <w:gridCol w:w="720"/>
        <w:gridCol w:w="721"/>
        <w:gridCol w:w="721"/>
      </w:tblGrid>
      <w:tr w:rsidR="00000384" w:rsidRPr="00885D52" w:rsidTr="007E73A8">
        <w:trPr>
          <w:cantSplit/>
        </w:trPr>
        <w:tc>
          <w:tcPr>
            <w:tcW w:w="709" w:type="dxa"/>
            <w:vMerge w:val="restart"/>
            <w:tcBorders>
              <w:top w:val="single" w:sz="4" w:space="0" w:color="auto"/>
              <w:bottom w:val="single" w:sz="4" w:space="0" w:color="auto"/>
            </w:tcBorders>
            <w:shd w:val="clear" w:color="auto" w:fill="auto"/>
            <w:noWrap/>
            <w:vAlign w:val="center"/>
          </w:tcPr>
          <w:p w:rsidR="00000384" w:rsidRPr="00885D52" w:rsidRDefault="00000384" w:rsidP="007E73A8">
            <w:pPr>
              <w:pStyle w:val="TableText"/>
              <w:keepNext/>
              <w:rPr>
                <w:b/>
                <w:lang w:eastAsia="en-NZ"/>
              </w:rPr>
            </w:pPr>
            <w:r w:rsidRPr="00885D52">
              <w:rPr>
                <w:b/>
                <w:lang w:eastAsia="en-NZ"/>
              </w:rPr>
              <w:t>Age group</w:t>
            </w:r>
          </w:p>
        </w:tc>
        <w:tc>
          <w:tcPr>
            <w:tcW w:w="4323" w:type="dxa"/>
            <w:gridSpan w:val="6"/>
            <w:tcBorders>
              <w:top w:val="single" w:sz="4" w:space="0" w:color="auto"/>
              <w:bottom w:val="single" w:sz="4" w:space="0" w:color="auto"/>
            </w:tcBorders>
            <w:shd w:val="clear" w:color="auto" w:fill="auto"/>
            <w:noWrap/>
          </w:tcPr>
          <w:p w:rsidR="00000384" w:rsidRPr="00885D52" w:rsidRDefault="00000384" w:rsidP="007E73A8">
            <w:pPr>
              <w:pStyle w:val="TableText"/>
              <w:keepNext/>
              <w:jc w:val="center"/>
              <w:rPr>
                <w:b/>
              </w:rPr>
            </w:pPr>
            <w:r w:rsidRPr="00885D52">
              <w:rPr>
                <w:b/>
              </w:rPr>
              <w:t>Percentage</w:t>
            </w:r>
          </w:p>
        </w:tc>
        <w:tc>
          <w:tcPr>
            <w:tcW w:w="4324" w:type="dxa"/>
            <w:gridSpan w:val="6"/>
            <w:tcBorders>
              <w:top w:val="single" w:sz="4" w:space="0" w:color="auto"/>
              <w:bottom w:val="single" w:sz="4" w:space="0" w:color="auto"/>
            </w:tcBorders>
            <w:shd w:val="clear" w:color="auto" w:fill="auto"/>
            <w:noWrap/>
          </w:tcPr>
          <w:p w:rsidR="00000384" w:rsidRPr="00885D52" w:rsidRDefault="00000384" w:rsidP="007E73A8">
            <w:pPr>
              <w:pStyle w:val="TableText"/>
              <w:keepNext/>
              <w:jc w:val="center"/>
              <w:rPr>
                <w:b/>
              </w:rPr>
            </w:pPr>
            <w:r w:rsidRPr="00885D52">
              <w:rPr>
                <w:b/>
              </w:rPr>
              <w:t>Age-specific rate</w:t>
            </w:r>
          </w:p>
        </w:tc>
      </w:tr>
      <w:tr w:rsidR="00000384" w:rsidRPr="00885D52" w:rsidTr="007E73A8">
        <w:trPr>
          <w:cantSplit/>
        </w:trPr>
        <w:tc>
          <w:tcPr>
            <w:tcW w:w="709" w:type="dxa"/>
            <w:vMerge/>
            <w:tcBorders>
              <w:top w:val="single" w:sz="4" w:space="0" w:color="auto"/>
              <w:bottom w:val="single" w:sz="4" w:space="0" w:color="auto"/>
            </w:tcBorders>
            <w:shd w:val="clear" w:color="auto" w:fill="auto"/>
          </w:tcPr>
          <w:p w:rsidR="00000384" w:rsidRPr="00885D52" w:rsidRDefault="00000384" w:rsidP="007E73A8">
            <w:pPr>
              <w:pStyle w:val="TableText"/>
              <w:keepNext/>
              <w:rPr>
                <w:b/>
                <w:lang w:eastAsia="en-NZ"/>
              </w:rPr>
            </w:pPr>
          </w:p>
        </w:tc>
        <w:tc>
          <w:tcPr>
            <w:tcW w:w="2161"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rPr>
            </w:pPr>
            <w:r w:rsidRPr="00885D52">
              <w:rPr>
                <w:b/>
              </w:rPr>
              <w:t>Māori</w:t>
            </w:r>
          </w:p>
        </w:tc>
        <w:tc>
          <w:tcPr>
            <w:tcW w:w="2162"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7E73A8">
            <w:pPr>
              <w:pStyle w:val="TableText"/>
              <w:keepNext/>
              <w:jc w:val="center"/>
              <w:rPr>
                <w:b/>
              </w:rPr>
            </w:pPr>
            <w:r w:rsidRPr="00885D52">
              <w:rPr>
                <w:b/>
              </w:rPr>
              <w:t>Non-Māori</w:t>
            </w:r>
          </w:p>
        </w:tc>
        <w:tc>
          <w:tcPr>
            <w:tcW w:w="2162" w:type="dxa"/>
            <w:gridSpan w:val="3"/>
            <w:tcBorders>
              <w:top w:val="single" w:sz="4" w:space="0" w:color="auto"/>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rPr>
            </w:pPr>
            <w:r w:rsidRPr="00885D52">
              <w:rPr>
                <w:b/>
              </w:rPr>
              <w:t>Māori</w:t>
            </w:r>
          </w:p>
        </w:tc>
        <w:tc>
          <w:tcPr>
            <w:tcW w:w="2162" w:type="dxa"/>
            <w:gridSpan w:val="3"/>
            <w:tcBorders>
              <w:top w:val="single" w:sz="4" w:space="0" w:color="auto"/>
              <w:left w:val="single" w:sz="4" w:space="0" w:color="A6A6A6"/>
              <w:bottom w:val="single" w:sz="4" w:space="0" w:color="auto"/>
            </w:tcBorders>
            <w:shd w:val="clear" w:color="auto" w:fill="auto"/>
            <w:noWrap/>
          </w:tcPr>
          <w:p w:rsidR="00000384" w:rsidRPr="00885D52" w:rsidRDefault="00000384" w:rsidP="007E73A8">
            <w:pPr>
              <w:pStyle w:val="TableText"/>
              <w:keepNext/>
              <w:jc w:val="center"/>
              <w:rPr>
                <w:b/>
              </w:rPr>
            </w:pPr>
            <w:r w:rsidRPr="00885D52">
              <w:rPr>
                <w:b/>
              </w:rPr>
              <w:t>Non-Māori</w:t>
            </w:r>
          </w:p>
        </w:tc>
      </w:tr>
      <w:tr w:rsidR="00000384" w:rsidRPr="00885D52" w:rsidTr="007E73A8">
        <w:trPr>
          <w:cantSplit/>
        </w:trPr>
        <w:tc>
          <w:tcPr>
            <w:tcW w:w="709" w:type="dxa"/>
            <w:vMerge/>
            <w:tcBorders>
              <w:top w:val="single" w:sz="4" w:space="0" w:color="auto"/>
              <w:bottom w:val="single" w:sz="4" w:space="0" w:color="auto"/>
              <w:right w:val="single" w:sz="4" w:space="0" w:color="auto"/>
            </w:tcBorders>
            <w:shd w:val="clear" w:color="auto" w:fill="auto"/>
          </w:tcPr>
          <w:p w:rsidR="00000384" w:rsidRPr="00885D52" w:rsidRDefault="00000384" w:rsidP="007E73A8">
            <w:pPr>
              <w:pStyle w:val="TableText"/>
              <w:keepNext/>
              <w:rPr>
                <w:b/>
                <w:lang w:eastAsia="en-NZ"/>
              </w:rPr>
            </w:pPr>
          </w:p>
        </w:tc>
        <w:tc>
          <w:tcPr>
            <w:tcW w:w="720" w:type="dxa"/>
            <w:tcBorders>
              <w:top w:val="single" w:sz="4" w:space="0" w:color="auto"/>
              <w:left w:val="single" w:sz="4" w:space="0" w:color="auto"/>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Total</w:t>
            </w:r>
          </w:p>
        </w:tc>
        <w:tc>
          <w:tcPr>
            <w:tcW w:w="721"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Male</w:t>
            </w:r>
          </w:p>
        </w:tc>
        <w:tc>
          <w:tcPr>
            <w:tcW w:w="720"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rPr>
            </w:pPr>
            <w:r w:rsidRPr="00885D52">
              <w:rPr>
                <w:b/>
              </w:rPr>
              <w:t>Female</w:t>
            </w:r>
          </w:p>
        </w:tc>
        <w:tc>
          <w:tcPr>
            <w:tcW w:w="721"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Total</w:t>
            </w:r>
          </w:p>
        </w:tc>
        <w:tc>
          <w:tcPr>
            <w:tcW w:w="720"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Male</w:t>
            </w:r>
          </w:p>
        </w:tc>
        <w:tc>
          <w:tcPr>
            <w:tcW w:w="721" w:type="dxa"/>
            <w:tcBorders>
              <w:top w:val="single" w:sz="4" w:space="0" w:color="auto"/>
              <w:left w:val="nil"/>
              <w:bottom w:val="single" w:sz="4" w:space="0" w:color="auto"/>
              <w:right w:val="single" w:sz="4" w:space="0" w:color="auto"/>
            </w:tcBorders>
            <w:shd w:val="clear" w:color="auto" w:fill="auto"/>
            <w:noWrap/>
          </w:tcPr>
          <w:p w:rsidR="00000384" w:rsidRPr="00885D52" w:rsidRDefault="00000384" w:rsidP="007E73A8">
            <w:pPr>
              <w:pStyle w:val="TableText"/>
              <w:keepNext/>
              <w:jc w:val="center"/>
              <w:rPr>
                <w:b/>
              </w:rPr>
            </w:pPr>
            <w:r w:rsidRPr="00885D52">
              <w:rPr>
                <w:b/>
              </w:rPr>
              <w:t>Female</w:t>
            </w:r>
          </w:p>
        </w:tc>
        <w:tc>
          <w:tcPr>
            <w:tcW w:w="721" w:type="dxa"/>
            <w:tcBorders>
              <w:top w:val="single" w:sz="4" w:space="0" w:color="auto"/>
              <w:left w:val="single" w:sz="4" w:space="0" w:color="auto"/>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Total</w:t>
            </w:r>
          </w:p>
        </w:tc>
        <w:tc>
          <w:tcPr>
            <w:tcW w:w="720"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Male</w:t>
            </w:r>
          </w:p>
        </w:tc>
        <w:tc>
          <w:tcPr>
            <w:tcW w:w="721" w:type="dxa"/>
            <w:tcBorders>
              <w:top w:val="single" w:sz="4" w:space="0" w:color="auto"/>
              <w:left w:val="nil"/>
              <w:bottom w:val="single" w:sz="4" w:space="0" w:color="auto"/>
              <w:right w:val="single" w:sz="4" w:space="0" w:color="A6A6A6"/>
            </w:tcBorders>
            <w:shd w:val="clear" w:color="auto" w:fill="auto"/>
            <w:noWrap/>
          </w:tcPr>
          <w:p w:rsidR="00000384" w:rsidRPr="00885D52" w:rsidRDefault="00000384" w:rsidP="007E73A8">
            <w:pPr>
              <w:pStyle w:val="TableText"/>
              <w:keepNext/>
              <w:jc w:val="center"/>
              <w:rPr>
                <w:b/>
              </w:rPr>
            </w:pPr>
            <w:r w:rsidRPr="00885D52">
              <w:rPr>
                <w:b/>
              </w:rPr>
              <w:t>Female</w:t>
            </w:r>
          </w:p>
        </w:tc>
        <w:tc>
          <w:tcPr>
            <w:tcW w:w="720" w:type="dxa"/>
            <w:tcBorders>
              <w:top w:val="single" w:sz="4" w:space="0" w:color="auto"/>
              <w:left w:val="single" w:sz="4" w:space="0" w:color="A6A6A6"/>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Total</w:t>
            </w:r>
          </w:p>
        </w:tc>
        <w:tc>
          <w:tcPr>
            <w:tcW w:w="721" w:type="dxa"/>
            <w:tcBorders>
              <w:top w:val="single" w:sz="4" w:space="0" w:color="auto"/>
              <w:left w:val="nil"/>
              <w:bottom w:val="single" w:sz="4" w:space="0" w:color="auto"/>
              <w:right w:val="nil"/>
            </w:tcBorders>
            <w:shd w:val="clear" w:color="auto" w:fill="auto"/>
            <w:noWrap/>
          </w:tcPr>
          <w:p w:rsidR="00000384" w:rsidRPr="00885D52" w:rsidRDefault="00000384" w:rsidP="007E73A8">
            <w:pPr>
              <w:pStyle w:val="TableText"/>
              <w:keepNext/>
              <w:jc w:val="center"/>
              <w:rPr>
                <w:b/>
              </w:rPr>
            </w:pPr>
            <w:r w:rsidRPr="00885D52">
              <w:rPr>
                <w:b/>
              </w:rPr>
              <w:t>Male</w:t>
            </w:r>
          </w:p>
        </w:tc>
        <w:tc>
          <w:tcPr>
            <w:tcW w:w="721" w:type="dxa"/>
            <w:tcBorders>
              <w:top w:val="single" w:sz="4" w:space="0" w:color="auto"/>
              <w:left w:val="nil"/>
              <w:bottom w:val="single" w:sz="4" w:space="0" w:color="auto"/>
            </w:tcBorders>
            <w:shd w:val="clear" w:color="auto" w:fill="auto"/>
            <w:noWrap/>
          </w:tcPr>
          <w:p w:rsidR="00000384" w:rsidRPr="00885D52" w:rsidRDefault="00000384" w:rsidP="007E73A8">
            <w:pPr>
              <w:pStyle w:val="TableText"/>
              <w:keepNext/>
              <w:jc w:val="center"/>
              <w:rPr>
                <w:b/>
              </w:rPr>
            </w:pPr>
            <w:r w:rsidRPr="00885D52">
              <w:rPr>
                <w:b/>
              </w:rPr>
              <w:t>Female</w:t>
            </w:r>
          </w:p>
        </w:tc>
      </w:tr>
      <w:tr w:rsidR="00000384" w:rsidRPr="00885D52" w:rsidTr="00DC509C">
        <w:trPr>
          <w:cantSplit/>
        </w:trPr>
        <w:tc>
          <w:tcPr>
            <w:tcW w:w="709" w:type="dxa"/>
            <w:tcBorders>
              <w:top w:val="single" w:sz="4" w:space="0" w:color="auto"/>
              <w:bottom w:val="nil"/>
              <w:right w:val="single" w:sz="4" w:space="0" w:color="auto"/>
            </w:tcBorders>
            <w:shd w:val="clear" w:color="auto" w:fill="F2F2F2"/>
            <w:noWrap/>
          </w:tcPr>
          <w:p w:rsidR="00000384" w:rsidRPr="00885D52" w:rsidRDefault="00000384" w:rsidP="007E73A8">
            <w:pPr>
              <w:pStyle w:val="TableText"/>
              <w:keepNext/>
            </w:pPr>
            <w:r w:rsidRPr="00885D52">
              <w:t>&lt;25</w:t>
            </w:r>
          </w:p>
        </w:tc>
        <w:tc>
          <w:tcPr>
            <w:tcW w:w="720" w:type="dxa"/>
            <w:tcBorders>
              <w:top w:val="single" w:sz="4" w:space="0" w:color="auto"/>
              <w:left w:val="single" w:sz="4" w:space="0" w:color="auto"/>
              <w:bottom w:val="nil"/>
              <w:right w:val="nil"/>
            </w:tcBorders>
            <w:shd w:val="clear" w:color="auto" w:fill="F2F2F2"/>
            <w:noWrap/>
          </w:tcPr>
          <w:p w:rsidR="00000384" w:rsidRPr="00885D52" w:rsidRDefault="00000384" w:rsidP="00DC509C">
            <w:pPr>
              <w:pStyle w:val="TableText"/>
              <w:keepNext/>
              <w:tabs>
                <w:tab w:val="decimal" w:pos="369"/>
              </w:tabs>
            </w:pPr>
            <w:r w:rsidRPr="00885D52">
              <w:t>48.5</w:t>
            </w:r>
          </w:p>
        </w:tc>
        <w:tc>
          <w:tcPr>
            <w:tcW w:w="721" w:type="dxa"/>
            <w:tcBorders>
              <w:top w:val="single" w:sz="4" w:space="0" w:color="auto"/>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46.2</w:t>
            </w:r>
          </w:p>
        </w:tc>
        <w:tc>
          <w:tcPr>
            <w:tcW w:w="720" w:type="dxa"/>
            <w:tcBorders>
              <w:top w:val="single" w:sz="4" w:space="0" w:color="auto"/>
              <w:left w:val="nil"/>
              <w:bottom w:val="nil"/>
              <w:right w:val="single" w:sz="4" w:space="0" w:color="A6A6A6"/>
            </w:tcBorders>
            <w:shd w:val="clear" w:color="auto" w:fill="F2F2F2"/>
            <w:noWrap/>
          </w:tcPr>
          <w:p w:rsidR="00000384" w:rsidRPr="00885D52" w:rsidRDefault="00000384" w:rsidP="00DC509C">
            <w:pPr>
              <w:pStyle w:val="TableText"/>
              <w:keepNext/>
              <w:tabs>
                <w:tab w:val="decimal" w:pos="369"/>
              </w:tabs>
            </w:pPr>
            <w:r w:rsidRPr="00885D52">
              <w:t>56.3</w:t>
            </w:r>
          </w:p>
        </w:tc>
        <w:tc>
          <w:tcPr>
            <w:tcW w:w="721" w:type="dxa"/>
            <w:tcBorders>
              <w:top w:val="single" w:sz="4" w:space="0" w:color="auto"/>
              <w:left w:val="single" w:sz="4" w:space="0" w:color="A6A6A6"/>
              <w:bottom w:val="nil"/>
              <w:right w:val="nil"/>
            </w:tcBorders>
            <w:shd w:val="clear" w:color="auto" w:fill="F2F2F2"/>
            <w:noWrap/>
          </w:tcPr>
          <w:p w:rsidR="00000384" w:rsidRPr="00885D52" w:rsidRDefault="00000384" w:rsidP="00DC509C">
            <w:pPr>
              <w:pStyle w:val="TableText"/>
              <w:keepNext/>
              <w:tabs>
                <w:tab w:val="decimal" w:pos="369"/>
              </w:tabs>
            </w:pPr>
            <w:r w:rsidRPr="00885D52">
              <w:t>27.8</w:t>
            </w:r>
          </w:p>
        </w:tc>
        <w:tc>
          <w:tcPr>
            <w:tcW w:w="720" w:type="dxa"/>
            <w:tcBorders>
              <w:top w:val="single" w:sz="4" w:space="0" w:color="auto"/>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29.6</w:t>
            </w:r>
          </w:p>
        </w:tc>
        <w:tc>
          <w:tcPr>
            <w:tcW w:w="721" w:type="dxa"/>
            <w:tcBorders>
              <w:top w:val="single" w:sz="4" w:space="0" w:color="auto"/>
              <w:left w:val="nil"/>
              <w:bottom w:val="nil"/>
              <w:right w:val="single" w:sz="4" w:space="0" w:color="auto"/>
            </w:tcBorders>
            <w:shd w:val="clear" w:color="auto" w:fill="F2F2F2"/>
            <w:noWrap/>
          </w:tcPr>
          <w:p w:rsidR="00000384" w:rsidRPr="00885D52" w:rsidRDefault="00000384" w:rsidP="00DC509C">
            <w:pPr>
              <w:pStyle w:val="TableText"/>
              <w:keepNext/>
              <w:tabs>
                <w:tab w:val="decimal" w:pos="369"/>
              </w:tabs>
            </w:pPr>
            <w:r w:rsidRPr="00885D52">
              <w:t>23.5</w:t>
            </w:r>
          </w:p>
        </w:tc>
        <w:tc>
          <w:tcPr>
            <w:tcW w:w="721" w:type="dxa"/>
            <w:tcBorders>
              <w:top w:val="single" w:sz="4" w:space="0" w:color="auto"/>
              <w:left w:val="single" w:sz="4" w:space="0" w:color="auto"/>
              <w:bottom w:val="nil"/>
              <w:right w:val="nil"/>
            </w:tcBorders>
            <w:shd w:val="clear" w:color="auto" w:fill="F2F2F2"/>
            <w:noWrap/>
          </w:tcPr>
          <w:p w:rsidR="00000384" w:rsidRPr="00885D52" w:rsidRDefault="00000384" w:rsidP="00DC509C">
            <w:pPr>
              <w:pStyle w:val="TableText"/>
              <w:keepNext/>
              <w:tabs>
                <w:tab w:val="decimal" w:pos="369"/>
              </w:tabs>
            </w:pPr>
            <w:r w:rsidRPr="00885D52">
              <w:t>9.2</w:t>
            </w:r>
          </w:p>
        </w:tc>
        <w:tc>
          <w:tcPr>
            <w:tcW w:w="720" w:type="dxa"/>
            <w:tcBorders>
              <w:top w:val="single" w:sz="4" w:space="0" w:color="auto"/>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13.1</w:t>
            </w:r>
          </w:p>
        </w:tc>
        <w:tc>
          <w:tcPr>
            <w:tcW w:w="721" w:type="dxa"/>
            <w:tcBorders>
              <w:top w:val="single" w:sz="4" w:space="0" w:color="auto"/>
              <w:left w:val="nil"/>
              <w:bottom w:val="nil"/>
              <w:right w:val="single" w:sz="4" w:space="0" w:color="A6A6A6"/>
            </w:tcBorders>
            <w:shd w:val="clear" w:color="auto" w:fill="F2F2F2"/>
            <w:noWrap/>
          </w:tcPr>
          <w:p w:rsidR="00000384" w:rsidRPr="00885D52" w:rsidRDefault="00000384" w:rsidP="00DC509C">
            <w:pPr>
              <w:pStyle w:val="TableText"/>
              <w:keepNext/>
              <w:tabs>
                <w:tab w:val="decimal" w:pos="369"/>
              </w:tabs>
            </w:pPr>
            <w:r w:rsidRPr="00885D52">
              <w:t>5.2</w:t>
            </w:r>
          </w:p>
        </w:tc>
        <w:tc>
          <w:tcPr>
            <w:tcW w:w="720" w:type="dxa"/>
            <w:tcBorders>
              <w:top w:val="single" w:sz="4" w:space="0" w:color="auto"/>
              <w:left w:val="single" w:sz="4" w:space="0" w:color="A6A6A6"/>
              <w:bottom w:val="nil"/>
              <w:right w:val="nil"/>
            </w:tcBorders>
            <w:shd w:val="clear" w:color="auto" w:fill="F2F2F2"/>
            <w:noWrap/>
          </w:tcPr>
          <w:p w:rsidR="00000384" w:rsidRPr="00885D52" w:rsidRDefault="00000384" w:rsidP="00DC509C">
            <w:pPr>
              <w:pStyle w:val="TableText"/>
              <w:keepNext/>
              <w:tabs>
                <w:tab w:val="decimal" w:pos="369"/>
              </w:tabs>
            </w:pPr>
            <w:r w:rsidRPr="00885D52">
              <w:t>5.6</w:t>
            </w:r>
          </w:p>
        </w:tc>
        <w:tc>
          <w:tcPr>
            <w:tcW w:w="721" w:type="dxa"/>
            <w:tcBorders>
              <w:top w:val="single" w:sz="4" w:space="0" w:color="auto"/>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8.2</w:t>
            </w:r>
          </w:p>
        </w:tc>
        <w:tc>
          <w:tcPr>
            <w:tcW w:w="721" w:type="dxa"/>
            <w:tcBorders>
              <w:top w:val="single" w:sz="4" w:space="0" w:color="auto"/>
              <w:left w:val="nil"/>
              <w:bottom w:val="nil"/>
            </w:tcBorders>
            <w:shd w:val="clear" w:color="auto" w:fill="F2F2F2"/>
            <w:noWrap/>
          </w:tcPr>
          <w:p w:rsidR="00000384" w:rsidRPr="00885D52" w:rsidRDefault="00000384" w:rsidP="00DC509C">
            <w:pPr>
              <w:pStyle w:val="TableText"/>
              <w:keepNext/>
              <w:tabs>
                <w:tab w:val="decimal" w:pos="369"/>
              </w:tabs>
            </w:pPr>
            <w:r w:rsidRPr="00885D52">
              <w:t>2.8</w:t>
            </w:r>
          </w:p>
        </w:tc>
      </w:tr>
      <w:tr w:rsidR="00000384" w:rsidRPr="00885D52" w:rsidTr="00DC509C">
        <w:trPr>
          <w:cantSplit/>
        </w:trPr>
        <w:tc>
          <w:tcPr>
            <w:tcW w:w="709" w:type="dxa"/>
            <w:tcBorders>
              <w:top w:val="nil"/>
              <w:bottom w:val="nil"/>
              <w:right w:val="single" w:sz="4" w:space="0" w:color="auto"/>
            </w:tcBorders>
            <w:shd w:val="clear" w:color="auto" w:fill="auto"/>
            <w:noWrap/>
          </w:tcPr>
          <w:p w:rsidR="00000384" w:rsidRPr="00885D52" w:rsidRDefault="00000384" w:rsidP="007E73A8">
            <w:pPr>
              <w:pStyle w:val="TableText"/>
              <w:keepNext/>
            </w:pPr>
            <w:r w:rsidRPr="00885D52">
              <w:t>25–44</w:t>
            </w:r>
          </w:p>
        </w:tc>
        <w:tc>
          <w:tcPr>
            <w:tcW w:w="720" w:type="dxa"/>
            <w:tcBorders>
              <w:top w:val="nil"/>
              <w:left w:val="single" w:sz="4" w:space="0" w:color="auto"/>
              <w:bottom w:val="nil"/>
              <w:right w:val="nil"/>
            </w:tcBorders>
            <w:shd w:val="clear" w:color="auto" w:fill="auto"/>
            <w:noWrap/>
          </w:tcPr>
          <w:p w:rsidR="00000384" w:rsidRPr="00885D52" w:rsidRDefault="00000384" w:rsidP="00DC509C">
            <w:pPr>
              <w:pStyle w:val="TableText"/>
              <w:keepNext/>
              <w:tabs>
                <w:tab w:val="decimal" w:pos="369"/>
              </w:tabs>
            </w:pPr>
            <w:r w:rsidRPr="00885D52">
              <w:t>26.5</w:t>
            </w:r>
          </w:p>
        </w:tc>
        <w:tc>
          <w:tcPr>
            <w:tcW w:w="721" w:type="dxa"/>
            <w:tcBorders>
              <w:top w:val="nil"/>
              <w:left w:val="nil"/>
              <w:bottom w:val="nil"/>
              <w:right w:val="nil"/>
            </w:tcBorders>
            <w:shd w:val="clear" w:color="auto" w:fill="auto"/>
            <w:noWrap/>
          </w:tcPr>
          <w:p w:rsidR="00000384" w:rsidRPr="00885D52" w:rsidRDefault="00000384" w:rsidP="00DC509C">
            <w:pPr>
              <w:pStyle w:val="TableText"/>
              <w:keepNext/>
              <w:tabs>
                <w:tab w:val="decimal" w:pos="369"/>
              </w:tabs>
            </w:pPr>
            <w:r w:rsidRPr="00885D52">
              <w:t>30.8</w:t>
            </w:r>
          </w:p>
        </w:tc>
        <w:tc>
          <w:tcPr>
            <w:tcW w:w="720" w:type="dxa"/>
            <w:tcBorders>
              <w:top w:val="nil"/>
              <w:left w:val="nil"/>
              <w:bottom w:val="nil"/>
              <w:right w:val="single" w:sz="4" w:space="0" w:color="A6A6A6"/>
            </w:tcBorders>
            <w:shd w:val="clear" w:color="auto" w:fill="auto"/>
            <w:noWrap/>
          </w:tcPr>
          <w:p w:rsidR="00000384" w:rsidRPr="00885D52" w:rsidRDefault="00000384" w:rsidP="00DC509C">
            <w:pPr>
              <w:pStyle w:val="TableText"/>
              <w:keepNext/>
              <w:tabs>
                <w:tab w:val="decimal" w:pos="369"/>
              </w:tabs>
            </w:pPr>
            <w:r w:rsidRPr="00885D52">
              <w:t>12.5</w:t>
            </w:r>
          </w:p>
        </w:tc>
        <w:tc>
          <w:tcPr>
            <w:tcW w:w="721" w:type="dxa"/>
            <w:tcBorders>
              <w:top w:val="nil"/>
              <w:left w:val="single" w:sz="4" w:space="0" w:color="A6A6A6"/>
              <w:bottom w:val="nil"/>
              <w:right w:val="nil"/>
            </w:tcBorders>
            <w:shd w:val="clear" w:color="auto" w:fill="auto"/>
            <w:noWrap/>
          </w:tcPr>
          <w:p w:rsidR="00000384" w:rsidRPr="00885D52" w:rsidRDefault="00000384" w:rsidP="00DC509C">
            <w:pPr>
              <w:pStyle w:val="TableText"/>
              <w:keepNext/>
              <w:tabs>
                <w:tab w:val="decimal" w:pos="369"/>
              </w:tabs>
            </w:pPr>
            <w:r w:rsidRPr="00885D52">
              <w:t>23.6</w:t>
            </w:r>
          </w:p>
        </w:tc>
        <w:tc>
          <w:tcPr>
            <w:tcW w:w="720" w:type="dxa"/>
            <w:tcBorders>
              <w:top w:val="nil"/>
              <w:left w:val="nil"/>
              <w:bottom w:val="nil"/>
              <w:right w:val="nil"/>
            </w:tcBorders>
            <w:shd w:val="clear" w:color="auto" w:fill="auto"/>
            <w:noWrap/>
          </w:tcPr>
          <w:p w:rsidR="00000384" w:rsidRPr="00885D52" w:rsidRDefault="00000384" w:rsidP="00DC509C">
            <w:pPr>
              <w:pStyle w:val="TableText"/>
              <w:keepNext/>
              <w:tabs>
                <w:tab w:val="decimal" w:pos="369"/>
              </w:tabs>
            </w:pPr>
            <w:r w:rsidRPr="00885D52">
              <w:t>24.9</w:t>
            </w:r>
          </w:p>
        </w:tc>
        <w:tc>
          <w:tcPr>
            <w:tcW w:w="721" w:type="dxa"/>
            <w:tcBorders>
              <w:top w:val="nil"/>
              <w:left w:val="nil"/>
              <w:bottom w:val="nil"/>
              <w:right w:val="single" w:sz="4" w:space="0" w:color="auto"/>
            </w:tcBorders>
            <w:shd w:val="clear" w:color="auto" w:fill="auto"/>
            <w:noWrap/>
          </w:tcPr>
          <w:p w:rsidR="00000384" w:rsidRPr="00885D52" w:rsidRDefault="00000384" w:rsidP="00DC509C">
            <w:pPr>
              <w:pStyle w:val="TableText"/>
              <w:keepNext/>
              <w:tabs>
                <w:tab w:val="decimal" w:pos="369"/>
              </w:tabs>
            </w:pPr>
            <w:r w:rsidRPr="00885D52">
              <w:t>20.6</w:t>
            </w:r>
          </w:p>
        </w:tc>
        <w:tc>
          <w:tcPr>
            <w:tcW w:w="721" w:type="dxa"/>
            <w:tcBorders>
              <w:top w:val="nil"/>
              <w:left w:val="single" w:sz="4" w:space="0" w:color="auto"/>
              <w:bottom w:val="nil"/>
              <w:right w:val="nil"/>
            </w:tcBorders>
            <w:shd w:val="clear" w:color="auto" w:fill="auto"/>
            <w:noWrap/>
          </w:tcPr>
          <w:p w:rsidR="00000384" w:rsidRPr="00885D52" w:rsidRDefault="00000384" w:rsidP="00DC509C">
            <w:pPr>
              <w:pStyle w:val="TableText"/>
              <w:keepNext/>
              <w:tabs>
                <w:tab w:val="decimal" w:pos="369"/>
              </w:tabs>
            </w:pPr>
            <w:r w:rsidRPr="00885D52">
              <w:t>10.7</w:t>
            </w:r>
          </w:p>
        </w:tc>
        <w:tc>
          <w:tcPr>
            <w:tcW w:w="720" w:type="dxa"/>
            <w:tcBorders>
              <w:top w:val="nil"/>
              <w:left w:val="nil"/>
              <w:bottom w:val="nil"/>
              <w:right w:val="nil"/>
            </w:tcBorders>
            <w:shd w:val="clear" w:color="auto" w:fill="auto"/>
            <w:noWrap/>
          </w:tcPr>
          <w:p w:rsidR="00000384" w:rsidRPr="00885D52" w:rsidRDefault="00000384" w:rsidP="00DC509C">
            <w:pPr>
              <w:pStyle w:val="TableText"/>
              <w:keepNext/>
              <w:tabs>
                <w:tab w:val="decimal" w:pos="369"/>
              </w:tabs>
            </w:pPr>
            <w:r w:rsidRPr="00885D52">
              <w:t>20.4</w:t>
            </w:r>
          </w:p>
        </w:tc>
        <w:tc>
          <w:tcPr>
            <w:tcW w:w="721" w:type="dxa"/>
            <w:tcBorders>
              <w:top w:val="nil"/>
              <w:left w:val="nil"/>
              <w:bottom w:val="nil"/>
              <w:right w:val="single" w:sz="4" w:space="0" w:color="A6A6A6"/>
            </w:tcBorders>
            <w:shd w:val="clear" w:color="auto" w:fill="auto"/>
            <w:noWrap/>
          </w:tcPr>
          <w:p w:rsidR="00000384" w:rsidRPr="00885D52" w:rsidRDefault="00000384" w:rsidP="00DC509C">
            <w:pPr>
              <w:pStyle w:val="TableText"/>
              <w:keepNext/>
              <w:tabs>
                <w:tab w:val="decimal" w:pos="369"/>
              </w:tabs>
            </w:pPr>
            <w:r w:rsidRPr="00885D52">
              <w:t>2.2</w:t>
            </w:r>
          </w:p>
        </w:tc>
        <w:tc>
          <w:tcPr>
            <w:tcW w:w="720" w:type="dxa"/>
            <w:tcBorders>
              <w:top w:val="nil"/>
              <w:left w:val="single" w:sz="4" w:space="0" w:color="A6A6A6"/>
              <w:bottom w:val="nil"/>
              <w:right w:val="nil"/>
            </w:tcBorders>
            <w:shd w:val="clear" w:color="auto" w:fill="auto"/>
            <w:noWrap/>
          </w:tcPr>
          <w:p w:rsidR="00000384" w:rsidRPr="00885D52" w:rsidRDefault="00000384" w:rsidP="00DC509C">
            <w:pPr>
              <w:pStyle w:val="TableText"/>
              <w:keepNext/>
              <w:tabs>
                <w:tab w:val="decimal" w:pos="369"/>
              </w:tabs>
            </w:pPr>
            <w:r w:rsidRPr="00885D52">
              <w:t>5.6</w:t>
            </w:r>
          </w:p>
        </w:tc>
        <w:tc>
          <w:tcPr>
            <w:tcW w:w="721" w:type="dxa"/>
            <w:tcBorders>
              <w:top w:val="nil"/>
              <w:left w:val="nil"/>
              <w:bottom w:val="nil"/>
              <w:right w:val="nil"/>
            </w:tcBorders>
            <w:shd w:val="clear" w:color="auto" w:fill="auto"/>
            <w:noWrap/>
          </w:tcPr>
          <w:p w:rsidR="00000384" w:rsidRPr="00885D52" w:rsidRDefault="00000384" w:rsidP="00DC509C">
            <w:pPr>
              <w:pStyle w:val="TableText"/>
              <w:keepNext/>
              <w:tabs>
                <w:tab w:val="decimal" w:pos="369"/>
              </w:tabs>
            </w:pPr>
            <w:r w:rsidRPr="00885D52">
              <w:t>8.6</w:t>
            </w:r>
          </w:p>
        </w:tc>
        <w:tc>
          <w:tcPr>
            <w:tcW w:w="721" w:type="dxa"/>
            <w:tcBorders>
              <w:top w:val="nil"/>
              <w:left w:val="nil"/>
              <w:bottom w:val="nil"/>
            </w:tcBorders>
            <w:shd w:val="clear" w:color="auto" w:fill="auto"/>
            <w:noWrap/>
          </w:tcPr>
          <w:p w:rsidR="00000384" w:rsidRPr="00885D52" w:rsidRDefault="00000384" w:rsidP="00DC509C">
            <w:pPr>
              <w:pStyle w:val="TableText"/>
              <w:keepNext/>
              <w:tabs>
                <w:tab w:val="decimal" w:pos="369"/>
              </w:tabs>
            </w:pPr>
            <w:r w:rsidRPr="00885D52">
              <w:t>2.7</w:t>
            </w:r>
          </w:p>
        </w:tc>
      </w:tr>
      <w:tr w:rsidR="00000384" w:rsidRPr="00885D52" w:rsidTr="00DC509C">
        <w:trPr>
          <w:cantSplit/>
        </w:trPr>
        <w:tc>
          <w:tcPr>
            <w:tcW w:w="709" w:type="dxa"/>
            <w:tcBorders>
              <w:top w:val="nil"/>
              <w:bottom w:val="nil"/>
              <w:right w:val="single" w:sz="4" w:space="0" w:color="auto"/>
            </w:tcBorders>
            <w:shd w:val="clear" w:color="auto" w:fill="F2F2F2"/>
            <w:noWrap/>
          </w:tcPr>
          <w:p w:rsidR="00000384" w:rsidRPr="00885D52" w:rsidRDefault="00000384" w:rsidP="007E73A8">
            <w:pPr>
              <w:pStyle w:val="TableText"/>
              <w:keepNext/>
            </w:pPr>
            <w:r w:rsidRPr="00885D52">
              <w:t>45–64</w:t>
            </w:r>
          </w:p>
        </w:tc>
        <w:tc>
          <w:tcPr>
            <w:tcW w:w="720" w:type="dxa"/>
            <w:tcBorders>
              <w:top w:val="nil"/>
              <w:left w:val="single" w:sz="4" w:space="0" w:color="auto"/>
              <w:bottom w:val="nil"/>
              <w:right w:val="nil"/>
            </w:tcBorders>
            <w:shd w:val="clear" w:color="auto" w:fill="F2F2F2"/>
            <w:noWrap/>
          </w:tcPr>
          <w:p w:rsidR="00000384" w:rsidRPr="00885D52" w:rsidRDefault="00000384" w:rsidP="00DC509C">
            <w:pPr>
              <w:pStyle w:val="TableText"/>
              <w:keepNext/>
              <w:tabs>
                <w:tab w:val="decimal" w:pos="369"/>
              </w:tabs>
            </w:pPr>
            <w:r w:rsidRPr="00885D52">
              <w:t>19.1</w:t>
            </w:r>
          </w:p>
        </w:tc>
        <w:tc>
          <w:tcPr>
            <w:tcW w:w="721" w:type="dxa"/>
            <w:tcBorders>
              <w:top w:val="nil"/>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21.2</w:t>
            </w:r>
          </w:p>
        </w:tc>
        <w:tc>
          <w:tcPr>
            <w:tcW w:w="720" w:type="dxa"/>
            <w:tcBorders>
              <w:top w:val="nil"/>
              <w:left w:val="nil"/>
              <w:bottom w:val="nil"/>
              <w:right w:val="single" w:sz="4" w:space="0" w:color="A6A6A6"/>
            </w:tcBorders>
            <w:shd w:val="clear" w:color="auto" w:fill="F2F2F2"/>
            <w:noWrap/>
          </w:tcPr>
          <w:p w:rsidR="00000384" w:rsidRPr="00885D52" w:rsidRDefault="00000384" w:rsidP="00DC509C">
            <w:pPr>
              <w:pStyle w:val="TableText"/>
              <w:keepNext/>
              <w:tabs>
                <w:tab w:val="decimal" w:pos="369"/>
              </w:tabs>
            </w:pPr>
            <w:r w:rsidRPr="00885D52">
              <w:t>12.5</w:t>
            </w:r>
          </w:p>
        </w:tc>
        <w:tc>
          <w:tcPr>
            <w:tcW w:w="721" w:type="dxa"/>
            <w:tcBorders>
              <w:top w:val="nil"/>
              <w:left w:val="single" w:sz="4" w:space="0" w:color="A6A6A6"/>
              <w:bottom w:val="nil"/>
              <w:right w:val="nil"/>
            </w:tcBorders>
            <w:shd w:val="clear" w:color="auto" w:fill="F2F2F2"/>
            <w:noWrap/>
          </w:tcPr>
          <w:p w:rsidR="00000384" w:rsidRPr="00885D52" w:rsidRDefault="00000384" w:rsidP="00DC509C">
            <w:pPr>
              <w:pStyle w:val="TableText"/>
              <w:keepNext/>
              <w:tabs>
                <w:tab w:val="decimal" w:pos="369"/>
              </w:tabs>
            </w:pPr>
            <w:r w:rsidRPr="00885D52">
              <w:t>23.6</w:t>
            </w:r>
          </w:p>
        </w:tc>
        <w:tc>
          <w:tcPr>
            <w:tcW w:w="720" w:type="dxa"/>
            <w:tcBorders>
              <w:top w:val="nil"/>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26.6</w:t>
            </w:r>
          </w:p>
        </w:tc>
        <w:tc>
          <w:tcPr>
            <w:tcW w:w="721" w:type="dxa"/>
            <w:tcBorders>
              <w:top w:val="nil"/>
              <w:left w:val="nil"/>
              <w:bottom w:val="nil"/>
              <w:right w:val="single" w:sz="4" w:space="0" w:color="auto"/>
            </w:tcBorders>
            <w:shd w:val="clear" w:color="auto" w:fill="F2F2F2"/>
            <w:noWrap/>
          </w:tcPr>
          <w:p w:rsidR="00000384" w:rsidRPr="00885D52" w:rsidRDefault="00000384" w:rsidP="00DC509C">
            <w:pPr>
              <w:pStyle w:val="TableText"/>
              <w:keepNext/>
              <w:tabs>
                <w:tab w:val="decimal" w:pos="369"/>
              </w:tabs>
            </w:pPr>
            <w:r w:rsidRPr="00885D52">
              <w:t>16.2</w:t>
            </w:r>
          </w:p>
        </w:tc>
        <w:tc>
          <w:tcPr>
            <w:tcW w:w="721" w:type="dxa"/>
            <w:tcBorders>
              <w:top w:val="nil"/>
              <w:left w:val="single" w:sz="4" w:space="0" w:color="auto"/>
              <w:bottom w:val="nil"/>
              <w:right w:val="nil"/>
            </w:tcBorders>
            <w:shd w:val="clear" w:color="auto" w:fill="F2F2F2"/>
            <w:noWrap/>
          </w:tcPr>
          <w:p w:rsidR="00000384" w:rsidRPr="00885D52" w:rsidRDefault="00000384" w:rsidP="00DC509C">
            <w:pPr>
              <w:pStyle w:val="TableText"/>
              <w:keepNext/>
              <w:tabs>
                <w:tab w:val="decimal" w:pos="369"/>
              </w:tabs>
            </w:pPr>
            <w:r w:rsidRPr="00885D52">
              <w:t>11.2</w:t>
            </w:r>
          </w:p>
        </w:tc>
        <w:tc>
          <w:tcPr>
            <w:tcW w:w="720" w:type="dxa"/>
            <w:tcBorders>
              <w:top w:val="nil"/>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20.0</w:t>
            </w:r>
          </w:p>
        </w:tc>
        <w:tc>
          <w:tcPr>
            <w:tcW w:w="721" w:type="dxa"/>
            <w:tcBorders>
              <w:top w:val="nil"/>
              <w:left w:val="nil"/>
              <w:bottom w:val="nil"/>
              <w:right w:val="single" w:sz="4" w:space="0" w:color="A6A6A6"/>
            </w:tcBorders>
            <w:shd w:val="clear" w:color="auto" w:fill="F2F2F2"/>
            <w:noWrap/>
          </w:tcPr>
          <w:p w:rsidR="00000384" w:rsidRPr="00885D52" w:rsidRDefault="00000384" w:rsidP="00DC509C">
            <w:pPr>
              <w:pStyle w:val="TableText"/>
              <w:keepNext/>
              <w:tabs>
                <w:tab w:val="decimal" w:pos="369"/>
              </w:tabs>
            </w:pPr>
            <w:r w:rsidRPr="00885D52">
              <w:t>3.3</w:t>
            </w:r>
          </w:p>
        </w:tc>
        <w:tc>
          <w:tcPr>
            <w:tcW w:w="720" w:type="dxa"/>
            <w:tcBorders>
              <w:top w:val="nil"/>
              <w:left w:val="single" w:sz="4" w:space="0" w:color="A6A6A6"/>
              <w:bottom w:val="nil"/>
              <w:right w:val="nil"/>
            </w:tcBorders>
            <w:shd w:val="clear" w:color="auto" w:fill="F2F2F2"/>
            <w:noWrap/>
          </w:tcPr>
          <w:p w:rsidR="00000384" w:rsidRPr="00885D52" w:rsidRDefault="00000384" w:rsidP="00DC509C">
            <w:pPr>
              <w:pStyle w:val="TableText"/>
              <w:keepNext/>
              <w:tabs>
                <w:tab w:val="decimal" w:pos="369"/>
              </w:tabs>
            </w:pPr>
            <w:r w:rsidRPr="00885D52">
              <w:t>5.6</w:t>
            </w:r>
          </w:p>
        </w:tc>
        <w:tc>
          <w:tcPr>
            <w:tcW w:w="721" w:type="dxa"/>
            <w:tcBorders>
              <w:top w:val="nil"/>
              <w:left w:val="nil"/>
              <w:bottom w:val="nil"/>
              <w:right w:val="nil"/>
            </w:tcBorders>
            <w:shd w:val="clear" w:color="auto" w:fill="F2F2F2"/>
            <w:noWrap/>
          </w:tcPr>
          <w:p w:rsidR="00000384" w:rsidRPr="00885D52" w:rsidRDefault="00000384" w:rsidP="00DC509C">
            <w:pPr>
              <w:pStyle w:val="TableText"/>
              <w:keepNext/>
              <w:tabs>
                <w:tab w:val="decimal" w:pos="369"/>
              </w:tabs>
            </w:pPr>
            <w:r w:rsidRPr="00885D52">
              <w:t>9.2</w:t>
            </w:r>
          </w:p>
        </w:tc>
        <w:tc>
          <w:tcPr>
            <w:tcW w:w="721" w:type="dxa"/>
            <w:tcBorders>
              <w:top w:val="nil"/>
              <w:left w:val="nil"/>
              <w:bottom w:val="nil"/>
            </w:tcBorders>
            <w:shd w:val="clear" w:color="auto" w:fill="F2F2F2"/>
            <w:noWrap/>
          </w:tcPr>
          <w:p w:rsidR="00000384" w:rsidRPr="00885D52" w:rsidRDefault="00000384" w:rsidP="00DC509C">
            <w:pPr>
              <w:pStyle w:val="TableText"/>
              <w:keepNext/>
              <w:tabs>
                <w:tab w:val="decimal" w:pos="369"/>
              </w:tabs>
            </w:pPr>
            <w:r w:rsidRPr="00885D52">
              <w:t>2.2</w:t>
            </w:r>
          </w:p>
        </w:tc>
      </w:tr>
      <w:tr w:rsidR="00000384" w:rsidRPr="00885D52" w:rsidTr="00DC509C">
        <w:trPr>
          <w:cantSplit/>
        </w:trPr>
        <w:tc>
          <w:tcPr>
            <w:tcW w:w="709" w:type="dxa"/>
            <w:tcBorders>
              <w:top w:val="nil"/>
              <w:bottom w:val="single" w:sz="4" w:space="0" w:color="auto"/>
              <w:right w:val="single" w:sz="4" w:space="0" w:color="auto"/>
            </w:tcBorders>
            <w:shd w:val="clear" w:color="auto" w:fill="auto"/>
            <w:noWrap/>
          </w:tcPr>
          <w:p w:rsidR="00000384" w:rsidRPr="00885D52" w:rsidRDefault="00000384" w:rsidP="007E73A8">
            <w:pPr>
              <w:pStyle w:val="TableText"/>
              <w:keepNext/>
            </w:pPr>
            <w:r w:rsidRPr="00885D52">
              <w:t>65+</w:t>
            </w:r>
          </w:p>
        </w:tc>
        <w:tc>
          <w:tcPr>
            <w:tcW w:w="720" w:type="dxa"/>
            <w:tcBorders>
              <w:top w:val="nil"/>
              <w:left w:val="single" w:sz="4" w:space="0" w:color="auto"/>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5.9</w:t>
            </w:r>
          </w:p>
        </w:tc>
        <w:tc>
          <w:tcPr>
            <w:tcW w:w="721" w:type="dxa"/>
            <w:tcBorders>
              <w:top w:val="nil"/>
              <w:left w:val="nil"/>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1.9</w:t>
            </w:r>
          </w:p>
        </w:tc>
        <w:tc>
          <w:tcPr>
            <w:tcW w:w="720" w:type="dxa"/>
            <w:tcBorders>
              <w:top w:val="nil"/>
              <w:left w:val="nil"/>
              <w:bottom w:val="single" w:sz="4" w:space="0" w:color="auto"/>
              <w:right w:val="single" w:sz="4" w:space="0" w:color="A6A6A6"/>
            </w:tcBorders>
            <w:shd w:val="clear" w:color="auto" w:fill="auto"/>
            <w:noWrap/>
          </w:tcPr>
          <w:p w:rsidR="00000384" w:rsidRPr="00885D52" w:rsidRDefault="00000384" w:rsidP="00DC509C">
            <w:pPr>
              <w:pStyle w:val="TableText"/>
              <w:keepNext/>
              <w:tabs>
                <w:tab w:val="decimal" w:pos="369"/>
              </w:tabs>
            </w:pPr>
            <w:r w:rsidRPr="00885D52">
              <w:t>18.8</w:t>
            </w:r>
          </w:p>
        </w:tc>
        <w:tc>
          <w:tcPr>
            <w:tcW w:w="721" w:type="dxa"/>
            <w:tcBorders>
              <w:top w:val="nil"/>
              <w:left w:val="single" w:sz="4" w:space="0" w:color="A6A6A6"/>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24.9</w:t>
            </w:r>
          </w:p>
        </w:tc>
        <w:tc>
          <w:tcPr>
            <w:tcW w:w="720" w:type="dxa"/>
            <w:tcBorders>
              <w:top w:val="nil"/>
              <w:left w:val="nil"/>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18.9</w:t>
            </w:r>
          </w:p>
        </w:tc>
        <w:tc>
          <w:tcPr>
            <w:tcW w:w="721" w:type="dxa"/>
            <w:tcBorders>
              <w:top w:val="nil"/>
              <w:left w:val="nil"/>
              <w:bottom w:val="single" w:sz="4" w:space="0" w:color="auto"/>
              <w:right w:val="single" w:sz="4" w:space="0" w:color="auto"/>
            </w:tcBorders>
            <w:shd w:val="clear" w:color="auto" w:fill="auto"/>
            <w:noWrap/>
          </w:tcPr>
          <w:p w:rsidR="00000384" w:rsidRPr="00885D52" w:rsidRDefault="00000384" w:rsidP="00DC509C">
            <w:pPr>
              <w:pStyle w:val="TableText"/>
              <w:keepNext/>
              <w:tabs>
                <w:tab w:val="decimal" w:pos="369"/>
              </w:tabs>
            </w:pPr>
            <w:r w:rsidRPr="00885D52">
              <w:t>39.7</w:t>
            </w:r>
          </w:p>
        </w:tc>
        <w:tc>
          <w:tcPr>
            <w:tcW w:w="721" w:type="dxa"/>
            <w:tcBorders>
              <w:top w:val="nil"/>
              <w:left w:val="single" w:sz="4" w:space="0" w:color="auto"/>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12.3</w:t>
            </w:r>
          </w:p>
        </w:tc>
        <w:tc>
          <w:tcPr>
            <w:tcW w:w="720" w:type="dxa"/>
            <w:tcBorders>
              <w:top w:val="nil"/>
              <w:left w:val="nil"/>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6.7</w:t>
            </w:r>
          </w:p>
        </w:tc>
        <w:tc>
          <w:tcPr>
            <w:tcW w:w="721" w:type="dxa"/>
            <w:tcBorders>
              <w:top w:val="nil"/>
              <w:left w:val="nil"/>
              <w:bottom w:val="single" w:sz="4" w:space="0" w:color="auto"/>
              <w:right w:val="single" w:sz="4" w:space="0" w:color="A6A6A6"/>
            </w:tcBorders>
            <w:shd w:val="clear" w:color="auto" w:fill="auto"/>
            <w:noWrap/>
          </w:tcPr>
          <w:p w:rsidR="00000384" w:rsidRPr="00885D52" w:rsidRDefault="00000384" w:rsidP="00DC509C">
            <w:pPr>
              <w:pStyle w:val="TableText"/>
              <w:keepNext/>
              <w:tabs>
                <w:tab w:val="decimal" w:pos="369"/>
              </w:tabs>
            </w:pPr>
            <w:r w:rsidRPr="00885D52">
              <w:t>17.0</w:t>
            </w:r>
          </w:p>
        </w:tc>
        <w:tc>
          <w:tcPr>
            <w:tcW w:w="720" w:type="dxa"/>
            <w:tcBorders>
              <w:top w:val="nil"/>
              <w:left w:val="single" w:sz="4" w:space="0" w:color="A6A6A6"/>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10.6</w:t>
            </w:r>
          </w:p>
        </w:tc>
        <w:tc>
          <w:tcPr>
            <w:tcW w:w="721" w:type="dxa"/>
            <w:tcBorders>
              <w:top w:val="nil"/>
              <w:left w:val="nil"/>
              <w:bottom w:val="single" w:sz="4" w:space="0" w:color="auto"/>
              <w:right w:val="nil"/>
            </w:tcBorders>
            <w:shd w:val="clear" w:color="auto" w:fill="auto"/>
            <w:noWrap/>
          </w:tcPr>
          <w:p w:rsidR="00000384" w:rsidRPr="00885D52" w:rsidRDefault="00000384" w:rsidP="00DC509C">
            <w:pPr>
              <w:pStyle w:val="TableText"/>
              <w:keepNext/>
              <w:tabs>
                <w:tab w:val="decimal" w:pos="369"/>
              </w:tabs>
            </w:pPr>
            <w:r w:rsidRPr="00885D52">
              <w:t>12.6</w:t>
            </w:r>
          </w:p>
        </w:tc>
        <w:tc>
          <w:tcPr>
            <w:tcW w:w="721" w:type="dxa"/>
            <w:tcBorders>
              <w:top w:val="nil"/>
              <w:left w:val="nil"/>
              <w:bottom w:val="single" w:sz="4" w:space="0" w:color="auto"/>
            </w:tcBorders>
            <w:shd w:val="clear" w:color="auto" w:fill="auto"/>
            <w:noWrap/>
          </w:tcPr>
          <w:p w:rsidR="00000384" w:rsidRPr="00885D52" w:rsidRDefault="00000384" w:rsidP="00DC509C">
            <w:pPr>
              <w:pStyle w:val="TableText"/>
              <w:keepNext/>
              <w:tabs>
                <w:tab w:val="decimal" w:pos="369"/>
              </w:tabs>
            </w:pPr>
            <w:r w:rsidRPr="00885D52">
              <w:t>9.0</w:t>
            </w:r>
          </w:p>
        </w:tc>
      </w:tr>
    </w:tbl>
    <w:p w:rsidR="00000384" w:rsidRPr="00885D52" w:rsidRDefault="00000384" w:rsidP="00DC509C">
      <w:pPr>
        <w:pStyle w:val="Note"/>
        <w:ind w:right="0"/>
      </w:pPr>
      <w:r w:rsidRPr="00885D52">
        <w:t>Note: Rates per 100,000 population.</w:t>
      </w:r>
    </w:p>
    <w:p w:rsidR="00000384" w:rsidRPr="00885D52" w:rsidRDefault="00000384" w:rsidP="00DC509C"/>
    <w:p w:rsidR="00000384" w:rsidRPr="00885D52" w:rsidRDefault="00000384" w:rsidP="00DC509C">
      <w:r w:rsidRPr="00885D52">
        <w:t>Motor vehicle accident deaths within the Māori population were distributed toward the younger age groups in 2011; almost half occurred in people below the age of 25.</w:t>
      </w:r>
    </w:p>
    <w:p w:rsidR="00000384" w:rsidRPr="00885D52" w:rsidRDefault="00000384" w:rsidP="00DC509C"/>
    <w:p w:rsidR="00000384" w:rsidRPr="00885D52" w:rsidRDefault="00000384" w:rsidP="00DC509C">
      <w:r w:rsidRPr="00885D52">
        <w:t>The non-Māori population had a more even distribution of deaths from motor vehicle accidents, although for non-Māori females two in every five deaths occurred in those aged 65 and over.</w:t>
      </w:r>
    </w:p>
    <w:p w:rsidR="00000384" w:rsidRPr="00885D52" w:rsidRDefault="00000384" w:rsidP="00DC509C"/>
    <w:p w:rsidR="008D5D23" w:rsidRPr="00885D52" w:rsidRDefault="00000384" w:rsidP="00456766">
      <w:pPr>
        <w:keepNext/>
      </w:pPr>
      <w:r w:rsidRPr="00885D52">
        <w:lastRenderedPageBreak/>
        <w:t xml:space="preserve">Figure 35 shows age-standardised mortality rates for motor vehicle accidents by sex and ethnicity from 1996 to 2011. For all groups, rates were significantly lower in 2011 compared </w:t>
      </w:r>
      <w:r w:rsidR="00491B19">
        <w:t>with</w:t>
      </w:r>
      <w:r w:rsidRPr="00885D52">
        <w:t xml:space="preserve"> 1996 (using 95 percent confidence intervals).</w:t>
      </w:r>
    </w:p>
    <w:p w:rsidR="00000384" w:rsidRPr="00885D52" w:rsidRDefault="00000384" w:rsidP="00456766">
      <w:pPr>
        <w:keepNext/>
      </w:pPr>
    </w:p>
    <w:p w:rsidR="00000384" w:rsidRDefault="00000384" w:rsidP="00DC509C">
      <w:pPr>
        <w:pStyle w:val="Figure"/>
      </w:pPr>
      <w:bookmarkStart w:id="587" w:name="_Toc400536134"/>
      <w:bookmarkStart w:id="588" w:name="_Toc403120609"/>
      <w:r w:rsidRPr="00885D52">
        <w:t>Figure 35: Age-standardised mortality rates for motor vehicle accidents, by sex and ethnicity, 1996–2011</w:t>
      </w:r>
      <w:bookmarkEnd w:id="587"/>
      <w:bookmarkEnd w:id="588"/>
    </w:p>
    <w:p w:rsidR="00000384" w:rsidRPr="00885D52" w:rsidRDefault="0065587A" w:rsidP="009F08B2">
      <w:r>
        <w:rPr>
          <w:noProof/>
          <w:lang w:eastAsia="en-NZ"/>
        </w:rPr>
        <w:drawing>
          <wp:inline distT="0" distB="0" distL="0" distR="0" wp14:anchorId="5AD89636" wp14:editId="42077035">
            <wp:extent cx="5122800" cy="3125872"/>
            <wp:effectExtent l="0" t="0" r="1905" b="0"/>
            <wp:docPr id="17" name="Picture 17" descr="Figure 35: Age-standardised mortality rates for motor vehicle accidents, by sex and ethnicity, 1996–2011" title="Figure 35: Age-standardised mortality rates for motor vehicle accidents,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22800" cy="3125872"/>
                    </a:xfrm>
                    <a:prstGeom prst="rect">
                      <a:avLst/>
                    </a:prstGeom>
                    <a:noFill/>
                  </pic:spPr>
                </pic:pic>
              </a:graphicData>
            </a:graphic>
          </wp:inline>
        </w:drawing>
      </w:r>
    </w:p>
    <w:p w:rsidR="00000384" w:rsidRPr="00885D52" w:rsidRDefault="00000384" w:rsidP="009F08B2">
      <w:pPr>
        <w:pStyle w:val="Source"/>
      </w:pPr>
      <w:r w:rsidRPr="00885D52">
        <w:t>Note: Rates per 100,000 population, age-standardised to WHO World Standard Population.</w:t>
      </w:r>
    </w:p>
    <w:p w:rsidR="00000384" w:rsidRPr="00885D52" w:rsidRDefault="00000384" w:rsidP="009F08B2"/>
    <w:p w:rsidR="00000384" w:rsidRPr="00885D52" w:rsidRDefault="00000384" w:rsidP="009F08B2">
      <w:r w:rsidRPr="00885D52">
        <w:t>In 2011, death rates for Māori were around 50 percent less than the equivalent 2010 rates, while for non-Māori, 2011 rates were around 20 percent lower.</w:t>
      </w:r>
    </w:p>
    <w:p w:rsidR="00000384" w:rsidRPr="00885D52" w:rsidRDefault="00000384" w:rsidP="009F08B2"/>
    <w:p w:rsidR="008D5D23" w:rsidRPr="00885D52" w:rsidRDefault="00000384" w:rsidP="009F08B2">
      <w:r w:rsidRPr="00885D52">
        <w:t>The disparity in motor vehicle accident deaths between Māori and non-Māori narrowed markedly from 2010 to 2011. The mortality rate for Māori males was nearly three times the rate for non-Māori males in 2010, but only 1.9 times the rate for non-Māori males in 2011 (16.2 per 100,000 Māori males and 8.5</w:t>
      </w:r>
      <w:r w:rsidR="008D5D23" w:rsidRPr="00885D52">
        <w:t xml:space="preserve"> </w:t>
      </w:r>
      <w:r w:rsidRPr="00885D52">
        <w:t>per 100,000 non-Māori males).</w:t>
      </w:r>
    </w:p>
    <w:p w:rsidR="00000384" w:rsidRPr="00885D52" w:rsidRDefault="00000384" w:rsidP="009F08B2"/>
    <w:p w:rsidR="00000384" w:rsidRPr="00885D52" w:rsidRDefault="00000384" w:rsidP="009F08B2">
      <w:r w:rsidRPr="00885D52">
        <w:t>For females the same trend occurred. The mortality rate for Māori females was 2.9 times the rate for non-Māori females in 2010, and 1.7 times the rate for non-Māori females in 2011 (5.1</w:t>
      </w:r>
      <w:r w:rsidR="009F08B2" w:rsidRPr="00885D52">
        <w:t> </w:t>
      </w:r>
      <w:r w:rsidRPr="00885D52">
        <w:t xml:space="preserve">per 100,000 </w:t>
      </w:r>
      <w:r w:rsidR="00491B19">
        <w:t>compared with</w:t>
      </w:r>
      <w:r w:rsidRPr="00885D52">
        <w:t xml:space="preserve"> 3.0 per 100,000).</w:t>
      </w:r>
    </w:p>
    <w:p w:rsidR="00000384" w:rsidRPr="00885D52" w:rsidRDefault="00000384" w:rsidP="009F08B2"/>
    <w:p w:rsidR="008D5D23" w:rsidRPr="00885D52" w:rsidRDefault="00000384" w:rsidP="00456766">
      <w:pPr>
        <w:keepNext/>
      </w:pPr>
      <w:r w:rsidRPr="00885D52">
        <w:t>Figure 36 shows the rate of hospitalisations alongside the mortality rate from moto</w:t>
      </w:r>
      <w:r w:rsidR="00AE5352">
        <w:t>r vehicle accidents between 1996</w:t>
      </w:r>
      <w:r w:rsidRPr="00885D52">
        <w:t xml:space="preserve"> and 2011. Note that, in the interests of making the data comparable </w:t>
      </w:r>
      <w:r w:rsidRPr="00885D52">
        <w:lastRenderedPageBreak/>
        <w:t>between DHBs, the hospitalisation data used to produce this figure excluded short-stay emergency department data.</w:t>
      </w:r>
    </w:p>
    <w:p w:rsidR="00000384" w:rsidRPr="00885D52" w:rsidRDefault="00000384" w:rsidP="00456766">
      <w:pPr>
        <w:keepNext/>
      </w:pPr>
    </w:p>
    <w:p w:rsidR="00000384" w:rsidRPr="00885D52" w:rsidRDefault="00000384" w:rsidP="009F08B2">
      <w:pPr>
        <w:pStyle w:val="Figure"/>
      </w:pPr>
      <w:bookmarkStart w:id="589" w:name="_Toc352670699"/>
      <w:bookmarkStart w:id="590" w:name="_Toc400536135"/>
      <w:bookmarkStart w:id="591" w:name="_Toc403120610"/>
      <w:r w:rsidRPr="00885D52">
        <w:t xml:space="preserve">Figure 36: Mortality and hospitalisation rates for motor vehicle accidents, and ratio of </w:t>
      </w:r>
      <w:r w:rsidR="00AE5352">
        <w:t>hospitalisations to deaths, 1996</w:t>
      </w:r>
      <w:r w:rsidRPr="00885D52">
        <w:t>–201</w:t>
      </w:r>
      <w:bookmarkEnd w:id="589"/>
      <w:r w:rsidRPr="00885D52">
        <w:t>1</w:t>
      </w:r>
      <w:bookmarkEnd w:id="590"/>
      <w:bookmarkEnd w:id="591"/>
    </w:p>
    <w:p w:rsidR="00000384" w:rsidRPr="00885D52" w:rsidRDefault="00AE5352" w:rsidP="009F08B2">
      <w:r>
        <w:rPr>
          <w:noProof/>
          <w:lang w:eastAsia="en-NZ"/>
        </w:rPr>
        <w:drawing>
          <wp:inline distT="0" distB="0" distL="0" distR="0" wp14:anchorId="32686BE2" wp14:editId="6AFF93A4">
            <wp:extent cx="5666400" cy="3457570"/>
            <wp:effectExtent l="0" t="0" r="0" b="0"/>
            <wp:docPr id="20" name="Picture 20" descr="Figure 36: Mortality and hospitalisation rates for motor vehicle accidents, and ratio of hospitalisations to deaths, 1996–2011" title="Figure 36: Mortality and hospitalisation rates for motor vehicle accidents, and ratio of hospitalisations to deaths,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6400" cy="3457570"/>
                    </a:xfrm>
                    <a:prstGeom prst="rect">
                      <a:avLst/>
                    </a:prstGeom>
                    <a:noFill/>
                  </pic:spPr>
                </pic:pic>
              </a:graphicData>
            </a:graphic>
          </wp:inline>
        </w:drawing>
      </w:r>
    </w:p>
    <w:p w:rsidR="00000384" w:rsidRPr="00885D52" w:rsidRDefault="00000384" w:rsidP="009F08B2">
      <w:pPr>
        <w:pStyle w:val="Note"/>
      </w:pPr>
      <w:r w:rsidRPr="00885D52">
        <w:t>Note: Rates per 100,000 population, age-standardised to WHO World Standard Population.</w:t>
      </w:r>
    </w:p>
    <w:p w:rsidR="00000384" w:rsidRPr="00885D52" w:rsidRDefault="00000384" w:rsidP="009F08B2"/>
    <w:p w:rsidR="00000384" w:rsidRPr="00885D52" w:rsidRDefault="00000384" w:rsidP="009F08B2">
      <w:r w:rsidRPr="00885D52">
        <w:t>Both the hospitalisation and the mortality trends showed a significant decline over this period. The motor vehicle accide</w:t>
      </w:r>
      <w:r w:rsidR="00AE5352">
        <w:t>nt mortality rate fell from 15.1</w:t>
      </w:r>
      <w:r w:rsidRPr="00885D52">
        <w:t xml:space="preserve"> deaths per 10</w:t>
      </w:r>
      <w:r w:rsidR="00AE5352">
        <w:t>0,000 total population in 1996</w:t>
      </w:r>
      <w:r w:rsidRPr="00885D52">
        <w:t xml:space="preserve"> to 6.5 in 2011. The hosp</w:t>
      </w:r>
      <w:r w:rsidR="00AE5352">
        <w:t>italisation rate fell from 236.6</w:t>
      </w:r>
      <w:r w:rsidRPr="00885D52">
        <w:t xml:space="preserve"> per </w:t>
      </w:r>
      <w:r w:rsidR="00AE5352">
        <w:t>100,000 total population in 1996</w:t>
      </w:r>
      <w:r w:rsidRPr="00885D52">
        <w:t xml:space="preserve"> to 149.3 in 2011.</w:t>
      </w:r>
    </w:p>
    <w:p w:rsidR="00000384" w:rsidRPr="00885D52" w:rsidRDefault="00000384" w:rsidP="009F08B2"/>
    <w:p w:rsidR="00000384" w:rsidRPr="00885D52" w:rsidRDefault="00000384" w:rsidP="009F08B2">
      <w:r w:rsidRPr="00885D52">
        <w:t xml:space="preserve">The ratio line shows how many motor vehicle hospitalisation incidents occurred for every mortality incident over these </w:t>
      </w:r>
      <w:r w:rsidR="00AE5352">
        <w:t>years</w:t>
      </w:r>
      <w:r w:rsidRPr="00885D52">
        <w:t>. In 2011, for example, there were 23 motor vehicle accident-related hospitalisations for every death. The steady upward trend of the hospitalisations to mortality ratio line suggests that over this time period people who were injured in a motor vehicle accident were less likely to die.</w:t>
      </w:r>
    </w:p>
    <w:p w:rsidR="00000384" w:rsidRPr="00885D52" w:rsidRDefault="00000384" w:rsidP="009F08B2"/>
    <w:p w:rsidR="00000384" w:rsidRPr="00885D52" w:rsidRDefault="00000384" w:rsidP="009F08B2">
      <w:r w:rsidRPr="00885D52">
        <w:t>Note that some events will have been included in both the hospitalisation and the mortality count, taking into account people who were injured then subsequently died in hospital.</w:t>
      </w:r>
    </w:p>
    <w:p w:rsidR="00000384" w:rsidRPr="00885D52" w:rsidRDefault="00000384" w:rsidP="009F08B2"/>
    <w:p w:rsidR="00456766" w:rsidRDefault="00456766">
      <w:pPr>
        <w:spacing w:line="240" w:lineRule="auto"/>
        <w:rPr>
          <w:b/>
          <w:sz w:val="40"/>
        </w:rPr>
      </w:pPr>
      <w:bookmarkStart w:id="592" w:name="_Toc316994479"/>
      <w:bookmarkStart w:id="593" w:name="_Toc352670636"/>
      <w:bookmarkStart w:id="594" w:name="_Toc400536192"/>
      <w:bookmarkStart w:id="595" w:name="_Toc403120532"/>
      <w:r>
        <w:br w:type="page"/>
      </w:r>
    </w:p>
    <w:p w:rsidR="00000384" w:rsidRPr="00885D52" w:rsidRDefault="00000384" w:rsidP="00456766">
      <w:pPr>
        <w:pStyle w:val="Heading2"/>
        <w:spacing w:before="0"/>
      </w:pPr>
      <w:r w:rsidRPr="00885D52">
        <w:lastRenderedPageBreak/>
        <w:t>Suicide (X60–X84)</w:t>
      </w:r>
      <w:bookmarkEnd w:id="592"/>
      <w:bookmarkEnd w:id="593"/>
      <w:bookmarkEnd w:id="594"/>
      <w:bookmarkEnd w:id="595"/>
    </w:p>
    <w:p w:rsidR="00000384" w:rsidRPr="00885D52" w:rsidRDefault="00000384" w:rsidP="000C71BB">
      <w:r w:rsidRPr="00885D52">
        <w:t xml:space="preserve">The ICD-10-AM code range X60–X84 covers acts of intentional self-harm. Mortality from intentional self-harm is commonly referred to as suicide. This section provides an overview of suicide mortality; for a more detailed analysis see the Ministry of Health publication series </w:t>
      </w:r>
      <w:r w:rsidRPr="00885D52">
        <w:rPr>
          <w:i/>
        </w:rPr>
        <w:t>Suicide Facts: Deaths and Intentional Self-harm Hospitalisations</w:t>
      </w:r>
      <w:r w:rsidRPr="00885D52">
        <w:t>.</w:t>
      </w:r>
      <w:r w:rsidRPr="00885D52">
        <w:rPr>
          <w:rStyle w:val="FootnoteReference"/>
        </w:rPr>
        <w:footnoteReference w:id="9"/>
      </w:r>
      <w:r w:rsidRPr="00885D52">
        <w:rPr>
          <w:i/>
        </w:rPr>
        <w:t xml:space="preserve"> </w:t>
      </w:r>
      <w:r w:rsidRPr="00885D52">
        <w:t xml:space="preserve">The numbers presented here are taken from the final data for 2011 suicide mortality, and so differ slightly from the provisional data in the 2011 </w:t>
      </w:r>
      <w:r w:rsidRPr="00885D52">
        <w:rPr>
          <w:i/>
        </w:rPr>
        <w:t>Suicide Facts</w:t>
      </w:r>
      <w:r w:rsidRPr="00885D52">
        <w:t xml:space="preserve"> publication.</w:t>
      </w:r>
    </w:p>
    <w:p w:rsidR="00000384" w:rsidRPr="00885D52" w:rsidRDefault="00000384" w:rsidP="000C71BB"/>
    <w:p w:rsidR="00000384" w:rsidRPr="00885D52" w:rsidRDefault="00000384" w:rsidP="00456766">
      <w:r w:rsidRPr="00885D52">
        <w:t xml:space="preserve">In 2011, 493 suicides occurred in New Zealand, as determined following coronial investigation. Table 24 shows numbers and age-standardised rates of suicide deaths between 1980 and 2011 by sex. The male suicide rate </w:t>
      </w:r>
      <w:r w:rsidR="00293802">
        <w:t>wa</w:t>
      </w:r>
      <w:r w:rsidRPr="00885D52">
        <w:t>s consistently higher than the female rate. In 2011 the male rate was 3.4 times the female rate.</w:t>
      </w:r>
    </w:p>
    <w:p w:rsidR="000C71BB" w:rsidRPr="00885D52" w:rsidRDefault="000C71BB" w:rsidP="000C71BB"/>
    <w:p w:rsidR="00000384" w:rsidRPr="00885D52" w:rsidRDefault="00000384" w:rsidP="000C71BB">
      <w:pPr>
        <w:pStyle w:val="Table"/>
      </w:pPr>
      <w:bookmarkStart w:id="596" w:name="_Toc316912741"/>
      <w:bookmarkStart w:id="597" w:name="_Toc320996469"/>
      <w:bookmarkStart w:id="598" w:name="_Toc352670673"/>
      <w:bookmarkStart w:id="599" w:name="_Toc400536164"/>
      <w:bookmarkStart w:id="600" w:name="_Toc403120569"/>
      <w:r w:rsidRPr="00885D52">
        <w:lastRenderedPageBreak/>
        <w:t>Table 24: Numbers and age-standardised mortality rates for suicide, by sex, 1980–201</w:t>
      </w:r>
      <w:bookmarkEnd w:id="596"/>
      <w:bookmarkEnd w:id="597"/>
      <w:bookmarkEnd w:id="598"/>
      <w:r w:rsidRPr="00885D52">
        <w:t>1</w:t>
      </w:r>
      <w:bookmarkEnd w:id="599"/>
      <w:bookmarkEnd w:id="600"/>
    </w:p>
    <w:tbl>
      <w:tblPr>
        <w:tblW w:w="7953" w:type="dxa"/>
        <w:tblInd w:w="93" w:type="dxa"/>
        <w:tblLayout w:type="fixed"/>
        <w:tblLook w:val="04A0" w:firstRow="1" w:lastRow="0" w:firstColumn="1" w:lastColumn="0" w:noHBand="0" w:noVBand="1"/>
      </w:tblPr>
      <w:tblGrid>
        <w:gridCol w:w="1149"/>
        <w:gridCol w:w="1134"/>
        <w:gridCol w:w="1134"/>
        <w:gridCol w:w="1134"/>
        <w:gridCol w:w="1134"/>
        <w:gridCol w:w="1134"/>
        <w:gridCol w:w="1134"/>
      </w:tblGrid>
      <w:tr w:rsidR="00000384" w:rsidRPr="00885D52" w:rsidTr="000C71BB">
        <w:trPr>
          <w:trHeight w:val="300"/>
        </w:trPr>
        <w:tc>
          <w:tcPr>
            <w:tcW w:w="1149" w:type="dxa"/>
            <w:vMerge w:val="restart"/>
            <w:tcBorders>
              <w:top w:val="single" w:sz="4" w:space="0" w:color="auto"/>
              <w:left w:val="nil"/>
              <w:bottom w:val="single" w:sz="4" w:space="0" w:color="auto"/>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Year</w:t>
            </w:r>
          </w:p>
        </w:tc>
        <w:tc>
          <w:tcPr>
            <w:tcW w:w="226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Male</w:t>
            </w:r>
          </w:p>
        </w:tc>
        <w:tc>
          <w:tcPr>
            <w:tcW w:w="2268" w:type="dxa"/>
            <w:gridSpan w:val="2"/>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Female</w:t>
            </w:r>
          </w:p>
        </w:tc>
        <w:tc>
          <w:tcPr>
            <w:tcW w:w="2268" w:type="dxa"/>
            <w:gridSpan w:val="2"/>
            <w:tcBorders>
              <w:top w:val="single" w:sz="4" w:space="0" w:color="auto"/>
              <w:left w:val="single" w:sz="4" w:space="0" w:color="A6A6A6" w:themeColor="background1" w:themeShade="A6"/>
              <w:bottom w:val="single" w:sz="4" w:space="0" w:color="auto"/>
              <w:right w:val="nil"/>
            </w:tcBorders>
          </w:tcPr>
          <w:p w:rsidR="00000384" w:rsidRPr="00885D52" w:rsidRDefault="00000384" w:rsidP="00456766">
            <w:pPr>
              <w:pStyle w:val="TableText"/>
              <w:keepNext/>
              <w:jc w:val="center"/>
              <w:rPr>
                <w:b/>
                <w:lang w:eastAsia="en-NZ"/>
              </w:rPr>
            </w:pPr>
            <w:r w:rsidRPr="00885D52">
              <w:rPr>
                <w:b/>
                <w:lang w:eastAsia="en-NZ"/>
              </w:rPr>
              <w:t>Total</w:t>
            </w:r>
          </w:p>
        </w:tc>
      </w:tr>
      <w:tr w:rsidR="00000384" w:rsidRPr="00885D52" w:rsidTr="000C71BB">
        <w:trPr>
          <w:trHeight w:val="300"/>
        </w:trPr>
        <w:tc>
          <w:tcPr>
            <w:tcW w:w="1149" w:type="dxa"/>
            <w:vMerge/>
            <w:tcBorders>
              <w:top w:val="single" w:sz="4" w:space="0" w:color="auto"/>
              <w:left w:val="nil"/>
              <w:bottom w:val="single" w:sz="4" w:space="0" w:color="auto"/>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b/>
                <w:lang w:eastAsia="en-NZ"/>
              </w:rPr>
            </w:pPr>
          </w:p>
        </w:tc>
        <w:tc>
          <w:tcPr>
            <w:tcW w:w="1134"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No.</w:t>
            </w:r>
          </w:p>
        </w:tc>
        <w:tc>
          <w:tcPr>
            <w:tcW w:w="1134" w:type="dxa"/>
            <w:tcBorders>
              <w:top w:val="single" w:sz="4" w:space="0" w:color="auto"/>
              <w:bottom w:val="single" w:sz="4" w:space="0" w:color="auto"/>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Rate</w:t>
            </w:r>
          </w:p>
        </w:tc>
        <w:tc>
          <w:tcPr>
            <w:tcW w:w="1134" w:type="dxa"/>
            <w:tcBorders>
              <w:top w:val="single" w:sz="4" w:space="0" w:color="auto"/>
              <w:left w:val="single" w:sz="4" w:space="0" w:color="A6A6A6" w:themeColor="background1" w:themeShade="A6"/>
              <w:bottom w:val="single" w:sz="4" w:space="0" w:color="auto"/>
            </w:tcBorders>
          </w:tcPr>
          <w:p w:rsidR="00000384" w:rsidRPr="00885D52" w:rsidRDefault="00000384" w:rsidP="00456766">
            <w:pPr>
              <w:pStyle w:val="TableText"/>
              <w:keepNext/>
              <w:jc w:val="center"/>
              <w:rPr>
                <w:b/>
                <w:lang w:eastAsia="en-NZ"/>
              </w:rPr>
            </w:pPr>
            <w:r w:rsidRPr="00885D52">
              <w:rPr>
                <w:b/>
                <w:lang w:eastAsia="en-NZ"/>
              </w:rPr>
              <w:t>No.</w:t>
            </w:r>
          </w:p>
        </w:tc>
        <w:tc>
          <w:tcPr>
            <w:tcW w:w="1134" w:type="dxa"/>
            <w:tcBorders>
              <w:top w:val="single" w:sz="4" w:space="0" w:color="auto"/>
              <w:bottom w:val="single" w:sz="4" w:space="0" w:color="auto"/>
              <w:right w:val="single" w:sz="4" w:space="0" w:color="A6A6A6" w:themeColor="background1" w:themeShade="A6"/>
            </w:tcBorders>
          </w:tcPr>
          <w:p w:rsidR="00000384" w:rsidRPr="00885D52" w:rsidRDefault="00000384" w:rsidP="00456766">
            <w:pPr>
              <w:pStyle w:val="TableText"/>
              <w:keepNext/>
              <w:jc w:val="center"/>
              <w:rPr>
                <w:b/>
                <w:lang w:eastAsia="en-NZ"/>
              </w:rPr>
            </w:pPr>
            <w:r w:rsidRPr="00885D52">
              <w:rPr>
                <w:b/>
                <w:lang w:eastAsia="en-NZ"/>
              </w:rPr>
              <w:t>Rate</w:t>
            </w:r>
          </w:p>
        </w:tc>
        <w:tc>
          <w:tcPr>
            <w:tcW w:w="1134" w:type="dxa"/>
            <w:tcBorders>
              <w:top w:val="single" w:sz="4" w:space="0" w:color="auto"/>
              <w:left w:val="single" w:sz="4" w:space="0" w:color="A6A6A6" w:themeColor="background1" w:themeShade="A6"/>
              <w:bottom w:val="single" w:sz="4" w:space="0" w:color="auto"/>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No.</w:t>
            </w:r>
          </w:p>
        </w:tc>
        <w:tc>
          <w:tcPr>
            <w:tcW w:w="1134" w:type="dxa"/>
            <w:tcBorders>
              <w:top w:val="single" w:sz="4" w:space="0" w:color="auto"/>
              <w:left w:val="nil"/>
              <w:bottom w:val="single" w:sz="4" w:space="0" w:color="auto"/>
              <w:right w:val="nil"/>
            </w:tcBorders>
            <w:shd w:val="clear" w:color="auto" w:fill="auto"/>
            <w:noWrap/>
            <w:hideMark/>
          </w:tcPr>
          <w:p w:rsidR="00000384" w:rsidRPr="00885D52" w:rsidRDefault="00000384" w:rsidP="00456766">
            <w:pPr>
              <w:pStyle w:val="TableText"/>
              <w:keepNext/>
              <w:jc w:val="center"/>
              <w:rPr>
                <w:b/>
                <w:lang w:eastAsia="en-NZ"/>
              </w:rPr>
            </w:pPr>
            <w:r w:rsidRPr="00885D52">
              <w:rPr>
                <w:b/>
                <w:lang w:eastAsia="en-NZ"/>
              </w:rPr>
              <w:t>Rate</w:t>
            </w:r>
          </w:p>
        </w:tc>
      </w:tr>
      <w:tr w:rsidR="00000384" w:rsidRPr="00885D52" w:rsidTr="000C71BB">
        <w:trPr>
          <w:trHeight w:val="300"/>
        </w:trPr>
        <w:tc>
          <w:tcPr>
            <w:tcW w:w="1149" w:type="dxa"/>
            <w:tcBorders>
              <w:top w:val="single" w:sz="4" w:space="0" w:color="auto"/>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1980</w:t>
            </w:r>
          </w:p>
        </w:tc>
        <w:tc>
          <w:tcPr>
            <w:tcW w:w="1134" w:type="dxa"/>
            <w:tcBorders>
              <w:top w:val="single" w:sz="4" w:space="0" w:color="auto"/>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225</w:t>
            </w:r>
          </w:p>
        </w:tc>
        <w:tc>
          <w:tcPr>
            <w:tcW w:w="1134" w:type="dxa"/>
            <w:tcBorders>
              <w:top w:val="single" w:sz="4" w:space="0" w:color="auto"/>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14.8</w:t>
            </w:r>
          </w:p>
        </w:tc>
        <w:tc>
          <w:tcPr>
            <w:tcW w:w="1134" w:type="dxa"/>
            <w:tcBorders>
              <w:top w:val="single" w:sz="4" w:space="0" w:color="auto"/>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112</w:t>
            </w:r>
          </w:p>
        </w:tc>
        <w:tc>
          <w:tcPr>
            <w:tcW w:w="1134" w:type="dxa"/>
            <w:tcBorders>
              <w:top w:val="single" w:sz="4" w:space="0" w:color="auto"/>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7.0</w:t>
            </w:r>
          </w:p>
        </w:tc>
        <w:tc>
          <w:tcPr>
            <w:tcW w:w="1134" w:type="dxa"/>
            <w:tcBorders>
              <w:top w:val="single" w:sz="4" w:space="0" w:color="auto"/>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337</w:t>
            </w:r>
          </w:p>
        </w:tc>
        <w:tc>
          <w:tcPr>
            <w:tcW w:w="1134" w:type="dxa"/>
            <w:tcBorders>
              <w:top w:val="single" w:sz="4" w:space="0" w:color="auto"/>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10.8</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1981</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241</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15.8</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79</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4.8</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320</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10.2</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1982</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257</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16.3</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107</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6.6</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364</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11.3</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1983</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250</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15.5</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102</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6.2</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352</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10.7</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1984</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297</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18.3</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92</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5.4</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389</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11.7</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1985</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255</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15.5</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83</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4.9</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338</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10.0</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1986</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301</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18.3</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113</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6.6</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414</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12.3</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1987</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363</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21.7</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100</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5.8</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463</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13.6</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1988</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381</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22.4</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103</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5.7</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484</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13.9</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1989</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372</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21.8</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93</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5.3</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465</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13.4</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1990</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363</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21.1</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92</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5.1</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455</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13.0</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1991</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380</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22.3</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94</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5.4</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474</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13.7</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1992</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397</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23.1</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96</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5.4</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493</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14.1</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1993</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349</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94</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5.2</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443</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12.5</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1994</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409</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23.1</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103</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5.5</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512</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14.1</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1995</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427</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23.9</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116</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6.3</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543</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15.0</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1996</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428</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23.8</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112</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6.1</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540</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14.7</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1997</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440</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23.7</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121</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6.3</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561</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14.8</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1998</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445</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23.7</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132</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6.8</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577</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15.1</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1999</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385</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20.4</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131</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6.8</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516</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13.4</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2000</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375</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20.0</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83</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4.2</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458</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11.9</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2001</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388</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20.3</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119</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5.9</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507</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12.9</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2002</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353</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18.0</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113</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5.6</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466</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11.6</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2003</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376</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18.4</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141</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6.6</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517</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12.4</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2004</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379</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18.6</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109</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5.2</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488</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11.7</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2005</w:t>
            </w:r>
          </w:p>
        </w:tc>
        <w:tc>
          <w:tcPr>
            <w:tcW w:w="1134" w:type="dxa"/>
            <w:tcBorders>
              <w:lef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380</w:t>
            </w:r>
          </w:p>
        </w:tc>
        <w:tc>
          <w:tcPr>
            <w:tcW w:w="1134" w:type="dxa"/>
            <w:tcBorders>
              <w:right w:val="single" w:sz="4" w:space="0" w:color="A6A6A6" w:themeColor="background1" w:themeShade="A6"/>
            </w:tcBorders>
            <w:shd w:val="clear" w:color="auto" w:fill="auto"/>
            <w:noWrap/>
            <w:hideMark/>
          </w:tcPr>
          <w:p w:rsidR="00000384" w:rsidRPr="00885D52" w:rsidRDefault="00000384" w:rsidP="00456766">
            <w:pPr>
              <w:pStyle w:val="TableText"/>
              <w:keepNext/>
              <w:jc w:val="center"/>
              <w:rPr>
                <w:lang w:eastAsia="en-NZ"/>
              </w:rPr>
            </w:pPr>
            <w:r w:rsidRPr="00885D52">
              <w:rPr>
                <w:lang w:eastAsia="en-NZ"/>
              </w:rPr>
              <w:t>18.6</w:t>
            </w:r>
          </w:p>
        </w:tc>
        <w:tc>
          <w:tcPr>
            <w:tcW w:w="1134" w:type="dxa"/>
            <w:tcBorders>
              <w:left w:val="single" w:sz="4" w:space="0" w:color="A6A6A6" w:themeColor="background1" w:themeShade="A6"/>
            </w:tcBorders>
          </w:tcPr>
          <w:p w:rsidR="00000384" w:rsidRPr="00885D52" w:rsidRDefault="00000384" w:rsidP="00456766">
            <w:pPr>
              <w:pStyle w:val="TableText"/>
              <w:keepNext/>
              <w:tabs>
                <w:tab w:val="decimal" w:pos="601"/>
              </w:tabs>
              <w:rPr>
                <w:lang w:eastAsia="en-NZ"/>
              </w:rPr>
            </w:pPr>
            <w:r w:rsidRPr="00885D52">
              <w:rPr>
                <w:lang w:eastAsia="en-NZ"/>
              </w:rPr>
              <w:t>131</w:t>
            </w:r>
          </w:p>
        </w:tc>
        <w:tc>
          <w:tcPr>
            <w:tcW w:w="1134" w:type="dxa"/>
            <w:tcBorders>
              <w:right w:val="single" w:sz="4" w:space="0" w:color="A6A6A6" w:themeColor="background1" w:themeShade="A6"/>
            </w:tcBorders>
          </w:tcPr>
          <w:p w:rsidR="00000384" w:rsidRPr="00885D52" w:rsidRDefault="00000384" w:rsidP="00456766">
            <w:pPr>
              <w:pStyle w:val="TableText"/>
              <w:keepNext/>
              <w:jc w:val="center"/>
              <w:rPr>
                <w:lang w:eastAsia="en-NZ"/>
              </w:rPr>
            </w:pPr>
            <w:r w:rsidRPr="00885D52">
              <w:rPr>
                <w:lang w:eastAsia="en-NZ"/>
              </w:rPr>
              <w:t>6.0</w:t>
            </w:r>
          </w:p>
        </w:tc>
        <w:tc>
          <w:tcPr>
            <w:tcW w:w="1134" w:type="dxa"/>
            <w:tcBorders>
              <w:left w:val="single" w:sz="4" w:space="0" w:color="A6A6A6" w:themeColor="background1" w:themeShade="A6"/>
            </w:tcBorders>
            <w:shd w:val="clear" w:color="auto" w:fill="auto"/>
            <w:noWrap/>
          </w:tcPr>
          <w:p w:rsidR="00000384" w:rsidRPr="00885D52" w:rsidRDefault="00000384" w:rsidP="00456766">
            <w:pPr>
              <w:pStyle w:val="TableText"/>
              <w:keepNext/>
              <w:jc w:val="center"/>
              <w:rPr>
                <w:lang w:eastAsia="en-NZ"/>
              </w:rPr>
            </w:pPr>
            <w:r w:rsidRPr="00885D52">
              <w:rPr>
                <w:lang w:eastAsia="en-NZ"/>
              </w:rPr>
              <w:t>511</w:t>
            </w:r>
          </w:p>
        </w:tc>
        <w:tc>
          <w:tcPr>
            <w:tcW w:w="1134" w:type="dxa"/>
            <w:tcBorders>
              <w:left w:val="nil"/>
              <w:right w:val="nil"/>
            </w:tcBorders>
            <w:shd w:val="clear" w:color="auto" w:fill="auto"/>
            <w:noWrap/>
          </w:tcPr>
          <w:p w:rsidR="00000384" w:rsidRPr="00885D52" w:rsidRDefault="00000384" w:rsidP="00456766">
            <w:pPr>
              <w:pStyle w:val="TableText"/>
              <w:keepNext/>
              <w:jc w:val="center"/>
              <w:rPr>
                <w:lang w:eastAsia="en-NZ"/>
              </w:rPr>
            </w:pPr>
            <w:r w:rsidRPr="00885D52">
              <w:rPr>
                <w:lang w:eastAsia="en-NZ"/>
              </w:rPr>
              <w:t>12.2</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2006</w:t>
            </w:r>
          </w:p>
        </w:tc>
        <w:tc>
          <w:tcPr>
            <w:tcW w:w="1134" w:type="dxa"/>
            <w:tcBorders>
              <w:lef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388</w:t>
            </w:r>
          </w:p>
        </w:tc>
        <w:tc>
          <w:tcPr>
            <w:tcW w:w="1134" w:type="dxa"/>
            <w:tcBorders>
              <w:right w:val="single" w:sz="4" w:space="0" w:color="A6A6A6" w:themeColor="background1" w:themeShade="A6"/>
            </w:tcBorders>
            <w:shd w:val="clear" w:color="auto" w:fill="F2F2F2"/>
            <w:noWrap/>
            <w:hideMark/>
          </w:tcPr>
          <w:p w:rsidR="00000384" w:rsidRPr="00885D52" w:rsidRDefault="00000384" w:rsidP="00456766">
            <w:pPr>
              <w:pStyle w:val="TableText"/>
              <w:keepNext/>
              <w:jc w:val="center"/>
              <w:rPr>
                <w:lang w:eastAsia="en-NZ"/>
              </w:rPr>
            </w:pPr>
            <w:r w:rsidRPr="00885D52">
              <w:rPr>
                <w:lang w:eastAsia="en-NZ"/>
              </w:rPr>
              <w:t>18.6</w:t>
            </w:r>
          </w:p>
        </w:tc>
        <w:tc>
          <w:tcPr>
            <w:tcW w:w="1134" w:type="dxa"/>
            <w:tcBorders>
              <w:left w:val="single" w:sz="4" w:space="0" w:color="A6A6A6" w:themeColor="background1" w:themeShade="A6"/>
            </w:tcBorders>
            <w:shd w:val="clear" w:color="auto" w:fill="F2F2F2"/>
          </w:tcPr>
          <w:p w:rsidR="00000384" w:rsidRPr="00885D52" w:rsidRDefault="00000384" w:rsidP="00456766">
            <w:pPr>
              <w:pStyle w:val="TableText"/>
              <w:keepNext/>
              <w:tabs>
                <w:tab w:val="decimal" w:pos="601"/>
              </w:tabs>
              <w:rPr>
                <w:lang w:eastAsia="en-NZ"/>
              </w:rPr>
            </w:pPr>
            <w:r w:rsidRPr="00885D52">
              <w:rPr>
                <w:lang w:eastAsia="en-NZ"/>
              </w:rPr>
              <w:t>138</w:t>
            </w:r>
          </w:p>
        </w:tc>
        <w:tc>
          <w:tcPr>
            <w:tcW w:w="1134" w:type="dxa"/>
            <w:tcBorders>
              <w:right w:val="single" w:sz="4" w:space="0" w:color="A6A6A6" w:themeColor="background1" w:themeShade="A6"/>
            </w:tcBorders>
            <w:shd w:val="clear" w:color="auto" w:fill="F2F2F2"/>
          </w:tcPr>
          <w:p w:rsidR="00000384" w:rsidRPr="00885D52" w:rsidRDefault="00000384" w:rsidP="00456766">
            <w:pPr>
              <w:pStyle w:val="TableText"/>
              <w:keepNext/>
              <w:jc w:val="center"/>
              <w:rPr>
                <w:lang w:eastAsia="en-NZ"/>
              </w:rPr>
            </w:pPr>
            <w:r w:rsidRPr="00885D52">
              <w:rPr>
                <w:lang w:eastAsia="en-NZ"/>
              </w:rPr>
              <w:t>6.3</w:t>
            </w:r>
          </w:p>
        </w:tc>
        <w:tc>
          <w:tcPr>
            <w:tcW w:w="1134" w:type="dxa"/>
            <w:tcBorders>
              <w:left w:val="single" w:sz="4" w:space="0" w:color="A6A6A6" w:themeColor="background1" w:themeShade="A6"/>
            </w:tcBorders>
            <w:shd w:val="clear" w:color="auto" w:fill="F2F2F2"/>
            <w:noWrap/>
          </w:tcPr>
          <w:p w:rsidR="00000384" w:rsidRPr="00885D52" w:rsidRDefault="00000384" w:rsidP="00456766">
            <w:pPr>
              <w:pStyle w:val="TableText"/>
              <w:keepNext/>
              <w:jc w:val="center"/>
              <w:rPr>
                <w:lang w:eastAsia="en-NZ"/>
              </w:rPr>
            </w:pPr>
            <w:r w:rsidRPr="00885D52">
              <w:rPr>
                <w:lang w:eastAsia="en-NZ"/>
              </w:rPr>
              <w:t>526</w:t>
            </w:r>
          </w:p>
        </w:tc>
        <w:tc>
          <w:tcPr>
            <w:tcW w:w="1134" w:type="dxa"/>
            <w:tcBorders>
              <w:left w:val="nil"/>
              <w:right w:val="nil"/>
            </w:tcBorders>
            <w:shd w:val="clear" w:color="auto" w:fill="F2F2F2"/>
            <w:noWrap/>
          </w:tcPr>
          <w:p w:rsidR="00000384" w:rsidRPr="00885D52" w:rsidRDefault="00000384" w:rsidP="00456766">
            <w:pPr>
              <w:pStyle w:val="TableText"/>
              <w:keepNext/>
              <w:jc w:val="center"/>
              <w:rPr>
                <w:lang w:eastAsia="en-NZ"/>
              </w:rPr>
            </w:pPr>
            <w:r w:rsidRPr="00885D52">
              <w:rPr>
                <w:lang w:eastAsia="en-NZ"/>
              </w:rPr>
              <w:t>12.2</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2007</w:t>
            </w:r>
          </w:p>
        </w:tc>
        <w:tc>
          <w:tcPr>
            <w:tcW w:w="1134" w:type="dxa"/>
            <w:tcBorders>
              <w:lef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371</w:t>
            </w:r>
          </w:p>
        </w:tc>
        <w:tc>
          <w:tcPr>
            <w:tcW w:w="1134" w:type="dxa"/>
            <w:tcBorders>
              <w:righ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17.4</w:t>
            </w:r>
          </w:p>
        </w:tc>
        <w:tc>
          <w:tcPr>
            <w:tcW w:w="1134" w:type="dxa"/>
            <w:tcBorders>
              <w:left w:val="single" w:sz="4" w:space="0" w:color="A6A6A6" w:themeColor="background1" w:themeShade="A6"/>
            </w:tcBorders>
          </w:tcPr>
          <w:p w:rsidR="00000384" w:rsidRPr="00885D52" w:rsidRDefault="00000384" w:rsidP="000C71BB">
            <w:pPr>
              <w:pStyle w:val="TableText"/>
              <w:tabs>
                <w:tab w:val="decimal" w:pos="601"/>
              </w:tabs>
              <w:rPr>
                <w:lang w:eastAsia="en-NZ"/>
              </w:rPr>
            </w:pPr>
            <w:r w:rsidRPr="00885D52">
              <w:rPr>
                <w:lang w:eastAsia="en-NZ"/>
              </w:rPr>
              <w:t>116</w:t>
            </w:r>
          </w:p>
        </w:tc>
        <w:tc>
          <w:tcPr>
            <w:tcW w:w="1134" w:type="dxa"/>
            <w:tcBorders>
              <w:right w:val="single" w:sz="4" w:space="0" w:color="A6A6A6" w:themeColor="background1" w:themeShade="A6"/>
            </w:tcBorders>
          </w:tcPr>
          <w:p w:rsidR="00000384" w:rsidRPr="00885D52" w:rsidRDefault="00000384" w:rsidP="000C71BB">
            <w:pPr>
              <w:pStyle w:val="TableText"/>
              <w:jc w:val="center"/>
              <w:rPr>
                <w:lang w:eastAsia="en-NZ"/>
              </w:rPr>
            </w:pPr>
            <w:r w:rsidRPr="00885D52">
              <w:rPr>
                <w:lang w:eastAsia="en-NZ"/>
              </w:rPr>
              <w:t>5.0</w:t>
            </w:r>
          </w:p>
        </w:tc>
        <w:tc>
          <w:tcPr>
            <w:tcW w:w="1134" w:type="dxa"/>
            <w:tcBorders>
              <w:left w:val="single" w:sz="4" w:space="0" w:color="A6A6A6" w:themeColor="background1" w:themeShade="A6"/>
            </w:tcBorders>
            <w:shd w:val="clear" w:color="auto" w:fill="auto"/>
            <w:noWrap/>
          </w:tcPr>
          <w:p w:rsidR="00000384" w:rsidRPr="00885D52" w:rsidRDefault="00000384" w:rsidP="000C71BB">
            <w:pPr>
              <w:pStyle w:val="TableText"/>
              <w:jc w:val="center"/>
              <w:rPr>
                <w:lang w:eastAsia="en-NZ"/>
              </w:rPr>
            </w:pPr>
            <w:r w:rsidRPr="00885D52">
              <w:rPr>
                <w:lang w:eastAsia="en-NZ"/>
              </w:rPr>
              <w:t>487</w:t>
            </w:r>
          </w:p>
        </w:tc>
        <w:tc>
          <w:tcPr>
            <w:tcW w:w="1134" w:type="dxa"/>
            <w:tcBorders>
              <w:left w:val="nil"/>
              <w:right w:val="nil"/>
            </w:tcBorders>
            <w:shd w:val="clear" w:color="auto" w:fill="auto"/>
            <w:noWrap/>
          </w:tcPr>
          <w:p w:rsidR="00000384" w:rsidRPr="00885D52" w:rsidRDefault="00000384" w:rsidP="000C71BB">
            <w:pPr>
              <w:pStyle w:val="TableText"/>
              <w:jc w:val="center"/>
              <w:rPr>
                <w:lang w:eastAsia="en-NZ"/>
              </w:rPr>
            </w:pPr>
            <w:r w:rsidRPr="00885D52">
              <w:rPr>
                <w:lang w:eastAsia="en-NZ"/>
              </w:rPr>
              <w:t>11.0</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2008</w:t>
            </w:r>
          </w:p>
        </w:tc>
        <w:tc>
          <w:tcPr>
            <w:tcW w:w="1134" w:type="dxa"/>
            <w:tcBorders>
              <w:lef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381</w:t>
            </w:r>
          </w:p>
        </w:tc>
        <w:tc>
          <w:tcPr>
            <w:tcW w:w="1134" w:type="dxa"/>
            <w:tcBorders>
              <w:righ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17.6</w:t>
            </w:r>
          </w:p>
        </w:tc>
        <w:tc>
          <w:tcPr>
            <w:tcW w:w="1134" w:type="dxa"/>
            <w:tcBorders>
              <w:left w:val="single" w:sz="4" w:space="0" w:color="A6A6A6" w:themeColor="background1" w:themeShade="A6"/>
            </w:tcBorders>
            <w:shd w:val="clear" w:color="auto" w:fill="F2F2F2"/>
          </w:tcPr>
          <w:p w:rsidR="00000384" w:rsidRPr="00885D52" w:rsidRDefault="00000384" w:rsidP="000C71BB">
            <w:pPr>
              <w:pStyle w:val="TableText"/>
              <w:tabs>
                <w:tab w:val="decimal" w:pos="601"/>
              </w:tabs>
              <w:rPr>
                <w:lang w:eastAsia="en-NZ"/>
              </w:rPr>
            </w:pPr>
            <w:r w:rsidRPr="00885D52">
              <w:rPr>
                <w:lang w:eastAsia="en-NZ"/>
              </w:rPr>
              <w:t>139</w:t>
            </w:r>
          </w:p>
        </w:tc>
        <w:tc>
          <w:tcPr>
            <w:tcW w:w="1134" w:type="dxa"/>
            <w:tcBorders>
              <w:right w:val="single" w:sz="4" w:space="0" w:color="A6A6A6" w:themeColor="background1" w:themeShade="A6"/>
            </w:tcBorders>
            <w:shd w:val="clear" w:color="auto" w:fill="F2F2F2"/>
          </w:tcPr>
          <w:p w:rsidR="00000384" w:rsidRPr="00885D52" w:rsidRDefault="00000384" w:rsidP="000C71BB">
            <w:pPr>
              <w:pStyle w:val="TableText"/>
              <w:jc w:val="center"/>
              <w:rPr>
                <w:lang w:eastAsia="en-NZ"/>
              </w:rPr>
            </w:pPr>
            <w:r w:rsidRPr="00885D52">
              <w:rPr>
                <w:lang w:eastAsia="en-NZ"/>
              </w:rPr>
              <w:t>6.2</w:t>
            </w:r>
          </w:p>
        </w:tc>
        <w:tc>
          <w:tcPr>
            <w:tcW w:w="1134" w:type="dxa"/>
            <w:tcBorders>
              <w:left w:val="single" w:sz="4" w:space="0" w:color="A6A6A6" w:themeColor="background1" w:themeShade="A6"/>
            </w:tcBorders>
            <w:shd w:val="clear" w:color="auto" w:fill="F2F2F2"/>
            <w:noWrap/>
          </w:tcPr>
          <w:p w:rsidR="00000384" w:rsidRPr="00885D52" w:rsidRDefault="00000384" w:rsidP="000C71BB">
            <w:pPr>
              <w:pStyle w:val="TableText"/>
              <w:jc w:val="center"/>
              <w:rPr>
                <w:lang w:eastAsia="en-NZ"/>
              </w:rPr>
            </w:pPr>
            <w:r w:rsidRPr="00885D52">
              <w:rPr>
                <w:lang w:eastAsia="en-NZ"/>
              </w:rPr>
              <w:t>520</w:t>
            </w:r>
          </w:p>
        </w:tc>
        <w:tc>
          <w:tcPr>
            <w:tcW w:w="1134" w:type="dxa"/>
            <w:tcBorders>
              <w:left w:val="nil"/>
              <w:right w:val="nil"/>
            </w:tcBorders>
            <w:shd w:val="clear" w:color="auto" w:fill="F2F2F2"/>
            <w:noWrap/>
          </w:tcPr>
          <w:p w:rsidR="00000384" w:rsidRPr="00885D52" w:rsidRDefault="00000384" w:rsidP="000C71BB">
            <w:pPr>
              <w:pStyle w:val="TableText"/>
              <w:jc w:val="center"/>
              <w:rPr>
                <w:lang w:eastAsia="en-NZ"/>
              </w:rPr>
            </w:pPr>
            <w:r w:rsidRPr="00885D52">
              <w:rPr>
                <w:lang w:eastAsia="en-NZ"/>
              </w:rPr>
              <w:t>11.8</w:t>
            </w:r>
          </w:p>
        </w:tc>
      </w:tr>
      <w:tr w:rsidR="00000384" w:rsidRPr="00885D52" w:rsidTr="000C71BB">
        <w:trPr>
          <w:trHeight w:val="300"/>
        </w:trPr>
        <w:tc>
          <w:tcPr>
            <w:tcW w:w="1149" w:type="dxa"/>
            <w:tcBorders>
              <w:left w:val="nil"/>
              <w:righ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2009</w:t>
            </w:r>
          </w:p>
        </w:tc>
        <w:tc>
          <w:tcPr>
            <w:tcW w:w="1134" w:type="dxa"/>
            <w:tcBorders>
              <w:lef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393</w:t>
            </w:r>
          </w:p>
        </w:tc>
        <w:tc>
          <w:tcPr>
            <w:tcW w:w="1134" w:type="dxa"/>
            <w:tcBorders>
              <w:right w:val="single" w:sz="4" w:space="0" w:color="A6A6A6" w:themeColor="background1" w:themeShade="A6"/>
            </w:tcBorders>
            <w:shd w:val="clear" w:color="auto" w:fill="auto"/>
            <w:noWrap/>
            <w:hideMark/>
          </w:tcPr>
          <w:p w:rsidR="00000384" w:rsidRPr="00885D52" w:rsidRDefault="00000384" w:rsidP="000C71BB">
            <w:pPr>
              <w:pStyle w:val="TableText"/>
              <w:jc w:val="center"/>
              <w:rPr>
                <w:lang w:eastAsia="en-NZ"/>
              </w:rPr>
            </w:pPr>
            <w:r w:rsidRPr="00885D52">
              <w:rPr>
                <w:lang w:eastAsia="en-NZ"/>
              </w:rPr>
              <w:t>17.9</w:t>
            </w:r>
          </w:p>
        </w:tc>
        <w:tc>
          <w:tcPr>
            <w:tcW w:w="1134" w:type="dxa"/>
            <w:tcBorders>
              <w:left w:val="single" w:sz="4" w:space="0" w:color="A6A6A6" w:themeColor="background1" w:themeShade="A6"/>
            </w:tcBorders>
          </w:tcPr>
          <w:p w:rsidR="00000384" w:rsidRPr="00885D52" w:rsidRDefault="00000384" w:rsidP="000C71BB">
            <w:pPr>
              <w:pStyle w:val="TableText"/>
              <w:tabs>
                <w:tab w:val="decimal" w:pos="601"/>
              </w:tabs>
              <w:rPr>
                <w:lang w:eastAsia="en-NZ"/>
              </w:rPr>
            </w:pPr>
            <w:r w:rsidRPr="00885D52">
              <w:rPr>
                <w:lang w:eastAsia="en-NZ"/>
              </w:rPr>
              <w:t>117</w:t>
            </w:r>
          </w:p>
        </w:tc>
        <w:tc>
          <w:tcPr>
            <w:tcW w:w="1134" w:type="dxa"/>
            <w:tcBorders>
              <w:right w:val="single" w:sz="4" w:space="0" w:color="A6A6A6" w:themeColor="background1" w:themeShade="A6"/>
            </w:tcBorders>
          </w:tcPr>
          <w:p w:rsidR="00000384" w:rsidRPr="00885D52" w:rsidRDefault="00000384" w:rsidP="000C71BB">
            <w:pPr>
              <w:pStyle w:val="TableText"/>
              <w:jc w:val="center"/>
              <w:rPr>
                <w:lang w:eastAsia="en-NZ"/>
              </w:rPr>
            </w:pPr>
            <w:r w:rsidRPr="00885D52">
              <w:rPr>
                <w:lang w:eastAsia="en-NZ"/>
              </w:rPr>
              <w:t>5.0</w:t>
            </w:r>
          </w:p>
        </w:tc>
        <w:tc>
          <w:tcPr>
            <w:tcW w:w="1134" w:type="dxa"/>
            <w:tcBorders>
              <w:left w:val="single" w:sz="4" w:space="0" w:color="A6A6A6" w:themeColor="background1" w:themeShade="A6"/>
            </w:tcBorders>
            <w:shd w:val="clear" w:color="auto" w:fill="auto"/>
            <w:noWrap/>
          </w:tcPr>
          <w:p w:rsidR="00000384" w:rsidRPr="00885D52" w:rsidRDefault="00000384" w:rsidP="000C71BB">
            <w:pPr>
              <w:pStyle w:val="TableText"/>
              <w:jc w:val="center"/>
              <w:rPr>
                <w:lang w:eastAsia="en-NZ"/>
              </w:rPr>
            </w:pPr>
            <w:r w:rsidRPr="00885D52">
              <w:rPr>
                <w:lang w:eastAsia="en-NZ"/>
              </w:rPr>
              <w:t>510</w:t>
            </w:r>
          </w:p>
        </w:tc>
        <w:tc>
          <w:tcPr>
            <w:tcW w:w="1134" w:type="dxa"/>
            <w:tcBorders>
              <w:left w:val="nil"/>
              <w:right w:val="nil"/>
            </w:tcBorders>
            <w:shd w:val="clear" w:color="auto" w:fill="auto"/>
            <w:noWrap/>
          </w:tcPr>
          <w:p w:rsidR="00000384" w:rsidRPr="00885D52" w:rsidRDefault="00000384" w:rsidP="000C71BB">
            <w:pPr>
              <w:pStyle w:val="TableText"/>
              <w:jc w:val="center"/>
              <w:rPr>
                <w:lang w:eastAsia="en-NZ"/>
              </w:rPr>
            </w:pPr>
            <w:r w:rsidRPr="00885D52">
              <w:rPr>
                <w:lang w:eastAsia="en-NZ"/>
              </w:rPr>
              <w:t>11.3</w:t>
            </w:r>
          </w:p>
        </w:tc>
      </w:tr>
      <w:tr w:rsidR="00000384" w:rsidRPr="00885D52" w:rsidTr="000C71BB">
        <w:trPr>
          <w:trHeight w:val="300"/>
        </w:trPr>
        <w:tc>
          <w:tcPr>
            <w:tcW w:w="1149" w:type="dxa"/>
            <w:tcBorders>
              <w:left w:val="nil"/>
              <w:righ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2010</w:t>
            </w:r>
          </w:p>
        </w:tc>
        <w:tc>
          <w:tcPr>
            <w:tcW w:w="1134" w:type="dxa"/>
            <w:tcBorders>
              <w:lef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386</w:t>
            </w:r>
          </w:p>
        </w:tc>
        <w:tc>
          <w:tcPr>
            <w:tcW w:w="1134" w:type="dxa"/>
            <w:tcBorders>
              <w:right w:val="single" w:sz="4" w:space="0" w:color="A6A6A6" w:themeColor="background1" w:themeShade="A6"/>
            </w:tcBorders>
            <w:shd w:val="clear" w:color="auto" w:fill="F2F2F2"/>
            <w:noWrap/>
            <w:hideMark/>
          </w:tcPr>
          <w:p w:rsidR="00000384" w:rsidRPr="00885D52" w:rsidRDefault="00000384" w:rsidP="000C71BB">
            <w:pPr>
              <w:pStyle w:val="TableText"/>
              <w:jc w:val="center"/>
              <w:rPr>
                <w:lang w:eastAsia="en-NZ"/>
              </w:rPr>
            </w:pPr>
            <w:r w:rsidRPr="00885D52">
              <w:rPr>
                <w:lang w:eastAsia="en-NZ"/>
              </w:rPr>
              <w:t>17.3</w:t>
            </w:r>
          </w:p>
        </w:tc>
        <w:tc>
          <w:tcPr>
            <w:tcW w:w="1134" w:type="dxa"/>
            <w:tcBorders>
              <w:left w:val="single" w:sz="4" w:space="0" w:color="A6A6A6" w:themeColor="background1" w:themeShade="A6"/>
            </w:tcBorders>
            <w:shd w:val="clear" w:color="auto" w:fill="F2F2F2"/>
          </w:tcPr>
          <w:p w:rsidR="00000384" w:rsidRPr="00885D52" w:rsidRDefault="00000384" w:rsidP="000C71BB">
            <w:pPr>
              <w:pStyle w:val="TableText"/>
              <w:tabs>
                <w:tab w:val="decimal" w:pos="601"/>
              </w:tabs>
              <w:rPr>
                <w:lang w:eastAsia="en-NZ"/>
              </w:rPr>
            </w:pPr>
            <w:r w:rsidRPr="00885D52">
              <w:rPr>
                <w:lang w:eastAsia="en-NZ"/>
              </w:rPr>
              <w:t>149</w:t>
            </w:r>
          </w:p>
        </w:tc>
        <w:tc>
          <w:tcPr>
            <w:tcW w:w="1134" w:type="dxa"/>
            <w:tcBorders>
              <w:right w:val="single" w:sz="4" w:space="0" w:color="A6A6A6" w:themeColor="background1" w:themeShade="A6"/>
            </w:tcBorders>
            <w:shd w:val="clear" w:color="auto" w:fill="F2F2F2"/>
          </w:tcPr>
          <w:p w:rsidR="00000384" w:rsidRPr="00885D52" w:rsidRDefault="00000384" w:rsidP="000C71BB">
            <w:pPr>
              <w:pStyle w:val="TableText"/>
              <w:jc w:val="center"/>
              <w:rPr>
                <w:lang w:eastAsia="en-NZ"/>
              </w:rPr>
            </w:pPr>
            <w:r w:rsidRPr="00885D52">
              <w:rPr>
                <w:lang w:eastAsia="en-NZ"/>
              </w:rPr>
              <w:t>6.6</w:t>
            </w:r>
          </w:p>
        </w:tc>
        <w:tc>
          <w:tcPr>
            <w:tcW w:w="1134" w:type="dxa"/>
            <w:tcBorders>
              <w:left w:val="single" w:sz="4" w:space="0" w:color="A6A6A6" w:themeColor="background1" w:themeShade="A6"/>
            </w:tcBorders>
            <w:shd w:val="clear" w:color="auto" w:fill="F2F2F2"/>
            <w:noWrap/>
          </w:tcPr>
          <w:p w:rsidR="00000384" w:rsidRPr="00885D52" w:rsidRDefault="00000384" w:rsidP="000C71BB">
            <w:pPr>
              <w:pStyle w:val="TableText"/>
              <w:jc w:val="center"/>
              <w:rPr>
                <w:lang w:eastAsia="en-NZ"/>
              </w:rPr>
            </w:pPr>
            <w:r w:rsidRPr="00885D52">
              <w:rPr>
                <w:lang w:eastAsia="en-NZ"/>
              </w:rPr>
              <w:t>535</w:t>
            </w:r>
          </w:p>
        </w:tc>
        <w:tc>
          <w:tcPr>
            <w:tcW w:w="1134" w:type="dxa"/>
            <w:tcBorders>
              <w:left w:val="nil"/>
              <w:right w:val="nil"/>
            </w:tcBorders>
            <w:shd w:val="clear" w:color="auto" w:fill="F2F2F2"/>
            <w:noWrap/>
          </w:tcPr>
          <w:p w:rsidR="00000384" w:rsidRPr="00885D52" w:rsidRDefault="00000384" w:rsidP="000C71BB">
            <w:pPr>
              <w:pStyle w:val="TableText"/>
              <w:jc w:val="center"/>
              <w:rPr>
                <w:lang w:eastAsia="en-NZ"/>
              </w:rPr>
            </w:pPr>
            <w:r w:rsidRPr="00885D52">
              <w:rPr>
                <w:lang w:eastAsia="en-NZ"/>
              </w:rPr>
              <w:t>11.8</w:t>
            </w:r>
          </w:p>
        </w:tc>
      </w:tr>
      <w:tr w:rsidR="00000384" w:rsidRPr="00885D52" w:rsidTr="000C71BB">
        <w:trPr>
          <w:trHeight w:val="300"/>
        </w:trPr>
        <w:tc>
          <w:tcPr>
            <w:tcW w:w="1149" w:type="dxa"/>
            <w:tcBorders>
              <w:left w:val="nil"/>
              <w:bottom w:val="single" w:sz="4" w:space="0" w:color="auto"/>
              <w:right w:val="single" w:sz="4" w:space="0" w:color="A6A6A6" w:themeColor="background1" w:themeShade="A6"/>
            </w:tcBorders>
            <w:shd w:val="clear" w:color="auto" w:fill="auto"/>
            <w:noWrap/>
          </w:tcPr>
          <w:p w:rsidR="00000384" w:rsidRPr="00885D52" w:rsidRDefault="00000384" w:rsidP="000C71BB">
            <w:pPr>
              <w:pStyle w:val="TableText"/>
              <w:jc w:val="center"/>
              <w:rPr>
                <w:lang w:eastAsia="en-NZ"/>
              </w:rPr>
            </w:pPr>
            <w:r w:rsidRPr="00885D52">
              <w:rPr>
                <w:lang w:eastAsia="en-NZ"/>
              </w:rPr>
              <w:t>2011</w:t>
            </w:r>
          </w:p>
        </w:tc>
        <w:tc>
          <w:tcPr>
            <w:tcW w:w="1134" w:type="dxa"/>
            <w:tcBorders>
              <w:left w:val="single" w:sz="4" w:space="0" w:color="A6A6A6" w:themeColor="background1" w:themeShade="A6"/>
              <w:bottom w:val="single" w:sz="4" w:space="0" w:color="auto"/>
            </w:tcBorders>
            <w:shd w:val="clear" w:color="auto" w:fill="auto"/>
            <w:noWrap/>
          </w:tcPr>
          <w:p w:rsidR="00000384" w:rsidRPr="00885D52" w:rsidRDefault="00000384" w:rsidP="000C71BB">
            <w:pPr>
              <w:pStyle w:val="TableText"/>
              <w:jc w:val="center"/>
              <w:rPr>
                <w:lang w:eastAsia="en-NZ"/>
              </w:rPr>
            </w:pPr>
            <w:r w:rsidRPr="00885D52">
              <w:rPr>
                <w:lang w:eastAsia="en-NZ"/>
              </w:rPr>
              <w:t>377</w:t>
            </w:r>
          </w:p>
        </w:tc>
        <w:tc>
          <w:tcPr>
            <w:tcW w:w="1134" w:type="dxa"/>
            <w:tcBorders>
              <w:bottom w:val="single" w:sz="4" w:space="0" w:color="auto"/>
              <w:right w:val="single" w:sz="4" w:space="0" w:color="A6A6A6" w:themeColor="background1" w:themeShade="A6"/>
            </w:tcBorders>
            <w:shd w:val="clear" w:color="auto" w:fill="auto"/>
            <w:noWrap/>
          </w:tcPr>
          <w:p w:rsidR="00000384" w:rsidRPr="00885D52" w:rsidRDefault="00000384" w:rsidP="000C71BB">
            <w:pPr>
              <w:pStyle w:val="TableText"/>
              <w:jc w:val="center"/>
              <w:rPr>
                <w:lang w:eastAsia="en-NZ"/>
              </w:rPr>
            </w:pPr>
            <w:r w:rsidRPr="00885D52">
              <w:rPr>
                <w:lang w:eastAsia="en-NZ"/>
              </w:rPr>
              <w:t>17.0</w:t>
            </w:r>
          </w:p>
        </w:tc>
        <w:tc>
          <w:tcPr>
            <w:tcW w:w="1134" w:type="dxa"/>
            <w:tcBorders>
              <w:left w:val="single" w:sz="4" w:space="0" w:color="A6A6A6" w:themeColor="background1" w:themeShade="A6"/>
              <w:bottom w:val="single" w:sz="4" w:space="0" w:color="auto"/>
            </w:tcBorders>
          </w:tcPr>
          <w:p w:rsidR="00000384" w:rsidRPr="00885D52" w:rsidRDefault="00000384" w:rsidP="000C71BB">
            <w:pPr>
              <w:pStyle w:val="TableText"/>
              <w:tabs>
                <w:tab w:val="decimal" w:pos="601"/>
              </w:tabs>
              <w:rPr>
                <w:lang w:eastAsia="en-NZ"/>
              </w:rPr>
            </w:pPr>
            <w:r w:rsidRPr="00885D52">
              <w:rPr>
                <w:lang w:eastAsia="en-NZ"/>
              </w:rPr>
              <w:t>116</w:t>
            </w:r>
          </w:p>
        </w:tc>
        <w:tc>
          <w:tcPr>
            <w:tcW w:w="1134" w:type="dxa"/>
            <w:tcBorders>
              <w:bottom w:val="single" w:sz="4" w:space="0" w:color="auto"/>
              <w:right w:val="single" w:sz="4" w:space="0" w:color="A6A6A6" w:themeColor="background1" w:themeShade="A6"/>
            </w:tcBorders>
          </w:tcPr>
          <w:p w:rsidR="00000384" w:rsidRPr="00885D52" w:rsidRDefault="00000384" w:rsidP="000C71BB">
            <w:pPr>
              <w:pStyle w:val="TableText"/>
              <w:jc w:val="center"/>
              <w:rPr>
                <w:lang w:eastAsia="en-NZ"/>
              </w:rPr>
            </w:pPr>
            <w:r w:rsidRPr="00885D52">
              <w:rPr>
                <w:lang w:eastAsia="en-NZ"/>
              </w:rPr>
              <w:t>5.1</w:t>
            </w:r>
          </w:p>
        </w:tc>
        <w:tc>
          <w:tcPr>
            <w:tcW w:w="1134" w:type="dxa"/>
            <w:tcBorders>
              <w:left w:val="single" w:sz="4" w:space="0" w:color="A6A6A6" w:themeColor="background1" w:themeShade="A6"/>
              <w:bottom w:val="single" w:sz="4" w:space="0" w:color="auto"/>
            </w:tcBorders>
            <w:shd w:val="clear" w:color="auto" w:fill="auto"/>
            <w:noWrap/>
          </w:tcPr>
          <w:p w:rsidR="00000384" w:rsidRPr="00885D52" w:rsidRDefault="00000384" w:rsidP="000C71BB">
            <w:pPr>
              <w:pStyle w:val="TableText"/>
              <w:jc w:val="center"/>
              <w:rPr>
                <w:lang w:eastAsia="en-NZ"/>
              </w:rPr>
            </w:pPr>
            <w:r w:rsidRPr="00885D52">
              <w:rPr>
                <w:lang w:eastAsia="en-NZ"/>
              </w:rPr>
              <w:t>493</w:t>
            </w:r>
          </w:p>
        </w:tc>
        <w:tc>
          <w:tcPr>
            <w:tcW w:w="1134" w:type="dxa"/>
            <w:tcBorders>
              <w:left w:val="nil"/>
              <w:bottom w:val="single" w:sz="4" w:space="0" w:color="auto"/>
              <w:right w:val="nil"/>
            </w:tcBorders>
            <w:shd w:val="clear" w:color="auto" w:fill="auto"/>
            <w:noWrap/>
          </w:tcPr>
          <w:p w:rsidR="00000384" w:rsidRPr="00885D52" w:rsidRDefault="00000384" w:rsidP="000C71BB">
            <w:pPr>
              <w:pStyle w:val="TableText"/>
              <w:jc w:val="center"/>
              <w:rPr>
                <w:lang w:eastAsia="en-NZ"/>
              </w:rPr>
            </w:pPr>
            <w:r w:rsidRPr="00885D52">
              <w:rPr>
                <w:lang w:eastAsia="en-NZ"/>
              </w:rPr>
              <w:t>10.9</w:t>
            </w:r>
          </w:p>
        </w:tc>
      </w:tr>
    </w:tbl>
    <w:p w:rsidR="00000384" w:rsidRPr="00885D52" w:rsidRDefault="00000384" w:rsidP="000C71BB">
      <w:pPr>
        <w:pStyle w:val="Note"/>
      </w:pPr>
      <w:r w:rsidRPr="00885D52">
        <w:t>Note: Rates per 100,000 population, age-standardised to WHO World Standard Population.</w:t>
      </w:r>
    </w:p>
    <w:p w:rsidR="000C71BB" w:rsidRPr="00885D52" w:rsidRDefault="000C71BB" w:rsidP="000C71BB"/>
    <w:p w:rsidR="00000384" w:rsidRPr="00885D52" w:rsidRDefault="00000384" w:rsidP="00456766">
      <w:pPr>
        <w:keepNext/>
      </w:pPr>
      <w:r w:rsidRPr="00885D52">
        <w:lastRenderedPageBreak/>
        <w:t>Figure 37 shows numbers and rates of death from suicide between 1950 and 2011. The male rate reached a peak in 1995, and fell by 29.1 percent between that year and 2011. The female rate remained relatively stable between 1950 and 2011.</w:t>
      </w:r>
    </w:p>
    <w:p w:rsidR="00000384" w:rsidRPr="00885D52" w:rsidRDefault="00000384" w:rsidP="00456766">
      <w:pPr>
        <w:keepNext/>
      </w:pPr>
    </w:p>
    <w:p w:rsidR="00000384" w:rsidRPr="00885D52" w:rsidRDefault="00000384" w:rsidP="000C71BB">
      <w:pPr>
        <w:pStyle w:val="Figure"/>
      </w:pPr>
      <w:bookmarkStart w:id="601" w:name="_Toc352670700"/>
      <w:bookmarkStart w:id="602" w:name="_Toc400536136"/>
      <w:bookmarkStart w:id="603" w:name="_Toc403120611"/>
      <w:r w:rsidRPr="00885D52">
        <w:t>Figure 37: Numbers and age-standardised mortality rates for suicide, by sex, 1950–201</w:t>
      </w:r>
      <w:bookmarkEnd w:id="601"/>
      <w:r w:rsidRPr="00885D52">
        <w:t>1</w:t>
      </w:r>
      <w:bookmarkEnd w:id="602"/>
      <w:bookmarkEnd w:id="603"/>
    </w:p>
    <w:p w:rsidR="00000384" w:rsidRPr="00885D52" w:rsidRDefault="00D76621" w:rsidP="00D76621">
      <w:r w:rsidRPr="00885D52">
        <w:rPr>
          <w:noProof/>
          <w:lang w:eastAsia="en-NZ"/>
        </w:rPr>
        <w:drawing>
          <wp:inline distT="0" distB="0" distL="0" distR="0" wp14:anchorId="69CFF2E9" wp14:editId="69A6C9E8">
            <wp:extent cx="5020888" cy="3059738"/>
            <wp:effectExtent l="0" t="0" r="8890" b="7620"/>
            <wp:docPr id="62" name="Picture 62" title="Figure 37: Numbers and age-standardised mortality rates for suicide, by sex, 195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26538" cy="3063181"/>
                    </a:xfrm>
                    <a:prstGeom prst="rect">
                      <a:avLst/>
                    </a:prstGeom>
                  </pic:spPr>
                </pic:pic>
              </a:graphicData>
            </a:graphic>
          </wp:inline>
        </w:drawing>
      </w:r>
    </w:p>
    <w:p w:rsidR="00000384" w:rsidRPr="00885D52" w:rsidRDefault="00000384" w:rsidP="00D76621">
      <w:pPr>
        <w:pStyle w:val="Note"/>
      </w:pPr>
      <w:r w:rsidRPr="00885D52">
        <w:t>Note: Rates per 100,000 population, age-standardised to WHO World Standard Population.</w:t>
      </w:r>
    </w:p>
    <w:p w:rsidR="00000384" w:rsidRPr="00885D52" w:rsidRDefault="00000384" w:rsidP="00D76621"/>
    <w:p w:rsidR="00000384" w:rsidRPr="00885D52" w:rsidRDefault="00000384" w:rsidP="00D76621">
      <w:r w:rsidRPr="00885D52">
        <w:t>Table 25 shows the 2011 percentage distribution of deaths and age-specific mortality rates from suicide for five age groupings for Māori and non-Māori.</w:t>
      </w:r>
    </w:p>
    <w:p w:rsidR="00000384" w:rsidRPr="00885D52" w:rsidRDefault="00000384" w:rsidP="00D76621"/>
    <w:p w:rsidR="00000384" w:rsidRPr="00885D52" w:rsidRDefault="00000384" w:rsidP="00D76621">
      <w:pPr>
        <w:pStyle w:val="Table"/>
      </w:pPr>
      <w:bookmarkStart w:id="604" w:name="_Toc316912742"/>
      <w:bookmarkStart w:id="605" w:name="_Toc320996470"/>
      <w:bookmarkStart w:id="606" w:name="_Toc352670674"/>
      <w:bookmarkStart w:id="607" w:name="_Toc400536165"/>
      <w:bookmarkStart w:id="608" w:name="_Toc403120570"/>
      <w:r w:rsidRPr="00885D52">
        <w:t>Table 25: Age distribution of deaths from suicide, percentages and age-specific rates, by ethnicity and sex, 201</w:t>
      </w:r>
      <w:bookmarkEnd w:id="604"/>
      <w:bookmarkEnd w:id="605"/>
      <w:bookmarkEnd w:id="606"/>
      <w:r w:rsidRPr="00885D52">
        <w:t>1</w:t>
      </w:r>
      <w:bookmarkEnd w:id="607"/>
      <w:bookmarkEnd w:id="608"/>
    </w:p>
    <w:tbl>
      <w:tblPr>
        <w:tblW w:w="9356" w:type="dxa"/>
        <w:tblInd w:w="28" w:type="dxa"/>
        <w:tblLayout w:type="fixed"/>
        <w:tblCellMar>
          <w:left w:w="28" w:type="dxa"/>
          <w:right w:w="28" w:type="dxa"/>
        </w:tblCellMar>
        <w:tblLook w:val="04A0" w:firstRow="1" w:lastRow="0" w:firstColumn="1" w:lastColumn="0" w:noHBand="0" w:noVBand="1"/>
      </w:tblPr>
      <w:tblGrid>
        <w:gridCol w:w="720"/>
        <w:gridCol w:w="719"/>
        <w:gridCol w:w="720"/>
        <w:gridCol w:w="720"/>
        <w:gridCol w:w="719"/>
        <w:gridCol w:w="720"/>
        <w:gridCol w:w="720"/>
        <w:gridCol w:w="719"/>
        <w:gridCol w:w="720"/>
        <w:gridCol w:w="720"/>
        <w:gridCol w:w="719"/>
        <w:gridCol w:w="720"/>
        <w:gridCol w:w="720"/>
      </w:tblGrid>
      <w:tr w:rsidR="00000384" w:rsidRPr="00885D52" w:rsidTr="00D76621">
        <w:trPr>
          <w:cantSplit/>
        </w:trPr>
        <w:tc>
          <w:tcPr>
            <w:tcW w:w="720" w:type="dxa"/>
            <w:vMerge w:val="restart"/>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D76621">
            <w:pPr>
              <w:pStyle w:val="TableText"/>
              <w:keepNext/>
              <w:rPr>
                <w:b/>
                <w:lang w:eastAsia="en-NZ"/>
              </w:rPr>
            </w:pPr>
            <w:r w:rsidRPr="00885D52">
              <w:rPr>
                <w:b/>
                <w:lang w:eastAsia="en-NZ"/>
              </w:rPr>
              <w:t>Age group</w:t>
            </w:r>
          </w:p>
        </w:tc>
        <w:tc>
          <w:tcPr>
            <w:tcW w:w="4318" w:type="dxa"/>
            <w:gridSpan w:val="6"/>
            <w:tcBorders>
              <w:top w:val="single" w:sz="4" w:space="0" w:color="auto"/>
              <w:left w:val="nil"/>
              <w:bottom w:val="single" w:sz="4" w:space="0" w:color="auto"/>
              <w:right w:val="nil"/>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Percentage</w:t>
            </w:r>
          </w:p>
        </w:tc>
        <w:tc>
          <w:tcPr>
            <w:tcW w:w="4318" w:type="dxa"/>
            <w:gridSpan w:val="6"/>
            <w:tcBorders>
              <w:top w:val="single" w:sz="4" w:space="0" w:color="auto"/>
              <w:left w:val="single" w:sz="4" w:space="0" w:color="auto"/>
              <w:bottom w:val="single" w:sz="4" w:space="0" w:color="auto"/>
              <w:right w:val="nil"/>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Age-specific rate</w:t>
            </w:r>
          </w:p>
        </w:tc>
      </w:tr>
      <w:tr w:rsidR="00000384" w:rsidRPr="00885D52" w:rsidTr="00D76621">
        <w:trPr>
          <w:cantSplit/>
        </w:trPr>
        <w:tc>
          <w:tcPr>
            <w:tcW w:w="720" w:type="dxa"/>
            <w:vMerge/>
            <w:tcBorders>
              <w:top w:val="single" w:sz="4" w:space="0" w:color="auto"/>
              <w:left w:val="nil"/>
              <w:bottom w:val="single" w:sz="4" w:space="0" w:color="auto"/>
              <w:right w:val="single" w:sz="4" w:space="0" w:color="auto"/>
            </w:tcBorders>
            <w:shd w:val="clear" w:color="auto" w:fill="auto"/>
            <w:hideMark/>
          </w:tcPr>
          <w:p w:rsidR="00000384" w:rsidRPr="00885D52" w:rsidRDefault="00000384" w:rsidP="00D76621">
            <w:pPr>
              <w:pStyle w:val="TableText"/>
              <w:rPr>
                <w:lang w:eastAsia="en-NZ"/>
              </w:rPr>
            </w:pPr>
          </w:p>
        </w:tc>
        <w:tc>
          <w:tcPr>
            <w:tcW w:w="2159" w:type="dxa"/>
            <w:gridSpan w:val="3"/>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Māori</w:t>
            </w:r>
          </w:p>
        </w:tc>
        <w:tc>
          <w:tcPr>
            <w:tcW w:w="2159" w:type="dxa"/>
            <w:gridSpan w:val="3"/>
            <w:tcBorders>
              <w:top w:val="single" w:sz="4" w:space="0" w:color="auto"/>
              <w:left w:val="single" w:sz="4" w:space="0" w:color="A6A6A6"/>
              <w:bottom w:val="single" w:sz="4" w:space="0" w:color="auto"/>
              <w:right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Non-Māori</w:t>
            </w:r>
          </w:p>
        </w:tc>
        <w:tc>
          <w:tcPr>
            <w:tcW w:w="2159" w:type="dxa"/>
            <w:gridSpan w:val="3"/>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Māori</w:t>
            </w:r>
          </w:p>
        </w:tc>
        <w:tc>
          <w:tcPr>
            <w:tcW w:w="2159" w:type="dxa"/>
            <w:gridSpan w:val="3"/>
            <w:tcBorders>
              <w:top w:val="single" w:sz="4" w:space="0" w:color="auto"/>
              <w:left w:val="single" w:sz="4" w:space="0" w:color="A6A6A6"/>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Non-Māori</w:t>
            </w:r>
          </w:p>
        </w:tc>
      </w:tr>
      <w:tr w:rsidR="00000384" w:rsidRPr="00885D52" w:rsidTr="00D76621">
        <w:trPr>
          <w:cantSplit/>
        </w:trPr>
        <w:tc>
          <w:tcPr>
            <w:tcW w:w="720" w:type="dxa"/>
            <w:vMerge/>
            <w:tcBorders>
              <w:top w:val="single" w:sz="4" w:space="0" w:color="auto"/>
              <w:left w:val="nil"/>
              <w:bottom w:val="single" w:sz="4" w:space="0" w:color="auto"/>
              <w:right w:val="single" w:sz="4" w:space="0" w:color="auto"/>
            </w:tcBorders>
            <w:shd w:val="clear" w:color="auto" w:fill="auto"/>
            <w:hideMark/>
          </w:tcPr>
          <w:p w:rsidR="00000384" w:rsidRPr="00885D52" w:rsidRDefault="00000384" w:rsidP="00D76621">
            <w:pPr>
              <w:pStyle w:val="TableText"/>
              <w:rPr>
                <w:lang w:eastAsia="en-NZ"/>
              </w:rPr>
            </w:pPr>
          </w:p>
        </w:tc>
        <w:tc>
          <w:tcPr>
            <w:tcW w:w="719" w:type="dxa"/>
            <w:tcBorders>
              <w:top w:val="single" w:sz="4" w:space="0" w:color="auto"/>
              <w:left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Total</w:t>
            </w:r>
          </w:p>
        </w:tc>
        <w:tc>
          <w:tcPr>
            <w:tcW w:w="720" w:type="dxa"/>
            <w:tcBorders>
              <w:top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Male</w:t>
            </w:r>
          </w:p>
        </w:tc>
        <w:tc>
          <w:tcPr>
            <w:tcW w:w="720" w:type="dxa"/>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Female</w:t>
            </w:r>
          </w:p>
        </w:tc>
        <w:tc>
          <w:tcPr>
            <w:tcW w:w="719" w:type="dxa"/>
            <w:tcBorders>
              <w:top w:val="single" w:sz="4" w:space="0" w:color="auto"/>
              <w:left w:val="single" w:sz="4" w:space="0" w:color="A6A6A6"/>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Total</w:t>
            </w:r>
          </w:p>
        </w:tc>
        <w:tc>
          <w:tcPr>
            <w:tcW w:w="720" w:type="dxa"/>
            <w:tcBorders>
              <w:top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Male</w:t>
            </w:r>
          </w:p>
        </w:tc>
        <w:tc>
          <w:tcPr>
            <w:tcW w:w="720" w:type="dxa"/>
            <w:tcBorders>
              <w:top w:val="single" w:sz="4" w:space="0" w:color="auto"/>
              <w:left w:val="nil"/>
              <w:bottom w:val="single" w:sz="4" w:space="0" w:color="auto"/>
              <w:right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Female</w:t>
            </w:r>
          </w:p>
        </w:tc>
        <w:tc>
          <w:tcPr>
            <w:tcW w:w="719" w:type="dxa"/>
            <w:tcBorders>
              <w:top w:val="single" w:sz="4" w:space="0" w:color="auto"/>
              <w:left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Total</w:t>
            </w:r>
          </w:p>
        </w:tc>
        <w:tc>
          <w:tcPr>
            <w:tcW w:w="720" w:type="dxa"/>
            <w:tcBorders>
              <w:top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Male</w:t>
            </w:r>
          </w:p>
        </w:tc>
        <w:tc>
          <w:tcPr>
            <w:tcW w:w="720" w:type="dxa"/>
            <w:tcBorders>
              <w:top w:val="single" w:sz="4" w:space="0" w:color="auto"/>
              <w:left w:val="nil"/>
              <w:bottom w:val="single" w:sz="4" w:space="0" w:color="auto"/>
              <w:right w:val="single" w:sz="4" w:space="0" w:color="A6A6A6"/>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Female</w:t>
            </w:r>
          </w:p>
        </w:tc>
        <w:tc>
          <w:tcPr>
            <w:tcW w:w="719" w:type="dxa"/>
            <w:tcBorders>
              <w:top w:val="single" w:sz="4" w:space="0" w:color="auto"/>
              <w:left w:val="single" w:sz="4" w:space="0" w:color="A6A6A6"/>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Total</w:t>
            </w:r>
          </w:p>
        </w:tc>
        <w:tc>
          <w:tcPr>
            <w:tcW w:w="720" w:type="dxa"/>
            <w:tcBorders>
              <w:top w:val="single" w:sz="4" w:space="0" w:color="auto"/>
              <w:bottom w:val="single" w:sz="4" w:space="0" w:color="auto"/>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Male</w:t>
            </w:r>
          </w:p>
        </w:tc>
        <w:tc>
          <w:tcPr>
            <w:tcW w:w="720" w:type="dxa"/>
            <w:tcBorders>
              <w:top w:val="single" w:sz="4" w:space="0" w:color="auto"/>
              <w:left w:val="nil"/>
              <w:bottom w:val="single" w:sz="4" w:space="0" w:color="auto"/>
              <w:right w:val="nil"/>
            </w:tcBorders>
            <w:shd w:val="clear" w:color="auto" w:fill="auto"/>
            <w:noWrap/>
            <w:hideMark/>
          </w:tcPr>
          <w:p w:rsidR="00000384" w:rsidRPr="00885D52" w:rsidRDefault="00000384" w:rsidP="00D76621">
            <w:pPr>
              <w:pStyle w:val="TableText"/>
              <w:jc w:val="center"/>
              <w:rPr>
                <w:b/>
                <w:bCs/>
                <w:lang w:eastAsia="en-NZ"/>
              </w:rPr>
            </w:pPr>
            <w:r w:rsidRPr="00885D52">
              <w:rPr>
                <w:b/>
                <w:bCs/>
                <w:lang w:eastAsia="en-NZ"/>
              </w:rPr>
              <w:t>Female</w:t>
            </w:r>
          </w:p>
        </w:tc>
      </w:tr>
      <w:tr w:rsidR="00000384" w:rsidRPr="00885D52" w:rsidTr="00D76621">
        <w:trPr>
          <w:cantSplit/>
        </w:trPr>
        <w:tc>
          <w:tcPr>
            <w:tcW w:w="720" w:type="dxa"/>
            <w:tcBorders>
              <w:top w:val="single" w:sz="4" w:space="0" w:color="auto"/>
              <w:left w:val="nil"/>
              <w:right w:val="single" w:sz="4" w:space="0" w:color="auto"/>
            </w:tcBorders>
            <w:shd w:val="clear" w:color="auto" w:fill="F2F2F2"/>
            <w:noWrap/>
            <w:hideMark/>
          </w:tcPr>
          <w:p w:rsidR="00000384" w:rsidRPr="00885D52" w:rsidRDefault="00000384" w:rsidP="00D76621">
            <w:pPr>
              <w:pStyle w:val="TableText"/>
              <w:rPr>
                <w:szCs w:val="18"/>
              </w:rPr>
            </w:pPr>
            <w:r w:rsidRPr="00885D52">
              <w:rPr>
                <w:szCs w:val="18"/>
              </w:rPr>
              <w:t>5–14</w:t>
            </w:r>
          </w:p>
        </w:tc>
        <w:tc>
          <w:tcPr>
            <w:tcW w:w="719" w:type="dxa"/>
            <w:tcBorders>
              <w:top w:val="single" w:sz="4" w:space="0" w:color="auto"/>
              <w:lef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3.5</w:t>
            </w:r>
          </w:p>
        </w:tc>
        <w:tc>
          <w:tcPr>
            <w:tcW w:w="720" w:type="dxa"/>
            <w:tcBorders>
              <w:top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2.4</w:t>
            </w:r>
          </w:p>
        </w:tc>
        <w:tc>
          <w:tcPr>
            <w:tcW w:w="720" w:type="dxa"/>
            <w:tcBorders>
              <w:top w:val="single" w:sz="4" w:space="0" w:color="auto"/>
              <w:left w:val="nil"/>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6.3</w:t>
            </w:r>
          </w:p>
        </w:tc>
        <w:tc>
          <w:tcPr>
            <w:tcW w:w="719" w:type="dxa"/>
            <w:tcBorders>
              <w:top w:val="single" w:sz="4" w:space="0" w:color="auto"/>
              <w:lef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0.5</w:t>
            </w:r>
          </w:p>
        </w:tc>
        <w:tc>
          <w:tcPr>
            <w:tcW w:w="720" w:type="dxa"/>
            <w:tcBorders>
              <w:top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0.3</w:t>
            </w:r>
          </w:p>
        </w:tc>
        <w:tc>
          <w:tcPr>
            <w:tcW w:w="720" w:type="dxa"/>
            <w:tcBorders>
              <w:top w:val="single" w:sz="4" w:space="0" w:color="auto"/>
              <w:left w:val="nil"/>
              <w:righ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1.2</w:t>
            </w:r>
          </w:p>
        </w:tc>
        <w:tc>
          <w:tcPr>
            <w:tcW w:w="719" w:type="dxa"/>
            <w:tcBorders>
              <w:top w:val="single" w:sz="4" w:space="0" w:color="auto"/>
              <w:lef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2.9</w:t>
            </w:r>
          </w:p>
        </w:tc>
        <w:tc>
          <w:tcPr>
            <w:tcW w:w="720" w:type="dxa"/>
            <w:tcBorders>
              <w:top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2.8</w:t>
            </w:r>
          </w:p>
        </w:tc>
        <w:tc>
          <w:tcPr>
            <w:tcW w:w="720" w:type="dxa"/>
            <w:tcBorders>
              <w:top w:val="single" w:sz="4" w:space="0" w:color="auto"/>
              <w:left w:val="nil"/>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2.9</w:t>
            </w:r>
          </w:p>
        </w:tc>
        <w:tc>
          <w:tcPr>
            <w:tcW w:w="719" w:type="dxa"/>
            <w:tcBorders>
              <w:top w:val="single" w:sz="4" w:space="0" w:color="auto"/>
              <w:lef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0.5</w:t>
            </w:r>
          </w:p>
        </w:tc>
        <w:tc>
          <w:tcPr>
            <w:tcW w:w="720" w:type="dxa"/>
            <w:tcBorders>
              <w:top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0.4</w:t>
            </w:r>
          </w:p>
        </w:tc>
        <w:tc>
          <w:tcPr>
            <w:tcW w:w="720" w:type="dxa"/>
            <w:tcBorders>
              <w:top w:val="single" w:sz="4" w:space="0" w:color="auto"/>
              <w:left w:val="nil"/>
              <w:right w:val="nil"/>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0.5</w:t>
            </w:r>
          </w:p>
        </w:tc>
      </w:tr>
      <w:tr w:rsidR="00000384" w:rsidRPr="00885D52" w:rsidTr="00D76621">
        <w:trPr>
          <w:cantSplit/>
        </w:trPr>
        <w:tc>
          <w:tcPr>
            <w:tcW w:w="720" w:type="dxa"/>
            <w:tcBorders>
              <w:left w:val="nil"/>
              <w:right w:val="single" w:sz="4" w:space="0" w:color="auto"/>
            </w:tcBorders>
            <w:shd w:val="clear" w:color="auto" w:fill="auto"/>
            <w:noWrap/>
            <w:hideMark/>
          </w:tcPr>
          <w:p w:rsidR="00000384" w:rsidRPr="00885D52" w:rsidRDefault="00000384" w:rsidP="00D76621">
            <w:pPr>
              <w:pStyle w:val="TableText"/>
              <w:rPr>
                <w:szCs w:val="18"/>
              </w:rPr>
            </w:pPr>
            <w:r w:rsidRPr="00885D52">
              <w:rPr>
                <w:szCs w:val="18"/>
              </w:rPr>
              <w:t>15–24</w:t>
            </w:r>
          </w:p>
        </w:tc>
        <w:tc>
          <w:tcPr>
            <w:tcW w:w="719" w:type="dxa"/>
            <w:tcBorders>
              <w:lef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43.0</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40.2</w:t>
            </w:r>
          </w:p>
        </w:tc>
        <w:tc>
          <w:tcPr>
            <w:tcW w:w="720" w:type="dxa"/>
            <w:tcBorders>
              <w:left w:val="nil"/>
              <w:righ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50.0</w:t>
            </w:r>
          </w:p>
        </w:tc>
        <w:tc>
          <w:tcPr>
            <w:tcW w:w="719" w:type="dxa"/>
            <w:tcBorders>
              <w:lef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21.1</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21.4</w:t>
            </w:r>
          </w:p>
        </w:tc>
        <w:tc>
          <w:tcPr>
            <w:tcW w:w="720" w:type="dxa"/>
            <w:tcBorders>
              <w:left w:val="nil"/>
              <w:righ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20.2</w:t>
            </w:r>
          </w:p>
        </w:tc>
        <w:tc>
          <w:tcPr>
            <w:tcW w:w="719" w:type="dxa"/>
            <w:tcBorders>
              <w:lef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38.8</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51.5</w:t>
            </w:r>
          </w:p>
        </w:tc>
        <w:tc>
          <w:tcPr>
            <w:tcW w:w="720" w:type="dxa"/>
            <w:tcBorders>
              <w:left w:val="nil"/>
              <w:righ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25.7</w:t>
            </w:r>
          </w:p>
        </w:tc>
        <w:tc>
          <w:tcPr>
            <w:tcW w:w="719" w:type="dxa"/>
            <w:tcBorders>
              <w:lef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15.5</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23.6</w:t>
            </w:r>
          </w:p>
        </w:tc>
        <w:tc>
          <w:tcPr>
            <w:tcW w:w="720" w:type="dxa"/>
            <w:tcBorders>
              <w:left w:val="nil"/>
              <w:right w:val="nil"/>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6.8</w:t>
            </w:r>
          </w:p>
        </w:tc>
      </w:tr>
      <w:tr w:rsidR="00000384" w:rsidRPr="00885D52" w:rsidTr="00D76621">
        <w:trPr>
          <w:cantSplit/>
        </w:trPr>
        <w:tc>
          <w:tcPr>
            <w:tcW w:w="720" w:type="dxa"/>
            <w:tcBorders>
              <w:left w:val="nil"/>
              <w:right w:val="single" w:sz="4" w:space="0" w:color="auto"/>
            </w:tcBorders>
            <w:shd w:val="clear" w:color="auto" w:fill="F2F2F2"/>
            <w:noWrap/>
            <w:hideMark/>
          </w:tcPr>
          <w:p w:rsidR="00000384" w:rsidRPr="00885D52" w:rsidRDefault="00000384" w:rsidP="00D76621">
            <w:pPr>
              <w:pStyle w:val="TableText"/>
              <w:rPr>
                <w:szCs w:val="18"/>
              </w:rPr>
            </w:pPr>
            <w:r w:rsidRPr="00885D52">
              <w:rPr>
                <w:szCs w:val="18"/>
              </w:rPr>
              <w:t>25–44</w:t>
            </w:r>
          </w:p>
        </w:tc>
        <w:tc>
          <w:tcPr>
            <w:tcW w:w="719" w:type="dxa"/>
            <w:tcBorders>
              <w:lef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39.5</w:t>
            </w:r>
          </w:p>
        </w:tc>
        <w:tc>
          <w:tcPr>
            <w:tcW w:w="720" w:type="dxa"/>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41.5</w:t>
            </w:r>
          </w:p>
        </w:tc>
        <w:tc>
          <w:tcPr>
            <w:tcW w:w="720" w:type="dxa"/>
            <w:tcBorders>
              <w:left w:val="nil"/>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34.4</w:t>
            </w:r>
          </w:p>
        </w:tc>
        <w:tc>
          <w:tcPr>
            <w:tcW w:w="719" w:type="dxa"/>
            <w:tcBorders>
              <w:lef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31.1</w:t>
            </w:r>
          </w:p>
        </w:tc>
        <w:tc>
          <w:tcPr>
            <w:tcW w:w="720" w:type="dxa"/>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32.5</w:t>
            </w:r>
          </w:p>
        </w:tc>
        <w:tc>
          <w:tcPr>
            <w:tcW w:w="720" w:type="dxa"/>
            <w:tcBorders>
              <w:left w:val="nil"/>
              <w:righ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26.2</w:t>
            </w:r>
          </w:p>
        </w:tc>
        <w:tc>
          <w:tcPr>
            <w:tcW w:w="719" w:type="dxa"/>
            <w:tcBorders>
              <w:lef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26.9</w:t>
            </w:r>
          </w:p>
        </w:tc>
        <w:tc>
          <w:tcPr>
            <w:tcW w:w="720" w:type="dxa"/>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43.3</w:t>
            </w:r>
          </w:p>
        </w:tc>
        <w:tc>
          <w:tcPr>
            <w:tcW w:w="720" w:type="dxa"/>
            <w:tcBorders>
              <w:left w:val="nil"/>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12.4</w:t>
            </w:r>
          </w:p>
        </w:tc>
        <w:tc>
          <w:tcPr>
            <w:tcW w:w="719" w:type="dxa"/>
            <w:tcBorders>
              <w:lef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11.8</w:t>
            </w:r>
          </w:p>
        </w:tc>
        <w:tc>
          <w:tcPr>
            <w:tcW w:w="720" w:type="dxa"/>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19.7</w:t>
            </w:r>
          </w:p>
        </w:tc>
        <w:tc>
          <w:tcPr>
            <w:tcW w:w="720" w:type="dxa"/>
            <w:tcBorders>
              <w:left w:val="nil"/>
              <w:right w:val="nil"/>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4.3</w:t>
            </w:r>
          </w:p>
        </w:tc>
      </w:tr>
      <w:tr w:rsidR="00000384" w:rsidRPr="00885D52" w:rsidTr="00D76621">
        <w:trPr>
          <w:cantSplit/>
        </w:trPr>
        <w:tc>
          <w:tcPr>
            <w:tcW w:w="720" w:type="dxa"/>
            <w:tcBorders>
              <w:left w:val="nil"/>
              <w:right w:val="single" w:sz="4" w:space="0" w:color="auto"/>
            </w:tcBorders>
            <w:shd w:val="clear" w:color="auto" w:fill="auto"/>
            <w:noWrap/>
            <w:hideMark/>
          </w:tcPr>
          <w:p w:rsidR="00000384" w:rsidRPr="00885D52" w:rsidRDefault="00000384" w:rsidP="00D76621">
            <w:pPr>
              <w:pStyle w:val="TableText"/>
              <w:rPr>
                <w:szCs w:val="18"/>
              </w:rPr>
            </w:pPr>
            <w:r w:rsidRPr="00885D52">
              <w:rPr>
                <w:szCs w:val="18"/>
              </w:rPr>
              <w:t>45–64</w:t>
            </w:r>
          </w:p>
        </w:tc>
        <w:tc>
          <w:tcPr>
            <w:tcW w:w="719" w:type="dxa"/>
            <w:tcBorders>
              <w:lef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14.0</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15.9</w:t>
            </w:r>
          </w:p>
        </w:tc>
        <w:tc>
          <w:tcPr>
            <w:tcW w:w="720" w:type="dxa"/>
            <w:tcBorders>
              <w:left w:val="nil"/>
              <w:righ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9.4</w:t>
            </w:r>
          </w:p>
        </w:tc>
        <w:tc>
          <w:tcPr>
            <w:tcW w:w="719" w:type="dxa"/>
            <w:tcBorders>
              <w:lef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35.4</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35.3</w:t>
            </w:r>
          </w:p>
        </w:tc>
        <w:tc>
          <w:tcPr>
            <w:tcW w:w="720" w:type="dxa"/>
            <w:tcBorders>
              <w:left w:val="nil"/>
              <w:righ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35.7</w:t>
            </w:r>
          </w:p>
        </w:tc>
        <w:tc>
          <w:tcPr>
            <w:tcW w:w="719" w:type="dxa"/>
            <w:tcBorders>
              <w:left w:val="single" w:sz="4" w:space="0" w:color="auto"/>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13.7</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23.6</w:t>
            </w:r>
          </w:p>
        </w:tc>
        <w:tc>
          <w:tcPr>
            <w:tcW w:w="720" w:type="dxa"/>
            <w:tcBorders>
              <w:left w:val="nil"/>
              <w:righ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4.9</w:t>
            </w:r>
          </w:p>
        </w:tc>
        <w:tc>
          <w:tcPr>
            <w:tcW w:w="719" w:type="dxa"/>
            <w:tcBorders>
              <w:left w:val="single" w:sz="4" w:space="0" w:color="A6A6A6"/>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13.5</w:t>
            </w:r>
          </w:p>
        </w:tc>
        <w:tc>
          <w:tcPr>
            <w:tcW w:w="720" w:type="dxa"/>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21.4</w:t>
            </w:r>
          </w:p>
        </w:tc>
        <w:tc>
          <w:tcPr>
            <w:tcW w:w="720" w:type="dxa"/>
            <w:tcBorders>
              <w:left w:val="nil"/>
              <w:right w:val="nil"/>
            </w:tcBorders>
            <w:shd w:val="clear" w:color="auto" w:fill="auto"/>
            <w:noWrap/>
            <w:hideMark/>
          </w:tcPr>
          <w:p w:rsidR="00000384" w:rsidRPr="00885D52" w:rsidRDefault="00000384" w:rsidP="00D76621">
            <w:pPr>
              <w:pStyle w:val="TableText"/>
              <w:tabs>
                <w:tab w:val="decimal" w:pos="369"/>
              </w:tabs>
              <w:rPr>
                <w:lang w:eastAsia="en-NZ"/>
              </w:rPr>
            </w:pPr>
            <w:r w:rsidRPr="00885D52">
              <w:rPr>
                <w:lang w:eastAsia="en-NZ"/>
              </w:rPr>
              <w:t>5.9</w:t>
            </w:r>
          </w:p>
        </w:tc>
      </w:tr>
      <w:tr w:rsidR="00000384" w:rsidRPr="00885D52" w:rsidTr="00D76621">
        <w:trPr>
          <w:cantSplit/>
        </w:trPr>
        <w:tc>
          <w:tcPr>
            <w:tcW w:w="720" w:type="dxa"/>
            <w:tcBorders>
              <w:left w:val="nil"/>
              <w:bottom w:val="single" w:sz="4" w:space="0" w:color="auto"/>
              <w:right w:val="single" w:sz="4" w:space="0" w:color="auto"/>
            </w:tcBorders>
            <w:shd w:val="clear" w:color="auto" w:fill="F2F2F2"/>
            <w:noWrap/>
            <w:hideMark/>
          </w:tcPr>
          <w:p w:rsidR="00000384" w:rsidRPr="00885D52" w:rsidRDefault="00000384" w:rsidP="00D76621">
            <w:pPr>
              <w:pStyle w:val="TableText"/>
              <w:rPr>
                <w:szCs w:val="18"/>
              </w:rPr>
            </w:pPr>
            <w:r w:rsidRPr="00885D52">
              <w:rPr>
                <w:szCs w:val="18"/>
              </w:rPr>
              <w:t>65+</w:t>
            </w:r>
          </w:p>
        </w:tc>
        <w:tc>
          <w:tcPr>
            <w:tcW w:w="719" w:type="dxa"/>
            <w:tcBorders>
              <w:left w:val="single" w:sz="4" w:space="0" w:color="auto"/>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20" w:type="dxa"/>
            <w:tcBorders>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20" w:type="dxa"/>
            <w:tcBorders>
              <w:left w:val="nil"/>
              <w:bottom w:val="single" w:sz="4" w:space="0" w:color="auto"/>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19" w:type="dxa"/>
            <w:tcBorders>
              <w:left w:val="single" w:sz="4" w:space="0" w:color="A6A6A6"/>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11.9</w:t>
            </w:r>
          </w:p>
        </w:tc>
        <w:tc>
          <w:tcPr>
            <w:tcW w:w="720" w:type="dxa"/>
            <w:tcBorders>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10.5</w:t>
            </w:r>
          </w:p>
        </w:tc>
        <w:tc>
          <w:tcPr>
            <w:tcW w:w="720" w:type="dxa"/>
            <w:tcBorders>
              <w:left w:val="nil"/>
              <w:bottom w:val="single" w:sz="4" w:space="0" w:color="auto"/>
              <w:right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16.7</w:t>
            </w:r>
          </w:p>
        </w:tc>
        <w:tc>
          <w:tcPr>
            <w:tcW w:w="719" w:type="dxa"/>
            <w:tcBorders>
              <w:left w:val="single" w:sz="4" w:space="0" w:color="auto"/>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20" w:type="dxa"/>
            <w:tcBorders>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20" w:type="dxa"/>
            <w:tcBorders>
              <w:left w:val="nil"/>
              <w:bottom w:val="single" w:sz="4" w:space="0" w:color="auto"/>
              <w:right w:val="single" w:sz="4" w:space="0" w:color="A6A6A6"/>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0.0</w:t>
            </w:r>
          </w:p>
        </w:tc>
        <w:tc>
          <w:tcPr>
            <w:tcW w:w="719" w:type="dxa"/>
            <w:tcBorders>
              <w:left w:val="single" w:sz="4" w:space="0" w:color="A6A6A6"/>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8.1</w:t>
            </w:r>
          </w:p>
        </w:tc>
        <w:tc>
          <w:tcPr>
            <w:tcW w:w="720" w:type="dxa"/>
            <w:tcBorders>
              <w:bottom w:val="single" w:sz="4" w:space="0" w:color="auto"/>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12.2</w:t>
            </w:r>
          </w:p>
        </w:tc>
        <w:tc>
          <w:tcPr>
            <w:tcW w:w="720" w:type="dxa"/>
            <w:tcBorders>
              <w:left w:val="nil"/>
              <w:bottom w:val="single" w:sz="4" w:space="0" w:color="auto"/>
              <w:right w:val="nil"/>
            </w:tcBorders>
            <w:shd w:val="clear" w:color="auto" w:fill="F2F2F2"/>
            <w:noWrap/>
            <w:hideMark/>
          </w:tcPr>
          <w:p w:rsidR="00000384" w:rsidRPr="00885D52" w:rsidRDefault="00000384" w:rsidP="00D76621">
            <w:pPr>
              <w:pStyle w:val="TableText"/>
              <w:tabs>
                <w:tab w:val="decimal" w:pos="369"/>
              </w:tabs>
              <w:rPr>
                <w:lang w:eastAsia="en-NZ"/>
              </w:rPr>
            </w:pPr>
            <w:r w:rsidRPr="00885D52">
              <w:rPr>
                <w:lang w:eastAsia="en-NZ"/>
              </w:rPr>
              <w:t>4.6</w:t>
            </w:r>
          </w:p>
        </w:tc>
      </w:tr>
    </w:tbl>
    <w:p w:rsidR="00000384" w:rsidRPr="00885D52" w:rsidRDefault="00000384" w:rsidP="00D76621">
      <w:pPr>
        <w:pStyle w:val="Note"/>
        <w:ind w:right="0"/>
      </w:pPr>
      <w:r w:rsidRPr="00885D52">
        <w:t>Note: Rates per 100,000 population.</w:t>
      </w:r>
    </w:p>
    <w:p w:rsidR="00000384" w:rsidRPr="00885D52" w:rsidRDefault="00000384" w:rsidP="00D76621"/>
    <w:p w:rsidR="00000384" w:rsidRPr="00885D52" w:rsidRDefault="00000384" w:rsidP="00D76621">
      <w:r w:rsidRPr="00885D52">
        <w:t>Note that Table 25 uses different age groups to similar tables in this publication, in order to show suicide incidence in the child (5–14 years) and youth (15–24 years) age groups.</w:t>
      </w:r>
    </w:p>
    <w:p w:rsidR="00000384" w:rsidRPr="00885D52" w:rsidRDefault="00000384" w:rsidP="00D76621"/>
    <w:p w:rsidR="00000384" w:rsidRPr="00885D52" w:rsidRDefault="00000384" w:rsidP="00456766">
      <w:pPr>
        <w:keepNext/>
      </w:pPr>
      <w:r w:rsidRPr="00885D52">
        <w:lastRenderedPageBreak/>
        <w:t xml:space="preserve">Figure 38 shows age-standardised mortality rates for suicide by sex and ethnicity from 1996 to 2011. Compared </w:t>
      </w:r>
      <w:r w:rsidR="00491B19">
        <w:t>with</w:t>
      </w:r>
      <w:r w:rsidRPr="00885D52">
        <w:t xml:space="preserve"> their female counterparts, both Māori males and non-Māori males had significantly higher mortality rates in 2011 (using 95 percent confidence intervals).</w:t>
      </w:r>
    </w:p>
    <w:p w:rsidR="00000384" w:rsidRPr="00885D52" w:rsidRDefault="00000384" w:rsidP="00456766">
      <w:pPr>
        <w:keepNext/>
      </w:pPr>
    </w:p>
    <w:p w:rsidR="00000384" w:rsidRPr="00885D52" w:rsidRDefault="00000384" w:rsidP="00D76621">
      <w:pPr>
        <w:pStyle w:val="Figure"/>
      </w:pPr>
      <w:bookmarkStart w:id="609" w:name="_Toc352670701"/>
      <w:bookmarkStart w:id="610" w:name="_Toc400536137"/>
      <w:bookmarkStart w:id="611" w:name="_Toc403120612"/>
      <w:r w:rsidRPr="00885D52">
        <w:t>Figure 38: Age-standardised mortality rates for suicide, by sex and ethnicity, 1996–201</w:t>
      </w:r>
      <w:bookmarkEnd w:id="609"/>
      <w:r w:rsidRPr="00885D52">
        <w:t>1</w:t>
      </w:r>
      <w:bookmarkEnd w:id="610"/>
      <w:bookmarkEnd w:id="611"/>
    </w:p>
    <w:p w:rsidR="00000384" w:rsidRPr="00885D52" w:rsidRDefault="00A23ACE" w:rsidP="00D76621">
      <w:r>
        <w:rPr>
          <w:noProof/>
          <w:lang w:eastAsia="en-NZ"/>
        </w:rPr>
        <w:drawing>
          <wp:inline distT="0" distB="0" distL="0" distR="0" wp14:anchorId="3E9CAD63" wp14:editId="1BB47C38">
            <wp:extent cx="5122800" cy="3125872"/>
            <wp:effectExtent l="0" t="0" r="0" b="0"/>
            <wp:docPr id="21" name="Picture 21" descr="Figure 38: Age-standardised mortality rates for suicide, by sex and ethnicity, 1996–2011" title="Figure 38: Age-standardised mortality rates for suicide, by sex and ethnicity,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22800" cy="3125872"/>
                    </a:xfrm>
                    <a:prstGeom prst="rect">
                      <a:avLst/>
                    </a:prstGeom>
                    <a:noFill/>
                  </pic:spPr>
                </pic:pic>
              </a:graphicData>
            </a:graphic>
          </wp:inline>
        </w:drawing>
      </w:r>
    </w:p>
    <w:p w:rsidR="00000384" w:rsidRPr="00885D52" w:rsidRDefault="00000384" w:rsidP="00D76621">
      <w:pPr>
        <w:pStyle w:val="Note"/>
      </w:pPr>
      <w:r w:rsidRPr="00885D52">
        <w:t>Note: Rates per 100,000 population, age-standardised to WHO World Standard Population.</w:t>
      </w:r>
    </w:p>
    <w:p w:rsidR="00000384" w:rsidRPr="00885D52" w:rsidRDefault="00000384" w:rsidP="00D76621"/>
    <w:p w:rsidR="00000384" w:rsidRPr="00885D52" w:rsidRDefault="00000384" w:rsidP="00D76621">
      <w:r w:rsidRPr="00885D52">
        <w:t xml:space="preserve">Figures 39 and 40 show the rate of hospitalisations alongside mortality rates for intentional self-harm between 1996 and 2011 for males and females. Note that the hospitalisation figures exclude short-stay emergency department data, in line with the methodology used for motor vehicle accident hospitalisations in this publication and in line with that used in the </w:t>
      </w:r>
      <w:r w:rsidRPr="00885D52">
        <w:rPr>
          <w:i/>
        </w:rPr>
        <w:t>Suicide Facts</w:t>
      </w:r>
      <w:r w:rsidRPr="00885D52">
        <w:t xml:space="preserve"> publication series.</w:t>
      </w:r>
    </w:p>
    <w:p w:rsidR="00000384" w:rsidRPr="00885D52" w:rsidRDefault="00000384" w:rsidP="00D76621"/>
    <w:p w:rsidR="00000384" w:rsidRPr="00885D52" w:rsidRDefault="00000384" w:rsidP="00D76621">
      <w:pPr>
        <w:pStyle w:val="Figure"/>
      </w:pPr>
      <w:bookmarkStart w:id="612" w:name="_Toc352670702"/>
      <w:bookmarkStart w:id="613" w:name="_Toc400536138"/>
      <w:bookmarkStart w:id="614" w:name="_Toc403120613"/>
      <w:r w:rsidRPr="00885D52">
        <w:lastRenderedPageBreak/>
        <w:t>Figure 39: Male mortality and hospitalisation rates for intentional self-harm, and ratio of hospitalisations to deaths, 1996–201</w:t>
      </w:r>
      <w:bookmarkEnd w:id="612"/>
      <w:r w:rsidRPr="00885D52">
        <w:t>1</w:t>
      </w:r>
      <w:bookmarkEnd w:id="613"/>
      <w:bookmarkEnd w:id="614"/>
    </w:p>
    <w:p w:rsidR="00000384" w:rsidRPr="00885D52" w:rsidRDefault="00D76621" w:rsidP="00D76621">
      <w:r w:rsidRPr="00885D52">
        <w:rPr>
          <w:noProof/>
          <w:lang w:eastAsia="en-NZ"/>
        </w:rPr>
        <w:drawing>
          <wp:inline distT="0" distB="0" distL="0" distR="0" wp14:anchorId="760E2E3B" wp14:editId="19108EFD">
            <wp:extent cx="5668612" cy="3458095"/>
            <wp:effectExtent l="0" t="0" r="8890" b="9525"/>
            <wp:docPr id="64" name="Picture 64" descr="Figure 39: Male mortality and hospitalisation rates for intentional self-harm, and ratio of hospitalisations to deaths, 1996–2011" title="Figure 39: Male mortality and hospitalisation rates for intentional self-harm, and ratio of hospitalisations to deaths,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930" cy="3457679"/>
                    </a:xfrm>
                    <a:prstGeom prst="rect">
                      <a:avLst/>
                    </a:prstGeom>
                  </pic:spPr>
                </pic:pic>
              </a:graphicData>
            </a:graphic>
          </wp:inline>
        </w:drawing>
      </w:r>
    </w:p>
    <w:p w:rsidR="00000384" w:rsidRPr="00885D52" w:rsidRDefault="00000384" w:rsidP="00D76621">
      <w:pPr>
        <w:pStyle w:val="Note"/>
      </w:pPr>
      <w:r w:rsidRPr="00885D52">
        <w:t>Note: Rates per 100,000 population, age-standardised to WHO World Standard Population.</w:t>
      </w:r>
    </w:p>
    <w:p w:rsidR="00000384" w:rsidRPr="00885D52" w:rsidRDefault="00000384" w:rsidP="00D76621">
      <w:bookmarkStart w:id="615" w:name="_Toc320697550"/>
      <w:bookmarkStart w:id="616" w:name="_Toc320996508"/>
    </w:p>
    <w:p w:rsidR="00000384" w:rsidRPr="00885D52" w:rsidRDefault="00000384" w:rsidP="00D76621">
      <w:pPr>
        <w:pStyle w:val="Figure"/>
      </w:pPr>
      <w:bookmarkStart w:id="617" w:name="_Toc352670703"/>
      <w:bookmarkStart w:id="618" w:name="_Toc400536139"/>
      <w:bookmarkStart w:id="619" w:name="_Toc403120614"/>
      <w:bookmarkEnd w:id="615"/>
      <w:bookmarkEnd w:id="616"/>
      <w:r w:rsidRPr="00885D52">
        <w:t>Figure 40: Female mortality and hospitalisation rates for intentional self-harm, and ratio of hospitalisations to deaths, 1996–201</w:t>
      </w:r>
      <w:bookmarkEnd w:id="617"/>
      <w:r w:rsidRPr="00885D52">
        <w:t>1</w:t>
      </w:r>
      <w:bookmarkEnd w:id="618"/>
      <w:bookmarkEnd w:id="619"/>
    </w:p>
    <w:p w:rsidR="00000384" w:rsidRPr="00885D52" w:rsidRDefault="00113D01" w:rsidP="00113D01">
      <w:r w:rsidRPr="00885D52">
        <w:rPr>
          <w:noProof/>
          <w:lang w:eastAsia="en-NZ"/>
        </w:rPr>
        <w:drawing>
          <wp:inline distT="0" distB="0" distL="0" distR="0" wp14:anchorId="2B4A35A3" wp14:editId="58F86AC1">
            <wp:extent cx="5682239" cy="3466408"/>
            <wp:effectExtent l="0" t="0" r="0" b="1270"/>
            <wp:docPr id="65" name="Picture 65" title="Figure 40: Female mortality and hospitalisation rates for intentional self-harm, and ratio of hospitalisations to deaths, 199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82721" cy="3466702"/>
                    </a:xfrm>
                    <a:prstGeom prst="rect">
                      <a:avLst/>
                    </a:prstGeom>
                  </pic:spPr>
                </pic:pic>
              </a:graphicData>
            </a:graphic>
          </wp:inline>
        </w:drawing>
      </w:r>
    </w:p>
    <w:p w:rsidR="00000384" w:rsidRPr="00885D52" w:rsidRDefault="00000384" w:rsidP="00113D01">
      <w:pPr>
        <w:pStyle w:val="Note"/>
      </w:pPr>
      <w:r w:rsidRPr="00885D52">
        <w:t>Note: Rates per 100,000 population, age-standardised to WHO World Standard Population.</w:t>
      </w:r>
    </w:p>
    <w:p w:rsidR="00000384" w:rsidRPr="00885D52" w:rsidRDefault="00000384" w:rsidP="00113D01"/>
    <w:p w:rsidR="00000384" w:rsidRPr="00885D52" w:rsidRDefault="00000384" w:rsidP="00113D01">
      <w:r w:rsidRPr="00885D52">
        <w:t>There appears to be a distinct gender difference in intentional self-harm hospitalisation rates relative to mortality rates. Males have a lower ratio of hospitalisations to deaths than females.</w:t>
      </w:r>
    </w:p>
    <w:p w:rsidR="00113D01" w:rsidRPr="00885D52" w:rsidRDefault="00113D01" w:rsidP="00113D01"/>
    <w:p w:rsidR="00000384" w:rsidRPr="00885D52" w:rsidRDefault="00000384" w:rsidP="00113D01">
      <w:pPr>
        <w:pStyle w:val="Heading1"/>
      </w:pPr>
      <w:bookmarkStart w:id="620" w:name="_Further_mortality-related_informati"/>
      <w:bookmarkStart w:id="621" w:name="_Toc167268836"/>
      <w:bookmarkStart w:id="622" w:name="_Toc236642216"/>
      <w:bookmarkEnd w:id="620"/>
      <w:r w:rsidRPr="00885D52">
        <w:rPr>
          <w:color w:val="FF0000"/>
        </w:rPr>
        <w:br w:type="page"/>
      </w:r>
      <w:bookmarkStart w:id="623" w:name="_Toc262631096"/>
      <w:bookmarkStart w:id="624" w:name="_Toc316994480"/>
      <w:bookmarkStart w:id="625" w:name="_Toc352670637"/>
      <w:bookmarkStart w:id="626" w:name="_Toc400536193"/>
      <w:bookmarkStart w:id="627" w:name="_Toc403120533"/>
      <w:r w:rsidRPr="00885D52">
        <w:lastRenderedPageBreak/>
        <w:t>Further mortality-related information</w:t>
      </w:r>
      <w:bookmarkEnd w:id="621"/>
      <w:bookmarkEnd w:id="622"/>
      <w:bookmarkEnd w:id="623"/>
      <w:bookmarkEnd w:id="624"/>
      <w:bookmarkEnd w:id="625"/>
      <w:bookmarkEnd w:id="626"/>
      <w:bookmarkEnd w:id="627"/>
    </w:p>
    <w:p w:rsidR="00000384" w:rsidRPr="00885D52" w:rsidRDefault="00000384" w:rsidP="00113D01">
      <w:pPr>
        <w:pStyle w:val="Heading2"/>
      </w:pPr>
      <w:bookmarkStart w:id="628" w:name="_Toc352670638"/>
      <w:bookmarkStart w:id="629" w:name="_Toc400536194"/>
      <w:bookmarkStart w:id="630" w:name="_Toc403120534"/>
      <w:r w:rsidRPr="00885D52">
        <w:t>Statistical mortality data tables</w:t>
      </w:r>
      <w:bookmarkEnd w:id="628"/>
      <w:bookmarkEnd w:id="629"/>
      <w:bookmarkEnd w:id="630"/>
    </w:p>
    <w:p w:rsidR="00000384" w:rsidRPr="00885D52" w:rsidRDefault="00000384" w:rsidP="00113D01">
      <w:r w:rsidRPr="00885D52">
        <w:t xml:space="preserve">Statistical mortality data tables are available online in Excel format alongside the </w:t>
      </w:r>
      <w:r w:rsidRPr="00885D52">
        <w:rPr>
          <w:i/>
        </w:rPr>
        <w:t xml:space="preserve">Mortality and Demographic Data </w:t>
      </w:r>
      <w:r w:rsidRPr="00885D52">
        <w:t>publication at: www.health.govt.nz/nz-health-statistics/health-statistics-and-data-sets/mortality-and-demographic-series</w:t>
      </w:r>
    </w:p>
    <w:p w:rsidR="00000384" w:rsidRPr="00885D52" w:rsidRDefault="00000384" w:rsidP="00113D01"/>
    <w:p w:rsidR="00000384" w:rsidRPr="00885D52" w:rsidRDefault="00000384" w:rsidP="00113D01">
      <w:r w:rsidRPr="00885D52">
        <w:t>These tables contain mortality data for the complete range of ICD-10-AM classifications, in sex and five-year age groupings. The data is grouped at national, regional and ethnic level.</w:t>
      </w:r>
    </w:p>
    <w:p w:rsidR="00000384" w:rsidRPr="00885D52" w:rsidRDefault="00000384" w:rsidP="00113D01"/>
    <w:p w:rsidR="00000384" w:rsidRPr="00885D52" w:rsidRDefault="00000384" w:rsidP="00113D01">
      <w:pPr>
        <w:pStyle w:val="Heading2"/>
      </w:pPr>
      <w:bookmarkStart w:id="631" w:name="_Toc167268843"/>
      <w:bookmarkStart w:id="632" w:name="_Toc204491480"/>
      <w:bookmarkStart w:id="633" w:name="_Toc208819431"/>
      <w:bookmarkStart w:id="634" w:name="_Toc236642222"/>
      <w:bookmarkStart w:id="635" w:name="_Toc262631102"/>
      <w:bookmarkStart w:id="636" w:name="_Toc263941955"/>
      <w:bookmarkStart w:id="637" w:name="_Toc284314559"/>
      <w:bookmarkStart w:id="638" w:name="_Toc316994482"/>
      <w:bookmarkStart w:id="639" w:name="_Toc352670639"/>
      <w:bookmarkStart w:id="640" w:name="_Toc400536195"/>
      <w:bookmarkStart w:id="641" w:name="_Toc403120535"/>
      <w:r w:rsidRPr="00885D52">
        <w:t>Other mortality-related Ministry of Health publications</w:t>
      </w:r>
      <w:bookmarkEnd w:id="631"/>
      <w:bookmarkEnd w:id="632"/>
      <w:bookmarkEnd w:id="633"/>
      <w:bookmarkEnd w:id="634"/>
      <w:bookmarkEnd w:id="635"/>
      <w:bookmarkEnd w:id="636"/>
      <w:bookmarkEnd w:id="637"/>
      <w:bookmarkEnd w:id="638"/>
      <w:bookmarkEnd w:id="639"/>
      <w:bookmarkEnd w:id="640"/>
      <w:bookmarkEnd w:id="641"/>
    </w:p>
    <w:p w:rsidR="00000384" w:rsidRPr="00885D52" w:rsidRDefault="00000384" w:rsidP="00113D01">
      <w:pPr>
        <w:pStyle w:val="Bullet"/>
      </w:pPr>
      <w:r w:rsidRPr="00885D52">
        <w:t xml:space="preserve">Further detailed information on numbers and rates of live births, and fetal, neonatal and post-neonatal deaths, is published in the annual series </w:t>
      </w:r>
      <w:r w:rsidRPr="00885D52">
        <w:rPr>
          <w:i/>
        </w:rPr>
        <w:t xml:space="preserve">Fetal and Infant Deaths </w:t>
      </w:r>
      <w:r w:rsidRPr="00885D52">
        <w:t>(www.health.govt.nz/nz-health-statistics/health-statistics-and-data-sets/fetal-and-infant-deaths-series).</w:t>
      </w:r>
    </w:p>
    <w:p w:rsidR="00000384" w:rsidRPr="00885D52" w:rsidRDefault="00000384" w:rsidP="00113D01">
      <w:pPr>
        <w:pStyle w:val="Bullet"/>
      </w:pPr>
      <w:r w:rsidRPr="00885D52">
        <w:t xml:space="preserve">Further information on cancer incidence and mortality can be found in the annual series </w:t>
      </w:r>
      <w:r w:rsidRPr="00885D52">
        <w:rPr>
          <w:i/>
        </w:rPr>
        <w:t xml:space="preserve">Cancer: New registrations and deaths </w:t>
      </w:r>
      <w:r w:rsidRPr="00885D52">
        <w:rPr>
          <w:i/>
        </w:rPr>
        <w:br/>
      </w:r>
      <w:r w:rsidRPr="00885D52">
        <w:t>(www.health.govt.nz/nz-health-statistics/health-statistics-and-data-sets/cancer-new-registrations-and-deaths-series).</w:t>
      </w:r>
    </w:p>
    <w:p w:rsidR="00000384" w:rsidRPr="00885D52" w:rsidRDefault="00000384" w:rsidP="00113D01">
      <w:pPr>
        <w:pStyle w:val="Bullet"/>
      </w:pPr>
      <w:r w:rsidRPr="00885D52">
        <w:t xml:space="preserve">Information on hospitalisations and mortality from intentional self-harm can be found in the annual series </w:t>
      </w:r>
      <w:r w:rsidRPr="00885D52">
        <w:rPr>
          <w:i/>
        </w:rPr>
        <w:t xml:space="preserve">Suicide Facts: Deaths and intentional self-harm hospitalisations </w:t>
      </w:r>
      <w:r w:rsidRPr="00885D52">
        <w:t>(www.health.govt.nz/nz-health-statistics/health-statistics-and-data-sets/suicide-facts-deaths-and-intentional-self-harm-hospitalisations-series). Suicide prevention information can be found at www.health.govt.nz/our-work/mental-health-and-addictions/suicide-prevention</w:t>
      </w:r>
    </w:p>
    <w:p w:rsidR="00000384" w:rsidRPr="00885D52" w:rsidRDefault="00000384" w:rsidP="00113D01"/>
    <w:p w:rsidR="00000384" w:rsidRPr="00885D52" w:rsidRDefault="00000384" w:rsidP="00113D01">
      <w:r w:rsidRPr="00885D52">
        <w:t>These publications, and others produced by the Ministry of Health, can be found through www.health.govt.nz/nz-health-statistics/health-statistics-and-data-sets</w:t>
      </w:r>
    </w:p>
    <w:p w:rsidR="00000384" w:rsidRPr="00885D52" w:rsidRDefault="00000384" w:rsidP="00113D01"/>
    <w:p w:rsidR="00000384" w:rsidRPr="00885D52" w:rsidRDefault="00000384" w:rsidP="00113D01">
      <w:pPr>
        <w:pStyle w:val="Heading2"/>
      </w:pPr>
      <w:bookmarkStart w:id="642" w:name="_Toc316994483"/>
      <w:bookmarkStart w:id="643" w:name="_Toc352670640"/>
      <w:bookmarkStart w:id="644" w:name="_Toc400536196"/>
      <w:bookmarkStart w:id="645" w:name="_Toc403120536"/>
      <w:r w:rsidRPr="00885D52">
        <w:t>Other mortality-related publications</w:t>
      </w:r>
      <w:bookmarkEnd w:id="642"/>
      <w:bookmarkEnd w:id="643"/>
      <w:bookmarkEnd w:id="644"/>
      <w:bookmarkEnd w:id="645"/>
    </w:p>
    <w:p w:rsidR="00000384" w:rsidRPr="00885D52" w:rsidRDefault="00000384" w:rsidP="00113D01">
      <w:pPr>
        <w:pStyle w:val="Heading3"/>
      </w:pPr>
      <w:r w:rsidRPr="00885D52">
        <w:t>Serious injury outcome indicator reports</w:t>
      </w:r>
    </w:p>
    <w:p w:rsidR="00000384" w:rsidRPr="00885D52" w:rsidRDefault="00000384" w:rsidP="00113D01">
      <w:r w:rsidRPr="00885D52">
        <w:t xml:space="preserve">Statistics New Zealand produces annual serious injury outcome indicator reports. These reports include numbers and rates of death from suicide, assault and motor vehicle traffic crashes (MVTC). The information for these reports is also sourced from the New Zealand Mortality Collection, and is therefore broadly comparable with the information published in </w:t>
      </w:r>
      <w:r w:rsidRPr="00885D52">
        <w:rPr>
          <w:i/>
        </w:rPr>
        <w:t>Mortality and Demographic Data</w:t>
      </w:r>
      <w:r w:rsidRPr="00885D52">
        <w:t>.</w:t>
      </w:r>
      <w:r w:rsidRPr="00885D52">
        <w:rPr>
          <w:i/>
        </w:rPr>
        <w:t xml:space="preserve"> </w:t>
      </w:r>
      <w:r w:rsidRPr="00885D52">
        <w:t>However, the Mortality Collection is a dynamic database; any small discrepancies in data between the two publications are therefore likely to be due to updates to records in the database over time.</w:t>
      </w:r>
    </w:p>
    <w:p w:rsidR="00113D01" w:rsidRPr="00885D52" w:rsidRDefault="00113D01" w:rsidP="00113D01"/>
    <w:p w:rsidR="00000384" w:rsidRPr="00885D52" w:rsidRDefault="00000384" w:rsidP="00113D01">
      <w:r w:rsidRPr="00885D52">
        <w:lastRenderedPageBreak/>
        <w:t xml:space="preserve">The serious injury outcome indicator reports also present data on </w:t>
      </w:r>
      <w:r w:rsidR="00885D52" w:rsidRPr="00885D52">
        <w:t>‘</w:t>
      </w:r>
      <w:r w:rsidRPr="00885D52">
        <w:t>serious non-fatal intentional self-harm injury</w:t>
      </w:r>
      <w:r w:rsidR="00885D52" w:rsidRPr="00885D52">
        <w:t>’</w:t>
      </w:r>
      <w:r w:rsidRPr="00885D52">
        <w:t xml:space="preserve"> and </w:t>
      </w:r>
      <w:r w:rsidR="00885D52" w:rsidRPr="00885D52">
        <w:t>‘</w:t>
      </w:r>
      <w:r w:rsidRPr="00885D52">
        <w:t>serious non-fatal MVTC injury</w:t>
      </w:r>
      <w:r w:rsidR="00885D52" w:rsidRPr="00885D52">
        <w:t>’</w:t>
      </w:r>
      <w:r w:rsidRPr="00885D52">
        <w:t>. These indicators cover only a subset of the self-harm hospitalisation data and motor vehicle accidents data analysed in this publication, and therefore cannot be directly compared.</w:t>
      </w:r>
    </w:p>
    <w:p w:rsidR="00000384" w:rsidRPr="00885D52" w:rsidRDefault="00000384" w:rsidP="00113D01"/>
    <w:p w:rsidR="00000384" w:rsidRPr="00885D52" w:rsidRDefault="00000384" w:rsidP="00113D01">
      <w:r w:rsidRPr="00885D52">
        <w:t>For more information and access to the serious injury outcome indicator reports</w:t>
      </w:r>
      <w:r w:rsidRPr="00885D52">
        <w:rPr>
          <w:i/>
        </w:rPr>
        <w:t xml:space="preserve"> </w:t>
      </w:r>
      <w:hyperlink r:id="rId63" w:history="1">
        <w:r w:rsidRPr="00885D52">
          <w:rPr>
            <w:rStyle w:val="Hyperlink"/>
          </w:rPr>
          <w:t>see</w:t>
        </w:r>
      </w:hyperlink>
      <w:r w:rsidRPr="00885D52">
        <w:t xml:space="preserve"> </w:t>
      </w:r>
      <w:hyperlink r:id="rId64" w:history="1">
        <w:r w:rsidRPr="00885D52">
          <w:rPr>
            <w:rStyle w:val="Hyperlink"/>
            <w:rFonts w:cs="Arial"/>
            <w:szCs w:val="24"/>
          </w:rPr>
          <w:t>www.stats.govt.nz/browse_for_stats/health/injuries/serious-injury-outcome-indicators-reports.aspx</w:t>
        </w:r>
      </w:hyperlink>
    </w:p>
    <w:p w:rsidR="00000384" w:rsidRPr="00885D52" w:rsidRDefault="00000384" w:rsidP="00113D01"/>
    <w:p w:rsidR="00000384" w:rsidRPr="00885D52" w:rsidRDefault="00000384" w:rsidP="00113D01">
      <w:r w:rsidRPr="00885D52">
        <w:t>For further information relating to the methodology, classifications and processes used to produce this publication, and how they differ between publications, con</w:t>
      </w:r>
      <w:r w:rsidR="008A4C52">
        <w:t>tact data-enquiries@moh.govt.nz</w:t>
      </w:r>
    </w:p>
    <w:p w:rsidR="00000384" w:rsidRPr="00885D52" w:rsidRDefault="00000384" w:rsidP="00113D01"/>
    <w:p w:rsidR="00000384" w:rsidRPr="00885D52" w:rsidRDefault="00000384" w:rsidP="00113D01">
      <w:pPr>
        <w:pStyle w:val="Heading2"/>
      </w:pPr>
      <w:bookmarkStart w:id="646" w:name="_Toc167268846"/>
      <w:bookmarkStart w:id="647" w:name="_Toc204491483"/>
      <w:bookmarkStart w:id="648" w:name="_Toc208819434"/>
      <w:bookmarkStart w:id="649" w:name="_Toc236642225"/>
      <w:bookmarkStart w:id="650" w:name="_Toc262631103"/>
      <w:bookmarkStart w:id="651" w:name="_Toc263941956"/>
      <w:bookmarkStart w:id="652" w:name="_Toc284314560"/>
      <w:bookmarkStart w:id="653" w:name="_Toc316994484"/>
      <w:bookmarkStart w:id="654" w:name="_Toc352670641"/>
      <w:bookmarkStart w:id="655" w:name="_Toc400536197"/>
      <w:bookmarkStart w:id="656" w:name="_Toc403120537"/>
      <w:r w:rsidRPr="00885D52">
        <w:t>Population and demographic data</w:t>
      </w:r>
      <w:bookmarkEnd w:id="646"/>
      <w:bookmarkEnd w:id="647"/>
      <w:bookmarkEnd w:id="648"/>
      <w:bookmarkEnd w:id="649"/>
      <w:bookmarkEnd w:id="650"/>
      <w:bookmarkEnd w:id="651"/>
      <w:bookmarkEnd w:id="652"/>
      <w:bookmarkEnd w:id="653"/>
      <w:bookmarkEnd w:id="654"/>
      <w:bookmarkEnd w:id="655"/>
      <w:bookmarkEnd w:id="656"/>
    </w:p>
    <w:p w:rsidR="00000384" w:rsidRPr="00885D52" w:rsidRDefault="00000384" w:rsidP="00113D01">
      <w:r w:rsidRPr="00885D52">
        <w:t xml:space="preserve">For population and other demographic data, contact the Ministry of Health (email: </w:t>
      </w:r>
      <w:hyperlink r:id="rId65" w:history="1">
        <w:r w:rsidRPr="00885D52">
          <w:rPr>
            <w:rStyle w:val="Hyperlink"/>
          </w:rPr>
          <w:t>data-enquiries@moh.govt.nz</w:t>
        </w:r>
      </w:hyperlink>
      <w:r w:rsidRPr="00885D52">
        <w:t>) or Statistics New Zealand (</w:t>
      </w:r>
      <w:hyperlink r:id="rId66" w:history="1">
        <w:r w:rsidRPr="00885D52">
          <w:rPr>
            <w:rStyle w:val="Hyperlink"/>
          </w:rPr>
          <w:t>www.stats.govt.nz</w:t>
        </w:r>
      </w:hyperlink>
      <w:r w:rsidRPr="00885D52">
        <w:t xml:space="preserve"> or email: info@stats.govt.nz).</w:t>
      </w:r>
    </w:p>
    <w:p w:rsidR="00000384" w:rsidRPr="00885D52" w:rsidRDefault="00000384" w:rsidP="00113D01"/>
    <w:p w:rsidR="00000384" w:rsidRPr="00885D52" w:rsidRDefault="00000384" w:rsidP="00113D01">
      <w:pPr>
        <w:pStyle w:val="Heading2"/>
      </w:pPr>
      <w:bookmarkStart w:id="657" w:name="_Toc204491484"/>
      <w:bookmarkStart w:id="658" w:name="_Toc208819435"/>
      <w:bookmarkStart w:id="659" w:name="_Toc236642226"/>
      <w:bookmarkStart w:id="660" w:name="_Toc262631104"/>
      <w:bookmarkStart w:id="661" w:name="_Toc263941957"/>
      <w:bookmarkStart w:id="662" w:name="_Toc284314561"/>
      <w:bookmarkStart w:id="663" w:name="_Toc316994485"/>
      <w:bookmarkStart w:id="664" w:name="_Toc352670642"/>
      <w:bookmarkStart w:id="665" w:name="_Toc400536198"/>
      <w:bookmarkStart w:id="666" w:name="_Toc403120538"/>
      <w:r w:rsidRPr="00885D52">
        <w:t>Mortality data available from the Ministry</w:t>
      </w:r>
      <w:bookmarkEnd w:id="657"/>
      <w:bookmarkEnd w:id="658"/>
      <w:bookmarkEnd w:id="659"/>
      <w:r w:rsidRPr="00885D52">
        <w:t xml:space="preserve"> of Health</w:t>
      </w:r>
      <w:bookmarkEnd w:id="660"/>
      <w:bookmarkEnd w:id="661"/>
      <w:bookmarkEnd w:id="662"/>
      <w:bookmarkEnd w:id="663"/>
      <w:bookmarkEnd w:id="664"/>
      <w:bookmarkEnd w:id="665"/>
      <w:bookmarkEnd w:id="666"/>
    </w:p>
    <w:p w:rsidR="00000384" w:rsidRPr="00885D52" w:rsidRDefault="00000384" w:rsidP="00113D01">
      <w:r w:rsidRPr="00885D52">
        <w:t>The Ministry of Health collects and records the information presented in Table 26 for all deaths in New Zealand. For a full listing of available fields, please refer to the Mortality Collection Data Dictionary</w:t>
      </w:r>
      <w:r w:rsidRPr="00885D52">
        <w:rPr>
          <w:color w:val="FF0000"/>
        </w:rPr>
        <w:t xml:space="preserve"> </w:t>
      </w:r>
      <w:r w:rsidRPr="00885D52">
        <w:t>(available at: www.health.govt.nz/publication/mortality-collection-data-dictionary).</w:t>
      </w:r>
    </w:p>
    <w:p w:rsidR="00113D01" w:rsidRPr="00885D52" w:rsidRDefault="00113D01" w:rsidP="00113D01"/>
    <w:p w:rsidR="00000384" w:rsidRPr="00885D52" w:rsidRDefault="00000384" w:rsidP="00113D01">
      <w:r w:rsidRPr="00885D52">
        <w:t xml:space="preserve">For data enquiries, contact </w:t>
      </w:r>
      <w:hyperlink r:id="rId67" w:history="1">
        <w:r w:rsidRPr="00885D52">
          <w:rPr>
            <w:rStyle w:val="Hyperlink"/>
          </w:rPr>
          <w:t>data-enquiries@moh.govt.nz</w:t>
        </w:r>
      </w:hyperlink>
    </w:p>
    <w:p w:rsidR="00000384" w:rsidRPr="00885D52" w:rsidRDefault="00000384" w:rsidP="00113D01"/>
    <w:p w:rsidR="00000384" w:rsidRPr="00885D52" w:rsidRDefault="00000384" w:rsidP="00113D01">
      <w:pPr>
        <w:pStyle w:val="Table"/>
      </w:pPr>
      <w:bookmarkStart w:id="667" w:name="_Toc400536166"/>
      <w:bookmarkStart w:id="668" w:name="_Toc403120571"/>
      <w:r w:rsidRPr="00885D52">
        <w:lastRenderedPageBreak/>
        <w:t>Table 26: Mortality data available from the Ministry of Health</w:t>
      </w:r>
      <w:bookmarkEnd w:id="667"/>
      <w:bookmarkEnd w:id="668"/>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088"/>
      </w:tblGrid>
      <w:tr w:rsidR="00000384" w:rsidRPr="00885D52" w:rsidTr="00113D01">
        <w:trPr>
          <w:cantSplit/>
          <w:tblHeader/>
        </w:trPr>
        <w:tc>
          <w:tcPr>
            <w:tcW w:w="2268" w:type="dxa"/>
            <w:tcBorders>
              <w:bottom w:val="single" w:sz="4" w:space="0" w:color="auto"/>
              <w:right w:val="single" w:sz="4" w:space="0" w:color="A6A6A6" w:themeColor="background1" w:themeShade="A6"/>
            </w:tcBorders>
            <w:shd w:val="clear" w:color="auto" w:fill="auto"/>
          </w:tcPr>
          <w:p w:rsidR="00000384" w:rsidRPr="00885D52" w:rsidRDefault="00000384" w:rsidP="00113D01">
            <w:pPr>
              <w:pStyle w:val="TableText"/>
              <w:keepNext/>
              <w:rPr>
                <w:b/>
              </w:rPr>
            </w:pPr>
            <w:r w:rsidRPr="00885D52">
              <w:rPr>
                <w:b/>
              </w:rPr>
              <w:t>Item</w:t>
            </w:r>
          </w:p>
        </w:tc>
        <w:tc>
          <w:tcPr>
            <w:tcW w:w="7088" w:type="dxa"/>
            <w:tcBorders>
              <w:left w:val="single" w:sz="4" w:space="0" w:color="A6A6A6" w:themeColor="background1" w:themeShade="A6"/>
              <w:bottom w:val="single" w:sz="4" w:space="0" w:color="auto"/>
            </w:tcBorders>
            <w:shd w:val="clear" w:color="auto" w:fill="auto"/>
          </w:tcPr>
          <w:p w:rsidR="00000384" w:rsidRPr="00885D52" w:rsidRDefault="00000384" w:rsidP="00113D01">
            <w:pPr>
              <w:pStyle w:val="TableText"/>
              <w:keepNext/>
              <w:rPr>
                <w:b/>
              </w:rPr>
            </w:pPr>
            <w:r w:rsidRPr="00885D52">
              <w:rPr>
                <w:b/>
              </w:rPr>
              <w:t>Notes</w:t>
            </w:r>
          </w:p>
        </w:tc>
      </w:tr>
      <w:tr w:rsidR="00000384" w:rsidRPr="00885D52" w:rsidTr="00113D01">
        <w:trPr>
          <w:cantSplit/>
        </w:trPr>
        <w:tc>
          <w:tcPr>
            <w:tcW w:w="2268" w:type="dxa"/>
            <w:tcBorders>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1</w:t>
            </w:r>
            <w:r w:rsidRPr="00885D52">
              <w:tab/>
              <w:t>Health care user number</w:t>
            </w:r>
          </w:p>
        </w:tc>
        <w:tc>
          <w:tcPr>
            <w:tcW w:w="7088" w:type="dxa"/>
            <w:tcBorders>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Also known as National Health Index number. Restricted access.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2</w:t>
            </w:r>
            <w:r w:rsidRPr="00885D52">
              <w:tab/>
              <w:t>Domicile code</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Based on Statistics New Zealand Standard Area Unit code used for the 2006 Census.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3</w:t>
            </w:r>
            <w:r w:rsidRPr="00885D52">
              <w:tab/>
              <w:t>Sex</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Male, female, indeterminate.</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4</w:t>
            </w:r>
            <w:r w:rsidRPr="00885D52">
              <w:tab/>
              <w:t>Ethnicity</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Based on Statistics New Zealand Standard Classification 1996 (Level 2); for example, NZ Māori, NZ European or Pākeha, Other European, Samoan, Chinese and so on. Up to three ethnicities are recorded and prioritised.</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5</w:t>
            </w:r>
            <w:r w:rsidRPr="00885D52">
              <w:tab/>
              <w:t>Age</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Age in days, weeks, months or years, as applicable.</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6</w:t>
            </w:r>
            <w:r w:rsidRPr="00885D52">
              <w:tab/>
              <w:t>Date of birth</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Day, month, year.</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7</w:t>
            </w:r>
            <w:r w:rsidRPr="00885D52">
              <w:tab/>
              <w:t>Country of birth</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From Statistics New Zealand Standard Country Code list, 1986.</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8</w:t>
            </w:r>
            <w:r w:rsidRPr="00885D52">
              <w:tab/>
              <w:t>Time deceased was in New Zealand</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Number of years in New Zealand if not born in New Zealand.</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9</w:t>
            </w:r>
            <w:r w:rsidRPr="00885D52">
              <w:tab/>
              <w:t>Date of death</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Day, month, year.</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10</w:t>
            </w:r>
            <w:r w:rsidRPr="00885D52">
              <w:tab/>
              <w:t>Year of registration</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Year in which the death was registered.</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11</w:t>
            </w:r>
            <w:r w:rsidRPr="00885D52">
              <w:tab/>
              <w:t>Place died</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Place of death as recorded on the death registration.</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keepNext/>
              <w:ind w:left="425" w:hanging="425"/>
            </w:pPr>
            <w:r w:rsidRPr="00885D52">
              <w:t>12</w:t>
            </w:r>
            <w:r w:rsidRPr="00885D52">
              <w:tab/>
              <w:t>Underlying cause of death</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keepNext/>
            </w:pPr>
            <w:r w:rsidRPr="00885D52">
              <w:t>Codes from ICD-10-AM from 2000 onwards.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keepNext/>
              <w:ind w:left="425" w:hanging="425"/>
            </w:pPr>
            <w:r w:rsidRPr="00885D52">
              <w:t>13</w:t>
            </w:r>
            <w:r w:rsidRPr="00885D52">
              <w:tab/>
              <w:t>Selected contributing disease or condition</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keepNext/>
            </w:pPr>
            <w:r w:rsidRPr="00885D52">
              <w:t>Codes from ICD-10-AM for selected conditions that contributed to death but were not the underlying cause of death (eg, diabetes mellitus, drug abuse and injuries) from 2000 onwards.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14</w:t>
            </w:r>
            <w:r w:rsidRPr="00885D52">
              <w:tab/>
              <w:t>Mesh block</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Statistics New Zealand</w:t>
            </w:r>
            <w:r w:rsidR="00885D52" w:rsidRPr="00885D52">
              <w:t>’</w:t>
            </w:r>
            <w:r w:rsidRPr="00885D52">
              <w:t>s smallest area unit code, based on deceased</w:t>
            </w:r>
            <w:r w:rsidR="00885D52" w:rsidRPr="00885D52">
              <w:t>’</w:t>
            </w:r>
            <w:r w:rsidRPr="00885D52">
              <w:t>s residential address, from 2003 onwards. Restricted access.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15</w:t>
            </w:r>
            <w:r w:rsidRPr="00885D52">
              <w:tab/>
              <w:t>Cot death indicator</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Sudden Infant Death Syndrome indicator.</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16</w:t>
            </w:r>
            <w:r w:rsidRPr="00885D52">
              <w:tab/>
              <w:t>Maternal death indicator</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Indicates whether the death is the death of a woman while pregnant or within 42 days of termination of pregnancy, irrespective of the duration and the site of the pregnancy, from any cause related to or aggravated by the pregnancy or its management, but not from accidental or incidental causes.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17</w:t>
            </w:r>
            <w:r w:rsidRPr="00885D52">
              <w:tab/>
              <w:t>Pregnancy-related indicator</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Indicates if a woman died while pregnant or within 42 days of termination of pregnancy, irrespective of the cause of death.</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18</w:t>
            </w:r>
            <w:r w:rsidRPr="00885D52">
              <w:tab/>
              <w:t>Post-mortem code</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Indicates whether a post-mortem was performed and/or used in classification by the Ministry of Health.</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19</w:t>
            </w:r>
            <w:r w:rsidRPr="00885D52">
              <w:tab/>
              <w:t>Death certifier code</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Certified by doctor, or coroner with/without inquest, coroner</w:t>
            </w:r>
            <w:r w:rsidR="00885D52" w:rsidRPr="00885D52">
              <w:t>’</w:t>
            </w:r>
            <w:r w:rsidRPr="00885D52">
              <w:t>s interim report.</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20</w:t>
            </w:r>
            <w:r w:rsidRPr="00885D52">
              <w:tab/>
              <w:t>Death information source code</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Code indicating the most accurate source of the information used to classify the underlying cause of death; for example, Births, Deaths, Marriages and Citizenship, Coronial Services, Land Transport New Zealand, Water Safety New Zealand.</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21</w:t>
            </w:r>
            <w:r w:rsidRPr="00885D52">
              <w:tab/>
              <w:t>Comments</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Free text field for additional comments relating to the death (eg, may include details of accidents or time sequence of conditions). Restricted access.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22</w:t>
            </w:r>
            <w:r w:rsidRPr="00885D52">
              <w:tab/>
              <w:t>Occupation</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Text description of deceased</w:t>
            </w:r>
            <w:r w:rsidR="00885D52" w:rsidRPr="00885D52">
              <w:t>’</w:t>
            </w:r>
            <w:r w:rsidRPr="00885D52">
              <w:t>s usual occupation (or former occupation, if retired). Collected since 1998.</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23</w:t>
            </w:r>
            <w:r w:rsidRPr="00885D52">
              <w:tab/>
              <w:t>Work-related indicator</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Recorded if the cause of death was known to be due to an accident while at work from 2000 onwards.</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24</w:t>
            </w:r>
            <w:r w:rsidRPr="00885D52">
              <w:tab/>
              <w:t>Alcohol-involved indicator</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Records if alcohol consumption preceded death, when reported from 2000 onwards. Only recorded for deaths certified by a coroner.</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25</w:t>
            </w:r>
            <w:r w:rsidRPr="00885D52">
              <w:tab/>
              <w:t>Blood alcohol level</w:t>
            </w:r>
          </w:p>
        </w:tc>
        <w:tc>
          <w:tcPr>
            <w:tcW w:w="7088" w:type="dxa"/>
            <w:tcBorders>
              <w:top w:val="nil"/>
              <w:left w:val="single" w:sz="4" w:space="0" w:color="A6A6A6" w:themeColor="background1" w:themeShade="A6"/>
              <w:bottom w:val="nil"/>
            </w:tcBorders>
            <w:shd w:val="clear" w:color="auto" w:fill="F2F2F2"/>
          </w:tcPr>
          <w:p w:rsidR="00000384" w:rsidRPr="00885D52" w:rsidRDefault="00000384" w:rsidP="00113D01">
            <w:pPr>
              <w:pStyle w:val="TableText"/>
            </w:pPr>
            <w:r w:rsidRPr="00885D52">
              <w:t>Recorded in mg/100 mL blood, when reported from 2000 onwards. Only recorded for deaths certified by a coroner.</w:t>
            </w:r>
          </w:p>
        </w:tc>
      </w:tr>
      <w:tr w:rsidR="00000384" w:rsidRPr="00885D52" w:rsidTr="00113D01">
        <w:trPr>
          <w:cantSplit/>
        </w:trPr>
        <w:tc>
          <w:tcPr>
            <w:tcW w:w="2268" w:type="dxa"/>
            <w:tcBorders>
              <w:top w:val="nil"/>
              <w:bottom w:val="nil"/>
              <w:right w:val="single" w:sz="4" w:space="0" w:color="A6A6A6" w:themeColor="background1" w:themeShade="A6"/>
            </w:tcBorders>
            <w:shd w:val="clear" w:color="auto" w:fill="auto"/>
          </w:tcPr>
          <w:p w:rsidR="00000384" w:rsidRPr="00885D52" w:rsidRDefault="00000384" w:rsidP="00113D01">
            <w:pPr>
              <w:pStyle w:val="TableText"/>
              <w:ind w:left="425" w:hanging="425"/>
            </w:pPr>
            <w:r w:rsidRPr="00885D52">
              <w:t>26</w:t>
            </w:r>
            <w:r w:rsidRPr="00885D52">
              <w:tab/>
              <w:t>Birthweight</w:t>
            </w:r>
          </w:p>
        </w:tc>
        <w:tc>
          <w:tcPr>
            <w:tcW w:w="7088" w:type="dxa"/>
            <w:tcBorders>
              <w:top w:val="nil"/>
              <w:left w:val="single" w:sz="4" w:space="0" w:color="A6A6A6" w:themeColor="background1" w:themeShade="A6"/>
              <w:bottom w:val="nil"/>
            </w:tcBorders>
            <w:shd w:val="clear" w:color="auto" w:fill="auto"/>
          </w:tcPr>
          <w:p w:rsidR="00000384" w:rsidRPr="00885D52" w:rsidRDefault="00000384" w:rsidP="00113D01">
            <w:pPr>
              <w:pStyle w:val="TableText"/>
            </w:pPr>
            <w:r w:rsidRPr="00885D52">
              <w:t>Weight at birth in grams. Recorded when known for deaths of infants less than one year of age and for stillbirths.</w:t>
            </w:r>
          </w:p>
        </w:tc>
      </w:tr>
      <w:tr w:rsidR="00000384" w:rsidRPr="00885D52" w:rsidTr="00113D01">
        <w:trPr>
          <w:cantSplit/>
        </w:trPr>
        <w:tc>
          <w:tcPr>
            <w:tcW w:w="2268" w:type="dxa"/>
            <w:tcBorders>
              <w:top w:val="nil"/>
              <w:right w:val="single" w:sz="4" w:space="0" w:color="A6A6A6" w:themeColor="background1" w:themeShade="A6"/>
            </w:tcBorders>
            <w:shd w:val="clear" w:color="auto" w:fill="F2F2F2"/>
          </w:tcPr>
          <w:p w:rsidR="00000384" w:rsidRPr="00885D52" w:rsidRDefault="00000384" w:rsidP="00113D01">
            <w:pPr>
              <w:pStyle w:val="TableText"/>
              <w:ind w:left="425" w:hanging="425"/>
            </w:pPr>
            <w:r w:rsidRPr="00885D52">
              <w:t>27</w:t>
            </w:r>
            <w:r w:rsidRPr="00885D52">
              <w:tab/>
              <w:t>Gestation</w:t>
            </w:r>
          </w:p>
        </w:tc>
        <w:tc>
          <w:tcPr>
            <w:tcW w:w="7088" w:type="dxa"/>
            <w:tcBorders>
              <w:top w:val="nil"/>
              <w:left w:val="single" w:sz="4" w:space="0" w:color="A6A6A6" w:themeColor="background1" w:themeShade="A6"/>
            </w:tcBorders>
            <w:shd w:val="clear" w:color="auto" w:fill="F2F2F2"/>
          </w:tcPr>
          <w:p w:rsidR="00000384" w:rsidRPr="00885D52" w:rsidRDefault="00000384" w:rsidP="00113D01">
            <w:pPr>
              <w:pStyle w:val="TableText"/>
            </w:pPr>
            <w:r w:rsidRPr="00885D52">
              <w:t>Gestation (in weeks) of infant at birth. Recorded when known for deaths of infants less than one year of age and for stillbirths.</w:t>
            </w:r>
          </w:p>
        </w:tc>
      </w:tr>
    </w:tbl>
    <w:p w:rsidR="00000384" w:rsidRPr="00885D52" w:rsidRDefault="00000384" w:rsidP="00113D01"/>
    <w:p w:rsidR="00000384" w:rsidRPr="00885D52" w:rsidRDefault="00000384" w:rsidP="00113D01">
      <w:pPr>
        <w:pStyle w:val="Heading2"/>
      </w:pPr>
      <w:bookmarkStart w:id="669" w:name="_Toc204491485"/>
      <w:bookmarkStart w:id="670" w:name="_Toc208819436"/>
      <w:bookmarkStart w:id="671" w:name="_Toc236642227"/>
      <w:bookmarkStart w:id="672" w:name="_Toc262631105"/>
      <w:bookmarkStart w:id="673" w:name="_Toc263941958"/>
      <w:bookmarkStart w:id="674" w:name="_Toc284314562"/>
      <w:bookmarkStart w:id="675" w:name="_Toc316994486"/>
      <w:bookmarkStart w:id="676" w:name="_Toc352670643"/>
      <w:bookmarkStart w:id="677" w:name="_Toc400536199"/>
      <w:bookmarkStart w:id="678" w:name="_Toc403120539"/>
      <w:r w:rsidRPr="00885D52">
        <w:lastRenderedPageBreak/>
        <w:t>Additional information available from the Ministry</w:t>
      </w:r>
      <w:bookmarkEnd w:id="669"/>
      <w:bookmarkEnd w:id="670"/>
      <w:bookmarkEnd w:id="671"/>
      <w:r w:rsidRPr="00885D52">
        <w:t xml:space="preserve"> of Health</w:t>
      </w:r>
      <w:bookmarkEnd w:id="672"/>
      <w:bookmarkEnd w:id="673"/>
      <w:bookmarkEnd w:id="674"/>
      <w:bookmarkEnd w:id="675"/>
      <w:bookmarkEnd w:id="676"/>
      <w:bookmarkEnd w:id="677"/>
      <w:bookmarkEnd w:id="678"/>
    </w:p>
    <w:p w:rsidR="00000384" w:rsidRPr="00885D52" w:rsidRDefault="00000384" w:rsidP="00113D01">
      <w:r w:rsidRPr="00885D52">
        <w:t>You may require information not included in this report or in the online statistical tables. The Ministry of Health is able to produce customised data extracts tailored to your needs. These may incur a charge (at Official Information Act rates). If you require additional data or analysis, contact:</w:t>
      </w:r>
    </w:p>
    <w:p w:rsidR="00000384" w:rsidRPr="00885D52" w:rsidRDefault="00000384" w:rsidP="00113D01">
      <w:pPr>
        <w:spacing w:before="120"/>
        <w:ind w:left="567"/>
      </w:pPr>
      <w:r w:rsidRPr="00885D52">
        <w:t>Analytical Services</w:t>
      </w:r>
    </w:p>
    <w:p w:rsidR="00000384" w:rsidRPr="00885D52" w:rsidRDefault="00000384" w:rsidP="00113D01">
      <w:pPr>
        <w:ind w:left="567"/>
      </w:pPr>
      <w:r w:rsidRPr="00885D52">
        <w:t>Ministry of Health</w:t>
      </w:r>
    </w:p>
    <w:p w:rsidR="00000384" w:rsidRPr="00885D52" w:rsidRDefault="00000384" w:rsidP="00113D01">
      <w:pPr>
        <w:ind w:left="567"/>
      </w:pPr>
      <w:r w:rsidRPr="00885D52">
        <w:t>PO Box 5013</w:t>
      </w:r>
    </w:p>
    <w:p w:rsidR="00000384" w:rsidRPr="00885D52" w:rsidRDefault="00000384" w:rsidP="00113D01">
      <w:pPr>
        <w:ind w:left="567"/>
      </w:pPr>
      <w:r w:rsidRPr="00885D52">
        <w:t>Wellington, 6145</w:t>
      </w:r>
    </w:p>
    <w:p w:rsidR="00000384" w:rsidRPr="00885D52" w:rsidRDefault="00000384" w:rsidP="00113D01">
      <w:pPr>
        <w:ind w:left="567"/>
      </w:pPr>
      <w:r w:rsidRPr="00885D52">
        <w:t>New Zealand</w:t>
      </w:r>
    </w:p>
    <w:p w:rsidR="00000384" w:rsidRPr="00885D52" w:rsidRDefault="00000384" w:rsidP="00113D01">
      <w:pPr>
        <w:spacing w:before="120"/>
        <w:ind w:left="567"/>
      </w:pPr>
      <w:r w:rsidRPr="00885D52">
        <w:t>Phone (04) 496 2000</w:t>
      </w:r>
    </w:p>
    <w:p w:rsidR="00000384" w:rsidRPr="00885D52" w:rsidRDefault="00000384" w:rsidP="00113D01">
      <w:pPr>
        <w:ind w:left="567"/>
      </w:pPr>
      <w:r w:rsidRPr="00885D52">
        <w:t>Fax (04) 816 2898</w:t>
      </w:r>
    </w:p>
    <w:p w:rsidR="00000384" w:rsidRPr="00885D52" w:rsidRDefault="00000384" w:rsidP="00113D01">
      <w:pPr>
        <w:ind w:left="567"/>
      </w:pPr>
      <w:r w:rsidRPr="00885D52">
        <w:t xml:space="preserve">Email: </w:t>
      </w:r>
      <w:hyperlink r:id="rId68" w:history="1">
        <w:r w:rsidRPr="00885D52">
          <w:rPr>
            <w:rStyle w:val="Hyperlink"/>
          </w:rPr>
          <w:t>data-enquiries@moh.govt.nz</w:t>
        </w:r>
      </w:hyperlink>
    </w:p>
    <w:p w:rsidR="00000384" w:rsidRPr="00885D52" w:rsidRDefault="00000384" w:rsidP="00113D01">
      <w:pPr>
        <w:ind w:left="567"/>
      </w:pPr>
      <w:r w:rsidRPr="00885D52">
        <w:t>or visit: www.health.govt.nz</w:t>
      </w:r>
    </w:p>
    <w:p w:rsidR="00000384" w:rsidRPr="00885D52" w:rsidRDefault="00000384" w:rsidP="00113D01"/>
    <w:p w:rsidR="00000384" w:rsidRPr="00885D52" w:rsidRDefault="00000384" w:rsidP="00113D01">
      <w:r w:rsidRPr="00885D52">
        <w:t>The Ministry of Health welcomes comments and suggestions about this publication.</w:t>
      </w:r>
    </w:p>
    <w:p w:rsidR="00000384" w:rsidRPr="00885D52" w:rsidRDefault="00000384" w:rsidP="00113D01"/>
    <w:p w:rsidR="00000384" w:rsidRPr="00885D52" w:rsidRDefault="00000384" w:rsidP="00113D01">
      <w:pPr>
        <w:pStyle w:val="Heading1"/>
      </w:pPr>
      <w:bookmarkStart w:id="679" w:name="_Toc167268847"/>
      <w:bookmarkStart w:id="680" w:name="_Toc236642228"/>
      <w:r w:rsidRPr="00885D52">
        <w:rPr>
          <w:color w:val="FF0000"/>
        </w:rPr>
        <w:br w:type="page"/>
      </w:r>
      <w:bookmarkStart w:id="681" w:name="_Toc262631106"/>
      <w:bookmarkStart w:id="682" w:name="_Toc316994487"/>
      <w:bookmarkStart w:id="683" w:name="_Toc352670644"/>
      <w:bookmarkStart w:id="684" w:name="_Toc400536200"/>
      <w:bookmarkStart w:id="685" w:name="_Toc403120540"/>
      <w:r w:rsidRPr="00885D52">
        <w:lastRenderedPageBreak/>
        <w:t>Explanatory notes</w:t>
      </w:r>
      <w:bookmarkEnd w:id="679"/>
      <w:bookmarkEnd w:id="680"/>
      <w:bookmarkEnd w:id="681"/>
      <w:bookmarkEnd w:id="682"/>
      <w:bookmarkEnd w:id="683"/>
      <w:bookmarkEnd w:id="684"/>
      <w:bookmarkEnd w:id="685"/>
    </w:p>
    <w:p w:rsidR="00000384" w:rsidRPr="00885D52" w:rsidRDefault="00000384" w:rsidP="00113D01">
      <w:pPr>
        <w:pStyle w:val="Heading2"/>
      </w:pPr>
      <w:bookmarkStart w:id="686" w:name="_Toc168214445"/>
      <w:bookmarkStart w:id="687" w:name="_Toc170107208"/>
      <w:bookmarkStart w:id="688" w:name="_Toc170115165"/>
      <w:bookmarkStart w:id="689" w:name="_Toc175458629"/>
      <w:bookmarkStart w:id="690" w:name="_Toc204141661"/>
      <w:bookmarkStart w:id="691" w:name="_Toc204491487"/>
      <w:bookmarkStart w:id="692" w:name="_Toc208819438"/>
      <w:bookmarkStart w:id="693" w:name="_Toc210192660"/>
      <w:bookmarkStart w:id="694" w:name="_Toc233537069"/>
      <w:bookmarkStart w:id="695" w:name="_Toc236642061"/>
      <w:bookmarkStart w:id="696" w:name="_Toc236642229"/>
      <w:bookmarkStart w:id="697" w:name="_Toc262631107"/>
      <w:bookmarkStart w:id="698" w:name="_Toc316994488"/>
      <w:bookmarkStart w:id="699" w:name="_Toc352670645"/>
      <w:bookmarkStart w:id="700" w:name="_Toc400536201"/>
      <w:bookmarkStart w:id="701" w:name="_Toc403120541"/>
      <w:r w:rsidRPr="00885D52">
        <w:t>Mortality notes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000384" w:rsidRPr="00885D52" w:rsidRDefault="00000384" w:rsidP="00113D01">
      <w:pPr>
        <w:pStyle w:val="Heading3"/>
      </w:pPr>
      <w:bookmarkStart w:id="702" w:name="_Toc168214446"/>
      <w:bookmarkStart w:id="703" w:name="_Toc170107209"/>
      <w:bookmarkStart w:id="704" w:name="_Toc170115166"/>
      <w:bookmarkStart w:id="705" w:name="_Toc175458630"/>
      <w:bookmarkStart w:id="706" w:name="_Toc204141662"/>
      <w:bookmarkStart w:id="707" w:name="_Toc204491488"/>
      <w:bookmarkStart w:id="708" w:name="_Toc208819439"/>
      <w:bookmarkStart w:id="709" w:name="_Toc210192661"/>
      <w:bookmarkStart w:id="710" w:name="_Toc233537070"/>
      <w:bookmarkStart w:id="711" w:name="_Toc236642062"/>
      <w:bookmarkStart w:id="712" w:name="_Toc236642230"/>
      <w:bookmarkStart w:id="713" w:name="_Toc251243535"/>
      <w:bookmarkStart w:id="714" w:name="_Toc256147281"/>
      <w:bookmarkStart w:id="715" w:name="_Toc257035893"/>
      <w:bookmarkStart w:id="716" w:name="_Toc262631108"/>
      <w:bookmarkStart w:id="717" w:name="_Toc263941961"/>
      <w:bookmarkStart w:id="718" w:name="_Toc284314565"/>
      <w:r w:rsidRPr="00885D52">
        <w:t>Deaths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000384" w:rsidRPr="00885D52" w:rsidRDefault="00000384" w:rsidP="00113D01">
      <w:r w:rsidRPr="00885D52">
        <w:t>Every death occurring in New Zealand must be registered with Births, Deaths, Marriages and Citizenship within three working days after the day of burial or cremation in a city or borough, or seven working days in any other case. The law does not impose any limit of time after which a death may not be registered. The statistics in this publication relate to registrations during the year 2011, rather than the actual number of deaths during the year 2011.</w:t>
      </w:r>
    </w:p>
    <w:p w:rsidR="00000384" w:rsidRPr="00885D52" w:rsidRDefault="00000384" w:rsidP="00113D01"/>
    <w:p w:rsidR="00000384" w:rsidRPr="00885D52" w:rsidRDefault="00000384" w:rsidP="00113D01">
      <w:pPr>
        <w:pStyle w:val="Heading3"/>
      </w:pPr>
      <w:bookmarkStart w:id="719" w:name="_Toc168214447"/>
      <w:bookmarkStart w:id="720" w:name="_Toc170107210"/>
      <w:bookmarkStart w:id="721" w:name="_Toc170115167"/>
      <w:bookmarkStart w:id="722" w:name="_Toc175458631"/>
      <w:bookmarkStart w:id="723" w:name="_Toc204141663"/>
      <w:bookmarkStart w:id="724" w:name="_Toc204491489"/>
      <w:bookmarkStart w:id="725" w:name="_Toc208819440"/>
      <w:bookmarkStart w:id="726" w:name="_Toc210192662"/>
      <w:bookmarkStart w:id="727" w:name="_Toc233537071"/>
      <w:bookmarkStart w:id="728" w:name="_Toc236642063"/>
      <w:bookmarkStart w:id="729" w:name="_Toc236642231"/>
      <w:bookmarkStart w:id="730" w:name="_Toc251243536"/>
      <w:bookmarkStart w:id="731" w:name="_Toc256147282"/>
      <w:bookmarkStart w:id="732" w:name="_Toc257035894"/>
      <w:bookmarkStart w:id="733" w:name="_Toc262631109"/>
      <w:bookmarkStart w:id="734" w:name="_Toc263941962"/>
      <w:bookmarkStart w:id="735" w:name="_Toc284314566"/>
      <w:r w:rsidRPr="00885D52">
        <w:t>Causes of death</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8D5D23" w:rsidRPr="00885D52" w:rsidRDefault="00000384" w:rsidP="00113D01">
      <w:r w:rsidRPr="00885D52">
        <w:t>The ICD-10-AM was used to classify causes of death throughout this report (National Centre for Classification in Health 2008). The World Health Organization regularly revises the ICD publication, and updates are issued in the form of new revisions; for example, ICD-10 is the Tenth Revision of ICD.</w:t>
      </w:r>
    </w:p>
    <w:p w:rsidR="00000384" w:rsidRPr="00885D52" w:rsidRDefault="00000384" w:rsidP="00113D01"/>
    <w:p w:rsidR="00000384" w:rsidRPr="00885D52" w:rsidRDefault="00000384" w:rsidP="00113D01">
      <w:r w:rsidRPr="00885D52">
        <w:t>If more than one cause is entered on a medical certificate, the Mortality Collection follows WHO mortality rules and guidelines (as specified in ICD-10) for identifying the underlying cause of death. This is largely determined from the statement of the certifying doctor or coroner, but reference is also made to post-mortem reports received, and cancer registrations. On some occasions, coded hospital inpatient event summaries are compared with entries on the medical certificate in order to obtain more specific information. Information is also obtained from letters to certifying doctors and medical records departments, from data supplied by Land Transport New Zealand and Water Safety New Zealand, from the internet and from Coronial Services.</w:t>
      </w:r>
    </w:p>
    <w:p w:rsidR="00000384" w:rsidRPr="00885D52" w:rsidRDefault="00000384" w:rsidP="00113D01"/>
    <w:p w:rsidR="00000384" w:rsidRPr="00885D52" w:rsidRDefault="00000384" w:rsidP="00113D01">
      <w:r w:rsidRPr="00885D52">
        <w:t>When a death is due to an external cause, such as an accident, the external cause and not the resulting injury is coded as the underlying cause of death. For example, if a death is due to a head injury as a result of a motor vehicle crash, the motor vehicle crash will be coded as the cause of death. Sites and types of injuries are coded as contributing causes, if reported.</w:t>
      </w:r>
    </w:p>
    <w:p w:rsidR="00000384" w:rsidRPr="00885D52" w:rsidRDefault="00000384" w:rsidP="00113D01"/>
    <w:p w:rsidR="00000384" w:rsidRPr="00885D52" w:rsidRDefault="00000384" w:rsidP="00113D01">
      <w:pPr>
        <w:pStyle w:val="Heading3"/>
      </w:pPr>
      <w:r w:rsidRPr="00885D52">
        <w:t>Amenable mortality</w:t>
      </w:r>
    </w:p>
    <w:p w:rsidR="00000384" w:rsidRPr="00885D52" w:rsidRDefault="00000384" w:rsidP="00113D01">
      <w:r w:rsidRPr="00885D52">
        <w:t>The ICD-10-AM codes used to define amenable mortality in this publication are shown in the following table.</w:t>
      </w:r>
    </w:p>
    <w:p w:rsidR="00113D01" w:rsidRPr="00885D52" w:rsidRDefault="00113D01" w:rsidP="00113D01"/>
    <w:p w:rsidR="00000384" w:rsidRPr="00885D52" w:rsidRDefault="00000384" w:rsidP="00113D01">
      <w:pPr>
        <w:pStyle w:val="Table"/>
      </w:pPr>
      <w:bookmarkStart w:id="736" w:name="_Toc400536167"/>
      <w:bookmarkStart w:id="737" w:name="_Toc403120572"/>
      <w:r w:rsidRPr="00885D52">
        <w:lastRenderedPageBreak/>
        <w:t>Table 27: Codes used to define amenable mortality</w:t>
      </w:r>
      <w:bookmarkEnd w:id="736"/>
      <w:bookmarkEnd w:id="737"/>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76"/>
        <w:gridCol w:w="2835"/>
        <w:gridCol w:w="3686"/>
        <w:gridCol w:w="1559"/>
      </w:tblGrid>
      <w:tr w:rsidR="00000384" w:rsidRPr="00885D52" w:rsidTr="00113D01">
        <w:trPr>
          <w:cantSplit/>
        </w:trPr>
        <w:tc>
          <w:tcPr>
            <w:tcW w:w="1276" w:type="dxa"/>
            <w:tcBorders>
              <w:top w:val="single" w:sz="4" w:space="0" w:color="auto"/>
              <w:bottom w:val="single" w:sz="4" w:space="0" w:color="auto"/>
              <w:right w:val="single" w:sz="4" w:space="0" w:color="A6A6A6" w:themeColor="background1" w:themeShade="A6"/>
            </w:tcBorders>
          </w:tcPr>
          <w:p w:rsidR="00000384" w:rsidRPr="00885D52" w:rsidRDefault="00000384" w:rsidP="00113D01">
            <w:pPr>
              <w:pStyle w:val="TableText"/>
              <w:keepNext/>
              <w:rPr>
                <w:b/>
              </w:rPr>
            </w:pPr>
            <w:r w:rsidRPr="00885D52">
              <w:rPr>
                <w:b/>
              </w:rPr>
              <w:t>Group</w:t>
            </w:r>
          </w:p>
        </w:tc>
        <w:tc>
          <w:tcPr>
            <w:tcW w:w="2835"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000384" w:rsidRPr="00885D52" w:rsidRDefault="00000384" w:rsidP="00113D01">
            <w:pPr>
              <w:pStyle w:val="TableText"/>
              <w:keepNext/>
              <w:rPr>
                <w:b/>
              </w:rPr>
            </w:pPr>
            <w:r w:rsidRPr="00885D52">
              <w:rPr>
                <w:b/>
              </w:rPr>
              <w:t>Condition</w:t>
            </w:r>
          </w:p>
        </w:tc>
        <w:tc>
          <w:tcPr>
            <w:tcW w:w="3686"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rsidR="00000384" w:rsidRPr="00885D52" w:rsidRDefault="00000384" w:rsidP="00113D01">
            <w:pPr>
              <w:pStyle w:val="TableText"/>
              <w:keepNext/>
              <w:rPr>
                <w:b/>
              </w:rPr>
            </w:pPr>
            <w:r w:rsidRPr="00885D52">
              <w:rPr>
                <w:b/>
              </w:rPr>
              <w:t>ICD-10-AM code(s)</w:t>
            </w:r>
          </w:p>
        </w:tc>
        <w:tc>
          <w:tcPr>
            <w:tcW w:w="1559" w:type="dxa"/>
            <w:tcBorders>
              <w:top w:val="single" w:sz="4" w:space="0" w:color="auto"/>
              <w:left w:val="single" w:sz="4" w:space="0" w:color="A6A6A6" w:themeColor="background1" w:themeShade="A6"/>
              <w:bottom w:val="single" w:sz="4" w:space="0" w:color="auto"/>
            </w:tcBorders>
          </w:tcPr>
          <w:p w:rsidR="00000384" w:rsidRPr="00885D52" w:rsidRDefault="00000384" w:rsidP="00113D01">
            <w:pPr>
              <w:pStyle w:val="TableText"/>
              <w:keepNext/>
              <w:rPr>
                <w:b/>
              </w:rPr>
            </w:pPr>
            <w:r w:rsidRPr="00885D52">
              <w:rPr>
                <w:b/>
              </w:rPr>
              <w:t>Notes</w:t>
            </w:r>
          </w:p>
        </w:tc>
      </w:tr>
      <w:tr w:rsidR="00000384" w:rsidRPr="00885D52" w:rsidTr="00113D01">
        <w:trPr>
          <w:cantSplit/>
        </w:trPr>
        <w:tc>
          <w:tcPr>
            <w:tcW w:w="1276" w:type="dxa"/>
            <w:vMerge w:val="restart"/>
            <w:tcBorders>
              <w:top w:val="single" w:sz="4" w:space="0" w:color="auto"/>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Infections</w:t>
            </w:r>
          </w:p>
        </w:tc>
        <w:tc>
          <w:tcPr>
            <w:tcW w:w="2835" w:type="dxa"/>
            <w:tcBorders>
              <w:top w:val="single" w:sz="4" w:space="0" w:color="auto"/>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Pulmonary tuberculosis</w:t>
            </w:r>
          </w:p>
        </w:tc>
        <w:tc>
          <w:tcPr>
            <w:tcW w:w="3686" w:type="dxa"/>
            <w:tcBorders>
              <w:top w:val="single" w:sz="4" w:space="0" w:color="auto"/>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A15–A16</w:t>
            </w:r>
          </w:p>
        </w:tc>
        <w:tc>
          <w:tcPr>
            <w:tcW w:w="1559" w:type="dxa"/>
            <w:tcBorders>
              <w:top w:val="single" w:sz="4" w:space="0" w:color="auto"/>
              <w:lef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Meningococcal disease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A39</w:t>
            </w:r>
          </w:p>
        </w:tc>
        <w:tc>
          <w:tcPr>
            <w:tcW w:w="1559" w:type="dxa"/>
            <w:tcBorders>
              <w:lef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Pneumococcal disease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A40.3, G00.1, J13</w:t>
            </w:r>
          </w:p>
        </w:tc>
        <w:tc>
          <w:tcPr>
            <w:tcW w:w="1559" w:type="dxa"/>
            <w:tcBorders>
              <w:lef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HIV/AIDS</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r w:rsidRPr="00885D52">
              <w:t>B20–B24</w:t>
            </w:r>
          </w:p>
        </w:tc>
        <w:tc>
          <w:tcPr>
            <w:tcW w:w="1559" w:type="dxa"/>
            <w:tcBorders>
              <w:left w:val="single" w:sz="4" w:space="0" w:color="A6A6A6" w:themeColor="background1" w:themeShade="A6"/>
            </w:tcBorders>
            <w:shd w:val="clear" w:color="auto" w:fill="F2F2F2" w:themeFill="background1" w:themeFillShade="F2"/>
          </w:tcPr>
          <w:p w:rsidR="00000384" w:rsidRPr="00885D52" w:rsidRDefault="00000384" w:rsidP="00113D01">
            <w:pPr>
              <w:pStyle w:val="TableText"/>
              <w:keepNext/>
            </w:pPr>
          </w:p>
        </w:tc>
      </w:tr>
      <w:tr w:rsidR="00000384" w:rsidRPr="00885D52" w:rsidTr="00113D01">
        <w:trPr>
          <w:cantSplit/>
        </w:trPr>
        <w:tc>
          <w:tcPr>
            <w:tcW w:w="1276" w:type="dxa"/>
            <w:vMerge w:val="restart"/>
            <w:tcBorders>
              <w:right w:val="single" w:sz="4" w:space="0" w:color="A6A6A6" w:themeColor="background1" w:themeShade="A6"/>
            </w:tcBorders>
          </w:tcPr>
          <w:p w:rsidR="00000384" w:rsidRPr="00885D52" w:rsidRDefault="00000384" w:rsidP="00113D01">
            <w:pPr>
              <w:pStyle w:val="TableText"/>
              <w:keepNext/>
            </w:pPr>
            <w:r w:rsidRPr="00885D52">
              <w:t>Cancers</w:t>
            </w:r>
          </w:p>
        </w:tc>
        <w:tc>
          <w:tcPr>
            <w:tcW w:w="2835"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Stomach cancer</w:t>
            </w:r>
          </w:p>
        </w:tc>
        <w:tc>
          <w:tcPr>
            <w:tcW w:w="3686"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C16</w:t>
            </w:r>
          </w:p>
        </w:tc>
        <w:tc>
          <w:tcPr>
            <w:tcW w:w="1559" w:type="dxa"/>
            <w:tcBorders>
              <w:left w:val="single" w:sz="4" w:space="0" w:color="A6A6A6" w:themeColor="background1" w:themeShade="A6"/>
            </w:tcBorders>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tcPr>
          <w:p w:rsidR="00000384" w:rsidRPr="00885D5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Rectal cancer</w:t>
            </w:r>
          </w:p>
        </w:tc>
        <w:tc>
          <w:tcPr>
            <w:tcW w:w="3686"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C19–C21</w:t>
            </w:r>
          </w:p>
        </w:tc>
        <w:tc>
          <w:tcPr>
            <w:tcW w:w="1559" w:type="dxa"/>
            <w:tcBorders>
              <w:left w:val="single" w:sz="4" w:space="0" w:color="A6A6A6" w:themeColor="background1" w:themeShade="A6"/>
            </w:tcBorders>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tcPr>
          <w:p w:rsidR="00000384" w:rsidRPr="00885D52" w:rsidRDefault="00000384" w:rsidP="00113D01">
            <w:pPr>
              <w:pStyle w:val="TableText"/>
              <w:keepNext/>
            </w:pPr>
          </w:p>
        </w:tc>
        <w:tc>
          <w:tcPr>
            <w:tcW w:w="2835"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Bone and cartilage cancer</w:t>
            </w:r>
          </w:p>
        </w:tc>
        <w:tc>
          <w:tcPr>
            <w:tcW w:w="3686" w:type="dxa"/>
            <w:tcBorders>
              <w:left w:val="single" w:sz="4" w:space="0" w:color="A6A6A6" w:themeColor="background1" w:themeShade="A6"/>
              <w:right w:val="single" w:sz="4" w:space="0" w:color="A6A6A6" w:themeColor="background1" w:themeShade="A6"/>
            </w:tcBorders>
          </w:tcPr>
          <w:p w:rsidR="00000384" w:rsidRPr="00885D52" w:rsidRDefault="00000384" w:rsidP="00113D01">
            <w:pPr>
              <w:pStyle w:val="TableText"/>
              <w:keepNext/>
            </w:pPr>
            <w:r w:rsidRPr="00885D52">
              <w:t>C40–C41</w:t>
            </w:r>
          </w:p>
        </w:tc>
        <w:tc>
          <w:tcPr>
            <w:tcW w:w="1559" w:type="dxa"/>
            <w:tcBorders>
              <w:left w:val="single" w:sz="4" w:space="0" w:color="A6A6A6" w:themeColor="background1" w:themeShade="A6"/>
            </w:tcBorders>
          </w:tcPr>
          <w:p w:rsidR="00000384" w:rsidRPr="00885D52" w:rsidRDefault="00000384" w:rsidP="00113D01">
            <w:pPr>
              <w:pStyle w:val="TableText"/>
              <w:keepNext/>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Melanoma of skin</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C43</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Female breast cancer</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C50</w:t>
            </w:r>
          </w:p>
        </w:tc>
        <w:tc>
          <w:tcPr>
            <w:tcW w:w="1559" w:type="dxa"/>
            <w:tcBorders>
              <w:lef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Females only</w:t>
            </w: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Cervical cancer</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C53</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Prostate cancer</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C61</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Testis cancer</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C62</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Thyroid cancer</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C73</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Hodgkin lymphoma</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C81</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Acute lymphoblastic leukaemia</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C91.0</w:t>
            </w:r>
          </w:p>
        </w:tc>
        <w:tc>
          <w:tcPr>
            <w:tcW w:w="1559" w:type="dxa"/>
            <w:tcBorders>
              <w:lef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Ages 0–44 years</w:t>
            </w:r>
          </w:p>
        </w:tc>
      </w:tr>
      <w:tr w:rsidR="00000384" w:rsidRPr="00885D52" w:rsidTr="00113D01">
        <w:trPr>
          <w:cantSplit/>
        </w:trPr>
        <w:tc>
          <w:tcPr>
            <w:tcW w:w="1276" w:type="dxa"/>
            <w:vMerge w:val="restart"/>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Maternal and infant</w:t>
            </w: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Complications of pregnancy</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O00–O96, O98–O99</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Complications of perinatal period</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P01–P03, P05–P94</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Cardiac septal defect</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Q21</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val="restart"/>
            <w:tcBorders>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Chronic disorders</w:t>
            </w: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Diabetes</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E10–E14</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Valvular heart disease</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I01, I05–I09, I33–I37</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Hypertensive diseases</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I10–I13</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Coronary disease</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I20–I25</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Pulmonary embolism</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I26</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Heart failure</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I50</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Cerebrovascular diseases</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I60–I69</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COPD</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J40–J44</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Asthma</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J45–J46</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Peptic ulcer disease</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K25–K27</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Cholelithiasis</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K80</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noWrap/>
            <w:hideMark/>
          </w:tcPr>
          <w:p w:rsidR="00000384" w:rsidRPr="00885D52" w:rsidRDefault="00000384" w:rsidP="00113D01">
            <w:pPr>
              <w:pStyle w:val="TableText"/>
              <w:rPr>
                <w:lang w:eastAsia="en-NZ"/>
              </w:rPr>
            </w:pPr>
            <w:r w:rsidRPr="00885D52">
              <w:rPr>
                <w:lang w:eastAsia="en-NZ"/>
              </w:rPr>
              <w:t>Renal failure</w:t>
            </w:r>
          </w:p>
        </w:tc>
        <w:tc>
          <w:tcPr>
            <w:tcW w:w="3686" w:type="dxa"/>
            <w:tcBorders>
              <w:left w:val="single" w:sz="4" w:space="0" w:color="A6A6A6" w:themeColor="background1" w:themeShade="A6"/>
              <w:right w:val="single" w:sz="4" w:space="0" w:color="A6A6A6" w:themeColor="background1" w:themeShade="A6"/>
            </w:tcBorders>
            <w:hideMark/>
          </w:tcPr>
          <w:p w:rsidR="00000384" w:rsidRPr="00885D52" w:rsidRDefault="00000384" w:rsidP="00113D01">
            <w:pPr>
              <w:pStyle w:val="TableText"/>
              <w:rPr>
                <w:lang w:eastAsia="en-NZ"/>
              </w:rPr>
            </w:pPr>
            <w:r w:rsidRPr="00885D52">
              <w:rPr>
                <w:lang w:eastAsia="en-NZ"/>
              </w:rPr>
              <w:t>N17–N19</w:t>
            </w:r>
          </w:p>
        </w:tc>
        <w:tc>
          <w:tcPr>
            <w:tcW w:w="1559" w:type="dxa"/>
            <w:tcBorders>
              <w:left w:val="single" w:sz="4" w:space="0" w:color="A6A6A6" w:themeColor="background1" w:themeShade="A6"/>
            </w:tcBorders>
            <w:noWrap/>
          </w:tcPr>
          <w:p w:rsidR="00000384" w:rsidRPr="00885D52" w:rsidRDefault="00000384" w:rsidP="00113D01">
            <w:pPr>
              <w:pStyle w:val="TableText"/>
              <w:rPr>
                <w:lang w:eastAsia="en-NZ"/>
              </w:rPr>
            </w:pPr>
          </w:p>
        </w:tc>
      </w:tr>
      <w:tr w:rsidR="00000384" w:rsidRPr="00885D52" w:rsidTr="00113D01">
        <w:trPr>
          <w:cantSplit/>
        </w:trPr>
        <w:tc>
          <w:tcPr>
            <w:tcW w:w="1276" w:type="dxa"/>
            <w:vMerge w:val="restart"/>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Injuries</w:t>
            </w: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Land transport accidents excluding trains</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V01–V04, V06–V14, V16–V24, V26–V34, V36–V44, V46–V54, V56–V64, V66–V74, V76–V79, V80.0–V80.5, V80.7–V80.9, V82–V86, V87.0–V87.5, V87.7–V87.9, V88.0–V88.5, V88.7–V88.9, V89, V98–V99</w:t>
            </w:r>
          </w:p>
        </w:tc>
        <w:tc>
          <w:tcPr>
            <w:tcW w:w="1559" w:type="dxa"/>
            <w:tcBorders>
              <w:lef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Include V00 if using ICD-10-AM-VI (from 2008 onwards)</w:t>
            </w: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Accidental falls on same level</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W00–W08, W18</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Fire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X00–X09</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Suicide</w:t>
            </w:r>
          </w:p>
        </w:tc>
        <w:tc>
          <w:tcPr>
            <w:tcW w:w="3686" w:type="dxa"/>
            <w:tcBorders>
              <w:left w:val="single" w:sz="4" w:space="0" w:color="A6A6A6" w:themeColor="background1" w:themeShade="A6"/>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X60–X84</w:t>
            </w:r>
          </w:p>
        </w:tc>
        <w:tc>
          <w:tcPr>
            <w:tcW w:w="1559" w:type="dxa"/>
            <w:tcBorders>
              <w:left w:val="single" w:sz="4" w:space="0" w:color="A6A6A6" w:themeColor="background1" w:themeShade="A6"/>
            </w:tcBorders>
            <w:shd w:val="clear" w:color="auto" w:fill="F2F2F2" w:themeFill="background1" w:themeFillShade="F2"/>
            <w:noWrap/>
          </w:tcPr>
          <w:p w:rsidR="00000384" w:rsidRPr="00885D52" w:rsidRDefault="00000384" w:rsidP="00113D01">
            <w:pPr>
              <w:pStyle w:val="TableText"/>
              <w:rPr>
                <w:lang w:eastAsia="en-NZ"/>
              </w:rPr>
            </w:pPr>
          </w:p>
        </w:tc>
      </w:tr>
      <w:tr w:rsidR="00000384" w:rsidRPr="00885D52" w:rsidTr="00113D01">
        <w:trPr>
          <w:cantSplit/>
        </w:trPr>
        <w:tc>
          <w:tcPr>
            <w:tcW w:w="1276" w:type="dxa"/>
            <w:vMerge/>
            <w:tcBorders>
              <w:bottom w:val="single" w:sz="4" w:space="0" w:color="auto"/>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p>
        </w:tc>
        <w:tc>
          <w:tcPr>
            <w:tcW w:w="2835" w:type="dxa"/>
            <w:tcBorders>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noWrap/>
            <w:hideMark/>
          </w:tcPr>
          <w:p w:rsidR="00000384" w:rsidRPr="00885D52" w:rsidRDefault="00000384" w:rsidP="00113D01">
            <w:pPr>
              <w:pStyle w:val="TableText"/>
              <w:rPr>
                <w:lang w:eastAsia="en-NZ"/>
              </w:rPr>
            </w:pPr>
            <w:r w:rsidRPr="00885D52">
              <w:rPr>
                <w:lang w:eastAsia="en-NZ"/>
              </w:rPr>
              <w:t>Treatment injury</w:t>
            </w:r>
          </w:p>
        </w:tc>
        <w:tc>
          <w:tcPr>
            <w:tcW w:w="3686" w:type="dxa"/>
            <w:tcBorders>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hideMark/>
          </w:tcPr>
          <w:p w:rsidR="00000384" w:rsidRPr="00885D52" w:rsidRDefault="00000384" w:rsidP="00113D01">
            <w:pPr>
              <w:pStyle w:val="TableText"/>
              <w:rPr>
                <w:lang w:eastAsia="en-NZ"/>
              </w:rPr>
            </w:pPr>
            <w:r w:rsidRPr="00885D52">
              <w:rPr>
                <w:lang w:eastAsia="en-NZ"/>
              </w:rPr>
              <w:t>Y60–Y82</w:t>
            </w:r>
          </w:p>
        </w:tc>
        <w:tc>
          <w:tcPr>
            <w:tcW w:w="1559" w:type="dxa"/>
            <w:tcBorders>
              <w:left w:val="single" w:sz="4" w:space="0" w:color="A6A6A6" w:themeColor="background1" w:themeShade="A6"/>
              <w:bottom w:val="single" w:sz="4" w:space="0" w:color="auto"/>
            </w:tcBorders>
            <w:shd w:val="clear" w:color="auto" w:fill="F2F2F2" w:themeFill="background1" w:themeFillShade="F2"/>
            <w:noWrap/>
          </w:tcPr>
          <w:p w:rsidR="00000384" w:rsidRPr="00885D52" w:rsidRDefault="00000384" w:rsidP="00113D01">
            <w:pPr>
              <w:pStyle w:val="TableText"/>
              <w:rPr>
                <w:lang w:eastAsia="en-NZ"/>
              </w:rPr>
            </w:pPr>
          </w:p>
        </w:tc>
      </w:tr>
    </w:tbl>
    <w:p w:rsidR="00000384" w:rsidRPr="00885D52" w:rsidRDefault="00000384" w:rsidP="00000384"/>
    <w:p w:rsidR="00000384" w:rsidRPr="00885D52" w:rsidRDefault="00000384" w:rsidP="00113D01">
      <w:pPr>
        <w:pStyle w:val="Heading2"/>
      </w:pPr>
      <w:bookmarkStart w:id="738" w:name="_Toc168214448"/>
      <w:bookmarkStart w:id="739" w:name="_Toc170107211"/>
      <w:bookmarkStart w:id="740" w:name="_Toc170115168"/>
      <w:bookmarkStart w:id="741" w:name="_Toc175458632"/>
      <w:bookmarkStart w:id="742" w:name="_Toc204141664"/>
      <w:bookmarkStart w:id="743" w:name="_Toc204491490"/>
      <w:bookmarkStart w:id="744" w:name="_Toc208819441"/>
      <w:bookmarkStart w:id="745" w:name="_Toc210192663"/>
      <w:bookmarkStart w:id="746" w:name="_Toc233537072"/>
      <w:bookmarkStart w:id="747" w:name="_Toc236642064"/>
      <w:bookmarkStart w:id="748" w:name="_Toc236642232"/>
      <w:bookmarkStart w:id="749" w:name="_Toc262631110"/>
      <w:bookmarkStart w:id="750" w:name="_Toc316994489"/>
      <w:bookmarkStart w:id="751" w:name="_Toc352670646"/>
      <w:bookmarkStart w:id="752" w:name="_Toc400536202"/>
      <w:bookmarkStart w:id="753" w:name="_Toc403120542"/>
      <w:r w:rsidRPr="00885D52">
        <w:lastRenderedPageBreak/>
        <w:t>Population notes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000384" w:rsidRPr="00885D52" w:rsidRDefault="00000384" w:rsidP="00113D01">
      <w:pPr>
        <w:pStyle w:val="Heading3"/>
      </w:pPr>
      <w:bookmarkStart w:id="754" w:name="_Toc168214449"/>
      <w:bookmarkStart w:id="755" w:name="_Toc170107212"/>
      <w:bookmarkStart w:id="756" w:name="_Toc170115169"/>
      <w:bookmarkStart w:id="757" w:name="_Toc175458633"/>
      <w:bookmarkStart w:id="758" w:name="_Toc204141665"/>
      <w:bookmarkStart w:id="759" w:name="_Toc204491491"/>
      <w:bookmarkStart w:id="760" w:name="_Toc208819442"/>
      <w:bookmarkStart w:id="761" w:name="_Toc210192664"/>
      <w:bookmarkStart w:id="762" w:name="_Toc233537073"/>
      <w:bookmarkStart w:id="763" w:name="_Toc236642065"/>
      <w:bookmarkStart w:id="764" w:name="_Toc236642233"/>
      <w:bookmarkStart w:id="765" w:name="_Toc251243538"/>
      <w:bookmarkStart w:id="766" w:name="_Toc256147284"/>
      <w:bookmarkStart w:id="767" w:name="_Toc257035896"/>
      <w:bookmarkStart w:id="768" w:name="_Toc262631111"/>
      <w:bookmarkStart w:id="769" w:name="_Toc263941964"/>
      <w:bookmarkStart w:id="770" w:name="_Toc284314568"/>
      <w:r w:rsidRPr="00885D52">
        <w:t>Domicile</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000384" w:rsidRPr="00885D52" w:rsidRDefault="00000384" w:rsidP="00113D01">
      <w:r w:rsidRPr="00885D52">
        <w:t>In general, the domicile code of the deceased is classified according to the usual residence at time of death. The domicile code used for health collections is the four-digit Health Domicile Code originally created by Statistics New Zealand from its six-digit Census Area Unit Code. In 2011, the Health Domicile Code used was based on the 2006 Census Area Unit Code.</w:t>
      </w:r>
    </w:p>
    <w:p w:rsidR="00000384" w:rsidRPr="00885D52" w:rsidRDefault="00000384" w:rsidP="00113D01"/>
    <w:p w:rsidR="00000384" w:rsidRPr="00885D52" w:rsidRDefault="00000384" w:rsidP="00113D01">
      <w:pPr>
        <w:pStyle w:val="Heading3"/>
      </w:pPr>
      <w:bookmarkStart w:id="771" w:name="_Toc168214450"/>
      <w:bookmarkStart w:id="772" w:name="_Toc170107213"/>
      <w:bookmarkStart w:id="773" w:name="_Toc170115170"/>
      <w:bookmarkStart w:id="774" w:name="_Toc175458634"/>
      <w:bookmarkStart w:id="775" w:name="_Toc204141666"/>
      <w:bookmarkStart w:id="776" w:name="_Toc204491492"/>
      <w:bookmarkStart w:id="777" w:name="_Toc208819443"/>
      <w:bookmarkStart w:id="778" w:name="_Toc210192665"/>
      <w:bookmarkStart w:id="779" w:name="_Toc233537074"/>
      <w:bookmarkStart w:id="780" w:name="_Toc236642066"/>
      <w:bookmarkStart w:id="781" w:name="_Toc236642234"/>
      <w:bookmarkStart w:id="782" w:name="_Toc251243539"/>
      <w:bookmarkStart w:id="783" w:name="_Toc256147285"/>
      <w:bookmarkStart w:id="784" w:name="_Toc257035897"/>
      <w:bookmarkStart w:id="785" w:name="_Toc262631112"/>
      <w:bookmarkStart w:id="786" w:name="_Toc263941965"/>
      <w:bookmarkStart w:id="787" w:name="_Toc284314569"/>
      <w:r w:rsidRPr="00885D52">
        <w:t>Changes to population data</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000384" w:rsidRPr="00885D52" w:rsidRDefault="00000384" w:rsidP="00113D01">
      <w:r w:rsidRPr="00885D52">
        <w:t xml:space="preserve">Statistics New Zealand produces national population estimates based on the concept of the </w:t>
      </w:r>
      <w:r w:rsidR="00885D52" w:rsidRPr="00885D52">
        <w:t>‘</w:t>
      </w:r>
      <w:r w:rsidRPr="00885D52">
        <w:t>usually resident population</w:t>
      </w:r>
      <w:r w:rsidR="00885D52" w:rsidRPr="00885D52">
        <w:t>’</w:t>
      </w:r>
      <w:r w:rsidRPr="00885D52">
        <w:t xml:space="preserve">. Previously, both national and subnational estimates were based on the </w:t>
      </w:r>
      <w:r w:rsidR="00885D52" w:rsidRPr="00885D52">
        <w:t>‘</w:t>
      </w:r>
      <w:r w:rsidRPr="00885D52">
        <w:t>de facto population</w:t>
      </w:r>
      <w:r w:rsidR="00885D52" w:rsidRPr="00885D52">
        <w:t>’</w:t>
      </w:r>
      <w:r w:rsidRPr="00885D52">
        <w:t xml:space="preserve"> concept, which included all people in New Zealand at a given time, including overseas visitors, and excluded New Zealanders temporarily overseas on Census night. Statistics New Zealand considers that the resident population concept produces a more accurate estimate. Usually resident population estimates date from 1991.</w:t>
      </w:r>
    </w:p>
    <w:p w:rsidR="00000384" w:rsidRPr="00885D52" w:rsidRDefault="00000384" w:rsidP="00113D01"/>
    <w:p w:rsidR="00000384" w:rsidRPr="00885D52" w:rsidRDefault="00000384" w:rsidP="00113D01">
      <w:r w:rsidRPr="00885D52">
        <w:t>The most significant outcome of this change is that the resulting demographic indices are slightly lower. This is because of a smaller numerator (because registrations of births, deaths and marriages of overseas visitors while in New Zealand are excluded) and a bigger denominator (due to the slightly larger population estimates).</w:t>
      </w:r>
    </w:p>
    <w:p w:rsidR="00000384" w:rsidRPr="00885D52" w:rsidRDefault="00000384" w:rsidP="00113D01"/>
    <w:p w:rsidR="00000384" w:rsidRPr="00885D52" w:rsidRDefault="00000384" w:rsidP="00113D01">
      <w:pPr>
        <w:pStyle w:val="Heading3"/>
      </w:pPr>
      <w:bookmarkStart w:id="788" w:name="_Toc168214451"/>
      <w:bookmarkStart w:id="789" w:name="_Toc170107214"/>
      <w:bookmarkStart w:id="790" w:name="_Toc170115171"/>
      <w:bookmarkStart w:id="791" w:name="_Toc175458635"/>
      <w:bookmarkStart w:id="792" w:name="_Toc204141667"/>
      <w:bookmarkStart w:id="793" w:name="_Toc204491493"/>
      <w:bookmarkStart w:id="794" w:name="_Toc208819444"/>
      <w:bookmarkStart w:id="795" w:name="_Toc210192666"/>
      <w:bookmarkStart w:id="796" w:name="_Toc233537075"/>
      <w:bookmarkStart w:id="797" w:name="_Toc236642067"/>
      <w:bookmarkStart w:id="798" w:name="_Toc236642235"/>
      <w:bookmarkStart w:id="799" w:name="_Toc251243540"/>
      <w:bookmarkStart w:id="800" w:name="_Toc256147286"/>
      <w:bookmarkStart w:id="801" w:name="_Toc257035898"/>
      <w:bookmarkStart w:id="802" w:name="_Toc262631113"/>
      <w:bookmarkStart w:id="803" w:name="_Toc263941966"/>
      <w:bookmarkStart w:id="804" w:name="_Toc284314570"/>
      <w:r w:rsidRPr="00885D52">
        <w:t>Population data</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8D5D23" w:rsidRPr="00885D52" w:rsidRDefault="00000384" w:rsidP="00113D01">
      <w:r w:rsidRPr="00885D52">
        <w:t>This publication uses the following population data for all but the regional analysis.</w:t>
      </w:r>
    </w:p>
    <w:p w:rsidR="00113D01" w:rsidRPr="00885D52" w:rsidRDefault="00113D01" w:rsidP="00113D01"/>
    <w:p w:rsidR="00000384" w:rsidRPr="00885D52" w:rsidRDefault="00000384" w:rsidP="00113D01">
      <w:pPr>
        <w:pStyle w:val="Table"/>
      </w:pPr>
      <w:bookmarkStart w:id="805" w:name="_Toc400536168"/>
      <w:bookmarkStart w:id="806" w:name="_Toc403120573"/>
      <w:r w:rsidRPr="00885D52">
        <w:lastRenderedPageBreak/>
        <w:t>Table 28: Estimated resident population of New Zealand, by sex and five-year age group, mean year ended 31 December 2011</w:t>
      </w:r>
      <w:bookmarkEnd w:id="805"/>
      <w:bookmarkEnd w:id="806"/>
    </w:p>
    <w:tbl>
      <w:tblPr>
        <w:tblW w:w="0" w:type="auto"/>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58"/>
        <w:gridCol w:w="969"/>
        <w:gridCol w:w="970"/>
        <w:gridCol w:w="970"/>
        <w:gridCol w:w="969"/>
        <w:gridCol w:w="970"/>
        <w:gridCol w:w="970"/>
        <w:gridCol w:w="969"/>
        <w:gridCol w:w="970"/>
        <w:gridCol w:w="970"/>
      </w:tblGrid>
      <w:tr w:rsidR="00000384" w:rsidRPr="00885D52" w:rsidTr="00456766">
        <w:trPr>
          <w:cantSplit/>
        </w:trPr>
        <w:tc>
          <w:tcPr>
            <w:tcW w:w="658" w:type="dxa"/>
            <w:vMerge w:val="restart"/>
            <w:tcBorders>
              <w:top w:val="single" w:sz="4" w:space="0" w:color="auto"/>
              <w:bottom w:val="single" w:sz="4" w:space="0" w:color="auto"/>
              <w:right w:val="single" w:sz="4" w:space="0" w:color="A6A6A6" w:themeColor="background1" w:themeShade="A6"/>
            </w:tcBorders>
            <w:shd w:val="clear" w:color="auto" w:fill="auto"/>
            <w:tcMar>
              <w:top w:w="0" w:type="dxa"/>
              <w:left w:w="57" w:type="dxa"/>
              <w:bottom w:w="0" w:type="dxa"/>
              <w:right w:w="57" w:type="dxa"/>
            </w:tcMar>
          </w:tcPr>
          <w:p w:rsidR="00000384" w:rsidRPr="00885D52" w:rsidRDefault="00000384" w:rsidP="00113D01">
            <w:pPr>
              <w:pStyle w:val="TableText"/>
              <w:keepNext/>
              <w:rPr>
                <w:b/>
              </w:rPr>
            </w:pPr>
            <w:r w:rsidRPr="00885D52">
              <w:rPr>
                <w:b/>
              </w:rPr>
              <w:t>Age group</w:t>
            </w:r>
          </w:p>
        </w:tc>
        <w:tc>
          <w:tcPr>
            <w:tcW w:w="2909" w:type="dxa"/>
            <w:gridSpan w:val="3"/>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Mar>
              <w:top w:w="0" w:type="dxa"/>
              <w:left w:w="57" w:type="dxa"/>
              <w:bottom w:w="0" w:type="dxa"/>
              <w:right w:w="57" w:type="dxa"/>
            </w:tcMar>
          </w:tcPr>
          <w:p w:rsidR="00000384" w:rsidRPr="00885D52" w:rsidRDefault="00000384" w:rsidP="00113D01">
            <w:pPr>
              <w:pStyle w:val="TableText"/>
              <w:keepNext/>
              <w:jc w:val="center"/>
              <w:rPr>
                <w:b/>
              </w:rPr>
            </w:pPr>
            <w:r w:rsidRPr="00885D52">
              <w:rPr>
                <w:b/>
              </w:rPr>
              <w:t>Total</w:t>
            </w:r>
          </w:p>
        </w:tc>
        <w:tc>
          <w:tcPr>
            <w:tcW w:w="2909" w:type="dxa"/>
            <w:gridSpan w:val="3"/>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Mar>
              <w:top w:w="0" w:type="dxa"/>
              <w:left w:w="57" w:type="dxa"/>
              <w:bottom w:w="0" w:type="dxa"/>
              <w:right w:w="57" w:type="dxa"/>
            </w:tcMar>
          </w:tcPr>
          <w:p w:rsidR="00000384" w:rsidRPr="00885D52" w:rsidRDefault="00000384" w:rsidP="00113D01">
            <w:pPr>
              <w:pStyle w:val="TableText"/>
              <w:keepNext/>
              <w:jc w:val="center"/>
              <w:rPr>
                <w:b/>
              </w:rPr>
            </w:pPr>
            <w:r w:rsidRPr="00885D52">
              <w:rPr>
                <w:b/>
              </w:rPr>
              <w:t>Māori</w:t>
            </w:r>
          </w:p>
        </w:tc>
        <w:tc>
          <w:tcPr>
            <w:tcW w:w="2909" w:type="dxa"/>
            <w:gridSpan w:val="3"/>
            <w:tcBorders>
              <w:top w:val="single" w:sz="4" w:space="0" w:color="auto"/>
              <w:left w:val="single" w:sz="4" w:space="0" w:color="A6A6A6" w:themeColor="background1" w:themeShade="A6"/>
              <w:bottom w:val="single" w:sz="4" w:space="0" w:color="auto"/>
            </w:tcBorders>
            <w:shd w:val="clear" w:color="auto" w:fill="auto"/>
            <w:tcMar>
              <w:top w:w="0" w:type="dxa"/>
              <w:left w:w="57" w:type="dxa"/>
              <w:bottom w:w="0" w:type="dxa"/>
              <w:right w:w="57" w:type="dxa"/>
            </w:tcMar>
          </w:tcPr>
          <w:p w:rsidR="00000384" w:rsidRPr="00885D52" w:rsidRDefault="00000384" w:rsidP="00113D01">
            <w:pPr>
              <w:pStyle w:val="TableText"/>
              <w:keepNext/>
              <w:jc w:val="center"/>
              <w:rPr>
                <w:b/>
              </w:rPr>
            </w:pPr>
            <w:r w:rsidRPr="00885D52">
              <w:rPr>
                <w:b/>
              </w:rPr>
              <w:t>Non-Māori</w:t>
            </w:r>
          </w:p>
        </w:tc>
      </w:tr>
      <w:tr w:rsidR="00000384" w:rsidRPr="00885D52" w:rsidTr="00456766">
        <w:trPr>
          <w:cantSplit/>
        </w:trPr>
        <w:tc>
          <w:tcPr>
            <w:tcW w:w="658" w:type="dxa"/>
            <w:vMerge/>
            <w:tcBorders>
              <w:top w:val="single" w:sz="4" w:space="0" w:color="auto"/>
              <w:bottom w:val="single" w:sz="4" w:space="0" w:color="auto"/>
              <w:right w:val="single" w:sz="4" w:space="0" w:color="A6A6A6" w:themeColor="background1" w:themeShade="A6"/>
            </w:tcBorders>
            <w:shd w:val="clear" w:color="auto" w:fill="auto"/>
          </w:tcPr>
          <w:p w:rsidR="00000384" w:rsidRPr="00885D52" w:rsidRDefault="00000384" w:rsidP="00113D01">
            <w:pPr>
              <w:pStyle w:val="TableText"/>
              <w:keepNext/>
              <w:rPr>
                <w:b/>
              </w:rPr>
            </w:pPr>
          </w:p>
        </w:tc>
        <w:tc>
          <w:tcPr>
            <w:tcW w:w="969" w:type="dxa"/>
            <w:tcBorders>
              <w:top w:val="single" w:sz="4" w:space="0" w:color="auto"/>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Total</w:t>
            </w:r>
          </w:p>
        </w:tc>
        <w:tc>
          <w:tcPr>
            <w:tcW w:w="970" w:type="dxa"/>
            <w:tcBorders>
              <w:top w:val="single" w:sz="4" w:space="0" w:color="auto"/>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Male</w:t>
            </w:r>
          </w:p>
        </w:tc>
        <w:tc>
          <w:tcPr>
            <w:tcW w:w="970" w:type="dxa"/>
            <w:tcBorders>
              <w:top w:val="single" w:sz="4" w:space="0" w:color="auto"/>
              <w:left w:val="nil"/>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Female</w:t>
            </w:r>
          </w:p>
        </w:tc>
        <w:tc>
          <w:tcPr>
            <w:tcW w:w="969" w:type="dxa"/>
            <w:tcBorders>
              <w:top w:val="single" w:sz="4" w:space="0" w:color="auto"/>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Total</w:t>
            </w:r>
          </w:p>
        </w:tc>
        <w:tc>
          <w:tcPr>
            <w:tcW w:w="970" w:type="dxa"/>
            <w:tcBorders>
              <w:top w:val="single" w:sz="4" w:space="0" w:color="auto"/>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Male</w:t>
            </w:r>
          </w:p>
        </w:tc>
        <w:tc>
          <w:tcPr>
            <w:tcW w:w="970" w:type="dxa"/>
            <w:tcBorders>
              <w:top w:val="single" w:sz="4" w:space="0" w:color="auto"/>
              <w:left w:val="nil"/>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Female</w:t>
            </w:r>
          </w:p>
        </w:tc>
        <w:tc>
          <w:tcPr>
            <w:tcW w:w="969" w:type="dxa"/>
            <w:tcBorders>
              <w:top w:val="single" w:sz="4" w:space="0" w:color="auto"/>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Total</w:t>
            </w:r>
          </w:p>
        </w:tc>
        <w:tc>
          <w:tcPr>
            <w:tcW w:w="970" w:type="dxa"/>
            <w:tcBorders>
              <w:top w:val="single" w:sz="4" w:space="0" w:color="auto"/>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Male</w:t>
            </w:r>
          </w:p>
        </w:tc>
        <w:tc>
          <w:tcPr>
            <w:tcW w:w="970" w:type="dxa"/>
            <w:tcBorders>
              <w:top w:val="single" w:sz="4" w:space="0" w:color="auto"/>
              <w:left w:val="nil"/>
              <w:bottom w:val="single" w:sz="4" w:space="0" w:color="auto"/>
            </w:tcBorders>
            <w:shd w:val="clear" w:color="auto" w:fill="auto"/>
            <w:noWrap/>
            <w:tcMar>
              <w:top w:w="0" w:type="dxa"/>
              <w:left w:w="57" w:type="dxa"/>
              <w:bottom w:w="0" w:type="dxa"/>
              <w:right w:w="57" w:type="dxa"/>
            </w:tcMar>
          </w:tcPr>
          <w:p w:rsidR="00000384" w:rsidRPr="00885D52" w:rsidRDefault="00000384" w:rsidP="00113D01">
            <w:pPr>
              <w:pStyle w:val="TableText"/>
              <w:keepNext/>
              <w:jc w:val="center"/>
              <w:rPr>
                <w:b/>
              </w:rPr>
            </w:pPr>
            <w:r w:rsidRPr="00885D52">
              <w:rPr>
                <w:b/>
              </w:rPr>
              <w:t>Female</w:t>
            </w:r>
          </w:p>
        </w:tc>
      </w:tr>
      <w:tr w:rsidR="00000384" w:rsidRPr="00885D52" w:rsidTr="00456766">
        <w:trPr>
          <w:cantSplit/>
        </w:trPr>
        <w:tc>
          <w:tcPr>
            <w:tcW w:w="658" w:type="dxa"/>
            <w:tcBorders>
              <w:top w:val="single" w:sz="4" w:space="0" w:color="auto"/>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0–4</w:t>
            </w:r>
          </w:p>
        </w:tc>
        <w:tc>
          <w:tcPr>
            <w:tcW w:w="969" w:type="dxa"/>
            <w:tcBorders>
              <w:top w:val="single" w:sz="4" w:space="0" w:color="auto"/>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314,290</w:t>
            </w:r>
          </w:p>
        </w:tc>
        <w:tc>
          <w:tcPr>
            <w:tcW w:w="970" w:type="dxa"/>
            <w:tcBorders>
              <w:top w:val="single" w:sz="4" w:space="0" w:color="auto"/>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161,370</w:t>
            </w:r>
          </w:p>
        </w:tc>
        <w:tc>
          <w:tcPr>
            <w:tcW w:w="970" w:type="dxa"/>
            <w:tcBorders>
              <w:top w:val="single" w:sz="4" w:space="0" w:color="auto"/>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152,920</w:t>
            </w:r>
          </w:p>
        </w:tc>
        <w:tc>
          <w:tcPr>
            <w:tcW w:w="969" w:type="dxa"/>
            <w:tcBorders>
              <w:top w:val="single" w:sz="4" w:space="0" w:color="auto"/>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91,410</w:t>
            </w:r>
          </w:p>
        </w:tc>
        <w:tc>
          <w:tcPr>
            <w:tcW w:w="970" w:type="dxa"/>
            <w:tcBorders>
              <w:top w:val="single" w:sz="4" w:space="0" w:color="auto"/>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47,240</w:t>
            </w:r>
          </w:p>
        </w:tc>
        <w:tc>
          <w:tcPr>
            <w:tcW w:w="970" w:type="dxa"/>
            <w:tcBorders>
              <w:top w:val="single" w:sz="4" w:space="0" w:color="auto"/>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44,170</w:t>
            </w:r>
          </w:p>
        </w:tc>
        <w:tc>
          <w:tcPr>
            <w:tcW w:w="969" w:type="dxa"/>
            <w:tcBorders>
              <w:top w:val="single" w:sz="4" w:space="0" w:color="auto"/>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222,880</w:t>
            </w:r>
          </w:p>
        </w:tc>
        <w:tc>
          <w:tcPr>
            <w:tcW w:w="970" w:type="dxa"/>
            <w:tcBorders>
              <w:top w:val="single" w:sz="4" w:space="0" w:color="auto"/>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114,130</w:t>
            </w:r>
          </w:p>
        </w:tc>
        <w:tc>
          <w:tcPr>
            <w:tcW w:w="970" w:type="dxa"/>
            <w:tcBorders>
              <w:top w:val="single" w:sz="4" w:space="0" w:color="auto"/>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108,750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5–9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287,290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147,070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140,220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70,500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36,140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34,360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216,790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110,930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105,860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10–14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292,730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149,820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142,910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68,660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35,150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33,520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224,070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114,670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109,390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15–19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317,630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163,390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154,250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67,410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34,720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32,690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250,220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128,670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121,560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20–24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325,580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167,850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157,730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58,960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29,390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29,570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266,620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138,460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128,160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25–29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294,370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146,820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147,550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42,510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20,250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22,260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251,860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126,570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125,290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30–34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272,940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131,440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141,500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41,790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19,540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22,260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231,150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111,900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119,240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35–39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290,460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138,170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152,290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42,140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19,590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22,540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248,320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118,580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129,750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40–44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312,730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149,250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163,480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41,030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19,150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21,880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271,700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130,100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141,600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45–49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319,040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154,200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164,840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38,770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18,250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20,520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280,270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135,950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144,320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50–54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298,640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145,580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153,050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33,480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15,760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17,720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265,160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129,820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135,330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55–59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257,440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126,190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131,240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25,040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11,940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13,100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232,400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114,250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118,140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60–64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236,590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116,060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120,540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19,200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9110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10,090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217,390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106,950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110,450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65–69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180,920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88,330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92,590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12,640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5960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6690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168,280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82,370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85,900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70–74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145,300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69,570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75,720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9570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4480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5090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135,730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65,090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70,630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75–79</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105,970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49,260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56,710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5610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2540</w:t>
            </w:r>
          </w:p>
        </w:tc>
        <w:tc>
          <w:tcPr>
            <w:tcW w:w="970" w:type="dxa"/>
            <w:tcBorders>
              <w:top w:val="nil"/>
              <w:left w:val="nil"/>
              <w:bottom w:val="nil"/>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3070</w:t>
            </w:r>
          </w:p>
        </w:tc>
        <w:tc>
          <w:tcPr>
            <w:tcW w:w="969" w:type="dxa"/>
            <w:tcBorders>
              <w:top w:val="nil"/>
              <w:left w:val="single" w:sz="4" w:space="0" w:color="A6A6A6" w:themeColor="background1" w:themeShade="A6"/>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100,360</w:t>
            </w:r>
          </w:p>
        </w:tc>
        <w:tc>
          <w:tcPr>
            <w:tcW w:w="970" w:type="dxa"/>
            <w:tcBorders>
              <w:top w:val="nil"/>
              <w:left w:val="nil"/>
              <w:bottom w:val="nil"/>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46,720</w:t>
            </w:r>
          </w:p>
        </w:tc>
        <w:tc>
          <w:tcPr>
            <w:tcW w:w="970" w:type="dxa"/>
            <w:tcBorders>
              <w:top w:val="nil"/>
              <w:left w:val="nil"/>
              <w:bottom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53,640</w:t>
            </w:r>
          </w:p>
        </w:tc>
      </w:tr>
      <w:tr w:rsidR="00000384" w:rsidRPr="00885D52" w:rsidTr="00456766">
        <w:trPr>
          <w:cantSplit/>
        </w:trPr>
        <w:tc>
          <w:tcPr>
            <w:tcW w:w="658" w:type="dxa"/>
            <w:tcBorders>
              <w:top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pPr>
            <w:r w:rsidRPr="00885D52">
              <w:t>80–84</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82,580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36,030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46,550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2980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1230</w:t>
            </w:r>
          </w:p>
        </w:tc>
        <w:tc>
          <w:tcPr>
            <w:tcW w:w="970" w:type="dxa"/>
            <w:tcBorders>
              <w:top w:val="nil"/>
              <w:left w:val="nil"/>
              <w:bottom w:val="nil"/>
              <w:right w:val="single" w:sz="4" w:space="0" w:color="A6A6A6" w:themeColor="background1" w:themeShade="A6"/>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1750</w:t>
            </w:r>
          </w:p>
        </w:tc>
        <w:tc>
          <w:tcPr>
            <w:tcW w:w="969" w:type="dxa"/>
            <w:tcBorders>
              <w:top w:val="nil"/>
              <w:left w:val="single" w:sz="4" w:space="0" w:color="A6A6A6" w:themeColor="background1" w:themeShade="A6"/>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79,600</w:t>
            </w:r>
          </w:p>
        </w:tc>
        <w:tc>
          <w:tcPr>
            <w:tcW w:w="970" w:type="dxa"/>
            <w:tcBorders>
              <w:top w:val="nil"/>
              <w:left w:val="nil"/>
              <w:bottom w:val="nil"/>
              <w:right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34,800</w:t>
            </w:r>
          </w:p>
        </w:tc>
        <w:tc>
          <w:tcPr>
            <w:tcW w:w="970" w:type="dxa"/>
            <w:tcBorders>
              <w:top w:val="nil"/>
              <w:left w:val="nil"/>
              <w:bottom w:val="nil"/>
            </w:tcBorders>
            <w:shd w:val="clear" w:color="auto" w:fill="F2F2F2"/>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44,800</w:t>
            </w:r>
          </w:p>
        </w:tc>
      </w:tr>
      <w:tr w:rsidR="00000384" w:rsidRPr="00885D52" w:rsidTr="00456766">
        <w:trPr>
          <w:cantSplit/>
        </w:trPr>
        <w:tc>
          <w:tcPr>
            <w:tcW w:w="658" w:type="dxa"/>
            <w:tcBorders>
              <w:top w:val="nil"/>
              <w:bottom w:val="single" w:sz="4" w:space="0" w:color="999999"/>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pPr>
            <w:r w:rsidRPr="00885D52">
              <w:t>85+</w:t>
            </w:r>
          </w:p>
        </w:tc>
        <w:tc>
          <w:tcPr>
            <w:tcW w:w="969" w:type="dxa"/>
            <w:tcBorders>
              <w:top w:val="nil"/>
              <w:left w:val="single" w:sz="4" w:space="0" w:color="A6A6A6" w:themeColor="background1" w:themeShade="A6"/>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72,900</w:t>
            </w:r>
          </w:p>
        </w:tc>
        <w:tc>
          <w:tcPr>
            <w:tcW w:w="970" w:type="dxa"/>
            <w:tcBorders>
              <w:top w:val="nil"/>
              <w:left w:val="nil"/>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25,500</w:t>
            </w:r>
          </w:p>
        </w:tc>
        <w:tc>
          <w:tcPr>
            <w:tcW w:w="970" w:type="dxa"/>
            <w:tcBorders>
              <w:top w:val="nil"/>
              <w:left w:val="nil"/>
              <w:bottom w:val="single" w:sz="4" w:space="0" w:color="999999"/>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47,500</w:t>
            </w:r>
          </w:p>
        </w:tc>
        <w:tc>
          <w:tcPr>
            <w:tcW w:w="969" w:type="dxa"/>
            <w:tcBorders>
              <w:top w:val="nil"/>
              <w:left w:val="single" w:sz="4" w:space="0" w:color="A6A6A6" w:themeColor="background1" w:themeShade="A6"/>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1660</w:t>
            </w:r>
          </w:p>
        </w:tc>
        <w:tc>
          <w:tcPr>
            <w:tcW w:w="970" w:type="dxa"/>
            <w:tcBorders>
              <w:top w:val="nil"/>
              <w:left w:val="nil"/>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630</w:t>
            </w:r>
          </w:p>
        </w:tc>
        <w:tc>
          <w:tcPr>
            <w:tcW w:w="970" w:type="dxa"/>
            <w:tcBorders>
              <w:top w:val="nil"/>
              <w:left w:val="nil"/>
              <w:bottom w:val="single" w:sz="4" w:space="0" w:color="999999"/>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1020</w:t>
            </w:r>
          </w:p>
        </w:tc>
        <w:tc>
          <w:tcPr>
            <w:tcW w:w="969" w:type="dxa"/>
            <w:tcBorders>
              <w:top w:val="nil"/>
              <w:left w:val="single" w:sz="4" w:space="0" w:color="A6A6A6" w:themeColor="background1" w:themeShade="A6"/>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71,240</w:t>
            </w:r>
          </w:p>
        </w:tc>
        <w:tc>
          <w:tcPr>
            <w:tcW w:w="970" w:type="dxa"/>
            <w:tcBorders>
              <w:top w:val="nil"/>
              <w:left w:val="nil"/>
              <w:bottom w:val="single" w:sz="4" w:space="0" w:color="999999"/>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24,870</w:t>
            </w:r>
          </w:p>
        </w:tc>
        <w:tc>
          <w:tcPr>
            <w:tcW w:w="970" w:type="dxa"/>
            <w:tcBorders>
              <w:top w:val="nil"/>
              <w:left w:val="nil"/>
              <w:bottom w:val="single" w:sz="4" w:space="0" w:color="999999"/>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46,480</w:t>
            </w:r>
          </w:p>
        </w:tc>
      </w:tr>
      <w:tr w:rsidR="00000384" w:rsidRPr="00885D52" w:rsidTr="00456766">
        <w:trPr>
          <w:cantSplit/>
        </w:trPr>
        <w:tc>
          <w:tcPr>
            <w:tcW w:w="658" w:type="dxa"/>
            <w:tcBorders>
              <w:top w:val="single" w:sz="4" w:space="0" w:color="999999"/>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pPr>
            <w:r w:rsidRPr="00885D52">
              <w:t>Total</w:t>
            </w:r>
          </w:p>
        </w:tc>
        <w:tc>
          <w:tcPr>
            <w:tcW w:w="969" w:type="dxa"/>
            <w:tcBorders>
              <w:top w:val="single" w:sz="4" w:space="0" w:color="999999"/>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4,407,400</w:t>
            </w:r>
          </w:p>
        </w:tc>
        <w:tc>
          <w:tcPr>
            <w:tcW w:w="970" w:type="dxa"/>
            <w:tcBorders>
              <w:top w:val="single" w:sz="4" w:space="0" w:color="999999"/>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2,165,900</w:t>
            </w:r>
          </w:p>
        </w:tc>
        <w:tc>
          <w:tcPr>
            <w:tcW w:w="970" w:type="dxa"/>
            <w:tcBorders>
              <w:top w:val="single" w:sz="4" w:space="0" w:color="999999"/>
              <w:left w:val="nil"/>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2,241,600</w:t>
            </w:r>
          </w:p>
        </w:tc>
        <w:tc>
          <w:tcPr>
            <w:tcW w:w="969" w:type="dxa"/>
            <w:tcBorders>
              <w:top w:val="single" w:sz="4" w:space="0" w:color="999999"/>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673,400</w:t>
            </w:r>
          </w:p>
        </w:tc>
        <w:tc>
          <w:tcPr>
            <w:tcW w:w="970" w:type="dxa"/>
            <w:tcBorders>
              <w:top w:val="single" w:sz="4" w:space="0" w:color="999999"/>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331,100</w:t>
            </w:r>
          </w:p>
        </w:tc>
        <w:tc>
          <w:tcPr>
            <w:tcW w:w="970" w:type="dxa"/>
            <w:tcBorders>
              <w:top w:val="single" w:sz="4" w:space="0" w:color="999999"/>
              <w:left w:val="nil"/>
              <w:bottom w:val="single" w:sz="4" w:space="0" w:color="auto"/>
              <w:right w:val="single" w:sz="4" w:space="0" w:color="A6A6A6" w:themeColor="background1" w:themeShade="A6"/>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342,300</w:t>
            </w:r>
          </w:p>
        </w:tc>
        <w:tc>
          <w:tcPr>
            <w:tcW w:w="969" w:type="dxa"/>
            <w:tcBorders>
              <w:top w:val="single" w:sz="4" w:space="0" w:color="999999"/>
              <w:left w:val="single" w:sz="4" w:space="0" w:color="A6A6A6" w:themeColor="background1" w:themeShade="A6"/>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3,734,000</w:t>
            </w:r>
          </w:p>
        </w:tc>
        <w:tc>
          <w:tcPr>
            <w:tcW w:w="970" w:type="dxa"/>
            <w:tcBorders>
              <w:top w:val="single" w:sz="4" w:space="0" w:color="999999"/>
              <w:left w:val="nil"/>
              <w:bottom w:val="single" w:sz="4" w:space="0" w:color="auto"/>
              <w:right w:val="nil"/>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1,834,800</w:t>
            </w:r>
          </w:p>
        </w:tc>
        <w:tc>
          <w:tcPr>
            <w:tcW w:w="970" w:type="dxa"/>
            <w:tcBorders>
              <w:top w:val="single" w:sz="4" w:space="0" w:color="999999"/>
              <w:left w:val="nil"/>
              <w:bottom w:val="single" w:sz="4" w:space="0" w:color="auto"/>
            </w:tcBorders>
            <w:shd w:val="clear" w:color="auto" w:fill="auto"/>
            <w:noWrap/>
            <w:tcMar>
              <w:top w:w="0" w:type="dxa"/>
              <w:left w:w="57" w:type="dxa"/>
              <w:bottom w:w="0" w:type="dxa"/>
              <w:right w:w="57" w:type="dxa"/>
            </w:tcMar>
          </w:tcPr>
          <w:p w:rsidR="00000384" w:rsidRPr="00885D52" w:rsidRDefault="00000384" w:rsidP="00113D01">
            <w:pPr>
              <w:pStyle w:val="TableText"/>
              <w:keepNext/>
              <w:tabs>
                <w:tab w:val="decimal" w:pos="822"/>
              </w:tabs>
            </w:pPr>
            <w:r w:rsidRPr="00885D52">
              <w:t>1,899,300</w:t>
            </w:r>
          </w:p>
        </w:tc>
      </w:tr>
    </w:tbl>
    <w:p w:rsidR="00000384" w:rsidRPr="00885D52" w:rsidRDefault="00000384" w:rsidP="00113D01">
      <w:pPr>
        <w:pStyle w:val="Note"/>
        <w:ind w:right="0"/>
      </w:pPr>
      <w:r w:rsidRPr="00885D52">
        <w:t>Source: Statistics New Zealand</w:t>
      </w:r>
      <w:r w:rsidR="00293802">
        <w:t xml:space="preserve"> 2013a</w:t>
      </w:r>
    </w:p>
    <w:p w:rsidR="00000384" w:rsidRPr="00885D52" w:rsidRDefault="00000384" w:rsidP="00113D01">
      <w:pPr>
        <w:pStyle w:val="Note"/>
        <w:ind w:right="0"/>
      </w:pPr>
      <w:r w:rsidRPr="00885D52">
        <w:t>Note: Because of rounding, individual figures in this table do not always sum to the stated totals.</w:t>
      </w:r>
    </w:p>
    <w:p w:rsidR="00000384" w:rsidRPr="00885D52" w:rsidRDefault="00000384" w:rsidP="00113D01">
      <w:bookmarkStart w:id="807" w:name="_Toc168214452"/>
      <w:bookmarkStart w:id="808" w:name="_Toc170107215"/>
      <w:bookmarkStart w:id="809" w:name="_Toc170115172"/>
      <w:bookmarkStart w:id="810" w:name="_Toc175458636"/>
      <w:bookmarkStart w:id="811" w:name="_Toc204141668"/>
      <w:bookmarkStart w:id="812" w:name="_Toc204491494"/>
      <w:bookmarkStart w:id="813" w:name="_Toc208819445"/>
      <w:bookmarkStart w:id="814" w:name="_Toc210192667"/>
      <w:bookmarkStart w:id="815" w:name="_Toc233537076"/>
      <w:bookmarkStart w:id="816" w:name="_Toc236642068"/>
      <w:bookmarkStart w:id="817" w:name="_Toc236642236"/>
      <w:bookmarkStart w:id="818" w:name="_Toc262631114"/>
    </w:p>
    <w:p w:rsidR="00000384" w:rsidRPr="00885D52" w:rsidRDefault="00000384" w:rsidP="00113D01">
      <w:r w:rsidRPr="00885D52">
        <w:t xml:space="preserve">The regional population data used to calculate rates of mortality by DHB differs to that used in the rest of the publication. This means that some results in that section differ very slightly from those given in other sections. The best available populations sourced from Statistics New Zealand have been used for regional analysis. Total population rates by DHB were calculated using the estimated resident population as at 30 June 2011, broken down by DHB region of domicile. Māori and non-Māori rates by DHB were calculated using population projections for 2011 (using the 2006 base population). These regional populations are available online in Excel format alongside this </w:t>
      </w:r>
      <w:r w:rsidRPr="00885D52">
        <w:rPr>
          <w:i/>
        </w:rPr>
        <w:t xml:space="preserve">Mortality and Demographic Data </w:t>
      </w:r>
      <w:r w:rsidRPr="00885D52">
        <w:t>publication.</w:t>
      </w:r>
    </w:p>
    <w:p w:rsidR="00000384" w:rsidRPr="00885D52" w:rsidRDefault="00000384" w:rsidP="00113D01"/>
    <w:p w:rsidR="00000384" w:rsidRPr="00885D52" w:rsidRDefault="00000384" w:rsidP="00113D01">
      <w:r w:rsidRPr="00885D52">
        <w:t>The accuracy of the population estimates used to calculate the regional rates for 2011 may be compromised as a result of population movement that occurred following the significant 2010 and 2011 earthquakes in the Canterbury region. Some people moved out of the Canterbury region permanently, or temporarily, and others permanently or temporarily moved into the Canterbury region. This population movement, and its effect on population sizes of different regions across New Zealand, are difficult to quantify. Caution is therefore needed when interpreting regional rates for 2011.</w:t>
      </w:r>
    </w:p>
    <w:p w:rsidR="00000384" w:rsidRPr="00885D52" w:rsidRDefault="00000384" w:rsidP="00113D01"/>
    <w:p w:rsidR="00000384" w:rsidRPr="00885D52" w:rsidRDefault="00000384" w:rsidP="00113D01">
      <w:pPr>
        <w:pStyle w:val="Heading2"/>
      </w:pPr>
      <w:bookmarkStart w:id="819" w:name="_Toc316994490"/>
      <w:bookmarkStart w:id="820" w:name="_Toc352670647"/>
      <w:bookmarkStart w:id="821" w:name="_Toc400536203"/>
      <w:bookmarkStart w:id="822" w:name="_Toc403120543"/>
      <w:r w:rsidRPr="00885D52">
        <w:lastRenderedPageBreak/>
        <w:t>Ethnicity notes</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000384" w:rsidRPr="00885D52" w:rsidRDefault="00000384" w:rsidP="00113D01">
      <w:pPr>
        <w:pStyle w:val="Heading3"/>
      </w:pPr>
      <w:bookmarkStart w:id="823" w:name="_Toc168214453"/>
      <w:bookmarkStart w:id="824" w:name="_Toc170107216"/>
      <w:bookmarkStart w:id="825" w:name="_Toc170115173"/>
      <w:bookmarkStart w:id="826" w:name="_Toc175458637"/>
      <w:bookmarkStart w:id="827" w:name="_Toc204141669"/>
      <w:bookmarkStart w:id="828" w:name="_Toc204491495"/>
      <w:bookmarkStart w:id="829" w:name="_Toc208819446"/>
      <w:bookmarkStart w:id="830" w:name="_Toc210192668"/>
      <w:bookmarkStart w:id="831" w:name="_Toc233537077"/>
      <w:bookmarkStart w:id="832" w:name="_Toc236642069"/>
      <w:bookmarkStart w:id="833" w:name="_Toc236642237"/>
      <w:bookmarkStart w:id="834" w:name="_Toc251243542"/>
      <w:bookmarkStart w:id="835" w:name="_Toc256147288"/>
      <w:bookmarkStart w:id="836" w:name="_Toc257035900"/>
      <w:bookmarkStart w:id="837" w:name="_Toc262631115"/>
      <w:bookmarkStart w:id="838" w:name="_Toc263941968"/>
      <w:bookmarkStart w:id="839" w:name="_Toc284314572"/>
      <w:r w:rsidRPr="00885D52">
        <w:t>Ethnicity</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000384" w:rsidRPr="00885D52" w:rsidRDefault="00000384" w:rsidP="00113D01">
      <w:r w:rsidRPr="00885D52">
        <w:t xml:space="preserve">Ethnicity data for deaths mainly come from Births, Deaths, Marriages and Citizenship. Ethnicity data is provided to funeral directors by family members or others assisting with the death registration and recorded on the BDM28 </w:t>
      </w:r>
      <w:r w:rsidRPr="00885D52">
        <w:rPr>
          <w:i/>
        </w:rPr>
        <w:t>Notification of Death for Registration</w:t>
      </w:r>
      <w:r w:rsidRPr="00885D52">
        <w:t xml:space="preserve"> form.</w:t>
      </w:r>
    </w:p>
    <w:p w:rsidR="00000384" w:rsidRPr="00885D52" w:rsidRDefault="00000384" w:rsidP="00113D01"/>
    <w:p w:rsidR="00000384" w:rsidRPr="00885D52" w:rsidRDefault="00000384" w:rsidP="00113D01">
      <w:r w:rsidRPr="00885D52">
        <w:t xml:space="preserve">Ethnicity data for the New Zealand population is based on prioritised ethnicity. Changes in ethnicity recording came into effect in September 1995. Previously, ethnicity had been based on ancestry, with only one ethnic group ascribed to each individual (the </w:t>
      </w:r>
      <w:r w:rsidR="00885D52" w:rsidRPr="00885D52">
        <w:t>‘</w:t>
      </w:r>
      <w:r w:rsidRPr="00885D52">
        <w:t>sole ethnic origin</w:t>
      </w:r>
      <w:r w:rsidR="00885D52" w:rsidRPr="00885D52">
        <w:t>’</w:t>
      </w:r>
      <w:r w:rsidRPr="00885D52">
        <w:t xml:space="preserve"> concept). The 1995 changes introduced the self-identified ethnicity model, which allows an individual to choose multiple ethnicities based on their preferences or self-concept. Multiple selected ethnicities are then prioritised into a hierarchy.</w:t>
      </w:r>
    </w:p>
    <w:p w:rsidR="00000384" w:rsidRPr="00885D52" w:rsidRDefault="00000384" w:rsidP="00113D01"/>
    <w:p w:rsidR="00000384" w:rsidRPr="00885D52" w:rsidRDefault="00000384" w:rsidP="00113D01">
      <w:r w:rsidRPr="00885D52">
        <w:t>The system recognises the following key characteristics of ethnicity.</w:t>
      </w:r>
    </w:p>
    <w:p w:rsidR="00000384" w:rsidRPr="00885D52" w:rsidRDefault="00000384" w:rsidP="00113D01">
      <w:pPr>
        <w:pStyle w:val="Bullet"/>
      </w:pPr>
      <w:r w:rsidRPr="00885D52">
        <w:t>Ethnicity is self-perceived, so people should identify their own ethnic affiliation whenever feasible.</w:t>
      </w:r>
    </w:p>
    <w:p w:rsidR="00000384" w:rsidRPr="00885D52" w:rsidRDefault="00000384" w:rsidP="00113D01">
      <w:pPr>
        <w:pStyle w:val="Bullet"/>
      </w:pPr>
      <w:r w:rsidRPr="00885D52">
        <w:t>A person can belong to more than one ethnic group.</w:t>
      </w:r>
    </w:p>
    <w:p w:rsidR="00000384" w:rsidRPr="00885D52" w:rsidRDefault="00000384" w:rsidP="00113D01">
      <w:pPr>
        <w:pStyle w:val="Bullet"/>
      </w:pPr>
      <w:r w:rsidRPr="00885D52">
        <w:t>The ethnicities with which a person identifies can change over time or in different contexts.</w:t>
      </w:r>
    </w:p>
    <w:p w:rsidR="00000384" w:rsidRPr="00885D52" w:rsidRDefault="00000384" w:rsidP="00113D01"/>
    <w:p w:rsidR="00000384" w:rsidRPr="00885D52" w:rsidRDefault="00000384" w:rsidP="00113D01">
      <w:r w:rsidRPr="00885D52">
        <w:t xml:space="preserve">Ethnicity is a social construct of group affiliation and identity. The present Ministry of Health statistical standard for ethnicity states that </w:t>
      </w:r>
      <w:r w:rsidR="00885D52" w:rsidRPr="00885D52">
        <w:t>‘</w:t>
      </w:r>
      <w:r w:rsidRPr="00885D52">
        <w:t>ethnicity is the ethnic group or groups that people identify with or feel they belong to</w:t>
      </w:r>
      <w:r w:rsidR="00885D52" w:rsidRPr="00885D52">
        <w:t>’</w:t>
      </w:r>
      <w:r w:rsidRPr="00885D52">
        <w:t>. Thus, ethnicity is self-perceived, complex and multidimensional.</w:t>
      </w:r>
    </w:p>
    <w:p w:rsidR="00000384" w:rsidRPr="00885D52" w:rsidRDefault="00000384" w:rsidP="00113D01"/>
    <w:p w:rsidR="00000384" w:rsidRPr="00885D52" w:rsidRDefault="00000384" w:rsidP="00113D01">
      <w:r w:rsidRPr="00885D52">
        <w:t>This definition is based on the work of Anthony Smith (Smith 1986).</w:t>
      </w:r>
    </w:p>
    <w:p w:rsidR="00000384" w:rsidRPr="00885D52" w:rsidRDefault="00000384" w:rsidP="00113D01"/>
    <w:p w:rsidR="00000384" w:rsidRPr="00885D52" w:rsidRDefault="00000384" w:rsidP="00113D01">
      <w:pPr>
        <w:pStyle w:val="Heading3"/>
      </w:pPr>
      <w:bookmarkStart w:id="840" w:name="_Toc168214454"/>
      <w:bookmarkStart w:id="841" w:name="_Toc170107217"/>
      <w:bookmarkStart w:id="842" w:name="_Toc170115174"/>
      <w:bookmarkStart w:id="843" w:name="_Toc175458638"/>
      <w:bookmarkStart w:id="844" w:name="_Toc204141670"/>
      <w:bookmarkStart w:id="845" w:name="_Toc204491496"/>
      <w:bookmarkStart w:id="846" w:name="_Toc208819447"/>
      <w:bookmarkStart w:id="847" w:name="_Toc210192669"/>
      <w:bookmarkStart w:id="848" w:name="_Toc233537078"/>
      <w:bookmarkStart w:id="849" w:name="_Toc236642070"/>
      <w:bookmarkStart w:id="850" w:name="_Toc236642238"/>
      <w:bookmarkStart w:id="851" w:name="_Toc251243543"/>
      <w:bookmarkStart w:id="852" w:name="_Toc256147289"/>
      <w:bookmarkStart w:id="853" w:name="_Toc257035901"/>
      <w:bookmarkStart w:id="854" w:name="_Toc262631116"/>
      <w:bookmarkStart w:id="855" w:name="_Toc263941969"/>
      <w:bookmarkStart w:id="856" w:name="_Toc284314573"/>
      <w:r w:rsidRPr="00885D52">
        <w:t>Prioritisation</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000384" w:rsidRPr="00885D52" w:rsidRDefault="00000384" w:rsidP="00113D01">
      <w:pPr>
        <w:rPr>
          <w:szCs w:val="22"/>
        </w:rPr>
      </w:pPr>
      <w:r w:rsidRPr="00885D52">
        <w:t xml:space="preserve">This publication uses </w:t>
      </w:r>
      <w:r w:rsidR="00885D52" w:rsidRPr="00885D52">
        <w:t>‘</w:t>
      </w:r>
      <w:r w:rsidRPr="00885D52">
        <w:t>prioritised ethnicity</w:t>
      </w:r>
      <w:r w:rsidR="00885D52" w:rsidRPr="00885D52">
        <w:t>’</w:t>
      </w:r>
      <w:r w:rsidRPr="00885D52">
        <w:t>, where each person is allocated to one ethnic group using the priority system Māori &gt; non-Māori (Ministry of Health 2004). The aim of prioritisation is to ensure that when it is necessary to assign people to a single ethnic group, ethnic groups that are small or important in terms of policy are not swamped by the European ethnic group. This method is also a more robust method of dealing with the low rate of multiple ethnicities in health sector data</w:t>
      </w:r>
      <w:r w:rsidRPr="00885D52">
        <w:rPr>
          <w:szCs w:val="22"/>
        </w:rPr>
        <w:t>.</w:t>
      </w:r>
    </w:p>
    <w:p w:rsidR="00000384" w:rsidRPr="00885D52" w:rsidRDefault="00000384" w:rsidP="00113D01"/>
    <w:p w:rsidR="00000384" w:rsidRPr="00885D52" w:rsidRDefault="00000384" w:rsidP="00113D01">
      <w:r w:rsidRPr="00885D52">
        <w:t>Further information on ethnicity data protocols for the health and disability sector is available at www.health.govt.nz/publication/ethnicity-data-protocols-health-and-disability-sector</w:t>
      </w:r>
    </w:p>
    <w:p w:rsidR="00000384" w:rsidRPr="00885D52" w:rsidRDefault="00000384" w:rsidP="00113D01"/>
    <w:p w:rsidR="00000384" w:rsidRPr="00885D52" w:rsidRDefault="00000384" w:rsidP="00113D01">
      <w:pPr>
        <w:pStyle w:val="Heading2"/>
      </w:pPr>
      <w:bookmarkStart w:id="857" w:name="_Statistical_notes"/>
      <w:bookmarkStart w:id="858" w:name="_Toc168214455"/>
      <w:bookmarkStart w:id="859" w:name="_Toc170107218"/>
      <w:bookmarkStart w:id="860" w:name="_Toc170115175"/>
      <w:bookmarkStart w:id="861" w:name="_Toc175458639"/>
      <w:bookmarkStart w:id="862" w:name="_Toc204141671"/>
      <w:bookmarkStart w:id="863" w:name="_Toc204491497"/>
      <w:bookmarkStart w:id="864" w:name="_Toc208819448"/>
      <w:bookmarkStart w:id="865" w:name="_Toc210192670"/>
      <w:bookmarkStart w:id="866" w:name="_Toc233537079"/>
      <w:bookmarkStart w:id="867" w:name="_Toc236642071"/>
      <w:bookmarkStart w:id="868" w:name="_Toc236642239"/>
      <w:bookmarkStart w:id="869" w:name="_Toc262631117"/>
      <w:bookmarkStart w:id="870" w:name="_Toc316994491"/>
      <w:bookmarkStart w:id="871" w:name="_Toc352670648"/>
      <w:bookmarkStart w:id="872" w:name="_Toc400536204"/>
      <w:bookmarkStart w:id="873" w:name="_Toc403120544"/>
      <w:bookmarkEnd w:id="857"/>
      <w:r w:rsidRPr="00885D52">
        <w:lastRenderedPageBreak/>
        <w:t>Statistical notes</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000384" w:rsidRPr="00885D52" w:rsidRDefault="00000384" w:rsidP="00113D01">
      <w:pPr>
        <w:pStyle w:val="Heading3"/>
      </w:pPr>
      <w:bookmarkStart w:id="874" w:name="_Toc168214456"/>
      <w:bookmarkStart w:id="875" w:name="_Toc170107219"/>
      <w:bookmarkStart w:id="876" w:name="_Toc170115176"/>
      <w:bookmarkStart w:id="877" w:name="_Toc175458640"/>
      <w:bookmarkStart w:id="878" w:name="_Toc204141672"/>
      <w:bookmarkStart w:id="879" w:name="_Toc204491498"/>
      <w:bookmarkStart w:id="880" w:name="_Toc208819449"/>
      <w:bookmarkStart w:id="881" w:name="_Toc210192671"/>
      <w:bookmarkStart w:id="882" w:name="_Toc233537080"/>
      <w:bookmarkStart w:id="883" w:name="_Toc236642072"/>
      <w:bookmarkStart w:id="884" w:name="_Toc236642240"/>
      <w:bookmarkStart w:id="885" w:name="_Toc251243545"/>
      <w:bookmarkStart w:id="886" w:name="_Toc256147291"/>
      <w:bookmarkStart w:id="887" w:name="_Toc257035903"/>
      <w:bookmarkStart w:id="888" w:name="_Toc262631118"/>
      <w:bookmarkStart w:id="889" w:name="_Toc263941971"/>
      <w:bookmarkStart w:id="890" w:name="_Toc284314575"/>
      <w:r w:rsidRPr="00885D52">
        <w:t>Age-specific and age-standardised rates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000384" w:rsidRPr="00885D52" w:rsidRDefault="00000384" w:rsidP="00113D01">
      <w:pPr>
        <w:pStyle w:val="Heading4"/>
      </w:pPr>
      <w:bookmarkStart w:id="891" w:name="_Toc168214457"/>
      <w:bookmarkStart w:id="892" w:name="_Toc170107220"/>
      <w:bookmarkStart w:id="893" w:name="_Toc170115177"/>
      <w:bookmarkStart w:id="894" w:name="_Toc175458641"/>
      <w:bookmarkStart w:id="895" w:name="_Toc204141673"/>
      <w:bookmarkStart w:id="896" w:name="_Toc204491499"/>
      <w:bookmarkStart w:id="897" w:name="_Toc208819450"/>
      <w:bookmarkStart w:id="898" w:name="_Toc210192672"/>
      <w:bookmarkStart w:id="899" w:name="_Toc233537081"/>
      <w:bookmarkStart w:id="900" w:name="_Toc236642073"/>
      <w:bookmarkStart w:id="901" w:name="_Toc236642241"/>
      <w:r w:rsidRPr="00885D52">
        <w:t>Age-specific rate</w:t>
      </w:r>
      <w:bookmarkEnd w:id="891"/>
      <w:bookmarkEnd w:id="892"/>
      <w:bookmarkEnd w:id="893"/>
      <w:bookmarkEnd w:id="894"/>
      <w:bookmarkEnd w:id="895"/>
      <w:bookmarkEnd w:id="896"/>
      <w:bookmarkEnd w:id="897"/>
      <w:bookmarkEnd w:id="898"/>
      <w:bookmarkEnd w:id="899"/>
      <w:bookmarkEnd w:id="900"/>
      <w:bookmarkEnd w:id="901"/>
    </w:p>
    <w:p w:rsidR="00000384" w:rsidRPr="00885D52" w:rsidRDefault="00000384" w:rsidP="00456766">
      <w:pPr>
        <w:keepNext/>
      </w:pPr>
      <w:r w:rsidRPr="00885D52">
        <w:t>An age-specific rate is the rate at which a particular event (eg, death or disease incidence) occurs in each age group of a population as some unit of the population-at-risk or person-years-at-risk.</w:t>
      </w:r>
    </w:p>
    <w:p w:rsidR="00000384" w:rsidRPr="00885D52" w:rsidRDefault="00000384" w:rsidP="00456766">
      <w:pPr>
        <w:keepNext/>
      </w:pPr>
    </w:p>
    <w:p w:rsidR="00000384" w:rsidRPr="00885D52" w:rsidRDefault="00000384" w:rsidP="00456766">
      <w:pPr>
        <w:keepLines/>
      </w:pPr>
      <w:r w:rsidRPr="00885D52">
        <w:t>An age-specific rate is simply the crude rate for the specific age group. For example, to calculate the age-specific rate of a disease for people aged 45–49, the total number of cases in the age group is divided by the population in that age group and multiplied by a constant (a unit of population: 100,000 in this publication). This process produces death rates showing the number of deaths per 100,000 population in each age group in a particular year (Borman 1995).</w:t>
      </w:r>
    </w:p>
    <w:p w:rsidR="00000384" w:rsidRPr="00885D52" w:rsidRDefault="00000384" w:rsidP="00113D01"/>
    <w:p w:rsidR="00000384" w:rsidRPr="00885D52" w:rsidRDefault="00000384" w:rsidP="00113D01">
      <w:pPr>
        <w:pStyle w:val="Heading4"/>
      </w:pPr>
      <w:bookmarkStart w:id="902" w:name="_Age-standardised_rate"/>
      <w:bookmarkStart w:id="903" w:name="_Toc168214458"/>
      <w:bookmarkStart w:id="904" w:name="_Toc170107221"/>
      <w:bookmarkStart w:id="905" w:name="_Toc170115178"/>
      <w:bookmarkStart w:id="906" w:name="_Toc175458642"/>
      <w:bookmarkStart w:id="907" w:name="_Toc204141674"/>
      <w:bookmarkStart w:id="908" w:name="_Toc204491500"/>
      <w:bookmarkStart w:id="909" w:name="_Toc208819451"/>
      <w:bookmarkStart w:id="910" w:name="_Toc210192673"/>
      <w:bookmarkStart w:id="911" w:name="_Toc233537082"/>
      <w:bookmarkStart w:id="912" w:name="_Toc236642074"/>
      <w:bookmarkStart w:id="913" w:name="_Toc236642242"/>
      <w:bookmarkEnd w:id="902"/>
      <w:r w:rsidRPr="00885D52">
        <w:t>Age-standardised rate</w:t>
      </w:r>
      <w:bookmarkEnd w:id="903"/>
      <w:bookmarkEnd w:id="904"/>
      <w:bookmarkEnd w:id="905"/>
      <w:bookmarkEnd w:id="906"/>
      <w:bookmarkEnd w:id="907"/>
      <w:bookmarkEnd w:id="908"/>
      <w:bookmarkEnd w:id="909"/>
      <w:bookmarkEnd w:id="910"/>
      <w:bookmarkEnd w:id="911"/>
      <w:bookmarkEnd w:id="912"/>
      <w:bookmarkEnd w:id="913"/>
    </w:p>
    <w:p w:rsidR="00000384" w:rsidRPr="00885D52" w:rsidRDefault="00000384" w:rsidP="00113D01">
      <w:r w:rsidRPr="00885D52">
        <w:t xml:space="preserve">Age-standardised death rates adjust for differences in age distribution of the populations being compared. Age-standardised rates are artificially created figures that allow comparisons to be made with differing groups; they should only be compared with other adjusted rates that have been computed using the same </w:t>
      </w:r>
      <w:r w:rsidR="00885D52" w:rsidRPr="00885D52">
        <w:t>‘</w:t>
      </w:r>
      <w:r w:rsidRPr="00885D52">
        <w:t>standard</w:t>
      </w:r>
      <w:r w:rsidR="00885D52" w:rsidRPr="00885D52">
        <w:t>’</w:t>
      </w:r>
      <w:r w:rsidRPr="00885D52">
        <w:t xml:space="preserve"> population.</w:t>
      </w:r>
    </w:p>
    <w:p w:rsidR="00000384" w:rsidRPr="00885D52" w:rsidRDefault="00000384" w:rsidP="00113D01"/>
    <w:p w:rsidR="00000384" w:rsidRPr="00885D52" w:rsidRDefault="00000384" w:rsidP="00113D01">
      <w:r w:rsidRPr="00885D52">
        <w:t>Age-standardised rates are calculated by multiplying age-specific rates by a standard population. The standard population used in these calculations is the WHO World Standard Population (see below). The WHO World Standard Population is a widely used New Zealand and international standard.</w:t>
      </w:r>
    </w:p>
    <w:p w:rsidR="00000384" w:rsidRPr="00885D52" w:rsidRDefault="00000384" w:rsidP="00113D01"/>
    <w:p w:rsidR="00000384" w:rsidRPr="00885D52" w:rsidRDefault="00000384" w:rsidP="00113D01">
      <w:r w:rsidRPr="00885D52">
        <w:t xml:space="preserve">Further information on age-specific and age-standardised rates can be found in the Ministry of Health/Public Health Commission document </w:t>
      </w:r>
      <w:r w:rsidRPr="00885D52">
        <w:rPr>
          <w:i/>
        </w:rPr>
        <w:t>Standardising Rates of Disease</w:t>
      </w:r>
      <w:r w:rsidRPr="00885D52">
        <w:t>: see www.health.govt.nz/publication/standardising-rates-disease</w:t>
      </w:r>
    </w:p>
    <w:p w:rsidR="00000384" w:rsidRPr="00885D52" w:rsidRDefault="00000384" w:rsidP="00113D01"/>
    <w:p w:rsidR="00000384" w:rsidRPr="00885D52" w:rsidRDefault="00000384" w:rsidP="00113D01">
      <w:pPr>
        <w:pStyle w:val="Table"/>
      </w:pPr>
      <w:bookmarkStart w:id="914" w:name="_Toc233537083"/>
      <w:bookmarkStart w:id="915" w:name="_Toc236642075"/>
      <w:bookmarkStart w:id="916" w:name="_Toc236642243"/>
      <w:bookmarkStart w:id="917" w:name="_Toc251243546"/>
      <w:bookmarkStart w:id="918" w:name="_Toc256147292"/>
      <w:bookmarkStart w:id="919" w:name="_Toc257035904"/>
      <w:bookmarkStart w:id="920" w:name="_Toc262631119"/>
      <w:bookmarkStart w:id="921" w:name="_Toc263941972"/>
      <w:bookmarkStart w:id="922" w:name="_Toc284314576"/>
      <w:bookmarkStart w:id="923" w:name="_Toc403120574"/>
      <w:r w:rsidRPr="00885D52">
        <w:lastRenderedPageBreak/>
        <w:t>Table 29: The WHO World Standard Population</w:t>
      </w:r>
      <w:bookmarkEnd w:id="914"/>
      <w:bookmarkEnd w:id="915"/>
      <w:bookmarkEnd w:id="916"/>
      <w:bookmarkEnd w:id="917"/>
      <w:bookmarkEnd w:id="918"/>
      <w:bookmarkEnd w:id="919"/>
      <w:bookmarkEnd w:id="920"/>
      <w:bookmarkEnd w:id="921"/>
      <w:bookmarkEnd w:id="922"/>
      <w:bookmarkEnd w:id="923"/>
    </w:p>
    <w:tbl>
      <w:tblPr>
        <w:tblW w:w="2694"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1437"/>
      </w:tblGrid>
      <w:tr w:rsidR="00000384" w:rsidRPr="00885D52" w:rsidTr="007E73A8">
        <w:trPr>
          <w:cantSplit/>
        </w:trPr>
        <w:tc>
          <w:tcPr>
            <w:tcW w:w="1257" w:type="dxa"/>
            <w:tcBorders>
              <w:top w:val="single" w:sz="4" w:space="0" w:color="auto"/>
              <w:bottom w:val="single" w:sz="4" w:space="0" w:color="auto"/>
              <w:right w:val="single" w:sz="4" w:space="0" w:color="auto"/>
            </w:tcBorders>
            <w:shd w:val="clear" w:color="auto" w:fill="auto"/>
          </w:tcPr>
          <w:p w:rsidR="00000384" w:rsidRPr="00885D52" w:rsidRDefault="00000384" w:rsidP="00456766">
            <w:pPr>
              <w:pStyle w:val="TableText"/>
              <w:keepNext/>
              <w:rPr>
                <w:b/>
              </w:rPr>
            </w:pPr>
            <w:r w:rsidRPr="00885D52">
              <w:rPr>
                <w:b/>
              </w:rPr>
              <w:t>Age group</w:t>
            </w:r>
          </w:p>
        </w:tc>
        <w:tc>
          <w:tcPr>
            <w:tcW w:w="1437" w:type="dxa"/>
            <w:tcBorders>
              <w:top w:val="single" w:sz="4" w:space="0" w:color="auto"/>
              <w:left w:val="single" w:sz="4" w:space="0" w:color="auto"/>
              <w:bottom w:val="single" w:sz="4" w:space="0" w:color="auto"/>
              <w:right w:val="nil"/>
            </w:tcBorders>
            <w:shd w:val="clear" w:color="auto" w:fill="auto"/>
          </w:tcPr>
          <w:p w:rsidR="00000384" w:rsidRPr="00885D52" w:rsidRDefault="00000384" w:rsidP="00456766">
            <w:pPr>
              <w:pStyle w:val="TableText"/>
              <w:keepNext/>
              <w:jc w:val="center"/>
              <w:rPr>
                <w:b/>
              </w:rPr>
            </w:pPr>
            <w:r w:rsidRPr="00885D52">
              <w:rPr>
                <w:b/>
              </w:rPr>
              <w:t>Population</w:t>
            </w:r>
          </w:p>
        </w:tc>
      </w:tr>
      <w:tr w:rsidR="00000384" w:rsidRPr="00885D52" w:rsidTr="007E73A8">
        <w:trPr>
          <w:cantSplit/>
        </w:trPr>
        <w:tc>
          <w:tcPr>
            <w:tcW w:w="1257" w:type="dxa"/>
            <w:tcBorders>
              <w:top w:val="single" w:sz="4" w:space="0" w:color="auto"/>
              <w:bottom w:val="nil"/>
              <w:right w:val="single" w:sz="4" w:space="0" w:color="auto"/>
            </w:tcBorders>
            <w:shd w:val="clear" w:color="auto" w:fill="F2F2F2"/>
          </w:tcPr>
          <w:p w:rsidR="00000384" w:rsidRPr="00885D52" w:rsidRDefault="00000384" w:rsidP="00456766">
            <w:pPr>
              <w:pStyle w:val="TableText"/>
              <w:keepNext/>
            </w:pPr>
            <w:r w:rsidRPr="00885D52">
              <w:t>0–4</w:t>
            </w:r>
          </w:p>
        </w:tc>
        <w:tc>
          <w:tcPr>
            <w:tcW w:w="1437" w:type="dxa"/>
            <w:tcBorders>
              <w:top w:val="single" w:sz="4" w:space="0" w:color="auto"/>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8860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5–9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8690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10–14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8600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15–19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8470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20–24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8220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25–29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7930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30–34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7610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35–39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7150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40–44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6590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45–49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6040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50–54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5370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55–59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4550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60–64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3720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65–69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2960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70–74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2210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456766">
            <w:pPr>
              <w:pStyle w:val="TableText"/>
              <w:keepNext/>
            </w:pPr>
            <w:r w:rsidRPr="00885D52">
              <w:t>75–79</w:t>
            </w:r>
          </w:p>
        </w:tc>
        <w:tc>
          <w:tcPr>
            <w:tcW w:w="1437" w:type="dxa"/>
            <w:tcBorders>
              <w:top w:val="nil"/>
              <w:left w:val="single" w:sz="4" w:space="0" w:color="auto"/>
              <w:bottom w:val="nil"/>
              <w:right w:val="nil"/>
            </w:tcBorders>
            <w:shd w:val="clear" w:color="auto" w:fill="auto"/>
          </w:tcPr>
          <w:p w:rsidR="00000384" w:rsidRPr="00885D52" w:rsidRDefault="00000384" w:rsidP="00456766">
            <w:pPr>
              <w:pStyle w:val="TableText"/>
              <w:keepNext/>
              <w:tabs>
                <w:tab w:val="decimal" w:pos="954"/>
              </w:tabs>
            </w:pPr>
            <w:r w:rsidRPr="00885D52">
              <w:t>1520</w:t>
            </w:r>
          </w:p>
        </w:tc>
      </w:tr>
      <w:tr w:rsidR="00000384" w:rsidRPr="00885D52" w:rsidTr="007E73A8">
        <w:trPr>
          <w:cantSplit/>
        </w:trPr>
        <w:tc>
          <w:tcPr>
            <w:tcW w:w="1257" w:type="dxa"/>
            <w:tcBorders>
              <w:top w:val="nil"/>
              <w:bottom w:val="nil"/>
              <w:right w:val="single" w:sz="4" w:space="0" w:color="auto"/>
            </w:tcBorders>
            <w:shd w:val="clear" w:color="auto" w:fill="F2F2F2"/>
          </w:tcPr>
          <w:p w:rsidR="00000384" w:rsidRPr="00885D52" w:rsidRDefault="00000384" w:rsidP="00456766">
            <w:pPr>
              <w:pStyle w:val="TableText"/>
              <w:keepNext/>
            </w:pPr>
            <w:r w:rsidRPr="00885D52">
              <w:t>80–84</w:t>
            </w:r>
          </w:p>
        </w:tc>
        <w:tc>
          <w:tcPr>
            <w:tcW w:w="1437" w:type="dxa"/>
            <w:tcBorders>
              <w:top w:val="nil"/>
              <w:left w:val="single" w:sz="4" w:space="0" w:color="auto"/>
              <w:bottom w:val="nil"/>
              <w:right w:val="nil"/>
            </w:tcBorders>
            <w:shd w:val="clear" w:color="auto" w:fill="F2F2F2"/>
          </w:tcPr>
          <w:p w:rsidR="00000384" w:rsidRPr="00885D52" w:rsidRDefault="00000384" w:rsidP="00456766">
            <w:pPr>
              <w:pStyle w:val="TableText"/>
              <w:keepNext/>
              <w:tabs>
                <w:tab w:val="decimal" w:pos="954"/>
              </w:tabs>
            </w:pPr>
            <w:r w:rsidRPr="00885D52">
              <w:t>910</w:t>
            </w:r>
          </w:p>
        </w:tc>
      </w:tr>
      <w:tr w:rsidR="00000384" w:rsidRPr="00885D52" w:rsidTr="007E73A8">
        <w:trPr>
          <w:cantSplit/>
        </w:trPr>
        <w:tc>
          <w:tcPr>
            <w:tcW w:w="1257" w:type="dxa"/>
            <w:tcBorders>
              <w:top w:val="nil"/>
              <w:bottom w:val="nil"/>
              <w:right w:val="single" w:sz="4" w:space="0" w:color="auto"/>
            </w:tcBorders>
            <w:shd w:val="clear" w:color="auto" w:fill="auto"/>
          </w:tcPr>
          <w:p w:rsidR="00000384" w:rsidRPr="00885D52" w:rsidRDefault="00000384" w:rsidP="00113D01">
            <w:pPr>
              <w:pStyle w:val="TableText"/>
            </w:pPr>
            <w:r w:rsidRPr="00885D52">
              <w:t>85+</w:t>
            </w:r>
          </w:p>
        </w:tc>
        <w:tc>
          <w:tcPr>
            <w:tcW w:w="1437" w:type="dxa"/>
            <w:tcBorders>
              <w:top w:val="nil"/>
              <w:left w:val="single" w:sz="4" w:space="0" w:color="auto"/>
              <w:bottom w:val="nil"/>
              <w:right w:val="nil"/>
            </w:tcBorders>
            <w:shd w:val="clear" w:color="auto" w:fill="auto"/>
          </w:tcPr>
          <w:p w:rsidR="00000384" w:rsidRPr="00885D52" w:rsidRDefault="00000384" w:rsidP="00113D01">
            <w:pPr>
              <w:pStyle w:val="TableText"/>
              <w:tabs>
                <w:tab w:val="decimal" w:pos="954"/>
              </w:tabs>
            </w:pPr>
            <w:r w:rsidRPr="00885D52">
              <w:t>635</w:t>
            </w:r>
          </w:p>
        </w:tc>
      </w:tr>
      <w:tr w:rsidR="00000384" w:rsidRPr="00885D52" w:rsidTr="007E73A8">
        <w:trPr>
          <w:cantSplit/>
        </w:trPr>
        <w:tc>
          <w:tcPr>
            <w:tcW w:w="1257" w:type="dxa"/>
            <w:tcBorders>
              <w:top w:val="nil"/>
              <w:bottom w:val="single" w:sz="4" w:space="0" w:color="auto"/>
              <w:right w:val="single" w:sz="4" w:space="0" w:color="auto"/>
            </w:tcBorders>
            <w:shd w:val="clear" w:color="auto" w:fill="F2F2F2"/>
          </w:tcPr>
          <w:p w:rsidR="00000384" w:rsidRPr="00885D52" w:rsidRDefault="00000384" w:rsidP="00113D01">
            <w:pPr>
              <w:pStyle w:val="TableText"/>
            </w:pPr>
            <w:r w:rsidRPr="00885D52">
              <w:t>Total</w:t>
            </w:r>
          </w:p>
        </w:tc>
        <w:tc>
          <w:tcPr>
            <w:tcW w:w="1437" w:type="dxa"/>
            <w:tcBorders>
              <w:top w:val="nil"/>
              <w:left w:val="single" w:sz="4" w:space="0" w:color="auto"/>
              <w:bottom w:val="single" w:sz="4" w:space="0" w:color="auto"/>
              <w:right w:val="nil"/>
            </w:tcBorders>
            <w:shd w:val="clear" w:color="auto" w:fill="F2F2F2"/>
          </w:tcPr>
          <w:p w:rsidR="00000384" w:rsidRPr="00885D52" w:rsidRDefault="00000384" w:rsidP="00113D01">
            <w:pPr>
              <w:pStyle w:val="TableText"/>
              <w:tabs>
                <w:tab w:val="decimal" w:pos="954"/>
              </w:tabs>
            </w:pPr>
            <w:r w:rsidRPr="00885D52">
              <w:t>100,035</w:t>
            </w:r>
          </w:p>
        </w:tc>
      </w:tr>
    </w:tbl>
    <w:p w:rsidR="00000384" w:rsidRPr="00885D52" w:rsidRDefault="00000384" w:rsidP="00421E19">
      <w:pPr>
        <w:pStyle w:val="Note"/>
      </w:pPr>
      <w:r w:rsidRPr="00885D52">
        <w:t>Source: Waterhouse et al 1976</w:t>
      </w:r>
    </w:p>
    <w:p w:rsidR="00000384" w:rsidRPr="00885D52" w:rsidRDefault="00000384" w:rsidP="00113D01"/>
    <w:p w:rsidR="00000384" w:rsidRPr="00885D52" w:rsidRDefault="00000384" w:rsidP="00421E19">
      <w:r w:rsidRPr="00885D52">
        <w:t xml:space="preserve">Figure 41 shows the Māori and non-Māori populations used in </w:t>
      </w:r>
      <w:r w:rsidRPr="00885D52">
        <w:rPr>
          <w:i/>
        </w:rPr>
        <w:t>Mortality and Demographic Data 2011</w:t>
      </w:r>
      <w:r w:rsidRPr="00885D52">
        <w:t>, as well as the WHO World Standard Population for comparative purposes.</w:t>
      </w:r>
    </w:p>
    <w:p w:rsidR="00000384" w:rsidRPr="00885D52" w:rsidRDefault="00000384" w:rsidP="00421E19">
      <w:pPr>
        <w:keepNext/>
      </w:pPr>
    </w:p>
    <w:p w:rsidR="00000384" w:rsidRPr="00885D52" w:rsidRDefault="00000384" w:rsidP="00421E19">
      <w:pPr>
        <w:pStyle w:val="Figure"/>
      </w:pPr>
      <w:bookmarkStart w:id="924" w:name="_Ref226795775"/>
      <w:bookmarkStart w:id="925" w:name="_Toc236641316"/>
      <w:bookmarkStart w:id="926" w:name="_Toc262631296"/>
      <w:bookmarkStart w:id="927" w:name="_Toc320697551"/>
      <w:bookmarkStart w:id="928" w:name="_Toc352670704"/>
      <w:bookmarkStart w:id="929" w:name="_Toc400536140"/>
      <w:bookmarkStart w:id="930" w:name="_Toc403120615"/>
      <w:r w:rsidRPr="00885D52">
        <w:t xml:space="preserve">Figure </w:t>
      </w:r>
      <w:bookmarkEnd w:id="924"/>
      <w:r w:rsidRPr="00885D52">
        <w:t>41: Māori 2011 population, non-Māori 2011 population and WHO World Standard Population, by age group</w:t>
      </w:r>
      <w:bookmarkEnd w:id="925"/>
      <w:bookmarkEnd w:id="926"/>
      <w:bookmarkEnd w:id="927"/>
      <w:bookmarkEnd w:id="928"/>
      <w:bookmarkEnd w:id="929"/>
      <w:bookmarkEnd w:id="930"/>
    </w:p>
    <w:p w:rsidR="00000384" w:rsidRPr="00885D52" w:rsidRDefault="00FB0F90" w:rsidP="00421E19">
      <w:r w:rsidRPr="00885D52">
        <w:rPr>
          <w:noProof/>
          <w:lang w:eastAsia="en-NZ"/>
        </w:rPr>
        <w:drawing>
          <wp:inline distT="0" distB="0" distL="0" distR="0" wp14:anchorId="60940585" wp14:editId="29A4AFDC">
            <wp:extent cx="5308646" cy="3238500"/>
            <wp:effectExtent l="0" t="0" r="6350" b="0"/>
            <wp:docPr id="66" name="Picture 66" title="Figure 41: Māori 2011 population, non-Māori 2011 population and WHO World Standard Population,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98809" cy="3232499"/>
                    </a:xfrm>
                    <a:prstGeom prst="rect">
                      <a:avLst/>
                    </a:prstGeom>
                  </pic:spPr>
                </pic:pic>
              </a:graphicData>
            </a:graphic>
          </wp:inline>
        </w:drawing>
      </w:r>
    </w:p>
    <w:p w:rsidR="00000384" w:rsidRPr="00885D52" w:rsidRDefault="00000384" w:rsidP="00FB0F90">
      <w:pPr>
        <w:pStyle w:val="Source"/>
      </w:pPr>
      <w:r w:rsidRPr="00885D52">
        <w:t>Sources: Statistics New Zealand</w:t>
      </w:r>
      <w:r w:rsidR="00293802">
        <w:t xml:space="preserve"> 2013a</w:t>
      </w:r>
      <w:r w:rsidRPr="00885D52">
        <w:t xml:space="preserve"> and Waterhouse et al 1976</w:t>
      </w:r>
    </w:p>
    <w:p w:rsidR="00000384" w:rsidRPr="00885D52" w:rsidRDefault="00000384" w:rsidP="00421E19">
      <w:pPr>
        <w:pStyle w:val="Heading3"/>
        <w:spacing w:before="360"/>
      </w:pPr>
      <w:bookmarkStart w:id="931" w:name="_Toc204141676"/>
      <w:bookmarkStart w:id="932" w:name="_Toc204491502"/>
      <w:bookmarkStart w:id="933" w:name="_Toc208819453"/>
      <w:bookmarkStart w:id="934" w:name="_Toc210192675"/>
      <w:bookmarkStart w:id="935" w:name="_Toc233537084"/>
      <w:bookmarkStart w:id="936" w:name="_Toc236642076"/>
      <w:bookmarkStart w:id="937" w:name="_Toc236642244"/>
      <w:bookmarkStart w:id="938" w:name="_Toc251243547"/>
      <w:bookmarkStart w:id="939" w:name="_Toc256147293"/>
      <w:bookmarkStart w:id="940" w:name="_Toc257035905"/>
      <w:bookmarkStart w:id="941" w:name="_Toc262631120"/>
      <w:bookmarkStart w:id="942" w:name="_Toc263941973"/>
      <w:bookmarkStart w:id="943" w:name="_Toc284314577"/>
      <w:r w:rsidRPr="00885D52">
        <w:lastRenderedPageBreak/>
        <w:t>Age-standardisation and Māori rates</w:t>
      </w:r>
      <w:bookmarkEnd w:id="931"/>
      <w:bookmarkEnd w:id="932"/>
      <w:bookmarkEnd w:id="933"/>
      <w:bookmarkEnd w:id="934"/>
      <w:bookmarkEnd w:id="935"/>
      <w:bookmarkEnd w:id="936"/>
      <w:bookmarkEnd w:id="937"/>
      <w:bookmarkEnd w:id="938"/>
      <w:bookmarkEnd w:id="939"/>
      <w:bookmarkEnd w:id="940"/>
      <w:bookmarkEnd w:id="941"/>
      <w:bookmarkEnd w:id="942"/>
      <w:bookmarkEnd w:id="943"/>
    </w:p>
    <w:p w:rsidR="00000384" w:rsidRPr="00885D52" w:rsidRDefault="00000384" w:rsidP="00FB0F90">
      <w:r w:rsidRPr="00885D52">
        <w:t>As noted above, age-standardisation is intended to make two population groups comparable. Different population standards will produce different mortality rates, different rankings for causes of death and different confidence intervals. For example, comparing the WHO standard population used in this publication and a Māori population shows that the all-cause mortality rate for Māori is higher using the WHO standard, and that the relative rankings of some causes of Māori death (eg, deaths from external causes) are lower (Robson et al 2007).</w:t>
      </w:r>
    </w:p>
    <w:p w:rsidR="00000384" w:rsidRPr="00885D52" w:rsidRDefault="00000384" w:rsidP="00FB0F90"/>
    <w:p w:rsidR="00000384" w:rsidRPr="00885D52" w:rsidRDefault="00000384" w:rsidP="00FB0F90">
      <w:pPr>
        <w:pStyle w:val="Heading3"/>
      </w:pPr>
      <w:bookmarkStart w:id="944" w:name="_Toc168214460"/>
      <w:bookmarkStart w:id="945" w:name="_Toc170107223"/>
      <w:bookmarkStart w:id="946" w:name="_Toc170115180"/>
      <w:bookmarkStart w:id="947" w:name="_Toc175458644"/>
      <w:bookmarkStart w:id="948" w:name="_Toc204141677"/>
      <w:bookmarkStart w:id="949" w:name="_Toc204491503"/>
      <w:bookmarkStart w:id="950" w:name="_Toc208819454"/>
      <w:bookmarkStart w:id="951" w:name="_Toc210192676"/>
      <w:bookmarkStart w:id="952" w:name="_Toc233537085"/>
      <w:bookmarkStart w:id="953" w:name="_Toc236642077"/>
      <w:bookmarkStart w:id="954" w:name="_Toc236642245"/>
      <w:bookmarkStart w:id="955" w:name="_Toc251243548"/>
      <w:bookmarkStart w:id="956" w:name="_Toc256147294"/>
      <w:bookmarkStart w:id="957" w:name="_Toc257035906"/>
      <w:bookmarkStart w:id="958" w:name="_Toc262631121"/>
      <w:bookmarkStart w:id="959" w:name="_Toc263941974"/>
      <w:bookmarkStart w:id="960" w:name="_Toc284314578"/>
      <w:r w:rsidRPr="00885D52">
        <w:t>Confidence intervals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00000384" w:rsidRPr="00885D52" w:rsidRDefault="00000384" w:rsidP="00FB0F90">
      <w:r w:rsidRPr="00885D52">
        <w:t>Confidence intervals have been calculated for age-standardised rates at the 95 percent or 99</w:t>
      </w:r>
      <w:r w:rsidR="00FB0F90" w:rsidRPr="00885D52">
        <w:t> </w:t>
      </w:r>
      <w:r w:rsidRPr="00885D52">
        <w:t>percent level using the method presented in Keyfitz (1966).</w:t>
      </w:r>
    </w:p>
    <w:p w:rsidR="00FB0F90" w:rsidRPr="00885D52" w:rsidRDefault="00FB0F90" w:rsidP="00FB0F90"/>
    <w:p w:rsidR="00000384" w:rsidRPr="00885D52" w:rsidRDefault="00000384" w:rsidP="00FB0F90">
      <w:r w:rsidRPr="00885D52">
        <w:t>A confidence interval is a range of values used to describe the uncertainty around a single value (such as an age-standardised rate). It is used to estimate the true value in a population, such as the underlying or true rate. Confidence intervals are calculated with a stated probability; for example 95 percent (which would indicate that there is a 95 percent chance that the true value lies within the confidence interval).</w:t>
      </w:r>
    </w:p>
    <w:p w:rsidR="00FB0F90" w:rsidRPr="00885D52" w:rsidRDefault="00FB0F90" w:rsidP="00FB0F90"/>
    <w:p w:rsidR="00000384" w:rsidRPr="00885D52" w:rsidRDefault="00000384" w:rsidP="00FB0F90">
      <w:r w:rsidRPr="00885D52">
        <w:t>Confidence intervals may assist in comparing rates over time or between different groups. If two confidence intervals do not overlap, then it is reasonable to assume that the difference is not due to chance. If two confidence intervals do overlap, it would only be possible to make any conclusion about the significance of any difference between the rates by conducting a statistical test of difference.</w:t>
      </w:r>
    </w:p>
    <w:p w:rsidR="00FB0F90" w:rsidRPr="00885D52" w:rsidRDefault="00FB0F90" w:rsidP="00FB0F90"/>
    <w:p w:rsidR="00000384" w:rsidRPr="00885D52" w:rsidRDefault="00000384" w:rsidP="00FB0F90">
      <w:r w:rsidRPr="00885D52">
        <w:t>Note that the use of a standardised population such as the WHO World Standard Population tends to produce wider Māori confidence intervals than the use of a Māori-specific population.</w:t>
      </w:r>
    </w:p>
    <w:p w:rsidR="00FB0F90" w:rsidRPr="00885D52" w:rsidRDefault="00FB0F90" w:rsidP="00FB0F90"/>
    <w:p w:rsidR="00000384" w:rsidRPr="00885D52" w:rsidRDefault="00000384" w:rsidP="00FB0F90">
      <w:pPr>
        <w:pStyle w:val="Heading1"/>
      </w:pPr>
      <w:bookmarkStart w:id="961" w:name="_Toc236642246"/>
      <w:r w:rsidRPr="00885D52">
        <w:rPr>
          <w:color w:val="FF0000"/>
        </w:rPr>
        <w:br w:type="page"/>
      </w:r>
      <w:bookmarkStart w:id="962" w:name="_Toc262631122"/>
      <w:bookmarkStart w:id="963" w:name="_Toc316994492"/>
      <w:bookmarkStart w:id="964" w:name="_Toc352670649"/>
      <w:bookmarkStart w:id="965" w:name="_Toc400536205"/>
      <w:bookmarkStart w:id="966" w:name="_Toc403120545"/>
      <w:r w:rsidRPr="00885D52">
        <w:lastRenderedPageBreak/>
        <w:t>References</w:t>
      </w:r>
      <w:bookmarkEnd w:id="961"/>
      <w:bookmarkEnd w:id="962"/>
      <w:bookmarkEnd w:id="963"/>
      <w:bookmarkEnd w:id="964"/>
      <w:bookmarkEnd w:id="965"/>
      <w:bookmarkEnd w:id="966"/>
    </w:p>
    <w:p w:rsidR="00000384" w:rsidRPr="00885D52" w:rsidRDefault="00000384" w:rsidP="00FB0F90">
      <w:pPr>
        <w:pStyle w:val="References"/>
      </w:pPr>
      <w:r w:rsidRPr="00885D52">
        <w:t xml:space="preserve">Ahmad O, Boschi-Pinto C, Lopez A, et al. 2001. </w:t>
      </w:r>
      <w:r w:rsidRPr="00885D52">
        <w:rPr>
          <w:i/>
        </w:rPr>
        <w:t>Age Standardization of Rates: A new WHO standard</w:t>
      </w:r>
      <w:r w:rsidRPr="00885D52">
        <w:t>.</w:t>
      </w:r>
      <w:r w:rsidRPr="00885D52">
        <w:rPr>
          <w:i/>
        </w:rPr>
        <w:t xml:space="preserve"> </w:t>
      </w:r>
      <w:r w:rsidRPr="00885D52">
        <w:t>GPE Discussion Paper Series: No. 31. Geneva: World Health Organization.</w:t>
      </w:r>
    </w:p>
    <w:p w:rsidR="00000384" w:rsidRPr="00885D52" w:rsidRDefault="00000384" w:rsidP="00FB0F90">
      <w:pPr>
        <w:pStyle w:val="References"/>
      </w:pPr>
      <w:r w:rsidRPr="00885D52">
        <w:t xml:space="preserve">Borman B. 1995. </w:t>
      </w:r>
      <w:r w:rsidRPr="00885D52">
        <w:rPr>
          <w:i/>
        </w:rPr>
        <w:t>Standardising Rates of Disease</w:t>
      </w:r>
      <w:r w:rsidRPr="00885D52">
        <w:t>.</w:t>
      </w:r>
      <w:r w:rsidRPr="00885D52">
        <w:rPr>
          <w:i/>
        </w:rPr>
        <w:t xml:space="preserve"> </w:t>
      </w:r>
      <w:r w:rsidRPr="00885D52">
        <w:t>Wellington: Public Health Commission.</w:t>
      </w:r>
    </w:p>
    <w:p w:rsidR="00000384" w:rsidRPr="00885D52" w:rsidRDefault="00000384" w:rsidP="00FB0F90">
      <w:pPr>
        <w:pStyle w:val="References"/>
        <w:rPr>
          <w:spacing w:val="-2"/>
          <w:szCs w:val="22"/>
        </w:rPr>
      </w:pPr>
      <w:r w:rsidRPr="00885D52">
        <w:rPr>
          <w:spacing w:val="-2"/>
          <w:szCs w:val="22"/>
        </w:rPr>
        <w:t xml:space="preserve">Keyfitz N. 1966. Sampling variance of standardized mortality rates. </w:t>
      </w:r>
      <w:r w:rsidRPr="00885D52">
        <w:rPr>
          <w:i/>
          <w:spacing w:val="-2"/>
          <w:szCs w:val="22"/>
        </w:rPr>
        <w:t>Human Biology</w:t>
      </w:r>
      <w:r w:rsidRPr="00885D52">
        <w:rPr>
          <w:i/>
          <w:spacing w:val="-2"/>
          <w:szCs w:val="22"/>
        </w:rPr>
        <w:br/>
      </w:r>
      <w:r w:rsidRPr="00885D52">
        <w:rPr>
          <w:spacing w:val="-2"/>
          <w:szCs w:val="22"/>
        </w:rPr>
        <w:t>38: 309–17.</w:t>
      </w:r>
    </w:p>
    <w:p w:rsidR="00000384" w:rsidRPr="00885D52" w:rsidRDefault="00000384" w:rsidP="00FB0F90">
      <w:pPr>
        <w:pStyle w:val="References"/>
      </w:pPr>
      <w:r w:rsidRPr="00885D52">
        <w:t xml:space="preserve">Ministry of Health. 2004. </w:t>
      </w:r>
      <w:r w:rsidRPr="00885D52">
        <w:rPr>
          <w:i/>
          <w:iCs/>
        </w:rPr>
        <w:t>Ethnicity Data Protocols for the Health and Disability Sector</w:t>
      </w:r>
      <w:r w:rsidRPr="00885D52">
        <w:t>. Wellington: Ministry of Health.</w:t>
      </w:r>
    </w:p>
    <w:p w:rsidR="00000384" w:rsidRPr="00885D52" w:rsidRDefault="00000384" w:rsidP="00FB0F90">
      <w:pPr>
        <w:pStyle w:val="References"/>
      </w:pPr>
      <w:r w:rsidRPr="00885D52">
        <w:t xml:space="preserve">Ministry of Health. 2012. </w:t>
      </w:r>
      <w:r w:rsidRPr="00885D52">
        <w:rPr>
          <w:i/>
        </w:rPr>
        <w:t xml:space="preserve">The Health of New Zealand Adults 2011/12: Key findings for the New </w:t>
      </w:r>
      <w:r w:rsidR="00C676DB" w:rsidRPr="00885D52">
        <w:rPr>
          <w:i/>
        </w:rPr>
        <w:t>Zealand</w:t>
      </w:r>
      <w:r w:rsidRPr="00885D52">
        <w:rPr>
          <w:i/>
        </w:rPr>
        <w:t xml:space="preserve"> Health Survey</w:t>
      </w:r>
      <w:r w:rsidRPr="00885D52">
        <w:t>. Wellington: Ministry of Health.</w:t>
      </w:r>
    </w:p>
    <w:p w:rsidR="00000384" w:rsidRPr="00885D52" w:rsidRDefault="00000384" w:rsidP="00FB0F90">
      <w:pPr>
        <w:pStyle w:val="References"/>
      </w:pPr>
      <w:r w:rsidRPr="00885D52">
        <w:t xml:space="preserve">National Centre for Classification in Health. 2008. </w:t>
      </w:r>
      <w:r w:rsidRPr="00885D52">
        <w:rPr>
          <w:i/>
        </w:rPr>
        <w:t>The International Statistical Classification of Diseases and Related Health Problems, Tenth Revision, Australian Modification, Sixth Edition (ICD-10-AM)</w:t>
      </w:r>
      <w:r w:rsidRPr="00885D52">
        <w:t>. Sydney: National Centre for Classification in Health.</w:t>
      </w:r>
    </w:p>
    <w:p w:rsidR="00000384" w:rsidRPr="00885D52" w:rsidRDefault="00000384" w:rsidP="00FB0F90">
      <w:pPr>
        <w:pStyle w:val="References"/>
      </w:pPr>
      <w:r w:rsidRPr="00885D52">
        <w:t xml:space="preserve">Robson B, Purdie G, Cram F, et al. 2007. Age standardisation – an indigenous standard? </w:t>
      </w:r>
      <w:r w:rsidRPr="00885D52">
        <w:rPr>
          <w:i/>
        </w:rPr>
        <w:t>Emerging Themes in Epidemiology</w:t>
      </w:r>
      <w:r w:rsidRPr="00885D52">
        <w:t xml:space="preserve"> 4(3).</w:t>
      </w:r>
    </w:p>
    <w:p w:rsidR="00000384" w:rsidRPr="00885D52" w:rsidRDefault="00000384" w:rsidP="00FB0F90">
      <w:pPr>
        <w:pStyle w:val="References"/>
      </w:pPr>
      <w:r w:rsidRPr="00885D52">
        <w:t xml:space="preserve">Smith A. 1986. </w:t>
      </w:r>
      <w:r w:rsidRPr="00885D52">
        <w:rPr>
          <w:i/>
        </w:rPr>
        <w:t>The Ethnic Origins of Nations</w:t>
      </w:r>
      <w:r w:rsidRPr="00885D52">
        <w:t>.</w:t>
      </w:r>
      <w:r w:rsidRPr="00885D52">
        <w:rPr>
          <w:i/>
        </w:rPr>
        <w:t xml:space="preserve"> </w:t>
      </w:r>
      <w:r w:rsidRPr="00885D52">
        <w:t>Oxford: Blackwell Publishers Ltd.</w:t>
      </w:r>
    </w:p>
    <w:p w:rsidR="00000384" w:rsidRPr="00885D52" w:rsidRDefault="00000384" w:rsidP="00FB0F90">
      <w:pPr>
        <w:pStyle w:val="References"/>
      </w:pPr>
      <w:r w:rsidRPr="00885D52">
        <w:t>Statistics New Zealand. 2013</w:t>
      </w:r>
      <w:r w:rsidR="001A7834">
        <w:t>a</w:t>
      </w:r>
      <w:r w:rsidRPr="00885D52">
        <w:t xml:space="preserve">. </w:t>
      </w:r>
      <w:r w:rsidRPr="00885D52">
        <w:rPr>
          <w:i/>
        </w:rPr>
        <w:t>Demographic Trends: 2012</w:t>
      </w:r>
      <w:r w:rsidRPr="00885D52">
        <w:t xml:space="preserve">. Wellington: Statistics New Zealand. URL: </w:t>
      </w:r>
      <w:hyperlink r:id="rId70" w:history="1">
        <w:r w:rsidRPr="00885D52">
          <w:rPr>
            <w:rStyle w:val="Hyperlink"/>
          </w:rPr>
          <w:t>www.stats.govt.nz/browse_for_stats/population/estimates_and_projections/demographic-trends-2012.aspx</w:t>
        </w:r>
      </w:hyperlink>
      <w:r w:rsidRPr="00885D52">
        <w:t xml:space="preserve"> (accessed 23 July 2014).</w:t>
      </w:r>
    </w:p>
    <w:p w:rsidR="00000384" w:rsidRPr="00885D52" w:rsidRDefault="00000384" w:rsidP="00FB0F90">
      <w:pPr>
        <w:pStyle w:val="References"/>
      </w:pPr>
      <w:r w:rsidRPr="00885D52">
        <w:t>Statistics New Zealand. 2013</w:t>
      </w:r>
      <w:r w:rsidR="001A7834">
        <w:t>b</w:t>
      </w:r>
      <w:r w:rsidRPr="00885D52">
        <w:t xml:space="preserve">. </w:t>
      </w:r>
      <w:r w:rsidRPr="00885D52">
        <w:rPr>
          <w:i/>
        </w:rPr>
        <w:t>Serious Injury Outcome Indicators – Technical Report 2013</w:t>
      </w:r>
      <w:r w:rsidRPr="00885D52">
        <w:t>.</w:t>
      </w:r>
      <w:r w:rsidRPr="00885D52">
        <w:rPr>
          <w:i/>
        </w:rPr>
        <w:t xml:space="preserve"> </w:t>
      </w:r>
      <w:r w:rsidRPr="00885D52">
        <w:t xml:space="preserve">Wellington: Statistics New Zealand. URL: </w:t>
      </w:r>
      <w:r w:rsidRPr="00885D52">
        <w:rPr>
          <w:szCs w:val="22"/>
        </w:rPr>
        <w:t>www.stats.govt.nz/browse_for_stats/health/injuries/serious-injury-outcome-tech-report-2013.aspx</w:t>
      </w:r>
      <w:r w:rsidRPr="00885D52">
        <w:t xml:space="preserve"> (accessed 29 July 2014).</w:t>
      </w:r>
    </w:p>
    <w:p w:rsidR="00000384" w:rsidRPr="00885D52" w:rsidRDefault="00000384" w:rsidP="00FB0F90">
      <w:pPr>
        <w:pStyle w:val="References"/>
      </w:pPr>
      <w:r w:rsidRPr="00885D52">
        <w:t>Statistics New Zealand. 2013</w:t>
      </w:r>
      <w:r w:rsidR="001A7834">
        <w:t>c</w:t>
      </w:r>
      <w:r w:rsidRPr="00885D52">
        <w:t xml:space="preserve">. </w:t>
      </w:r>
      <w:r w:rsidRPr="00885D52">
        <w:rPr>
          <w:i/>
        </w:rPr>
        <w:t>Serious Injury Outcome Indicators: 2000–12</w:t>
      </w:r>
      <w:r w:rsidRPr="00885D52">
        <w:t>.</w:t>
      </w:r>
      <w:r w:rsidRPr="00885D52">
        <w:rPr>
          <w:i/>
        </w:rPr>
        <w:t xml:space="preserve"> </w:t>
      </w:r>
      <w:r w:rsidRPr="00885D52">
        <w:t>Wellington: Statistics New Zealand. URL</w:t>
      </w:r>
      <w:r w:rsidRPr="00885D52">
        <w:rPr>
          <w:szCs w:val="22"/>
        </w:rPr>
        <w:t xml:space="preserve">: www.stats.govt.nz/browse_for_stats/health/injuries/serious-injury-outcome-indicators-2000-12.aspx </w:t>
      </w:r>
      <w:r w:rsidRPr="00885D52">
        <w:t>(accessed 29 July 2014).</w:t>
      </w:r>
    </w:p>
    <w:p w:rsidR="00000384" w:rsidRPr="00885D52" w:rsidRDefault="00000384" w:rsidP="00FB0F90">
      <w:pPr>
        <w:pStyle w:val="References"/>
      </w:pPr>
      <w:r w:rsidRPr="00885D52">
        <w:t xml:space="preserve">Waterhouse J, Muir C, Correa P, et al (eds). 1976. </w:t>
      </w:r>
      <w:r w:rsidRPr="00885D52">
        <w:rPr>
          <w:i/>
        </w:rPr>
        <w:t>Cancer Incidence in Five Continents, Vol III</w:t>
      </w:r>
      <w:r w:rsidRPr="00885D52">
        <w:t>. IARC Scientific Publications No. 15. Lyon, France: International Agency for Research on Cancer.</w:t>
      </w:r>
    </w:p>
    <w:p w:rsidR="00863117" w:rsidRPr="00885D52" w:rsidRDefault="00000384" w:rsidP="00293802">
      <w:pPr>
        <w:pStyle w:val="References"/>
      </w:pPr>
      <w:r w:rsidRPr="00885D52">
        <w:t xml:space="preserve">WHO. 1979. </w:t>
      </w:r>
      <w:r w:rsidRPr="00885D52">
        <w:rPr>
          <w:i/>
        </w:rPr>
        <w:t>Medical Certification of Cause of Death: Instruction for physicians on use of international form of medical certificate of cause of death</w:t>
      </w:r>
      <w:r w:rsidRPr="00885D52">
        <w:t>. Geneva: World Health Organization.</w:t>
      </w:r>
    </w:p>
    <w:sectPr w:rsidR="00863117" w:rsidRPr="00885D52" w:rsidSect="009D5125">
      <w:headerReference w:type="default" r:id="rId71"/>
      <w:footerReference w:type="even" r:id="rId72"/>
      <w:footerReference w:type="default" r:id="rId73"/>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84C" w:rsidRDefault="0003184C">
      <w:pPr>
        <w:spacing w:line="240" w:lineRule="auto"/>
      </w:pPr>
      <w:r>
        <w:separator/>
      </w:r>
    </w:p>
  </w:endnote>
  <w:endnote w:type="continuationSeparator" w:id="0">
    <w:p w:rsidR="0003184C" w:rsidRDefault="00031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Pr="003648EF" w:rsidRDefault="0003184C"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Pr="00275D08" w:rsidRDefault="0003184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B5CE5">
      <w:rPr>
        <w:rStyle w:val="PageNumber"/>
        <w:noProof/>
      </w:rPr>
      <w:t>iv</w:t>
    </w:r>
    <w:r w:rsidRPr="00FC46E7">
      <w:rPr>
        <w:rStyle w:val="PageNumber"/>
      </w:rPr>
      <w:fldChar w:fldCharType="end"/>
    </w:r>
    <w:r>
      <w:tab/>
      <w:t>Mortality and Demographic Data 2011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533B90">
    <w:pPr>
      <w:pStyle w:val="RectoFooter"/>
    </w:pPr>
    <w:r>
      <w:tab/>
      <w:t>Mortality and Demographic Data 2011</w:t>
    </w:r>
    <w:r>
      <w:tab/>
    </w:r>
    <w:r>
      <w:rPr>
        <w:rStyle w:val="PageNumber"/>
      </w:rPr>
      <w:fldChar w:fldCharType="begin"/>
    </w:r>
    <w:r>
      <w:rPr>
        <w:rStyle w:val="PageNumber"/>
      </w:rPr>
      <w:instrText xml:space="preserve"> PAGE </w:instrText>
    </w:r>
    <w:r>
      <w:rPr>
        <w:rStyle w:val="PageNumber"/>
      </w:rPr>
      <w:fldChar w:fldCharType="separate"/>
    </w:r>
    <w:r w:rsidR="006B5CE5">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Pr="000F48FE" w:rsidRDefault="0003184C" w:rsidP="000F48FE">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Pr="0061227A" w:rsidRDefault="0003184C" w:rsidP="0061227A">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B5CE5">
      <w:rPr>
        <w:rStyle w:val="PageNumber"/>
        <w:noProof/>
      </w:rPr>
      <w:t>viii</w:t>
    </w:r>
    <w:r w:rsidRPr="00FC46E7">
      <w:rPr>
        <w:rStyle w:val="PageNumber"/>
      </w:rPr>
      <w:fldChar w:fldCharType="end"/>
    </w:r>
    <w:r>
      <w:tab/>
      <w:t>Mortality and Demographic Data 2011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Pr="00275D08" w:rsidRDefault="0003184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B5CE5">
      <w:rPr>
        <w:rStyle w:val="PageNumber"/>
        <w:noProof/>
      </w:rPr>
      <w:t>12</w:t>
    </w:r>
    <w:r w:rsidRPr="00FC46E7">
      <w:rPr>
        <w:rStyle w:val="PageNumber"/>
      </w:rPr>
      <w:fldChar w:fldCharType="end"/>
    </w:r>
    <w:r>
      <w:tab/>
      <w:t>Mortality and Demographic Data 2011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533B90">
    <w:pPr>
      <w:pStyle w:val="RectoFooter"/>
    </w:pPr>
    <w:r>
      <w:tab/>
      <w:t>Mortality and Demographic Data 2011</w:t>
    </w:r>
    <w:r>
      <w:tab/>
    </w:r>
    <w:r>
      <w:rPr>
        <w:rStyle w:val="PageNumber"/>
      </w:rPr>
      <w:fldChar w:fldCharType="begin"/>
    </w:r>
    <w:r>
      <w:rPr>
        <w:rStyle w:val="PageNumber"/>
      </w:rPr>
      <w:instrText xml:space="preserve"> PAGE </w:instrText>
    </w:r>
    <w:r>
      <w:rPr>
        <w:rStyle w:val="PageNumber"/>
      </w:rPr>
      <w:fldChar w:fldCharType="separate"/>
    </w:r>
    <w:r w:rsidR="006B5CE5">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84C" w:rsidRPr="00E460B6" w:rsidRDefault="0003184C" w:rsidP="007B4D3E"/>
  </w:footnote>
  <w:footnote w:type="continuationSeparator" w:id="0">
    <w:p w:rsidR="0003184C" w:rsidRDefault="0003184C">
      <w:pPr>
        <w:spacing w:line="240" w:lineRule="auto"/>
      </w:pPr>
      <w:r>
        <w:continuationSeparator/>
      </w:r>
    </w:p>
  </w:footnote>
  <w:footnote w:id="1">
    <w:p w:rsidR="0003184C" w:rsidRPr="000E4FA8" w:rsidRDefault="0003184C" w:rsidP="00000384">
      <w:pPr>
        <w:pStyle w:val="FootnoteText"/>
      </w:pPr>
      <w:r w:rsidRPr="000E4FA8">
        <w:rPr>
          <w:rStyle w:val="FootnoteReference"/>
        </w:rPr>
        <w:footnoteRef/>
      </w:r>
      <w:r w:rsidRPr="000E4FA8">
        <w:tab/>
        <w:t xml:space="preserve">For information on age-standardised rates see </w:t>
      </w:r>
      <w:r>
        <w:t>‘</w:t>
      </w:r>
      <w:r w:rsidRPr="000E4FA8">
        <w:t>Statistical notes</w:t>
      </w:r>
      <w:r>
        <w:t>’</w:t>
      </w:r>
      <w:r w:rsidRPr="000E4FA8">
        <w:t>.</w:t>
      </w:r>
    </w:p>
  </w:footnote>
  <w:footnote w:id="2">
    <w:p w:rsidR="0003184C" w:rsidRDefault="0003184C" w:rsidP="008D14AB">
      <w:pPr>
        <w:pStyle w:val="FootnoteText"/>
      </w:pPr>
      <w:r w:rsidRPr="008D14AB">
        <w:rPr>
          <w:rStyle w:val="FootnoteReference"/>
        </w:rPr>
        <w:footnoteRef/>
      </w:r>
      <w:r>
        <w:tab/>
        <w:t>Confidence intervals were calculated for all rates, although they are not shown in Figure 12. For more information on confidence intervals, see ‘Statistical notes’.</w:t>
      </w:r>
    </w:p>
  </w:footnote>
  <w:footnote w:id="3">
    <w:p w:rsidR="0003184C" w:rsidRPr="0005665C" w:rsidRDefault="0003184C" w:rsidP="00F41AE5">
      <w:pPr>
        <w:pStyle w:val="FootnoteText"/>
      </w:pPr>
      <w:r w:rsidRPr="00F41AE5">
        <w:rPr>
          <w:rStyle w:val="FootnoteReference"/>
        </w:rPr>
        <w:footnoteRef/>
      </w:r>
      <w:r>
        <w:tab/>
        <w:t>This section discuss</w:t>
      </w:r>
      <w:r w:rsidRPr="0005665C">
        <w:t>es cancer of the female breast; breast cancer can occur in males but is rare</w:t>
      </w:r>
      <w:r>
        <w:t xml:space="preserve"> (there were five male deaths in 2011, giving an age-standardised rate of 0.2 deaths per 100,000 male population)</w:t>
      </w:r>
      <w:r w:rsidRPr="0005665C">
        <w:t>.</w:t>
      </w:r>
    </w:p>
  </w:footnote>
  <w:footnote w:id="4">
    <w:p w:rsidR="0003184C" w:rsidRPr="00733AB5" w:rsidRDefault="0003184C" w:rsidP="00F41AE5">
      <w:pPr>
        <w:pStyle w:val="FootnoteText"/>
      </w:pPr>
      <w:r w:rsidRPr="00F41AE5">
        <w:rPr>
          <w:rStyle w:val="FootnoteReference"/>
        </w:rPr>
        <w:footnoteRef/>
      </w:r>
      <w:r>
        <w:tab/>
      </w:r>
      <w:r w:rsidRPr="00733AB5">
        <w:t xml:space="preserve">For </w:t>
      </w:r>
      <w:r>
        <w:t>further</w:t>
      </w:r>
      <w:r w:rsidRPr="00733AB5">
        <w:t xml:space="preserve"> information on the BreastScreen Aotearoa</w:t>
      </w:r>
      <w:r>
        <w:t xml:space="preserve"> programme, see www.nsu.govt.nz</w:t>
      </w:r>
    </w:p>
  </w:footnote>
  <w:footnote w:id="5">
    <w:p w:rsidR="0003184C" w:rsidRPr="0005665C" w:rsidRDefault="0003184C" w:rsidP="00503EE5">
      <w:pPr>
        <w:pStyle w:val="FootnoteText"/>
      </w:pPr>
      <w:r w:rsidRPr="00503EE5">
        <w:rPr>
          <w:rStyle w:val="FootnoteReference"/>
        </w:rPr>
        <w:footnoteRef/>
      </w:r>
      <w:r>
        <w:tab/>
      </w:r>
      <w:r w:rsidRPr="00733AB5">
        <w:t>See the publication series</w:t>
      </w:r>
      <w:r w:rsidRPr="0005665C">
        <w:t xml:space="preserve"> </w:t>
      </w:r>
      <w:r w:rsidRPr="00C01B25">
        <w:rPr>
          <w:i/>
        </w:rPr>
        <w:t>Cancer: New Registrations and Deaths</w:t>
      </w:r>
      <w:r>
        <w:t xml:space="preserve"> at</w:t>
      </w:r>
      <w:r>
        <w:br/>
      </w:r>
      <w:hyperlink r:id="rId1" w:history="1">
        <w:r w:rsidRPr="009B00AC">
          <w:rPr>
            <w:rStyle w:val="Hyperlink"/>
          </w:rPr>
          <w:t>www.health.govt.nz/nz-health-statistics/health-statistics-and-data-sets/cancer-new-registrations-and-deaths-series</w:t>
        </w:r>
      </w:hyperlink>
    </w:p>
  </w:footnote>
  <w:footnote w:id="6">
    <w:p w:rsidR="0003184C" w:rsidRPr="0005665C" w:rsidRDefault="0003184C" w:rsidP="006A592F">
      <w:pPr>
        <w:pStyle w:val="FootnoteText"/>
      </w:pPr>
      <w:r w:rsidRPr="006A592F">
        <w:rPr>
          <w:rStyle w:val="FootnoteReference"/>
        </w:rPr>
        <w:footnoteRef/>
      </w:r>
      <w:r>
        <w:tab/>
      </w:r>
      <w:r w:rsidRPr="0005665C">
        <w:t xml:space="preserve">See the publication series </w:t>
      </w:r>
      <w:r w:rsidRPr="00AB0073">
        <w:rPr>
          <w:i/>
        </w:rPr>
        <w:t>Cancer: New Registrations and Deaths</w:t>
      </w:r>
      <w:r>
        <w:t xml:space="preserve"> at</w:t>
      </w:r>
      <w:r>
        <w:br/>
      </w:r>
      <w:hyperlink r:id="rId2" w:history="1">
        <w:hyperlink r:id="rId3" w:history="1">
          <w:r w:rsidRPr="009B00AC">
            <w:rPr>
              <w:rStyle w:val="Hyperlink"/>
            </w:rPr>
            <w:t>www.health.govt.nz/nz-health-statistics/health-statistics-and-data-sets/cancer-new-registrations-and-deaths-series</w:t>
          </w:r>
        </w:hyperlink>
      </w:hyperlink>
    </w:p>
  </w:footnote>
  <w:footnote w:id="7">
    <w:p w:rsidR="0003184C" w:rsidRPr="00720A31" w:rsidRDefault="0003184C" w:rsidP="00E34B87">
      <w:pPr>
        <w:pStyle w:val="FootnoteText"/>
      </w:pPr>
      <w:r w:rsidRPr="00E34B87">
        <w:rPr>
          <w:rStyle w:val="FootnoteReference"/>
        </w:rPr>
        <w:footnoteRef/>
      </w:r>
      <w:r>
        <w:tab/>
      </w:r>
      <w:r w:rsidRPr="00720A31">
        <w:t xml:space="preserve">For further information, </w:t>
      </w:r>
      <w:r>
        <w:t xml:space="preserve">see the </w:t>
      </w:r>
      <w:hyperlink r:id="rId4" w:history="1">
        <w:r w:rsidRPr="007724B2">
          <w:rPr>
            <w:rStyle w:val="Hyperlink"/>
          </w:rPr>
          <w:t xml:space="preserve">National </w:t>
        </w:r>
        <w:r>
          <w:rPr>
            <w:rStyle w:val="Hyperlink"/>
          </w:rPr>
          <w:t>S</w:t>
        </w:r>
        <w:r w:rsidRPr="007724B2">
          <w:rPr>
            <w:rStyle w:val="Hyperlink"/>
          </w:rPr>
          <w:t xml:space="preserve">creening </w:t>
        </w:r>
        <w:r>
          <w:rPr>
            <w:rStyle w:val="Hyperlink"/>
          </w:rPr>
          <w:t>U</w:t>
        </w:r>
        <w:r w:rsidRPr="007724B2">
          <w:rPr>
            <w:rStyle w:val="Hyperlink"/>
          </w:rPr>
          <w:t>nit</w:t>
        </w:r>
      </w:hyperlink>
      <w:r>
        <w:t xml:space="preserve">‘s </w:t>
      </w:r>
      <w:r w:rsidRPr="000E7325">
        <w:t>website</w:t>
      </w:r>
      <w:r>
        <w:t>: www.nsu.govt.nz</w:t>
      </w:r>
    </w:p>
  </w:footnote>
  <w:footnote w:id="8">
    <w:p w:rsidR="0003184C" w:rsidRDefault="0003184C" w:rsidP="008A5292">
      <w:pPr>
        <w:pStyle w:val="FootnoteText"/>
      </w:pPr>
      <w:r w:rsidRPr="008A5292">
        <w:rPr>
          <w:rStyle w:val="FootnoteReference"/>
        </w:rPr>
        <w:footnoteRef/>
      </w:r>
      <w:r>
        <w:tab/>
      </w:r>
      <w:r w:rsidRPr="00370751">
        <w:t xml:space="preserve">The term </w:t>
      </w:r>
      <w:r>
        <w:t>‘</w:t>
      </w:r>
      <w:r w:rsidRPr="00370751">
        <w:t>sequelae</w:t>
      </w:r>
      <w:r>
        <w:t>’</w:t>
      </w:r>
      <w:r w:rsidRPr="00370751">
        <w:t xml:space="preserve"> refers to condition</w:t>
      </w:r>
      <w:r>
        <w:t>s</w:t>
      </w:r>
      <w:r w:rsidRPr="00370751">
        <w:t xml:space="preserve"> that follow as a consequence of a disease</w:t>
      </w:r>
      <w:r>
        <w:t>.</w:t>
      </w:r>
    </w:p>
  </w:footnote>
  <w:footnote w:id="9">
    <w:p w:rsidR="0003184C" w:rsidRPr="008D5D23" w:rsidRDefault="0003184C" w:rsidP="000C71BB">
      <w:pPr>
        <w:pStyle w:val="FootnoteText"/>
      </w:pPr>
      <w:r w:rsidRPr="000C71BB">
        <w:rPr>
          <w:rStyle w:val="FootnoteReference"/>
        </w:rPr>
        <w:footnoteRef/>
      </w:r>
      <w:r>
        <w:tab/>
      </w:r>
      <w:r w:rsidRPr="00253760">
        <w:t>www.health.govt.nz/nz-health-statistics/health-statistics-and-data-sets/suicide-facts-deaths-and-intentional-self-harm-hospitalisations-series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D25FFE">
    <w:pPr>
      <w:pStyle w:val="Header"/>
      <w:ind w:left="-1559"/>
    </w:pPr>
    <w:r>
      <w:rPr>
        <w:noProof/>
        <w:lang w:eastAsia="en-NZ"/>
      </w:rPr>
      <w:drawing>
        <wp:inline distT="0" distB="0" distL="0" distR="0" wp14:anchorId="69943B3E" wp14:editId="76B198AE">
          <wp:extent cx="6409055" cy="607060"/>
          <wp:effectExtent l="0" t="0" r="0" b="2540"/>
          <wp:docPr id="10"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4C" w:rsidRDefault="0003184C"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BDCDB2C"/>
    <w:lvl w:ilvl="0">
      <w:start w:val="1"/>
      <w:numFmt w:val="decimal"/>
      <w:lvlText w:val="%1."/>
      <w:lvlJc w:val="left"/>
      <w:pPr>
        <w:tabs>
          <w:tab w:val="num" w:pos="1492"/>
        </w:tabs>
        <w:ind w:left="1492" w:hanging="360"/>
      </w:pPr>
    </w:lvl>
  </w:abstractNum>
  <w:abstractNum w:abstractNumId="1">
    <w:nsid w:val="FFFFFF7D"/>
    <w:multiLevelType w:val="singleLevel"/>
    <w:tmpl w:val="89AAB6A8"/>
    <w:lvl w:ilvl="0">
      <w:start w:val="1"/>
      <w:numFmt w:val="decimal"/>
      <w:lvlText w:val="%1."/>
      <w:lvlJc w:val="left"/>
      <w:pPr>
        <w:tabs>
          <w:tab w:val="num" w:pos="1209"/>
        </w:tabs>
        <w:ind w:left="1209" w:hanging="360"/>
      </w:pPr>
    </w:lvl>
  </w:abstractNum>
  <w:abstractNum w:abstractNumId="2">
    <w:nsid w:val="FFFFFF7E"/>
    <w:multiLevelType w:val="singleLevel"/>
    <w:tmpl w:val="DD744C74"/>
    <w:lvl w:ilvl="0">
      <w:start w:val="1"/>
      <w:numFmt w:val="decimal"/>
      <w:lvlText w:val="%1."/>
      <w:lvlJc w:val="left"/>
      <w:pPr>
        <w:tabs>
          <w:tab w:val="num" w:pos="926"/>
        </w:tabs>
        <w:ind w:left="926" w:hanging="360"/>
      </w:pPr>
    </w:lvl>
  </w:abstractNum>
  <w:abstractNum w:abstractNumId="3">
    <w:nsid w:val="FFFFFF7F"/>
    <w:multiLevelType w:val="singleLevel"/>
    <w:tmpl w:val="D158D99A"/>
    <w:lvl w:ilvl="0">
      <w:start w:val="1"/>
      <w:numFmt w:val="decimal"/>
      <w:lvlText w:val="%1."/>
      <w:lvlJc w:val="left"/>
      <w:pPr>
        <w:tabs>
          <w:tab w:val="num" w:pos="643"/>
        </w:tabs>
        <w:ind w:left="643" w:hanging="360"/>
      </w:pPr>
    </w:lvl>
  </w:abstractNum>
  <w:abstractNum w:abstractNumId="4">
    <w:nsid w:val="FFFFFF80"/>
    <w:multiLevelType w:val="singleLevel"/>
    <w:tmpl w:val="2DD6F3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CE8A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1EE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7063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507D50"/>
    <w:lvl w:ilvl="0">
      <w:start w:val="1"/>
      <w:numFmt w:val="decimal"/>
      <w:lvlText w:val="%1."/>
      <w:lvlJc w:val="left"/>
      <w:pPr>
        <w:tabs>
          <w:tab w:val="num" w:pos="360"/>
        </w:tabs>
        <w:ind w:left="360" w:hanging="360"/>
      </w:pPr>
    </w:lvl>
  </w:abstractNum>
  <w:abstractNum w:abstractNumId="9">
    <w:nsid w:val="FFFFFF89"/>
    <w:multiLevelType w:val="singleLevel"/>
    <w:tmpl w:val="CCBE423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2">
    <w:nsid w:val="06F815E8"/>
    <w:multiLevelType w:val="hybridMultilevel"/>
    <w:tmpl w:val="1F9049AA"/>
    <w:lvl w:ilvl="0" w:tplc="1CDEAF6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784A26"/>
    <w:multiLevelType w:val="hybridMultilevel"/>
    <w:tmpl w:val="95684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8E80E42"/>
    <w:multiLevelType w:val="hybridMultilevel"/>
    <w:tmpl w:val="58E003DA"/>
    <w:lvl w:ilvl="0" w:tplc="D0F24CD8">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447D23EA"/>
    <w:multiLevelType w:val="hybridMultilevel"/>
    <w:tmpl w:val="17C8D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7E14828"/>
    <w:multiLevelType w:val="hybridMultilevel"/>
    <w:tmpl w:val="AFE68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4243B2B"/>
    <w:multiLevelType w:val="hybridMultilevel"/>
    <w:tmpl w:val="3420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616A7AF5"/>
    <w:multiLevelType w:val="hybridMultilevel"/>
    <w:tmpl w:val="9D66E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2B03E0F"/>
    <w:multiLevelType w:val="hybridMultilevel"/>
    <w:tmpl w:val="9A181A44"/>
    <w:lvl w:ilvl="0" w:tplc="B114E6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9">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0"/>
  </w:num>
  <w:num w:numId="2">
    <w:abstractNumId w:val="28"/>
  </w:num>
  <w:num w:numId="3">
    <w:abstractNumId w:val="19"/>
  </w:num>
  <w:num w:numId="4">
    <w:abstractNumId w:val="20"/>
  </w:num>
  <w:num w:numId="5">
    <w:abstractNumId w:val="11"/>
  </w:num>
  <w:num w:numId="6">
    <w:abstractNumId w:val="25"/>
  </w:num>
  <w:num w:numId="7">
    <w:abstractNumId w:val="15"/>
  </w:num>
  <w:num w:numId="8">
    <w:abstractNumId w:val="29"/>
  </w:num>
  <w:num w:numId="9">
    <w:abstractNumId w:val="14"/>
  </w:num>
  <w:num w:numId="10">
    <w:abstractNumId w:val="16"/>
  </w:num>
  <w:num w:numId="11">
    <w:abstractNumId w:val="21"/>
  </w:num>
  <w:num w:numId="12">
    <w:abstractNumId w:val="9"/>
  </w:num>
  <w:num w:numId="13">
    <w:abstractNumId w:val="10"/>
    <w:lvlOverride w:ilvl="0">
      <w:lvl w:ilvl="0">
        <w:start w:val="1"/>
        <w:numFmt w:val="bullet"/>
        <w:lvlText w:val=""/>
        <w:legacy w:legacy="1" w:legacySpace="0" w:legacyIndent="425"/>
        <w:lvlJc w:val="left"/>
        <w:pPr>
          <w:ind w:left="425" w:hanging="425"/>
        </w:pPr>
        <w:rPr>
          <w:rFonts w:ascii="Symbol" w:hAnsi="Symbol" w:hint="default"/>
          <w:sz w:val="20"/>
        </w:rPr>
      </w:lvl>
    </w:lvlOverride>
  </w:num>
  <w:num w:numId="14">
    <w:abstractNumId w:val="10"/>
    <w:lvlOverride w:ilvl="0">
      <w:lvl w:ilvl="0">
        <w:start w:val="1"/>
        <w:numFmt w:val="bullet"/>
        <w:lvlText w:val="–"/>
        <w:legacy w:legacy="1" w:legacySpace="0" w:legacyIndent="567"/>
        <w:lvlJc w:val="left"/>
        <w:pPr>
          <w:ind w:left="1134" w:hanging="567"/>
        </w:pPr>
        <w:rPr>
          <w:rFonts w:ascii="Times New Roman" w:hAnsi="Times New Roman" w:hint="default"/>
          <w:sz w:val="20"/>
        </w:rPr>
      </w:lvl>
    </w:lvlOverride>
  </w:num>
  <w:num w:numId="15">
    <w:abstractNumId w:val="18"/>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2"/>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 w:numId="28">
    <w:abstractNumId w:val="27"/>
  </w:num>
  <w:num w:numId="29">
    <w:abstractNumId w:val="22"/>
  </w:num>
  <w:num w:numId="30">
    <w:abstractNumId w:val="13"/>
  </w:num>
  <w:num w:numId="31">
    <w:abstractNumId w:val="23"/>
  </w:num>
  <w:num w:numId="32">
    <w:abstractNumId w:val="26"/>
  </w:num>
  <w:num w:numId="3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384"/>
    <w:rsid w:val="00003789"/>
    <w:rsid w:val="00030B26"/>
    <w:rsid w:val="0003184C"/>
    <w:rsid w:val="00047F0A"/>
    <w:rsid w:val="0006228D"/>
    <w:rsid w:val="00071711"/>
    <w:rsid w:val="00072BD6"/>
    <w:rsid w:val="00072CEC"/>
    <w:rsid w:val="00075B78"/>
    <w:rsid w:val="00075F0A"/>
    <w:rsid w:val="00082CD6"/>
    <w:rsid w:val="00083A26"/>
    <w:rsid w:val="00085AFE"/>
    <w:rsid w:val="0008616A"/>
    <w:rsid w:val="000A10A6"/>
    <w:rsid w:val="000B0730"/>
    <w:rsid w:val="000C0C7D"/>
    <w:rsid w:val="000C0EDE"/>
    <w:rsid w:val="000C5F8B"/>
    <w:rsid w:val="000C71BB"/>
    <w:rsid w:val="000E4FA8"/>
    <w:rsid w:val="000F2AE2"/>
    <w:rsid w:val="000F2EB3"/>
    <w:rsid w:val="000F48FE"/>
    <w:rsid w:val="00102063"/>
    <w:rsid w:val="0010541C"/>
    <w:rsid w:val="00106F93"/>
    <w:rsid w:val="00111D50"/>
    <w:rsid w:val="00111E77"/>
    <w:rsid w:val="00113B8E"/>
    <w:rsid w:val="00113D01"/>
    <w:rsid w:val="00122F74"/>
    <w:rsid w:val="001326B3"/>
    <w:rsid w:val="001342C7"/>
    <w:rsid w:val="0013585C"/>
    <w:rsid w:val="0014080E"/>
    <w:rsid w:val="00142954"/>
    <w:rsid w:val="001460E0"/>
    <w:rsid w:val="00147F71"/>
    <w:rsid w:val="00150A6E"/>
    <w:rsid w:val="0015525C"/>
    <w:rsid w:val="0016468A"/>
    <w:rsid w:val="00176808"/>
    <w:rsid w:val="00190A7F"/>
    <w:rsid w:val="001A5CF5"/>
    <w:rsid w:val="001A7834"/>
    <w:rsid w:val="001B39D2"/>
    <w:rsid w:val="001C4326"/>
    <w:rsid w:val="001D3541"/>
    <w:rsid w:val="00201A01"/>
    <w:rsid w:val="002104D3"/>
    <w:rsid w:val="00213A33"/>
    <w:rsid w:val="0021763B"/>
    <w:rsid w:val="00237B0F"/>
    <w:rsid w:val="00246DB1"/>
    <w:rsid w:val="002476B5"/>
    <w:rsid w:val="00253ECF"/>
    <w:rsid w:val="00253F01"/>
    <w:rsid w:val="002546A1"/>
    <w:rsid w:val="00265332"/>
    <w:rsid w:val="00275D08"/>
    <w:rsid w:val="002858E3"/>
    <w:rsid w:val="0029190A"/>
    <w:rsid w:val="00292C5A"/>
    <w:rsid w:val="00293802"/>
    <w:rsid w:val="00295241"/>
    <w:rsid w:val="002B047D"/>
    <w:rsid w:val="002B732B"/>
    <w:rsid w:val="002C2219"/>
    <w:rsid w:val="002D0DF2"/>
    <w:rsid w:val="002D23BD"/>
    <w:rsid w:val="002E0B47"/>
    <w:rsid w:val="002F7213"/>
    <w:rsid w:val="0030382F"/>
    <w:rsid w:val="0030408D"/>
    <w:rsid w:val="003060E4"/>
    <w:rsid w:val="00307A7D"/>
    <w:rsid w:val="003160E7"/>
    <w:rsid w:val="0031739E"/>
    <w:rsid w:val="003233A8"/>
    <w:rsid w:val="00327729"/>
    <w:rsid w:val="003325AB"/>
    <w:rsid w:val="0033368C"/>
    <w:rsid w:val="0033412B"/>
    <w:rsid w:val="00343365"/>
    <w:rsid w:val="00344CB1"/>
    <w:rsid w:val="00353501"/>
    <w:rsid w:val="003606F8"/>
    <w:rsid w:val="003648EF"/>
    <w:rsid w:val="003673E6"/>
    <w:rsid w:val="00377264"/>
    <w:rsid w:val="00393F84"/>
    <w:rsid w:val="003A26A5"/>
    <w:rsid w:val="003A3761"/>
    <w:rsid w:val="003A5FEA"/>
    <w:rsid w:val="003B1D10"/>
    <w:rsid w:val="003C76D4"/>
    <w:rsid w:val="003E4541"/>
    <w:rsid w:val="003E56B2"/>
    <w:rsid w:val="003E7C46"/>
    <w:rsid w:val="003F52A7"/>
    <w:rsid w:val="0040240C"/>
    <w:rsid w:val="00413021"/>
    <w:rsid w:val="00421E19"/>
    <w:rsid w:val="00440BE0"/>
    <w:rsid w:val="00442C1C"/>
    <w:rsid w:val="0044584B"/>
    <w:rsid w:val="00447CB7"/>
    <w:rsid w:val="00456445"/>
    <w:rsid w:val="00456766"/>
    <w:rsid w:val="00460826"/>
    <w:rsid w:val="00460EA7"/>
    <w:rsid w:val="0046195B"/>
    <w:rsid w:val="0046596D"/>
    <w:rsid w:val="00487C04"/>
    <w:rsid w:val="004907E1"/>
    <w:rsid w:val="00491B19"/>
    <w:rsid w:val="004A035B"/>
    <w:rsid w:val="004A38D7"/>
    <w:rsid w:val="004A61E2"/>
    <w:rsid w:val="004A778C"/>
    <w:rsid w:val="004C2E6A"/>
    <w:rsid w:val="004D2A2D"/>
    <w:rsid w:val="004D6689"/>
    <w:rsid w:val="004D70D6"/>
    <w:rsid w:val="004E1D1D"/>
    <w:rsid w:val="004E7AC8"/>
    <w:rsid w:val="004F0C94"/>
    <w:rsid w:val="005019AE"/>
    <w:rsid w:val="00501C56"/>
    <w:rsid w:val="00503749"/>
    <w:rsid w:val="00503EE5"/>
    <w:rsid w:val="00504CF4"/>
    <w:rsid w:val="0050635B"/>
    <w:rsid w:val="0053199F"/>
    <w:rsid w:val="005319DC"/>
    <w:rsid w:val="00533B90"/>
    <w:rsid w:val="005410F8"/>
    <w:rsid w:val="005448EC"/>
    <w:rsid w:val="00545963"/>
    <w:rsid w:val="00550256"/>
    <w:rsid w:val="00553958"/>
    <w:rsid w:val="0055763D"/>
    <w:rsid w:val="00561BEB"/>
    <w:rsid w:val="005621F2"/>
    <w:rsid w:val="00565466"/>
    <w:rsid w:val="00567B58"/>
    <w:rsid w:val="00575AF9"/>
    <w:rsid w:val="005763E0"/>
    <w:rsid w:val="005A27CA"/>
    <w:rsid w:val="005A43BD"/>
    <w:rsid w:val="005B69C8"/>
    <w:rsid w:val="005C5C09"/>
    <w:rsid w:val="005D304C"/>
    <w:rsid w:val="005E226E"/>
    <w:rsid w:val="006015D7"/>
    <w:rsid w:val="00601B21"/>
    <w:rsid w:val="00606408"/>
    <w:rsid w:val="0061227A"/>
    <w:rsid w:val="00626CF8"/>
    <w:rsid w:val="006326C1"/>
    <w:rsid w:val="00636D7D"/>
    <w:rsid w:val="00637408"/>
    <w:rsid w:val="00642868"/>
    <w:rsid w:val="00647AFE"/>
    <w:rsid w:val="006512BC"/>
    <w:rsid w:val="00653A5A"/>
    <w:rsid w:val="0065514E"/>
    <w:rsid w:val="0065587A"/>
    <w:rsid w:val="006575F4"/>
    <w:rsid w:val="006579E6"/>
    <w:rsid w:val="00663BA1"/>
    <w:rsid w:val="00663EDC"/>
    <w:rsid w:val="00671078"/>
    <w:rsid w:val="00680A04"/>
    <w:rsid w:val="00686D80"/>
    <w:rsid w:val="00694895"/>
    <w:rsid w:val="00697E2E"/>
    <w:rsid w:val="006A25A2"/>
    <w:rsid w:val="006A592F"/>
    <w:rsid w:val="006B0E73"/>
    <w:rsid w:val="006B4A4D"/>
    <w:rsid w:val="006B4E5B"/>
    <w:rsid w:val="006B5695"/>
    <w:rsid w:val="006B5CE5"/>
    <w:rsid w:val="006C05FA"/>
    <w:rsid w:val="006C78EB"/>
    <w:rsid w:val="006D1660"/>
    <w:rsid w:val="006F1B67"/>
    <w:rsid w:val="0070091D"/>
    <w:rsid w:val="00702854"/>
    <w:rsid w:val="0071741C"/>
    <w:rsid w:val="00742B90"/>
    <w:rsid w:val="0074434D"/>
    <w:rsid w:val="00771B1E"/>
    <w:rsid w:val="00773C95"/>
    <w:rsid w:val="0078171E"/>
    <w:rsid w:val="00795B34"/>
    <w:rsid w:val="007B1770"/>
    <w:rsid w:val="007B4D3E"/>
    <w:rsid w:val="007B7C70"/>
    <w:rsid w:val="007D0A80"/>
    <w:rsid w:val="007D2151"/>
    <w:rsid w:val="007D42CC"/>
    <w:rsid w:val="007D5DE4"/>
    <w:rsid w:val="007E1341"/>
    <w:rsid w:val="007E1B41"/>
    <w:rsid w:val="007E30B9"/>
    <w:rsid w:val="007E73A8"/>
    <w:rsid w:val="007F0F0C"/>
    <w:rsid w:val="007F1288"/>
    <w:rsid w:val="00800A8A"/>
    <w:rsid w:val="0080155C"/>
    <w:rsid w:val="008052E1"/>
    <w:rsid w:val="00822F2C"/>
    <w:rsid w:val="008305E8"/>
    <w:rsid w:val="00860826"/>
    <w:rsid w:val="00860E21"/>
    <w:rsid w:val="00863117"/>
    <w:rsid w:val="0086388B"/>
    <w:rsid w:val="008642E5"/>
    <w:rsid w:val="00872D93"/>
    <w:rsid w:val="00873D1E"/>
    <w:rsid w:val="00880470"/>
    <w:rsid w:val="00880D94"/>
    <w:rsid w:val="00885D52"/>
    <w:rsid w:val="008924DE"/>
    <w:rsid w:val="008A16FC"/>
    <w:rsid w:val="008A3755"/>
    <w:rsid w:val="008A4C52"/>
    <w:rsid w:val="008A5292"/>
    <w:rsid w:val="008B264F"/>
    <w:rsid w:val="008B6F83"/>
    <w:rsid w:val="008B7FD8"/>
    <w:rsid w:val="008C2973"/>
    <w:rsid w:val="008C64C4"/>
    <w:rsid w:val="008D14AB"/>
    <w:rsid w:val="008D5D23"/>
    <w:rsid w:val="008D74D5"/>
    <w:rsid w:val="008F29BE"/>
    <w:rsid w:val="008F4AE5"/>
    <w:rsid w:val="008F51EB"/>
    <w:rsid w:val="00900197"/>
    <w:rsid w:val="00902F55"/>
    <w:rsid w:val="0090582B"/>
    <w:rsid w:val="009060C0"/>
    <w:rsid w:val="009133F5"/>
    <w:rsid w:val="00920A27"/>
    <w:rsid w:val="00921216"/>
    <w:rsid w:val="00932D69"/>
    <w:rsid w:val="00944647"/>
    <w:rsid w:val="00955E74"/>
    <w:rsid w:val="00977B8A"/>
    <w:rsid w:val="00982971"/>
    <w:rsid w:val="009845AD"/>
    <w:rsid w:val="00995BA0"/>
    <w:rsid w:val="009A418B"/>
    <w:rsid w:val="009A4473"/>
    <w:rsid w:val="009C151C"/>
    <w:rsid w:val="009C1B61"/>
    <w:rsid w:val="009D5125"/>
    <w:rsid w:val="009D60B8"/>
    <w:rsid w:val="009D7D4B"/>
    <w:rsid w:val="009E36ED"/>
    <w:rsid w:val="009E6B77"/>
    <w:rsid w:val="009F08B2"/>
    <w:rsid w:val="009F460A"/>
    <w:rsid w:val="00A043FB"/>
    <w:rsid w:val="00A0729C"/>
    <w:rsid w:val="00A07779"/>
    <w:rsid w:val="00A20B2E"/>
    <w:rsid w:val="00A23ACE"/>
    <w:rsid w:val="00A3068F"/>
    <w:rsid w:val="00A3145B"/>
    <w:rsid w:val="00A339D0"/>
    <w:rsid w:val="00A41002"/>
    <w:rsid w:val="00A4201A"/>
    <w:rsid w:val="00A553CE"/>
    <w:rsid w:val="00A5677A"/>
    <w:rsid w:val="00A6490D"/>
    <w:rsid w:val="00A80363"/>
    <w:rsid w:val="00A83374"/>
    <w:rsid w:val="00A9169D"/>
    <w:rsid w:val="00AB021E"/>
    <w:rsid w:val="00AC101C"/>
    <w:rsid w:val="00AD4CF1"/>
    <w:rsid w:val="00AD5988"/>
    <w:rsid w:val="00AE5352"/>
    <w:rsid w:val="00AF7800"/>
    <w:rsid w:val="00B072E0"/>
    <w:rsid w:val="00B253F6"/>
    <w:rsid w:val="00B332F8"/>
    <w:rsid w:val="00B3492B"/>
    <w:rsid w:val="00B4646F"/>
    <w:rsid w:val="00B55C7D"/>
    <w:rsid w:val="00B55FC1"/>
    <w:rsid w:val="00B63038"/>
    <w:rsid w:val="00B64BD8"/>
    <w:rsid w:val="00B701D1"/>
    <w:rsid w:val="00B73AF2"/>
    <w:rsid w:val="00B7551A"/>
    <w:rsid w:val="00BC59F1"/>
    <w:rsid w:val="00BF3DE1"/>
    <w:rsid w:val="00BF4843"/>
    <w:rsid w:val="00BF5205"/>
    <w:rsid w:val="00C12508"/>
    <w:rsid w:val="00C25EFD"/>
    <w:rsid w:val="00C45AA2"/>
    <w:rsid w:val="00C536BC"/>
    <w:rsid w:val="00C66296"/>
    <w:rsid w:val="00C676DB"/>
    <w:rsid w:val="00C77282"/>
    <w:rsid w:val="00C84DE5"/>
    <w:rsid w:val="00C86248"/>
    <w:rsid w:val="00C92D12"/>
    <w:rsid w:val="00CA4C33"/>
    <w:rsid w:val="00CA6F4A"/>
    <w:rsid w:val="00CD2119"/>
    <w:rsid w:val="00CD36AC"/>
    <w:rsid w:val="00CF1747"/>
    <w:rsid w:val="00D2392A"/>
    <w:rsid w:val="00D25FFE"/>
    <w:rsid w:val="00D4476F"/>
    <w:rsid w:val="00D54D50"/>
    <w:rsid w:val="00D66797"/>
    <w:rsid w:val="00D7087C"/>
    <w:rsid w:val="00D70C3C"/>
    <w:rsid w:val="00D72BE5"/>
    <w:rsid w:val="00D76621"/>
    <w:rsid w:val="00D82F26"/>
    <w:rsid w:val="00D85F98"/>
    <w:rsid w:val="00D863D0"/>
    <w:rsid w:val="00D87C87"/>
    <w:rsid w:val="00DB39CF"/>
    <w:rsid w:val="00DC509C"/>
    <w:rsid w:val="00DD447A"/>
    <w:rsid w:val="00DE3B20"/>
    <w:rsid w:val="00DE5261"/>
    <w:rsid w:val="00DE6C94"/>
    <w:rsid w:val="00DE6FD7"/>
    <w:rsid w:val="00E23271"/>
    <w:rsid w:val="00E24F80"/>
    <w:rsid w:val="00E259F3"/>
    <w:rsid w:val="00E33238"/>
    <w:rsid w:val="00E34B87"/>
    <w:rsid w:val="00E4486C"/>
    <w:rsid w:val="00E460B6"/>
    <w:rsid w:val="00E511D5"/>
    <w:rsid w:val="00E60249"/>
    <w:rsid w:val="00E65269"/>
    <w:rsid w:val="00E74AD1"/>
    <w:rsid w:val="00E76D66"/>
    <w:rsid w:val="00EA5296"/>
    <w:rsid w:val="00EA5B00"/>
    <w:rsid w:val="00EA796A"/>
    <w:rsid w:val="00EB1856"/>
    <w:rsid w:val="00EC50CE"/>
    <w:rsid w:val="00EC5B34"/>
    <w:rsid w:val="00EE4ADE"/>
    <w:rsid w:val="00EE5CB7"/>
    <w:rsid w:val="00EF23A5"/>
    <w:rsid w:val="00F024FE"/>
    <w:rsid w:val="00F05AD4"/>
    <w:rsid w:val="00F41AE5"/>
    <w:rsid w:val="00F62145"/>
    <w:rsid w:val="00F67496"/>
    <w:rsid w:val="00F763E8"/>
    <w:rsid w:val="00F801BA"/>
    <w:rsid w:val="00F946C9"/>
    <w:rsid w:val="00FA092A"/>
    <w:rsid w:val="00FA74EE"/>
    <w:rsid w:val="00FB0F90"/>
    <w:rsid w:val="00FC1C27"/>
    <w:rsid w:val="00FC46E7"/>
    <w:rsid w:val="00FC5D25"/>
    <w:rsid w:val="00FD0D7E"/>
    <w:rsid w:val="00FD3532"/>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B1E3AF0-F894-404F-8F46-93BFAA53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rsid w:val="0006228D"/>
    <w:pPr>
      <w:tabs>
        <w:tab w:val="right" w:pos="9356"/>
      </w:tabs>
      <w:spacing w:before="300"/>
      <w:ind w:right="567"/>
    </w:pPr>
    <w:rPr>
      <w:b/>
    </w:rPr>
  </w:style>
  <w:style w:type="paragraph" w:styleId="TOC2">
    <w:name w:val="toc 2"/>
    <w:basedOn w:val="Normal"/>
    <w:next w:val="Normal"/>
    <w:rsid w:val="0006228D"/>
    <w:pPr>
      <w:tabs>
        <w:tab w:val="left" w:pos="284"/>
        <w:tab w:val="right" w:pos="9356"/>
      </w:tabs>
      <w:spacing w:before="60"/>
      <w:ind w:left="284" w:right="567"/>
    </w:pPr>
  </w:style>
  <w:style w:type="paragraph" w:styleId="TOC3">
    <w:name w:val="toc 3"/>
    <w:basedOn w:val="Normal"/>
    <w:next w:val="Normal"/>
    <w:rsid w:val="0015525C"/>
    <w:pPr>
      <w:tabs>
        <w:tab w:val="right" w:pos="9356"/>
      </w:tabs>
      <w:spacing w:before="90"/>
      <w:ind w:left="1191" w:right="454" w:hanging="1191"/>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E73A8"/>
    <w:pPr>
      <w:pBdr>
        <w:bottom w:val="single" w:sz="4" w:space="6" w:color="auto"/>
      </w:pBdr>
      <w:spacing w:before="80"/>
      <w:ind w:left="284" w:right="1418"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7E134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E1341"/>
    <w:rPr>
      <w:rFonts w:ascii="Tahoma" w:hAnsi="Tahoma" w:cs="Tahoma"/>
      <w:sz w:val="16"/>
      <w:szCs w:val="16"/>
      <w:lang w:eastAsia="en-GB"/>
    </w:rPr>
  </w:style>
  <w:style w:type="character" w:customStyle="1" w:styleId="NoteChar">
    <w:name w:val="Note Char"/>
    <w:link w:val="Note"/>
    <w:rsid w:val="007E73A8"/>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paragraph" w:customStyle="1" w:styleId="ColorfulList-Accent11">
    <w:name w:val="Colorful List - Accent 11"/>
    <w:basedOn w:val="Normal"/>
    <w:uiPriority w:val="34"/>
    <w:qFormat/>
    <w:rsid w:val="0086388B"/>
    <w:pPr>
      <w:spacing w:line="240" w:lineRule="auto"/>
      <w:ind w:left="720"/>
      <w:contextualSpacing/>
    </w:pPr>
    <w:rPr>
      <w:rFonts w:ascii="Arial" w:eastAsia="Calibri" w:hAnsi="Arial"/>
      <w:sz w:val="20"/>
      <w:szCs w:val="22"/>
      <w:lang w:eastAsia="en-US"/>
    </w:rPr>
  </w:style>
  <w:style w:type="character" w:styleId="CommentReference">
    <w:name w:val="annotation reference"/>
    <w:uiPriority w:val="99"/>
    <w:semiHidden/>
    <w:unhideWhenUsed/>
    <w:rsid w:val="0086388B"/>
    <w:rPr>
      <w:sz w:val="18"/>
      <w:szCs w:val="18"/>
    </w:rPr>
  </w:style>
  <w:style w:type="paragraph" w:styleId="CommentText">
    <w:name w:val="annotation text"/>
    <w:basedOn w:val="Normal"/>
    <w:link w:val="CommentTextChar"/>
    <w:uiPriority w:val="99"/>
    <w:semiHidden/>
    <w:unhideWhenUsed/>
    <w:rsid w:val="0086388B"/>
    <w:pPr>
      <w:spacing w:line="240" w:lineRule="auto"/>
    </w:pPr>
    <w:rPr>
      <w:rFonts w:ascii="Arial" w:eastAsia="Calibri" w:hAnsi="Arial"/>
      <w:sz w:val="24"/>
      <w:szCs w:val="24"/>
      <w:lang w:val="x-none" w:eastAsia="x-none"/>
    </w:rPr>
  </w:style>
  <w:style w:type="character" w:customStyle="1" w:styleId="CommentTextChar">
    <w:name w:val="Comment Text Char"/>
    <w:link w:val="CommentText"/>
    <w:uiPriority w:val="99"/>
    <w:semiHidden/>
    <w:rsid w:val="0086388B"/>
    <w:rPr>
      <w:rFonts w:ascii="Arial" w:eastAsia="Calibri" w:hAnsi="Arial"/>
      <w:sz w:val="24"/>
      <w:szCs w:val="24"/>
      <w:lang w:val="x-none" w:eastAsia="x-none"/>
    </w:rPr>
  </w:style>
  <w:style w:type="paragraph" w:styleId="CommentSubject">
    <w:name w:val="annotation subject"/>
    <w:basedOn w:val="CommentText"/>
    <w:next w:val="CommentText"/>
    <w:link w:val="CommentSubjectChar"/>
    <w:uiPriority w:val="99"/>
    <w:semiHidden/>
    <w:unhideWhenUsed/>
    <w:rsid w:val="0086388B"/>
    <w:rPr>
      <w:b/>
      <w:bCs/>
    </w:rPr>
  </w:style>
  <w:style w:type="character" w:customStyle="1" w:styleId="CommentSubjectChar">
    <w:name w:val="Comment Subject Char"/>
    <w:link w:val="CommentSubject"/>
    <w:uiPriority w:val="99"/>
    <w:semiHidden/>
    <w:rsid w:val="0086388B"/>
    <w:rPr>
      <w:rFonts w:ascii="Arial" w:eastAsia="Calibri" w:hAnsi="Arial"/>
      <w:b/>
      <w:bCs/>
      <w:sz w:val="24"/>
      <w:szCs w:val="24"/>
      <w:lang w:val="x-none" w:eastAsia="x-none"/>
    </w:rPr>
  </w:style>
  <w:style w:type="paragraph" w:styleId="ListParagraph">
    <w:name w:val="List Paragraph"/>
    <w:basedOn w:val="Normal"/>
    <w:uiPriority w:val="34"/>
    <w:qFormat/>
    <w:rsid w:val="0086388B"/>
    <w:pPr>
      <w:spacing w:line="240" w:lineRule="auto"/>
      <w:ind w:left="720"/>
      <w:contextualSpacing/>
    </w:pPr>
    <w:rPr>
      <w:rFonts w:ascii="Arial" w:eastAsia="Calibri" w:hAnsi="Arial"/>
      <w:sz w:val="20"/>
      <w:szCs w:val="22"/>
      <w:lang w:eastAsia="en-US"/>
    </w:rPr>
  </w:style>
  <w:style w:type="paragraph" w:styleId="NormalWeb">
    <w:name w:val="Normal (Web)"/>
    <w:basedOn w:val="Normal"/>
    <w:uiPriority w:val="99"/>
    <w:unhideWhenUsed/>
    <w:rsid w:val="0086388B"/>
    <w:pPr>
      <w:spacing w:before="100" w:beforeAutospacing="1" w:after="100" w:afterAutospacing="1" w:line="240" w:lineRule="auto"/>
    </w:pPr>
    <w:rPr>
      <w:rFonts w:ascii="Times New Roman" w:hAnsi="Times New Roman"/>
      <w:sz w:val="24"/>
      <w:szCs w:val="24"/>
      <w:lang w:eastAsia="en-NZ"/>
    </w:rPr>
  </w:style>
  <w:style w:type="character" w:customStyle="1" w:styleId="Heading1Char">
    <w:name w:val="Heading 1 Char"/>
    <w:link w:val="Heading1"/>
    <w:uiPriority w:val="9"/>
    <w:rsid w:val="0086388B"/>
    <w:rPr>
      <w:rFonts w:ascii="Georgia" w:hAnsi="Georgia"/>
      <w:b/>
      <w:sz w:val="60"/>
      <w:lang w:eastAsia="en-GB"/>
    </w:rPr>
  </w:style>
  <w:style w:type="paragraph" w:customStyle="1" w:styleId="Pa37">
    <w:name w:val="Pa37"/>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9">
    <w:name w:val="A19"/>
    <w:uiPriority w:val="99"/>
    <w:rsid w:val="0086388B"/>
    <w:rPr>
      <w:rFonts w:cs="FoundrySans-Normal"/>
      <w:color w:val="000000"/>
      <w:sz w:val="8"/>
      <w:szCs w:val="8"/>
    </w:rPr>
  </w:style>
  <w:style w:type="paragraph" w:customStyle="1" w:styleId="Pa38">
    <w:name w:val="Pa38"/>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
    <w:name w:val="A1"/>
    <w:uiPriority w:val="99"/>
    <w:rsid w:val="0086388B"/>
    <w:rPr>
      <w:rFonts w:cs="FoundrySans-Normal"/>
      <w:color w:val="000000"/>
      <w:sz w:val="16"/>
      <w:szCs w:val="16"/>
    </w:rPr>
  </w:style>
  <w:style w:type="character" w:customStyle="1" w:styleId="A18">
    <w:name w:val="A18"/>
    <w:uiPriority w:val="99"/>
    <w:rsid w:val="0086388B"/>
    <w:rPr>
      <w:rFonts w:cs="FoundrySans-Normal"/>
      <w:color w:val="000000"/>
      <w:sz w:val="9"/>
      <w:szCs w:val="9"/>
    </w:rPr>
  </w:style>
  <w:style w:type="paragraph" w:styleId="Revision">
    <w:name w:val="Revision"/>
    <w:hidden/>
    <w:uiPriority w:val="99"/>
    <w:semiHidden/>
    <w:rsid w:val="0086388B"/>
    <w:rPr>
      <w:rFonts w:ascii="Calibri" w:eastAsia="Calibri" w:hAnsi="Calibri"/>
      <w:sz w:val="22"/>
      <w:szCs w:val="22"/>
      <w:lang w:val="en-US" w:eastAsia="en-US"/>
    </w:rPr>
  </w:style>
  <w:style w:type="paragraph" w:styleId="NoSpacing">
    <w:name w:val="No Spacing"/>
    <w:uiPriority w:val="1"/>
    <w:qFormat/>
    <w:rsid w:val="0086388B"/>
    <w:pPr>
      <w:widowControl w:val="0"/>
    </w:pPr>
    <w:rPr>
      <w:rFonts w:ascii="Calibri" w:eastAsia="Calibri" w:hAnsi="Calibri"/>
      <w:sz w:val="22"/>
      <w:szCs w:val="22"/>
      <w:lang w:val="en-US" w:eastAsia="en-US"/>
    </w:rPr>
  </w:style>
  <w:style w:type="paragraph" w:styleId="ListBullet">
    <w:name w:val="List Bullet"/>
    <w:basedOn w:val="Normal"/>
    <w:uiPriority w:val="99"/>
    <w:unhideWhenUsed/>
    <w:rsid w:val="0086388B"/>
    <w:pPr>
      <w:numPr>
        <w:numId w:val="12"/>
      </w:numPr>
      <w:spacing w:line="240" w:lineRule="auto"/>
      <w:contextualSpacing/>
    </w:pPr>
    <w:rPr>
      <w:rFonts w:ascii="Arial" w:eastAsia="Calibri" w:hAnsi="Arial"/>
      <w:sz w:val="20"/>
      <w:szCs w:val="22"/>
      <w:lang w:eastAsia="en-US"/>
    </w:rPr>
  </w:style>
  <w:style w:type="paragraph" w:styleId="Caption">
    <w:name w:val="caption"/>
    <w:basedOn w:val="Normal"/>
    <w:next w:val="Normal"/>
    <w:uiPriority w:val="35"/>
    <w:unhideWhenUsed/>
    <w:qFormat/>
    <w:rsid w:val="0086388B"/>
    <w:pPr>
      <w:spacing w:line="240" w:lineRule="auto"/>
      <w:ind w:left="794" w:hanging="794"/>
    </w:pPr>
    <w:rPr>
      <w:rFonts w:ascii="Arial" w:eastAsia="Calibri" w:hAnsi="Arial"/>
      <w:b/>
      <w:bCs/>
      <w:sz w:val="20"/>
      <w:lang w:eastAsia="en-US"/>
    </w:rPr>
  </w:style>
  <w:style w:type="character" w:styleId="FollowedHyperlink">
    <w:name w:val="FollowedHyperlink"/>
    <w:uiPriority w:val="99"/>
    <w:semiHidden/>
    <w:unhideWhenUsed/>
    <w:rsid w:val="0086388B"/>
    <w:rPr>
      <w:color w:val="800080"/>
      <w:u w:val="single"/>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A4">
    <w:name w:val="A4"/>
    <w:uiPriority w:val="99"/>
    <w:rsid w:val="00AB021E"/>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www.health.govt.nz/nz-health-statistics/health-statistics-and-data-sets/fetal-and-infant-deaths-serie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yperlink" Target="file:///C:\Users\JADAM\AppData\Local\Downloaded%20documents\see" TargetMode="External"/><Relationship Id="rId68" Type="http://schemas.openxmlformats.org/officeDocument/2006/relationships/hyperlink" Target="mailto:data-enquiries@moh.govt.nz" TargetMode="Externa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emf"/><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stats.govt.nz"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health.govt.nz/nz-health-statistics/health-statistics-and-data-sets/cancer-new-registrations-and-deaths-series"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mailto:data-enquiries@moh.govt.nz" TargetMode="Externa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health.govt.nz/nz-health-statistics/health-statistics-and-data-sets/suicide-facts-deaths-and-intentional-self-harm-hospitalisations-serie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www.stats.govt.nz/browse_for_stats/health/injuries/serious-injury-outcome-indicators-reports.aspx" TargetMode="External"/><Relationship Id="rId69" Type="http://schemas.openxmlformats.org/officeDocument/2006/relationships/image" Target="media/image44.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mailto:data-enquiries@moh.govt.nz" TargetMode="External"/><Relationship Id="rId20" Type="http://schemas.openxmlformats.org/officeDocument/2006/relationships/image" Target="media/image4.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www.stats.govt.nz/browse_for_stats/population/estimates_and_projections/demographic-trends-2012.asp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nz-health-statistics/health-statistics-and-data-sets/cancer-new-registrations-and-deaths-series" TargetMode="External"/><Relationship Id="rId2" Type="http://schemas.openxmlformats.org/officeDocument/2006/relationships/hyperlink" Target="http://www.health.govt.nz/nz-health-statistics/health-statistics-and-data-sets/cancer-data-and-stats" TargetMode="External"/><Relationship Id="rId1" Type="http://schemas.openxmlformats.org/officeDocument/2006/relationships/hyperlink" Target="http://www.health.govt.nz/nz-health-statistics/health-statistics-and-data-sets/cancer-new-registrations-and-deaths-series" TargetMode="External"/><Relationship Id="rId4" Type="http://schemas.openxmlformats.org/officeDocument/2006/relationships/hyperlink" Target="http://www.nsu.govt.nz/current-nsu-programmes/national-cervical-screening-program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F64AB-8936-4686-85D8-43B04C7F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91</Pages>
  <Words>18440</Words>
  <Characters>103555</Characters>
  <Application>Microsoft Office Word</Application>
  <DocSecurity>0</DocSecurity>
  <Lines>862</Lines>
  <Paragraphs>243</Paragraphs>
  <ScaleCrop>false</ScaleCrop>
  <HeadingPairs>
    <vt:vector size="2" baseType="variant">
      <vt:variant>
        <vt:lpstr>Title</vt:lpstr>
      </vt:variant>
      <vt:variant>
        <vt:i4>1</vt:i4>
      </vt:variant>
    </vt:vector>
  </HeadingPairs>
  <TitlesOfParts>
    <vt:vector size="1" baseType="lpstr">
      <vt:lpstr>Mortality and Demographic Data 2011</vt:lpstr>
    </vt:vector>
  </TitlesOfParts>
  <Company>Microsoft</Company>
  <LinksUpToDate>false</LinksUpToDate>
  <CharactersWithSpaces>121752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Mortality and Demographic Data 2011</dc:title>
  <dc:creator>Ministry of Health</dc:creator>
  <cp:lastModifiedBy>Logan Smith</cp:lastModifiedBy>
  <cp:revision>3</cp:revision>
  <cp:lastPrinted>2015-08-20T22:52:00Z</cp:lastPrinted>
  <dcterms:created xsi:type="dcterms:W3CDTF">2015-08-17T04:17:00Z</dcterms:created>
  <dcterms:modified xsi:type="dcterms:W3CDTF">2015-08-20T22:55:00Z</dcterms:modified>
</cp:coreProperties>
</file>